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608330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625475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6" w:lineRule="exact"/>
        <w:rPr>
          <w:sz w:val="24"/>
          <w:szCs w:val="24"/>
          <w:color w:val="auto"/>
        </w:rPr>
      </w:pPr>
    </w:p>
    <w:p>
      <w:pPr>
        <w:jc w:val="center"/>
        <w:ind w:left="3660" w:right="980" w:hanging="2679"/>
        <w:spacing w:after="0" w:line="255" w:lineRule="auto"/>
        <w:tabs>
          <w:tab w:leader="none" w:pos="117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 w:lineRule="exact"/>
        <w:rPr>
          <w:sz w:val="24"/>
          <w:szCs w:val="24"/>
          <w:color w:val="auto"/>
        </w:rPr>
      </w:pPr>
    </w:p>
    <w:p>
      <w:pPr>
        <w:jc w:val="center"/>
        <w:ind w:left="4380" w:right="960" w:hanging="3406"/>
        <w:spacing w:after="0" w:line="251" w:lineRule="auto"/>
        <w:tabs>
          <w:tab w:leader="none" w:pos="1187"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001-35066</w:t>
      </w:r>
    </w:p>
    <w:p>
      <w:pPr>
        <w:sectPr>
          <w:pgSz w:w="11900" w:h="16838" w:orient="portrait"/>
          <w:cols w:equalWidth="0" w:num="1">
            <w:col w:w="11240"/>
          </w:cols>
          <w:pgMar w:left="320" w:top="1306" w:right="339" w:bottom="784"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65" w:lineRule="exact"/>
        <w:rPr>
          <w:sz w:val="24"/>
          <w:szCs w:val="24"/>
          <w:color w:val="auto"/>
        </w:rPr>
      </w:pPr>
    </w:p>
    <w:p>
      <w:pPr>
        <w:ind w:left="20" w:right="860"/>
        <w:spacing w:after="0" w:line="309" w:lineRule="auto"/>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ind w:left="80"/>
        <w:spacing w:after="0"/>
        <w:rPr>
          <w:sz w:val="20"/>
          <w:szCs w:val="20"/>
          <w:color w:val="auto"/>
        </w:rPr>
      </w:pPr>
      <w:r>
        <w:rPr>
          <w:rFonts w:ascii="Times New Roman" w:cs="Times New Roman" w:eastAsia="Times New Roman" w:hAnsi="Times New Roman"/>
          <w:sz w:val="43"/>
          <w:szCs w:val="43"/>
          <w:b w:val="1"/>
          <w:bCs w:val="1"/>
          <w:color w:val="auto"/>
        </w:rPr>
        <w:t>IMAX Corporation</w:t>
      </w:r>
    </w:p>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200" w:lineRule="exact"/>
        <w:rPr>
          <w:sz w:val="24"/>
          <w:szCs w:val="24"/>
          <w:color w:val="auto"/>
        </w:rPr>
      </w:pPr>
    </w:p>
    <w:p>
      <w:pPr>
        <w:spacing w:after="0" w:line="331"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98-0140269</w:t>
      </w:r>
    </w:p>
    <w:p>
      <w:pPr>
        <w:spacing w:after="0" w:line="139"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(I.R.S. Employer</w:t>
      </w:r>
    </w:p>
    <w:p>
      <w:pPr>
        <w:spacing w:after="0" w:line="2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4"/>
          <w:szCs w:val="14"/>
          <w:i w:val="1"/>
          <w:iCs w:val="1"/>
          <w:color w:val="auto"/>
        </w:rPr>
        <w:t>Identification Number)</w:t>
      </w:r>
    </w:p>
    <w:p>
      <w:pPr>
        <w:spacing w:after="0" w:line="162" w:lineRule="exact"/>
        <w:rPr>
          <w:sz w:val="24"/>
          <w:szCs w:val="24"/>
          <w:color w:val="auto"/>
        </w:rPr>
      </w:pPr>
    </w:p>
    <w:p>
      <w:pPr>
        <w:sectPr>
          <w:pgSz w:w="11900" w:h="16838" w:orient="portrait"/>
          <w:cols w:equalWidth="0" w:num="2">
            <w:col w:w="3040" w:space="720"/>
            <w:col w:w="7480"/>
          </w:cols>
          <w:pgMar w:left="320" w:top="1306" w:right="339" w:bottom="784" w:gutter="0" w:footer="0" w:header="0"/>
          <w:type w:val="continuous"/>
        </w:sect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2525 Speakman Drive,</w:t>
      </w:r>
      <w:r>
        <w:rPr>
          <w:sz w:val="20"/>
          <w:szCs w:val="20"/>
          <w:color w:val="auto"/>
        </w:rPr>
        <w:tab/>
      </w:r>
      <w:r>
        <w:rPr>
          <w:rFonts w:ascii="Times New Roman" w:cs="Times New Roman" w:eastAsia="Times New Roman" w:hAnsi="Times New Roman"/>
          <w:sz w:val="17"/>
          <w:szCs w:val="17"/>
          <w:b w:val="1"/>
          <w:bCs w:val="1"/>
          <w:color w:val="auto"/>
        </w:rPr>
        <w:t>902 Broadway, Floor 20</w:t>
      </w:r>
    </w:p>
    <w:p>
      <w:pPr>
        <w:spacing w:after="0" w:line="30" w:lineRule="exact"/>
        <w:rPr>
          <w:sz w:val="24"/>
          <w:szCs w:val="24"/>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Mississauga, Ontario, Canada L5K 1B1</w:t>
      </w:r>
      <w:r>
        <w:rPr>
          <w:sz w:val="20"/>
          <w:szCs w:val="20"/>
          <w:color w:val="auto"/>
        </w:rPr>
        <w:tab/>
      </w:r>
      <w:r>
        <w:rPr>
          <w:rFonts w:ascii="Times New Roman" w:cs="Times New Roman" w:eastAsia="Times New Roman" w:hAnsi="Times New Roman"/>
          <w:sz w:val="17"/>
          <w:szCs w:val="17"/>
          <w:b w:val="1"/>
          <w:bCs w:val="1"/>
          <w:color w:val="auto"/>
        </w:rPr>
        <w:t>New York, New York, USA 10010</w:t>
      </w:r>
    </w:p>
    <w:p>
      <w:pPr>
        <w:spacing w:after="0" w:line="7" w:lineRule="exact"/>
        <w:rPr>
          <w:sz w:val="24"/>
          <w:szCs w:val="24"/>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b w:val="1"/>
          <w:bCs w:val="1"/>
          <w:color w:val="auto"/>
        </w:rPr>
        <w:t>(905) 403-6457</w:t>
      </w:r>
      <w:r>
        <w:rPr>
          <w:sz w:val="20"/>
          <w:szCs w:val="20"/>
          <w:color w:val="auto"/>
        </w:rPr>
        <w:tab/>
      </w:r>
      <w:r>
        <w:rPr>
          <w:rFonts w:ascii="Times New Roman" w:cs="Times New Roman" w:eastAsia="Times New Roman" w:hAnsi="Times New Roman"/>
          <w:sz w:val="17"/>
          <w:szCs w:val="17"/>
          <w:b w:val="1"/>
          <w:bCs w:val="1"/>
          <w:color w:val="auto"/>
        </w:rPr>
        <w:t>(212) 821-0142</w:t>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 telephone numbers)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8"/>
        </w:trPr>
        <w:tc>
          <w:tcPr>
            <w:tcW w:w="39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880" w:type="dxa"/>
            <w:vAlign w:val="bottom"/>
            <w:tcBorders>
              <w:bottom w:val="single" w:sz="8" w:color="auto"/>
            </w:tcBorders>
          </w:tcPr>
          <w:p>
            <w:pPr>
              <w:spacing w:after="0"/>
              <w:rPr>
                <w:sz w:val="3"/>
                <w:szCs w:val="3"/>
                <w:color w:val="auto"/>
              </w:rPr>
            </w:pPr>
          </w:p>
        </w:tc>
      </w:tr>
      <w:tr>
        <w:trPr>
          <w:trHeight w:val="235"/>
        </w:trPr>
        <w:tc>
          <w:tcPr>
            <w:tcW w:w="4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Common Shares, no par value</w:t>
            </w:r>
          </w:p>
        </w:tc>
        <w:tc>
          <w:tcPr>
            <w:tcW w:w="3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IMAX</w:t>
            </w:r>
          </w:p>
        </w:tc>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New York Stock Exchange</w:t>
            </w:r>
          </w:p>
        </w:tc>
      </w:tr>
    </w:tbl>
    <w:p>
      <w:pPr>
        <w:spacing w:after="0" w:line="200" w:lineRule="exact"/>
        <w:rPr>
          <w:sz w:val="24"/>
          <w:szCs w:val="24"/>
          <w:color w:val="auto"/>
        </w:rPr>
      </w:pPr>
    </w:p>
    <w:p>
      <w:pPr>
        <w:spacing w:after="0" w:line="385" w:lineRule="exact"/>
        <w:rPr>
          <w:sz w:val="24"/>
          <w:szCs w:val="24"/>
          <w:color w:val="auto"/>
        </w:rPr>
      </w:pPr>
    </w:p>
    <w:p>
      <w:pPr>
        <w:jc w:val="both"/>
        <w:ind w:firstLine="193"/>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firstLine="193"/>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ind w:right="20" w:firstLine="193"/>
        <w:spacing w:after="0" w:line="26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20" w:type="dxa"/>
        <w:tblCellMar>
          <w:top w:w="0" w:type="dxa"/>
          <w:left w:w="0" w:type="dxa"/>
          <w:bottom w:w="0" w:type="dxa"/>
          <w:right w:w="0" w:type="dxa"/>
        </w:tblCellMar>
      </w:tblPr>
      <w:tr>
        <w:trPr>
          <w:trHeight w:val="26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2"/>
        </w:trPr>
        <w:tc>
          <w:tcPr>
            <w:tcW w:w="2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2" w:lineRule="exact"/>
        <w:rPr>
          <w:sz w:val="24"/>
          <w:szCs w:val="24"/>
          <w:color w:val="auto"/>
        </w:rPr>
      </w:pPr>
    </w:p>
    <w:p>
      <w:pPr>
        <w:ind w:right="20" w:firstLine="193"/>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5" w:lineRule="exact"/>
        <w:rPr>
          <w:sz w:val="24"/>
          <w:szCs w:val="24"/>
          <w:color w:val="auto"/>
        </w:rPr>
      </w:pPr>
    </w:p>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89"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96" w:lineRule="exact"/>
        <w:rPr>
          <w:sz w:val="24"/>
          <w:szCs w:val="24"/>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4"/>
          <w:szCs w:val="14"/>
          <w:b w:val="1"/>
          <w:bCs w:val="1"/>
          <w:color w:val="auto"/>
        </w:rPr>
        <w:t>Class</w:t>
      </w:r>
      <w:r>
        <w:rPr>
          <w:sz w:val="20"/>
          <w:szCs w:val="20"/>
          <w:color w:val="auto"/>
        </w:rPr>
        <w:tab/>
      </w:r>
      <w:r>
        <w:rPr>
          <w:rFonts w:ascii="Times New Roman" w:cs="Times New Roman" w:eastAsia="Times New Roman" w:hAnsi="Times New Roman"/>
          <w:sz w:val="14"/>
          <w:szCs w:val="14"/>
          <w:b w:val="1"/>
          <w:bCs w:val="1"/>
          <w:color w:val="auto"/>
        </w:rPr>
        <w:t>Outstanding as of September 30,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306" w:right="339" w:bottom="784" w:gutter="0" w:footer="0" w:header="0"/>
          <w:type w:val="continuous"/>
        </w:sectPr>
      </w:pPr>
    </w:p>
    <w:p>
      <w:pPr>
        <w:spacing w:after="0" w:line="87" w:lineRule="exact"/>
        <w:rPr>
          <w:sz w:val="24"/>
          <w:szCs w:val="24"/>
          <w:color w:val="auto"/>
        </w:rPr>
      </w:pPr>
    </w:p>
    <w:p>
      <w:pPr>
        <w:ind w:left="20"/>
        <w:spacing w:after="0"/>
        <w:tabs>
          <w:tab w:leader="none" w:pos="5720" w:val="left"/>
        </w:tabs>
        <w:rPr>
          <w:sz w:val="20"/>
          <w:szCs w:val="20"/>
          <w:color w:val="auto"/>
        </w:rPr>
      </w:pPr>
      <w:r>
        <w:rPr>
          <w:rFonts w:ascii="Times New Roman" w:cs="Times New Roman" w:eastAsia="Times New Roman" w:hAnsi="Times New Roman"/>
          <w:sz w:val="18"/>
          <w:szCs w:val="18"/>
          <w:color w:val="auto"/>
        </w:rPr>
        <w:t>Common Shares, no par value</w:t>
      </w:r>
      <w:r>
        <w:rPr>
          <w:sz w:val="20"/>
          <w:szCs w:val="20"/>
          <w:color w:val="auto"/>
        </w:rPr>
        <w:tab/>
      </w:r>
      <w:r>
        <w:rPr>
          <w:rFonts w:ascii="Times New Roman" w:cs="Times New Roman" w:eastAsia="Times New Roman" w:hAnsi="Times New Roman"/>
          <w:sz w:val="17"/>
          <w:szCs w:val="17"/>
          <w:color w:val="auto"/>
        </w:rPr>
        <w:t>53,798,934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306070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306" w:right="339" w:bottom="784"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153035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60" w:type="dxa"/>
            <w:vAlign w:val="bottom"/>
            <w:gridSpan w:val="4"/>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IMAX CORPORATION</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160" w:type="dxa"/>
            <w:vAlign w:val="bottom"/>
            <w:gridSpan w:val="4"/>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9"/>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6"/>
        </w:trPr>
        <w:tc>
          <w:tcPr>
            <w:tcW w:w="102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0200" w:type="dxa"/>
            <w:vAlign w:val="bottom"/>
            <w:gridSpan w:val="12"/>
            <w:vMerge w:val="continue"/>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6"/>
        </w:trPr>
        <w:tc>
          <w:tcPr>
            <w:tcW w:w="10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0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160" w:type="dxa"/>
            <w:vAlign w:val="bottom"/>
            <w:gridSpan w:val="4"/>
          </w:tcPr>
          <w:p>
            <w:pPr>
              <w:spacing w:after="0"/>
              <w:rPr>
                <w:sz w:val="24"/>
                <w:szCs w:val="24"/>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6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2500" w:type="dxa"/>
            <w:vAlign w:val="bottom"/>
            <w:gridSpan w:val="2"/>
          </w:tcPr>
          <w:p>
            <w:pPr>
              <w:spacing w:after="0"/>
              <w:rPr>
                <w:sz w:val="21"/>
                <w:szCs w:val="21"/>
                <w:color w:val="auto"/>
              </w:rPr>
            </w:pPr>
          </w:p>
        </w:tc>
        <w:tc>
          <w:tcPr>
            <w:tcW w:w="4920" w:type="dxa"/>
            <w:vAlign w:val="bottom"/>
            <w:gridSpan w:val="3"/>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6"/>
        </w:trPr>
        <w:tc>
          <w:tcPr>
            <w:tcW w:w="2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7"/>
              </w:rPr>
              <w:t>PART II. OTHER INFORMATION</w:t>
            </w:r>
          </w:p>
        </w:tc>
        <w:tc>
          <w:tcPr>
            <w:tcW w:w="7420" w:type="dxa"/>
            <w:vAlign w:val="bottom"/>
            <w:gridSpan w:val="5"/>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788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0" w:type="dxa"/>
            <w:vAlign w:val="bottom"/>
            <w:tcBorders>
              <w:left w:val="single" w:sz="8" w:color="0000FF"/>
            </w:tcBorders>
            <w:gridSpan w:val="5"/>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80" w:type="dxa"/>
            <w:vAlign w:val="bottom"/>
            <w:gridSpan w:val="7"/>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0" w:type="dxa"/>
            <w:vAlign w:val="bottom"/>
            <w:gridSpan w:val="5"/>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00" w:type="dxa"/>
            <w:vAlign w:val="bottom"/>
            <w:tcBorders>
              <w:left w:val="single" w:sz="8" w:color="0000FF"/>
            </w:tcBorders>
            <w:gridSpan w:val="5"/>
            <w:shd w:val="clear" w:color="auto" w:fill="0000FF"/>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3000" w:type="dxa"/>
            <w:vAlign w:val="bottom"/>
            <w:gridSpan w:val="5"/>
          </w:tcPr>
          <w:p>
            <w:pPr>
              <w:spacing w:after="0"/>
              <w:rPr>
                <w:sz w:val="21"/>
                <w:szCs w:val="21"/>
                <w:color w:val="auto"/>
              </w:rPr>
            </w:pPr>
          </w:p>
        </w:tc>
        <w:tc>
          <w:tcPr>
            <w:tcW w:w="4880" w:type="dxa"/>
            <w:vAlign w:val="bottom"/>
            <w:gridSpan w:val="2"/>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80" w:type="dxa"/>
            <w:vAlign w:val="bottom"/>
            <w:gridSpan w:val="7"/>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80" w:type="dxa"/>
            <w:vAlign w:val="bottom"/>
            <w:gridSpan w:val="7"/>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66</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71755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40" w:top="76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9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
        </w:trPr>
        <w:tc>
          <w:tcPr>
            <w:tcW w:w="106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The following unaudited Condensed Consolidated Financial Statements are filed as part of this Report:</w:t>
            </w: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0640" w:type="dxa"/>
            <w:vAlign w:val="bottom"/>
            <w:gridSpan w:val="7"/>
            <w:vMerge w:val="continue"/>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2025 and December 31, 2024</w:t>
            </w:r>
          </w:p>
        </w:tc>
        <w:tc>
          <w:tcPr>
            <w:tcW w:w="4100" w:type="dxa"/>
            <w:vAlign w:val="bottom"/>
            <w:gridSpan w:val="5"/>
          </w:tcPr>
          <w:p>
            <w:pPr>
              <w:spacing w:after="0"/>
              <w:rPr>
                <w:sz w:val="24"/>
                <w:szCs w:val="24"/>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September 30, 2025 and 2024</w:t>
            </w:r>
          </w:p>
        </w:tc>
        <w:tc>
          <w:tcPr>
            <w:tcW w:w="2200" w:type="dxa"/>
            <w:vAlign w:val="bottom"/>
            <w:gridSpan w:val="3"/>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nine months ended September 30, 2025 and 2024</w:t>
            </w:r>
          </w:p>
        </w:tc>
        <w:tc>
          <w:tcPr>
            <w:tcW w:w="128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3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2025 and 2024</w:t>
            </w:r>
          </w:p>
        </w:tc>
        <w:tc>
          <w:tcPr>
            <w:tcW w:w="1280" w:type="dxa"/>
            <w:vAlign w:val="bottom"/>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3820" w:type="dxa"/>
            <w:vAlign w:val="bottom"/>
            <w:gridSpan w:val="2"/>
            <w:shd w:val="clear" w:color="auto" w:fill="0000FF"/>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10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and nine months ended September 30, 2025 and 2024</w:t>
            </w: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5200" w:type="dxa"/>
            <w:vAlign w:val="bottom"/>
            <w:gridSpan w:val="4"/>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91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480" w:type="dxa"/>
            <w:vAlign w:val="bottom"/>
            <w:gridSpan w:val="2"/>
          </w:tcPr>
          <w:p>
            <w:pPr>
              <w:spacing w:after="0"/>
              <w:rPr>
                <w:sz w:val="21"/>
                <w:szCs w:val="21"/>
                <w:color w:val="auto"/>
              </w:rPr>
            </w:pPr>
          </w:p>
        </w:tc>
        <w:tc>
          <w:tcPr>
            <w:tcW w:w="5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396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143,106</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100,592</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107,669</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 net of allowance for credit losses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118,944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119,885</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consideration receivables, net of allowance for credit losses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83,792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82,593</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32,840</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Film assets, net of accumulated amortization</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8,686</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243,836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240,133</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22,441</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52,815</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accumulated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33,467</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35,124</w:t>
            </w:r>
          </w:p>
        </w:tc>
      </w:tr>
      <w:tr>
        <w:trPr>
          <w:trHeight w:val="26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889,573</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830,398</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5"/>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22,484</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100,916</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52,686</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 of unamortized 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26,477</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36,356</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 of unamortized discounts and debt issuance costs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230,743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229,901</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w:t>
            </w: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452,866</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452,183</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Commitments, contingencies and guarantees </w:t>
            </w:r>
            <w:r>
              <w:rPr>
                <w:rFonts w:ascii="Times New Roman" w:cs="Times New Roman" w:eastAsia="Times New Roman" w:hAnsi="Times New Roman"/>
                <w:sz w:val="18"/>
                <w:szCs w:val="18"/>
                <w:color w:val="auto"/>
              </w:rPr>
              <w:t>(see Note 7)</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680</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stock common shares — no par value. Authorized — unlimited number.</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53,798,934 issued and outstanding (December 31, 2024 — 52,946,200 issued and outstanding)</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415,617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401,420</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equity</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185,268</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Statutory surplus reserve</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(240,604)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(274,675)</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(16,598)</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attributable to common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349,534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299,466</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78,069</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435,986</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377,535</w:t>
            </w:r>
          </w:p>
        </w:tc>
      </w:tr>
      <w:tr>
        <w:trPr>
          <w:trHeight w:val="26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889,573</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830,398</w:t>
            </w: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 except per share amounts)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14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r>
      <w:tr>
        <w:trPr>
          <w:trHeight w:val="38"/>
        </w:trPr>
        <w:tc>
          <w:tcPr>
            <w:tcW w:w="6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6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19,360</w:t>
            </w:r>
          </w:p>
        </w:tc>
        <w:tc>
          <w:tcPr>
            <w:tcW w:w="140" w:type="dxa"/>
            <w:vAlign w:val="bottom"/>
          </w:tcPr>
          <w:p>
            <w:pPr>
              <w:spacing w:after="0"/>
              <w:rPr>
                <w:sz w:val="21"/>
                <w:szCs w:val="21"/>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26,305</w:t>
            </w:r>
          </w:p>
        </w:tc>
        <w:tc>
          <w:tcPr>
            <w:tcW w:w="120" w:type="dxa"/>
            <w:vAlign w:val="bottom"/>
          </w:tcPr>
          <w:p>
            <w:pPr>
              <w:spacing w:after="0"/>
              <w:rPr>
                <w:sz w:val="21"/>
                <w:szCs w:val="21"/>
                <w:color w:val="auto"/>
              </w:rPr>
            </w:pPr>
          </w:p>
        </w:tc>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51,726</w:t>
            </w:r>
          </w:p>
        </w:tc>
        <w:tc>
          <w:tcPr>
            <w:tcW w:w="140" w:type="dxa"/>
            <w:vAlign w:val="bottom"/>
          </w:tcPr>
          <w:p>
            <w:pPr>
              <w:spacing w:after="0"/>
              <w:rPr>
                <w:sz w:val="21"/>
                <w:szCs w:val="21"/>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54,629</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149,428</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48,766</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r>
      <w:tr>
        <w:trPr>
          <w:trHeight w:val="235"/>
        </w:trPr>
        <w:tc>
          <w:tcPr>
            <w:tcW w:w="62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106,654</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91,452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285,005</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259,536</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expenses applicable to revenues</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sales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24,594</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23,065</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63,886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73,371</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rentals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19,736</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39,383</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110,956</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117,701</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67,271</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51,019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174,049</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141,835</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100,287</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4,208</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 (reversal),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29,045</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19,411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60,125</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34,350</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and unrealized investment gains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 non-service recovery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27,821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56,689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29,374</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22,616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25,836</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(5,083)</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20,657</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34,239</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20,753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attributable to common shareholders: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6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tcPr>
          <w:p>
            <w:pPr>
              <w:spacing w:after="0"/>
              <w:rPr>
                <w:sz w:val="23"/>
                <w:szCs w:val="23"/>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40" w:type="dxa"/>
            <w:vAlign w:val="bottom"/>
          </w:tcPr>
          <w:p>
            <w:pPr>
              <w:spacing w:after="0"/>
              <w:rPr>
                <w:sz w:val="23"/>
                <w:szCs w:val="23"/>
                <w:color w:val="auto"/>
              </w:rPr>
            </w:pPr>
          </w:p>
        </w:tc>
        <w:tc>
          <w:tcPr>
            <w:tcW w:w="4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8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(in thousands):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68"/>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53,788</w:t>
            </w:r>
          </w:p>
        </w:tc>
        <w:tc>
          <w:tcPr>
            <w:tcW w:w="1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52,682</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53,561</w:t>
            </w:r>
          </w:p>
        </w:tc>
        <w:tc>
          <w:tcPr>
            <w:tcW w:w="14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52,605</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8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55,565</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55,242</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86360</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1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r>
      <w:tr>
        <w:trPr>
          <w:trHeight w:val="38"/>
        </w:trPr>
        <w:tc>
          <w:tcPr>
            <w:tcW w:w="6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6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4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22,616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43,001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25,836</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before tax</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net (loss) gain from cash flow hedging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Realized net loss from cash flow hedging instruments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benefit and postretirement benefit plans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2"/>
        </w:trPr>
        <w:tc>
          <w:tcPr>
            <w:tcW w:w="6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 comprehensive income before tax</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6,731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1,528</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 related to other comprehensive income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(1,076)</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24,972</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19,376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48,656</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27,692</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8"/>
              </w:rPr>
              <w:t>(9,515)</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r>
      <w:tr>
        <w:trPr>
          <w:trHeight w:val="26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common shareholders</w:t>
            </w: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22,550</w:t>
            </w:r>
          </w:p>
        </w:tc>
        <w:tc>
          <w:tcPr>
            <w:tcW w:w="1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16,855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39,141</w:t>
            </w:r>
          </w:p>
        </w:tc>
        <w:tc>
          <w:tcPr>
            <w:tcW w:w="1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21,820</w:t>
            </w: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r>
      <w:tr>
        <w:trPr>
          <w:trHeight w:val="228"/>
        </w:trPr>
        <w:tc>
          <w:tcPr>
            <w:tcW w:w="7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r>
      <w:tr>
        <w:trPr>
          <w:trHeight w:val="38"/>
        </w:trPr>
        <w:tc>
          <w:tcPr>
            <w:tcW w:w="79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3"/>
        </w:trPr>
        <w:tc>
          <w:tcPr>
            <w:tcW w:w="79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9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2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jc w:val="right"/>
              <w:ind w:right="784"/>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43,001</w:t>
            </w:r>
          </w:p>
        </w:tc>
        <w:tc>
          <w:tcPr>
            <w:tcW w:w="140" w:type="dxa"/>
            <w:vAlign w:val="bottom"/>
          </w:tcPr>
          <w:p>
            <w:pPr>
              <w:spacing w:after="0"/>
              <w:rPr>
                <w:sz w:val="20"/>
                <w:szCs w:val="20"/>
                <w:color w:val="auto"/>
              </w:rPr>
            </w:pPr>
          </w:p>
        </w:tc>
        <w:tc>
          <w:tcPr>
            <w:tcW w:w="58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25,836</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46,415</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48,902</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1,492</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Credit loss expense (reversal), net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Write-downs, including asset impairments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3,034</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 expense (recovery)</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(7,339)</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and other non-cash compensation</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19,050</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17,261</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Unrealized foreign currency exchange gain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and unrealized investment gain</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23,001</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(8,587)</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(6,181)</w:t>
            </w:r>
          </w:p>
        </w:tc>
      </w:tr>
      <w:tr>
        <w:trPr>
          <w:trHeight w:val="25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Film assets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(16,435)</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(17,892)</w:t>
            </w:r>
          </w:p>
        </w:tc>
      </w:tr>
      <w:tr>
        <w:trPr>
          <w:trHeight w:val="232"/>
        </w:trPr>
        <w:tc>
          <w:tcPr>
            <w:tcW w:w="7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11,724</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(13,393)</w:t>
            </w:r>
          </w:p>
        </w:tc>
      </w:tr>
      <w:tr>
        <w:trPr>
          <w:trHeight w:val="244"/>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9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4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(13,771)</w:t>
            </w:r>
          </w:p>
        </w:tc>
      </w:tr>
      <w:tr>
        <w:trPr>
          <w:trHeight w:val="235"/>
        </w:trPr>
        <w:tc>
          <w:tcPr>
            <w:tcW w:w="7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97,694</w:t>
            </w:r>
          </w:p>
        </w:tc>
        <w:tc>
          <w:tcPr>
            <w:tcW w:w="1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59,352</w:t>
            </w:r>
          </w:p>
        </w:tc>
      </w:tr>
      <w:tr>
        <w:trPr>
          <w:trHeight w:val="228"/>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(6,750)</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(3,816)</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 equipment for joint revenue sharing arrangements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(24,114)</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(21,728)</w:t>
            </w:r>
          </w:p>
        </w:tc>
      </w:tr>
      <w:tr>
        <w:trPr>
          <w:trHeight w:val="235"/>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 of other intangible assets</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(3,915)</w:t>
            </w:r>
          </w:p>
        </w:tc>
        <w:tc>
          <w:tcPr>
            <w:tcW w:w="14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(4,802)</w:t>
            </w:r>
          </w:p>
        </w:tc>
      </w:tr>
      <w:tr>
        <w:trPr>
          <w:trHeight w:val="241"/>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(34,779)</w:t>
            </w:r>
          </w:p>
        </w:tc>
        <w:tc>
          <w:tcPr>
            <w:tcW w:w="14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(30,346)</w:t>
            </w: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 borrowings</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85,000</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55,000</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revolving credit facility borrowings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(93,000)</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(32,000)</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Credit facility amendment fees paid</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Repayments of other borrowings</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shares</w:t>
            </w:r>
          </w:p>
        </w:tc>
        <w:tc>
          <w:tcPr>
            <w:tcW w:w="9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(18,102)</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common shares - IMAX China</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 withheld and paid on employee stock awards vested</w:t>
            </w: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(9,742)</w:t>
            </w: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(4,978)</w:t>
            </w:r>
          </w:p>
        </w:tc>
      </w:tr>
      <w:tr>
        <w:trPr>
          <w:trHeight w:val="232"/>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shares issued - stock options exercised</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r>
      <w:tr>
        <w:trPr>
          <w:trHeight w:val="24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payment under finance lease obligations</w:t>
            </w:r>
          </w:p>
        </w:tc>
        <w:tc>
          <w:tcPr>
            <w:tcW w:w="96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r>
      <w:tr>
        <w:trPr>
          <w:trHeight w:val="235"/>
        </w:trPr>
        <w:tc>
          <w:tcPr>
            <w:tcW w:w="7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9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(20,381)</w:t>
            </w:r>
          </w:p>
        </w:tc>
        <w:tc>
          <w:tcPr>
            <w:tcW w:w="140" w:type="dxa"/>
            <w:vAlign w:val="bottom"/>
            <w:tcBorders>
              <w:bottom w:val="single" w:sz="8" w:color="CCEEFF"/>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(951)</w:t>
            </w:r>
          </w:p>
        </w:tc>
      </w:tr>
      <w:tr>
        <w:trPr>
          <w:trHeight w:val="23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w:t>
            </w:r>
          </w:p>
        </w:tc>
        <w:tc>
          <w:tcPr>
            <w:tcW w:w="9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bl>
    <w:p>
      <w:pPr>
        <w:spacing w:after="0" w:line="11" w:lineRule="exact"/>
        <w:rPr>
          <w:sz w:val="20"/>
          <w:szCs w:val="20"/>
          <w:color w:val="auto"/>
        </w:rPr>
      </w:pPr>
    </w:p>
    <w:p>
      <w:pPr>
        <w:sectPr>
          <w:pgSz w:w="11900" w:h="16838" w:orient="portrait"/>
          <w:cols w:equalWidth="0" w:num="1">
            <w:col w:w="11240"/>
          </w:cols>
          <w:pgMar w:left="320" w:top="362"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b w:val="1"/>
          <w:bCs w:val="1"/>
          <w:color w:val="auto"/>
        </w:rPr>
        <w:t>Increase in cash and cash equivalents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3590" cy="153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42,514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28,304</w:t>
            </w:r>
          </w:p>
        </w:tc>
      </w:tr>
      <w:tr>
        <w:trPr>
          <w:trHeight w:val="254"/>
        </w:trPr>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100,592</w:t>
            </w:r>
          </w:p>
        </w:tc>
        <w:tc>
          <w:tcPr>
            <w:tcW w:w="14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76,200</w:t>
            </w:r>
          </w:p>
        </w:tc>
      </w:tr>
      <w:tr>
        <w:trPr>
          <w:trHeight w:val="235"/>
        </w:trPr>
        <w:tc>
          <w:tcPr>
            <w:tcW w:w="5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143,106</w:t>
            </w:r>
          </w:p>
        </w:tc>
        <w:tc>
          <w:tcPr>
            <w:tcW w:w="140" w:type="dxa"/>
            <w:vAlign w:val="bottom"/>
          </w:tcPr>
          <w:p>
            <w:pPr>
              <w:spacing w:after="0"/>
              <w:rPr>
                <w:sz w:val="20"/>
                <w:szCs w:val="20"/>
                <w:color w:val="auto"/>
              </w:rPr>
            </w:pPr>
          </w:p>
        </w:tc>
        <w:tc>
          <w:tcPr>
            <w:tcW w:w="54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104,504</w:t>
            </w:r>
          </w:p>
        </w:tc>
      </w:tr>
      <w:tr>
        <w:trPr>
          <w:trHeight w:val="27"/>
        </w:trPr>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240" w:space="720"/>
            <w:col w:w="3280"/>
          </w:cols>
          <w:pgMar w:left="320" w:top="362" w:right="3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the accompanying notes, which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of U.S. Dollars)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16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r>
      <w:tr>
        <w:trPr>
          <w:trHeight w:val="38"/>
        </w:trPr>
        <w:tc>
          <w:tcPr>
            <w:tcW w:w="6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3"/>
        </w:trPr>
        <w:tc>
          <w:tcPr>
            <w:tcW w:w="6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6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2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capital stock:</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415,142</w:t>
            </w:r>
          </w:p>
        </w:tc>
        <w:tc>
          <w:tcPr>
            <w:tcW w:w="140" w:type="dxa"/>
            <w:vAlign w:val="bottom"/>
          </w:tcPr>
          <w:p>
            <w:pPr>
              <w:spacing w:after="0"/>
              <w:rPr>
                <w:sz w:val="21"/>
                <w:szCs w:val="21"/>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394,493</w:t>
            </w:r>
          </w:p>
        </w:tc>
        <w:tc>
          <w:tcPr>
            <w:tcW w:w="12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401,420</w:t>
            </w:r>
          </w:p>
        </w:tc>
        <w:tc>
          <w:tcPr>
            <w:tcW w:w="140" w:type="dxa"/>
            <w:vAlign w:val="bottom"/>
          </w:tcPr>
          <w:p>
            <w:pPr>
              <w:spacing w:after="0"/>
              <w:rPr>
                <w:sz w:val="21"/>
                <w:szCs w:val="21"/>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389,048</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share units vested, net of shares withheld for employee tax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12,370</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14,032</w:t>
            </w:r>
          </w:p>
        </w:tc>
      </w:tr>
      <w:tr>
        <w:trPr>
          <w:trHeight w:val="22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options exercised, net of shares withheld for employee tax</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3"/>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obligations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 date fair value of stock options exercised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Average carrying value of repurchased and retired common shares</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415,617</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394,603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415,617</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394,603</w:t>
            </w:r>
          </w:p>
        </w:tc>
      </w:tr>
      <w:tr>
        <w:trPr>
          <w:trHeight w:val="22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other equity:</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185,087</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 restricted share units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share-based payment expense - performance stock units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share units vested</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(19,815)</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Grant date fair value of stock options exercised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ownership interest related to IMAX China</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181,998</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181,998</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181,911</w:t>
            </w:r>
          </w:p>
        </w:tc>
      </w:tr>
      <w:tr>
        <w:trPr>
          <w:trHeight w:val="22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statutory surplus reserve:</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4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statutory surplus reserve, IMAX China</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r>
      <w:tr>
        <w:trPr>
          <w:trHeight w:val="22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accumulated deficit:</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(261,261)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(293,889)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(274,675)</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(292,845)</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20,657</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34,239</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20,753</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Statutory surplus reserve deducted from retained earnings, IMAX China</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shares repurchased and retired</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(7,901)</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(240,604)</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(279,993)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(240,604)</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(279,993)</w:t>
            </w:r>
          </w:p>
        </w:tc>
      </w:tr>
      <w:tr>
        <w:trPr>
          <w:trHeight w:val="22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accumulated other comprehensive loss: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(12,081)</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(11,015)</w:t>
            </w:r>
          </w:p>
        </w:tc>
      </w:tr>
      <w:tr>
        <w:trPr>
          <w:trHeight w:val="222"/>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non-controlling interests: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83,970</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71,790</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42"/>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attributable to non-controlling interests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6"/>
        </w:trPr>
        <w:tc>
          <w:tcPr>
            <w:tcW w:w="6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68"/>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ownership interest related to IMAX China common share repurchases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86,452</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77,673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86,452</w:t>
            </w:r>
          </w:p>
        </w:tc>
        <w:tc>
          <w:tcPr>
            <w:tcW w:w="14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77,673</w:t>
            </w:r>
          </w:p>
        </w:tc>
      </w:tr>
      <w:tr>
        <w:trPr>
          <w:trHeight w:val="26"/>
        </w:trPr>
        <w:tc>
          <w:tcPr>
            <w:tcW w:w="6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87"/>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435,986</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367,111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435,986</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367,111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the accompanying notes, which are an integral part of these Condensed Consolidated Financial Statements.)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86360</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IMAX CORPORATION</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(Tabular amounts in thousands of U.S. Dollars, unless otherwise stated)</w:t>
      </w:r>
    </w:p>
    <w:p>
      <w:pPr>
        <w:spacing w:after="0" w:line="226" w:lineRule="exact"/>
        <w:rPr>
          <w:sz w:val="20"/>
          <w:szCs w:val="20"/>
          <w:color w:val="auto"/>
        </w:rPr>
      </w:pPr>
    </w:p>
    <w:p>
      <w:pPr>
        <w:jc w:val="both"/>
        <w:ind w:left="200" w:right="9400" w:hanging="193"/>
        <w:spacing w:after="0" w:line="562" w:lineRule="auto"/>
        <w:tabs>
          <w:tab w:leader="none" w:pos="186"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w:t>
      </w:r>
      <w:r>
        <w:rPr>
          <w:rFonts w:ascii="Times New Roman" w:cs="Times New Roman" w:eastAsia="Times New Roman" w:hAnsi="Times New Roman"/>
          <w:sz w:val="17"/>
          <w:szCs w:val="17"/>
          <w:b w:val="1"/>
          <w:bCs w:val="1"/>
          <w:i w:val="1"/>
          <w:iCs w:val="1"/>
          <w:color w:val="auto"/>
        </w:rPr>
        <w:t>Accounting Principles</w:t>
      </w: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IMAX Corporation (together with its subsidiaries, unless the context requires otherwise, the “Company” or “IMAX”), prepares financial statements in accordance with United States Generally Accepted Accounting Principles (“U.S. GAAP”) and pursuant to the rules and regulations of the Securities and Exchange Commission (the “SEC”). Certain information and footnote disclosures have been condensed or omitted as permitted by such rules and regulations. In the opinion of the Company’s management, the unaudited Condensed Consolidated Financial Statements reflect all necessary adjustments for a fair statement of interim results. The Condensed Consolidated Balance Sheet at December 31, 2024 was derived from the Company’s audited annual Consolidated Financial Statements in the Company’s 2024 Annual Report on Form 10-K (the “2024 Form 10-K”). The interim results presented in the Company’s Condensed Consolidated Statements of Operations and Condensed Consolidated Statements of Cash Flows are not necessarily indicative of results for a full year.</w:t>
      </w:r>
    </w:p>
    <w:p>
      <w:pPr>
        <w:spacing w:after="0" w:line="212"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in the 2024 Form 10-K, which includes significant accounting policies adopted by the Company.</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IMAX Corporation together with its consolidated subsidiaries, except for subsidiaries which have been identified as variable interest entities (“VIEs”) where the Company is not the primary beneficiary. All intercompany accounts and transactions have been eliminated. The Company has evaluated its various variable interests to determine whether they are VIEs as required by U.S. GAAP.</w:t>
      </w:r>
    </w:p>
    <w:p>
      <w:pPr>
        <w:spacing w:after="0" w:line="20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Company has interests in ten film production companies, which have been identified as VIEs. The Company is the primary beneficiary of and consolidates five of these entities as it has the power to direct the activities that most significantly impact the economic performance of the VIE, and it has the obligation to absorb losses or the right to receive benefits from the respective VIE that could potentially be significant. The majority of the assets relating to these production companies are held by the IMAX Original Film Fund (the “Original Film Fund”). The Company does not consolidate the other five film production companies because it does not have the power to direct their activities and it does not have the obligation to absorb the majority of the expected losses or the right to receive expected residual returns. The Company uses the equity method of accounting for these entities, which continues to not be material to the Company’s Condensed Consolidated Financial Statements. A change in the value of an equity method investment that is other than temporary is recognized in the Condensed Consolidated Statements of Operations.</w:t>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September 30, 2025 and December 31, 2024, total assets and liabilities of the Company’s consolidated VIEs were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9"/>
                <w:szCs w:val="19"/>
                <w:color w:val="auto"/>
              </w:rPr>
            </w:pPr>
          </w:p>
        </w:tc>
        <w:tc>
          <w:tcPr>
            <w:tcW w:w="134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bl>
    <w:p>
      <w:pPr>
        <w:spacing w:after="0" w:line="3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Estimates and Assumptions</w:t>
      </w:r>
    </w:p>
    <w:p>
      <w:pPr>
        <w:spacing w:after="0" w:line="253" w:lineRule="exact"/>
        <w:rPr>
          <w:sz w:val="20"/>
          <w:szCs w:val="20"/>
          <w:color w:val="auto"/>
        </w:rPr>
      </w:pPr>
    </w:p>
    <w:p>
      <w:pPr>
        <w:jc w:val="both"/>
        <w:ind w:firstLine="193"/>
        <w:spacing w:after="0" w:line="267" w:lineRule="auto"/>
        <w:rPr>
          <w:sz w:val="20"/>
          <w:szCs w:val="20"/>
          <w:color w:val="auto"/>
        </w:rPr>
      </w:pPr>
      <w:r>
        <w:rPr>
          <w:rFonts w:ascii="Times New Roman" w:cs="Times New Roman" w:eastAsia="Times New Roman" w:hAnsi="Times New Roman"/>
          <w:sz w:val="17"/>
          <w:szCs w:val="17"/>
          <w:color w:val="auto"/>
        </w:rPr>
        <w:t>In preparing the Company’s Condensed Consolidated Financial Statements, management makes judgments in applying various accounting policies. The areas of policy judgment are consistent with those reported in Note 2 of the Company’s audited Consolidated Financial Statements included in its 2024 Form 10-K. The significant estimates made by management include, but are not limited to: (i) the allocation of the transaction price in an IMAX System arrangement to distinct performance obligations; (ii) the amount of variable consideration to be earned on sales of IMAX Systems based on projections of future box office performance and inflation; (iii) expected credit losses on accounts receivable, financing receivables, and variable consideration receivables;</w:t>
      </w:r>
    </w:p>
    <w:p>
      <w:pPr>
        <w:spacing w:after="0" w:line="4" w:lineRule="exact"/>
        <w:rPr>
          <w:sz w:val="20"/>
          <w:szCs w:val="20"/>
          <w:color w:val="auto"/>
        </w:rPr>
      </w:pPr>
    </w:p>
    <w:p>
      <w:pPr>
        <w:ind w:left="320" w:hanging="313"/>
        <w:spacing w:after="0"/>
        <w:tabs>
          <w:tab w:leader="none" w:pos="3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for the write-down of excess and obsolete inventory; (v) the fair values of the reporting units used in assessing the recoverability of goodwill;</w:t>
      </w:r>
    </w:p>
    <w:p>
      <w:pPr>
        <w:spacing w:after="0" w:line="18" w:lineRule="exact"/>
        <w:rPr>
          <w:rFonts w:ascii="Times New Roman" w:cs="Times New Roman" w:eastAsia="Times New Roman" w:hAnsi="Times New Roman"/>
          <w:sz w:val="17"/>
          <w:szCs w:val="17"/>
          <w:color w:val="auto"/>
        </w:rPr>
      </w:pPr>
    </w:p>
    <w:p>
      <w:pPr>
        <w:jc w:val="both"/>
        <w:ind w:firstLine="7"/>
        <w:spacing w:after="0" w:line="248"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flow projections used in testing the recoverability of long-lived assets such as the system equipment supporting joint revenue sharing arrangements; (vii) the economic lives of the system equipment supporting joint revenue sharing arrangements; (viii) the useful lives of intangible assets;</w:t>
      </w:r>
    </w:p>
    <w:p>
      <w:pPr>
        <w:spacing w:after="0" w:line="1" w:lineRule="exact"/>
        <w:rPr>
          <w:rFonts w:ascii="Times New Roman" w:cs="Times New Roman" w:eastAsia="Times New Roman" w:hAnsi="Times New Roman"/>
          <w:sz w:val="18"/>
          <w:szCs w:val="18"/>
          <w:color w:val="auto"/>
        </w:rPr>
      </w:pPr>
    </w:p>
    <w:p>
      <w:pPr>
        <w:ind w:firstLine="7"/>
        <w:spacing w:after="0" w:line="257" w:lineRule="auto"/>
        <w:tabs>
          <w:tab w:leader="none" w:pos="3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ultimate revenue forecasts used to test the recoverability of film assets; (x) the discount rates used to determine the present value of financing receivables, variable consideration and lease liabilities, as well as to determine</w:t>
      </w:r>
    </w:p>
    <w:p>
      <w:pPr>
        <w:sectPr>
          <w:pgSz w:w="11900" w:h="16838" w:orient="portrait"/>
          <w:cols w:equalWidth="0" w:num="1">
            <w:col w:w="11240"/>
          </w:cols>
          <w:pgMar w:left="320" w:top="362"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86360</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fair values of the Company’s reporting units for the purpose of assessing the recoverability of goodwill; (xi) pension plan assumptions; (xii) estimates related to the fair value and projected vesting of share-based payment awards; (xiii) the valuation of deferred income tax assets; and (xiv) reserves related to uncertain tax positions.</w:t>
      </w:r>
    </w:p>
    <w:p>
      <w:pPr>
        <w:spacing w:after="0" w:line="200" w:lineRule="exact"/>
        <w:rPr>
          <w:sz w:val="20"/>
          <w:szCs w:val="20"/>
          <w:color w:val="auto"/>
        </w:rPr>
      </w:pPr>
    </w:p>
    <w:p>
      <w:pPr>
        <w:ind w:left="180" w:hanging="173"/>
        <w:spacing w:after="0"/>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Standards and Accounting Changes</w:t>
      </w:r>
    </w:p>
    <w:p>
      <w:pPr>
        <w:spacing w:after="0" w:line="248" w:lineRule="exact"/>
        <w:rPr>
          <w:rFonts w:ascii="Times New Roman" w:cs="Times New Roman" w:eastAsia="Times New Roman" w:hAnsi="Times New Roman"/>
          <w:sz w:val="18"/>
          <w:szCs w:val="18"/>
          <w:b w:val="1"/>
          <w:bCs w:val="1"/>
          <w:color w:val="auto"/>
        </w:rPr>
      </w:pPr>
    </w:p>
    <w:p>
      <w:pPr>
        <w:ind w:left="200" w:right="5640"/>
        <w:spacing w:after="0" w:line="53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Issued FASB Accounting Standard Codification Updates Not Yet Adopted </w:t>
      </w:r>
      <w:r>
        <w:rPr>
          <w:rFonts w:ascii="Times New Roman" w:cs="Times New Roman" w:eastAsia="Times New Roman" w:hAnsi="Times New Roman"/>
          <w:sz w:val="18"/>
          <w:szCs w:val="18"/>
          <w:i w:val="1"/>
          <w:iCs w:val="1"/>
          <w:color w:val="auto"/>
        </w:rPr>
        <w:t>Improvements to Income Tax Disclosures</w:t>
      </w:r>
    </w:p>
    <w:p>
      <w:pPr>
        <w:spacing w:after="0" w:line="1"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 Update (“ASU”) No. 2023-09, “Income Taxes (Topic 740): Improvements to Income Tax Disclosures” (“ASU 2023-09”). The amendments in ASU 2023-09 improve the transparency of income tax disclosures by requiring (i) consistent categories and greater disaggregation of information in the rate reconciliation, and (ii) income taxes to be paid disaggregated by jurisdiction. ASU 2023-09 is effective for annual periods beginning on or after December 31, 2024. The Company is in the process of evaluating the impact of this ASU on its Consolidated Financial Statements disclosures related to tax.</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 Update No. 2024-03, “Income Statement - Reporting Comprehensive Income - Expense Disaggregation Disclosures” (“ASU 2024-03”). The amendments in ASU 2024-03 expand disclosures about specific expense categories presented on the face of the income statement and addresses requests from investors for more detailed information about the types of expenses (including purchases of inventory, employee compensation, depreciation and amortization) in commonly presented expense captions (such as cost of sales, selling, general and administrative expenses). ASU 2024-03 is effective for fiscal years beginning after December 15, 2026 and interim periods thereafter with early adoption permitted. The Company is in the process of evaluating the impact of this ASU on its Consolidated Financial Statements.</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Measurement of Credit Losses for Accounts Receivable and Contract Assets</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In July 2025, the FASB issued Accounting Standard Update No. 2025-05, “Financial Instruments - Credit Losses (Topic 326): Measurement of Credit Losses for Accounts Receivable and Contract Assets (“ASU 2025-05”). The amendments in ASU 2025-05 provide a practical expedient that allows entities to assume current economic conditions as of the balance sheet date will remain unchanged throughout the reasonable and supportable forecast period when estimating expected credit losses for eligible financial assets, including trade receivables and contract assets. ASU 2025-05 is effective for fiscal periods beginning after December 15, 2025, including interim periods within those fiscal years. The Company is in the process of evaluating the impact of this ASU on its Consolidated Financial Statements.</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Targeted Improvements to the Accounting for Internal-Use Software</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In September 2025, the FASB issued Accounting Standard Update No. 2025-06, “Intangibles - Goodwill and Other - Internal-Use Software (Subtopic 350-40): Targeted Improvements to the Accounting for Internal-Use Software (“ASU 2025-06”). The amendments in ASU 2025-06 clarify and refine the criteria for capitalizing costs related to internal-use software. Under the new guidance, capitalization is permitted when both of the following conditions are met: (i) management has authorized and committed to funding the software project, and (ii) it is probable that the project will be completed and the software will be used to perform the function intended. ASU 2025-06 is effective for fiscal periods beginning after December 15, 2027, and interim periods thereafter. The Company is in the process of evaluating the impact of this ASU on its Consolidated Financial Statements.</w:t>
      </w:r>
    </w:p>
    <w:p>
      <w:pPr>
        <w:spacing w:after="0" w:line="21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considers the applicability and impact of all recently issued FASB accounting standard codification updates. ASUs that are not noted above were assessed and determined to be not applicable or not significant to the Company’s Condensed Consolidated Financial Statements for the period ended September 30,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Receivables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ability of the Company to collect its receivables is principally dependent on the viability and solvency of individual theater operators which is significantly influenced by consumer behavior and general economic conditions. Theater operators, or other customers, may experience financial difficulties that could result in them being unable to fulfill their payment obligations to the Company.</w:t>
      </w:r>
    </w:p>
    <w:p>
      <w:pPr>
        <w:spacing w:after="0" w:line="20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In order to mitigate the credit risk associated with the Company’s receivables, management performs an initial credit evaluation prior to entering into an arrangement with a customer and then regularly monitors the credit quality of each customer through an</w:t>
      </w:r>
    </w:p>
    <w:p>
      <w:pPr>
        <w:sectPr>
          <w:pgSz w:w="11900" w:h="16838" w:orient="portrait"/>
          <w:cols w:equalWidth="0" w:num="1">
            <w:col w:w="11240"/>
          </w:cols>
          <w:pgMar w:left="320" w:top="36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analysis of collections history and aging. This monitoring process includes meetings on at least a monthly basis to identify credit concerns and potential changes in credit quality classification. A customer may improve their credit quality classification once a substantial payment is made on an overdue balance or when the customer has agreed to a payment plan and payments have commenced in accordance with that plan. Changes in credit quality classification are dependent upon management approval. The Company’s internal credit quality classifications are reported in Note 4 of the Company’s audited Consolidated Financial Statements included in its 2024 Form 10-K.</w:t>
      </w:r>
    </w:p>
    <w:p>
      <w:pPr>
        <w:spacing w:after="0" w:line="210"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During the period when the accretion of Finance Income is suspended for Financing Receivables, any payments received from a customer are applied against the outstanding balance owed. If payments are sufficient to cover any unreserved receivables, a reversal of the provision is recorded to the extent of the residual cash received. Once the collectability issues are resolved and the customer has returned to being in good standing, the Company will resume recognition of Finance Income.</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When a customer’s aging exceeds 90 days, the Company’s policy is to perform an enhanced review to assess collectability of the theater’s past due accounts. The over 90 days past due category may be an indicator of potential impairment as up to 90 days outstanding is considered to be a reasonable time to resolve any issues.</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develops an estimate of expected credit losses by class of receivable and customer type through a calculation that utilizes historical loss rates, which are then adjusted for specific receivables that are judged to have a higher-than-normal risk profile after considering management’s internal credit quality classifications. Additional credit loss provisions are also recorded taking into account macro-economic and industry risk factors. The write-off of any billed receivable balance requires the approval of management.</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Management’s judgments regarding expected credit losses are based on the facts available to management and involve estimates about the future. As a result, the Company’s judgments and associated estimates of credit losses may ultimately prove, with the benefit of hindsight, to be incorrect. The impacts of inflation, and rising interest rates may impact future credit losses. The Company will continue to monitor economic trends and conditions and portfolio performance and adjust its allowance for credit loss accordingly.</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Accounts receivable principally includes amounts currently due to the Company under IMAX System sale and sales-type lease arrangements, contingent fees owed by theater operators as a result of box office performance, and fees for maintenance services. Accounts receivable also includes amounts due to the Company from movie studios and other content creators principally for digitally remastering films into IMAX formats, as well as for film distribution and post-production services.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Accounts Receivable for the three and nine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8"/>
        </w:trPr>
        <w:tc>
          <w:tcPr>
            <w:tcW w:w="2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8"/>
        </w:trPr>
        <w:tc>
          <w:tcPr>
            <w:tcW w:w="28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70"/>
        </w:trPr>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7"/>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8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4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13,278</w:t>
            </w:r>
          </w:p>
        </w:tc>
      </w:tr>
      <w:tr>
        <w:trPr>
          <w:trHeight w:val="22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(reversal),</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6"/>
        </w:trPr>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8"/>
        </w:trPr>
        <w:tc>
          <w:tcPr>
            <w:tcW w:w="2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42"/>
        </w:trPr>
        <w:tc>
          <w:tcPr>
            <w:tcW w:w="2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6"/>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7"/>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8"/>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38"/>
        </w:trPr>
        <w:tc>
          <w:tcPr>
            <w:tcW w:w="28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170"/>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7"/>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6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18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18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Studios</w:t>
            </w:r>
          </w:p>
        </w:tc>
        <w:tc>
          <w:tcPr>
            <w:tcW w:w="200" w:type="dxa"/>
            <w:vAlign w:val="bottom"/>
          </w:tcPr>
          <w:p>
            <w:pPr>
              <w:spacing w:after="0"/>
              <w:rPr>
                <w:sz w:val="16"/>
                <w:szCs w:val="16"/>
                <w:color w:val="auto"/>
              </w:rPr>
            </w:pPr>
          </w:p>
        </w:tc>
        <w:tc>
          <w:tcPr>
            <w:tcW w:w="8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8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r>
      <w:tr>
        <w:trPr>
          <w:trHeight w:val="242"/>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14,095</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15,977</w:t>
            </w:r>
          </w:p>
        </w:tc>
      </w:tr>
      <w:tr>
        <w:trPr>
          <w:trHeight w:val="223"/>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(reversal) provision,</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3"/>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6"/>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8"/>
        </w:trPr>
        <w:tc>
          <w:tcPr>
            <w:tcW w:w="2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42"/>
        </w:trPr>
        <w:tc>
          <w:tcPr>
            <w:tcW w:w="2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6"/>
        </w:trPr>
        <w:tc>
          <w:tcPr>
            <w:tcW w:w="28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87"/>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Company’s allowance for current expected credit losses related to Accounts Receivable increased by $0.3 million and $0.3 million, respectively (2024 — decreased by $1.4 million and $1.5 million, respectively).</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Financing Receivables</w:t>
      </w:r>
    </w:p>
    <w:p>
      <w:pPr>
        <w:spacing w:after="0" w:line="251"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Financing receivables are due from theater operators and consist of the Company’s net investment in sales-type leases and receivables associated with financed sales of IMAX Systems. As of September 30, 2025 and December 31, 2024, financing receivables consisted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9"/>
                <w:szCs w:val="19"/>
                <w:color w:val="auto"/>
              </w:rPr>
            </w:pPr>
          </w:p>
        </w:tc>
        <w:tc>
          <w:tcPr>
            <w:tcW w:w="13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minimum payments due under sales-type leases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30,931</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30,890</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finance income</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3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minimum payments due under sales-type leases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29,874</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30,003</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29,339</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minimum payments due under financed sales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124,797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127,906</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Unearned finance income</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(25,378)</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w:t>
            </w:r>
          </w:p>
        </w:tc>
      </w:tr>
      <w:tr>
        <w:trPr>
          <w:trHeight w:val="235"/>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Present value of minimum payments due under financed sales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99,419</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100,707</w:t>
            </w: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89,526</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90,546</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financing receivables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118,944</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119,885</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7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within one year</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30,136</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 due after one year</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60,410</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89,526</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September 30, 2025 and December 31, 2024, the weighted-average remaining lease term and weighted-average interest rate associated with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sales-type lease arrangements and financed sales receivables, as applicable,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8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8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70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1680" w:type="dxa"/>
            <w:vAlign w:val="bottom"/>
          </w:tcPr>
          <w:p>
            <w:pPr>
              <w:jc w:val="right"/>
              <w:ind w:right="61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72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2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7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r>
      <w:tr>
        <w:trPr>
          <w:trHeight w:val="242"/>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6"/>
        </w:trPr>
        <w:tc>
          <w:tcPr>
            <w:tcW w:w="7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interest rate</w:t>
            </w:r>
          </w:p>
        </w:tc>
        <w:tc>
          <w:tcPr>
            <w:tcW w:w="17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2"/>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Sales-type lease arrangements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1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r>
      <w:tr>
        <w:trPr>
          <w:trHeight w:val="26"/>
        </w:trPr>
        <w:tc>
          <w:tcPr>
            <w:tcW w:w="7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2"/>
        </w:trPr>
        <w:tc>
          <w:tcPr>
            <w:tcW w:w="7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8.85 %</w:t>
            </w:r>
          </w:p>
        </w:tc>
        <w:tc>
          <w:tcPr>
            <w:tcW w:w="140" w:type="dxa"/>
            <w:vAlign w:val="bottom"/>
            <w:shd w:val="clear" w:color="auto" w:fill="CCEEFF"/>
          </w:tcPr>
          <w:p>
            <w:pPr>
              <w:spacing w:after="0"/>
              <w:rPr>
                <w:sz w:val="21"/>
                <w:szCs w:val="21"/>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r>
      <w:tr>
        <w:trPr>
          <w:trHeight w:val="26"/>
        </w:trPr>
        <w:tc>
          <w:tcPr>
            <w:tcW w:w="77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tables below provide information on the Company’s net investment in leases by credit quality indicator as of September 30, 2025 and December 31, 2024. The amounts disclosed for each credit quality classification are determined on a theater-by-theater basis as per the origination year of the relationship, and include both billed and unbilled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29,473</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6"/>
        </w:trPr>
        <w:tc>
          <w:tcPr>
            <w:tcW w:w="3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leases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10,233</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29,874</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20,235</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3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8,941</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6"/>
        </w:trPr>
        <w:tc>
          <w:tcPr>
            <w:tcW w:w="39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leases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6,996</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30,003</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tables below provide information on the Company’s financed sales receivables by credit quality indicator as of September 30, 2025 and December 31, 2024. The amounts disclosed for each credit quality classification are determined on a theater-by-theater basis as per the origination year of the relationship, and include both billed and unbilled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39,351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69,717</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14,194</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14,112</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0" w:type="dxa"/>
            <w:vAlign w:val="bottom"/>
          </w:tcPr>
          <w:p>
            <w:pPr>
              <w:spacing w:after="0"/>
              <w:rPr>
                <w:sz w:val="1"/>
                <w:szCs w:val="1"/>
                <w:color w:val="auto"/>
              </w:rPr>
            </w:pPr>
          </w:p>
        </w:tc>
      </w:tr>
      <w:tr>
        <w:trPr>
          <w:trHeight w:val="26"/>
        </w:trPr>
        <w:tc>
          <w:tcPr>
            <w:tcW w:w="38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By Origination Year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3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Credit quality classification:</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3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 good standing</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72,142</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Credit Watch</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0" w:type="dxa"/>
            <w:vAlign w:val="bottom"/>
          </w:tcPr>
          <w:p>
            <w:pPr>
              <w:spacing w:after="0"/>
              <w:rPr>
                <w:sz w:val="1"/>
                <w:szCs w:val="1"/>
                <w:color w:val="auto"/>
              </w:rPr>
            </w:pPr>
          </w:p>
        </w:tc>
      </w:tr>
      <w:tr>
        <w:trPr>
          <w:trHeight w:val="26"/>
        </w:trPr>
        <w:tc>
          <w:tcPr>
            <w:tcW w:w="3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Pre-approved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w:t>
            </w:r>
          </w:p>
        </w:tc>
        <w:tc>
          <w:tcPr>
            <w:tcW w:w="0" w:type="dxa"/>
            <w:vAlign w:val="bottom"/>
          </w:tcPr>
          <w:p>
            <w:pPr>
              <w:spacing w:after="0"/>
              <w:rPr>
                <w:sz w:val="1"/>
                <w:szCs w:val="1"/>
                <w:color w:val="auto"/>
              </w:rPr>
            </w:pPr>
          </w:p>
        </w:tc>
      </w:tr>
      <w:tr>
        <w:trPr>
          <w:trHeight w:val="242"/>
        </w:trPr>
        <w:tc>
          <w:tcPr>
            <w:tcW w:w="3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Transactions suspended</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13,011</w:t>
            </w:r>
          </w:p>
        </w:tc>
        <w:tc>
          <w:tcPr>
            <w:tcW w:w="0" w:type="dxa"/>
            <w:vAlign w:val="bottom"/>
          </w:tcPr>
          <w:p>
            <w:pPr>
              <w:spacing w:after="0"/>
              <w:rPr>
                <w:sz w:val="1"/>
                <w:szCs w:val="1"/>
                <w:color w:val="auto"/>
              </w:rPr>
            </w:pPr>
          </w:p>
        </w:tc>
      </w:tr>
      <w:tr>
        <w:trPr>
          <w:trHeight w:val="26"/>
        </w:trPr>
        <w:tc>
          <w:tcPr>
            <w:tcW w:w="39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financed sales receivables</w:t>
            </w: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63,023</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100,707</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tables provide an aging analysis for the Company’s net investment in leases and financed sales receivables as of September 30, 2025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8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Accrued</w:t>
            </w:r>
          </w:p>
        </w:tc>
        <w:tc>
          <w:tcPr>
            <w:tcW w:w="200" w:type="dxa"/>
            <w:vAlign w:val="bottom"/>
          </w:tcPr>
          <w:p>
            <w:pPr>
              <w:spacing w:after="0"/>
              <w:rPr>
                <w:sz w:val="14"/>
                <w:szCs w:val="14"/>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30-89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restart"/>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90+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and</w:t>
            </w:r>
          </w:p>
        </w:tc>
        <w:tc>
          <w:tcPr>
            <w:tcW w:w="2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8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5"/>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0" w:type="dxa"/>
            <w:vAlign w:val="bottom"/>
          </w:tcPr>
          <w:p>
            <w:pPr>
              <w:spacing w:after="0"/>
              <w:rPr>
                <w:sz w:val="1"/>
                <w:szCs w:val="1"/>
                <w:color w:val="auto"/>
              </w:rPr>
            </w:pPr>
          </w:p>
        </w:tc>
      </w:tr>
      <w:tr>
        <w:trPr>
          <w:trHeight w:val="24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89,526</w:t>
            </w:r>
          </w:p>
        </w:tc>
        <w:tc>
          <w:tcPr>
            <w:tcW w:w="0" w:type="dxa"/>
            <w:vAlign w:val="bottom"/>
          </w:tcPr>
          <w:p>
            <w:pPr>
              <w:spacing w:after="0"/>
              <w:rPr>
                <w:sz w:val="1"/>
                <w:szCs w:val="1"/>
                <w:color w:val="auto"/>
              </w:rPr>
            </w:pPr>
          </w:p>
        </w:tc>
      </w:tr>
      <w:tr>
        <w:trPr>
          <w:trHeight w:val="26"/>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112,060</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129,293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118,944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840" w:type="dxa"/>
            <w:vAlign w:val="bottom"/>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106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Accrued and</w:t>
            </w:r>
          </w:p>
        </w:tc>
        <w:tc>
          <w:tcPr>
            <w:tcW w:w="200" w:type="dxa"/>
            <w:vAlign w:val="bottom"/>
          </w:tcPr>
          <w:p>
            <w:pPr>
              <w:spacing w:after="0"/>
              <w:rPr>
                <w:sz w:val="13"/>
                <w:szCs w:val="13"/>
                <w:color w:val="auto"/>
              </w:rPr>
            </w:pPr>
          </w:p>
        </w:tc>
        <w:tc>
          <w:tcPr>
            <w:tcW w:w="740" w:type="dxa"/>
            <w:vAlign w:val="bottom"/>
          </w:tcPr>
          <w:p>
            <w:pPr>
              <w:ind w:left="100"/>
              <w:spacing w:after="0" w:line="157" w:lineRule="exact"/>
              <w:rPr>
                <w:sz w:val="20"/>
                <w:szCs w:val="20"/>
                <w:color w:val="auto"/>
              </w:rPr>
            </w:pPr>
            <w:r>
              <w:rPr>
                <w:rFonts w:ascii="Times New Roman" w:cs="Times New Roman" w:eastAsia="Times New Roman" w:hAnsi="Times New Roman"/>
                <w:sz w:val="14"/>
                <w:szCs w:val="14"/>
                <w:b w:val="1"/>
                <w:bCs w:val="1"/>
                <w:color w:val="auto"/>
              </w:rPr>
              <w:t>30-89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center"/>
              <w:ind w:right="138"/>
              <w:spacing w:after="0" w:line="157" w:lineRule="exact"/>
              <w:rPr>
                <w:sz w:val="20"/>
                <w:szCs w:val="20"/>
                <w:color w:val="auto"/>
              </w:rPr>
            </w:pPr>
            <w:r>
              <w:rPr>
                <w:rFonts w:ascii="Times New Roman" w:cs="Times New Roman" w:eastAsia="Times New Roman" w:hAnsi="Times New Roman"/>
                <w:sz w:val="14"/>
                <w:szCs w:val="14"/>
                <w:b w:val="1"/>
                <w:bCs w:val="1"/>
                <w:color w:val="auto"/>
                <w:w w:val="99"/>
              </w:rPr>
              <w:t>90+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080" w:type="dxa"/>
            <w:vAlign w:val="bottom"/>
            <w:gridSpan w:val="3"/>
          </w:tcPr>
          <w:p>
            <w:pPr>
              <w:ind w:left="60"/>
              <w:spacing w:after="0" w:line="15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7"/>
                <w:szCs w:val="17"/>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20" w:type="dxa"/>
            <w:vAlign w:val="bottom"/>
          </w:tcPr>
          <w:p>
            <w:pPr>
              <w:spacing w:after="0"/>
              <w:rPr>
                <w:sz w:val="17"/>
                <w:szCs w:val="17"/>
                <w:color w:val="auto"/>
              </w:rPr>
            </w:pP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18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6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00" w:type="dxa"/>
            <w:vAlign w:val="bottom"/>
          </w:tcPr>
          <w:p>
            <w:pPr>
              <w:spacing w:after="0"/>
              <w:rPr>
                <w:sz w:val="17"/>
                <w:szCs w:val="17"/>
                <w:color w:val="auto"/>
              </w:rPr>
            </w:pPr>
          </w:p>
        </w:tc>
        <w:tc>
          <w:tcPr>
            <w:tcW w:w="7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8"/>
        </w:trPr>
        <w:tc>
          <w:tcPr>
            <w:tcW w:w="28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0" w:type="dxa"/>
            <w:vAlign w:val="bottom"/>
          </w:tcPr>
          <w:p>
            <w:pPr>
              <w:spacing w:after="0"/>
              <w:rPr>
                <w:sz w:val="1"/>
                <w:szCs w:val="1"/>
                <w:color w:val="auto"/>
              </w:rPr>
            </w:pPr>
          </w:p>
        </w:tc>
      </w:tr>
      <w:tr>
        <w:trPr>
          <w:trHeight w:val="24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0" w:type="dxa"/>
            <w:vAlign w:val="bottom"/>
          </w:tcPr>
          <w:p>
            <w:pPr>
              <w:spacing w:after="0"/>
              <w:rPr>
                <w:sz w:val="1"/>
                <w:szCs w:val="1"/>
                <w:color w:val="auto"/>
              </w:rPr>
            </w:pPr>
          </w:p>
        </w:tc>
      </w:tr>
      <w:tr>
        <w:trPr>
          <w:trHeight w:val="26"/>
        </w:trPr>
        <w:tc>
          <w:tcPr>
            <w:tcW w:w="2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112,709</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119,885</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tables provide information about the Company’s net investment in leases and financed sales receivables with billed amounts past due for which it continues to accrue finance income as of September 30, 2025 and December 31, 2024. The amounts disclosed for each credit quality classification are determined on a theater-by-theater basis and include both billed and unbilled amounts.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8"/>
        </w:trPr>
        <w:tc>
          <w:tcPr>
            <w:tcW w:w="38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70"/>
        </w:trPr>
        <w:tc>
          <w:tcPr>
            <w:tcW w:w="3880" w:type="dxa"/>
            <w:vAlign w:val="bottom"/>
          </w:tcPr>
          <w:p>
            <w:pPr>
              <w:spacing w:after="0"/>
              <w:rPr>
                <w:sz w:val="14"/>
                <w:szCs w:val="14"/>
                <w:color w:val="auto"/>
              </w:rPr>
            </w:pPr>
          </w:p>
        </w:tc>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Accrued and</w:t>
            </w:r>
          </w:p>
        </w:tc>
        <w:tc>
          <w:tcPr>
            <w:tcW w:w="9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30-89</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90+</w:t>
            </w:r>
          </w:p>
        </w:tc>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840" w:type="dxa"/>
            <w:vAlign w:val="bottom"/>
          </w:tcPr>
          <w:p>
            <w:pPr>
              <w:spacing w:after="0"/>
              <w:rPr>
                <w:sz w:val="14"/>
                <w:szCs w:val="14"/>
                <w:color w:val="auto"/>
              </w:rPr>
            </w:pPr>
          </w:p>
        </w:tc>
      </w:tr>
      <w:tr>
        <w:trPr>
          <w:trHeight w:val="187"/>
        </w:trPr>
        <w:tc>
          <w:tcPr>
            <w:tcW w:w="38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00" w:type="dxa"/>
            <w:vAlign w:val="bottom"/>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9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Days</w:t>
            </w:r>
          </w:p>
        </w:tc>
        <w:tc>
          <w:tcPr>
            <w:tcW w:w="76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Days</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3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Net</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20,942</w:t>
            </w:r>
          </w:p>
        </w:tc>
      </w:tr>
      <w:tr>
        <w:trPr>
          <w:trHeight w:val="24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31,886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41,095</w:t>
            </w:r>
          </w:p>
        </w:tc>
      </w:tr>
      <w:tr>
        <w:trPr>
          <w:trHeight w:val="26"/>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13,404</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62,037</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525"/>
        </w:trPr>
        <w:tc>
          <w:tcPr>
            <w:tcW w:w="3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8"/>
        </w:trPr>
        <w:tc>
          <w:tcPr>
            <w:tcW w:w="3900" w:type="dxa"/>
            <w:vAlign w:val="bottom"/>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70"/>
        </w:trPr>
        <w:tc>
          <w:tcPr>
            <w:tcW w:w="3900" w:type="dxa"/>
            <w:vAlign w:val="bottom"/>
          </w:tcPr>
          <w:p>
            <w:pPr>
              <w:spacing w:after="0"/>
              <w:rPr>
                <w:sz w:val="14"/>
                <w:szCs w:val="14"/>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Accrued and</w:t>
            </w:r>
          </w:p>
        </w:tc>
        <w:tc>
          <w:tcPr>
            <w:tcW w:w="20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30-89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90+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7"/>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6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0" w:type="dxa"/>
            <w:vAlign w:val="bottom"/>
          </w:tcPr>
          <w:p>
            <w:pPr>
              <w:spacing w:after="0"/>
              <w:rPr>
                <w:sz w:val="16"/>
                <w:szCs w:val="16"/>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Billed</w:t>
            </w:r>
          </w:p>
        </w:tc>
        <w:tc>
          <w:tcPr>
            <w:tcW w:w="18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Unbilled</w:t>
            </w: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24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8"/>
        </w:trPr>
        <w:tc>
          <w:tcPr>
            <w:tcW w:w="39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42"/>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23,795</w:t>
            </w:r>
          </w:p>
        </w:tc>
      </w:tr>
      <w:tr>
        <w:trPr>
          <w:trHeight w:val="242"/>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Financed sales receivables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52,602</w:t>
            </w:r>
          </w:p>
        </w:tc>
      </w:tr>
      <w:tr>
        <w:trPr>
          <w:trHeight w:val="26"/>
        </w:trPr>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87"/>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76,397</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following table provides information about the Company’s net investment in leases and financed sale receivables that were on nonaccrual status as of</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December 31, 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6"/>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gridSpan w:val="6"/>
          </w:tcPr>
          <w:p>
            <w:pPr>
              <w:jc w:val="center"/>
              <w:ind w:left="4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680" w:type="dxa"/>
            <w:vAlign w:val="bottom"/>
          </w:tcPr>
          <w:p>
            <w:pPr>
              <w:spacing w:after="0"/>
              <w:rPr>
                <w:sz w:val="16"/>
                <w:szCs w:val="16"/>
                <w:color w:val="auto"/>
              </w:rPr>
            </w:pPr>
          </w:p>
        </w:tc>
      </w:tr>
      <w:tr>
        <w:trPr>
          <w:trHeight w:val="38"/>
        </w:trPr>
        <w:tc>
          <w:tcPr>
            <w:tcW w:w="49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56"/>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center"/>
              <w:ind w:right="140"/>
              <w:spacing w:after="0" w:line="15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120"/>
              <w:spacing w:after="0" w:line="157" w:lineRule="exact"/>
              <w:rPr>
                <w:sz w:val="20"/>
                <w:szCs w:val="20"/>
                <w:color w:val="auto"/>
              </w:rPr>
            </w:pPr>
            <w:r>
              <w:rPr>
                <w:rFonts w:ascii="Times New Roman" w:cs="Times New Roman" w:eastAsia="Times New Roman" w:hAnsi="Times New Roman"/>
                <w:sz w:val="14"/>
                <w:szCs w:val="14"/>
                <w:b w:val="1"/>
                <w:bCs w:val="1"/>
                <w:color w:val="auto"/>
              </w:rPr>
              <w:t>Allowance for</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1"/>
        </w:trPr>
        <w:tc>
          <w:tcPr>
            <w:tcW w:w="4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8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200" w:type="dxa"/>
            <w:vAlign w:val="bottom"/>
          </w:tcPr>
          <w:p>
            <w:pPr>
              <w:spacing w:after="0"/>
              <w:rPr>
                <w:sz w:val="13"/>
                <w:szCs w:val="13"/>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01"/>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40" w:type="dxa"/>
            <w:vAlign w:val="bottom"/>
          </w:tcPr>
          <w:p>
            <w:pPr>
              <w:spacing w:after="0"/>
              <w:rPr>
                <w:sz w:val="17"/>
                <w:szCs w:val="17"/>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00" w:type="dxa"/>
            <w:vAlign w:val="bottom"/>
          </w:tcPr>
          <w:p>
            <w:pPr>
              <w:spacing w:after="0"/>
              <w:rPr>
                <w:sz w:val="17"/>
                <w:szCs w:val="17"/>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60" w:type="dxa"/>
            <w:vAlign w:val="bottom"/>
          </w:tcPr>
          <w:p>
            <w:pPr>
              <w:spacing w:after="0"/>
              <w:rPr>
                <w:sz w:val="17"/>
                <w:szCs w:val="17"/>
                <w:color w:val="auto"/>
              </w:rPr>
            </w:pPr>
          </w:p>
        </w:tc>
        <w:tc>
          <w:tcPr>
            <w:tcW w:w="6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8"/>
        </w:trPr>
        <w:tc>
          <w:tcPr>
            <w:tcW w:w="49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42"/>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42"/>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financed sales receivables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20,248</w:t>
            </w:r>
          </w:p>
        </w:tc>
      </w:tr>
      <w:tr>
        <w:trPr>
          <w:trHeight w:val="26"/>
        </w:trPr>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7"/>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30,103</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20,460</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20,461</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the Company did not recognize Finance Income related to the net investment in leases on non-accrual status. For the three and nine months ended September 30, 2025, the Company recognized $0.1 million and $0.2 million, respectively (2024 — $0.4 million and $1.0 million) in Finance Income related to the financed sales receivables in nonaccrual status.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summarize the activity in the allowance for credit losses related to the Company’s net investment in leases and financed sale receivables for the three and nine months ended September 30, 2025 and 2024:</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4580" w:type="dxa"/>
            <w:vAlign w:val="bottom"/>
          </w:tcPr>
          <w:p>
            <w:pPr>
              <w:spacing w:after="0"/>
              <w:rPr>
                <w:sz w:val="16"/>
                <w:szCs w:val="16"/>
                <w:color w:val="auto"/>
              </w:rPr>
            </w:pPr>
          </w:p>
        </w:tc>
        <w:tc>
          <w:tcPr>
            <w:tcW w:w="3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6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4580" w:type="dxa"/>
            <w:vAlign w:val="bottom"/>
          </w:tcPr>
          <w:p>
            <w:pPr>
              <w:spacing w:after="0"/>
              <w:rPr>
                <w:sz w:val="19"/>
                <w:szCs w:val="19"/>
                <w:color w:val="auto"/>
              </w:rPr>
            </w:pPr>
          </w:p>
        </w:tc>
        <w:tc>
          <w:tcPr>
            <w:tcW w:w="33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260" w:type="dxa"/>
            <w:vAlign w:val="bottom"/>
            <w:gridSpan w:val="2"/>
          </w:tcPr>
          <w:p>
            <w:pPr>
              <w:ind w:left="1040"/>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8"/>
        </w:trPr>
        <w:tc>
          <w:tcPr>
            <w:tcW w:w="458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170"/>
        </w:trPr>
        <w:tc>
          <w:tcPr>
            <w:tcW w:w="4580" w:type="dxa"/>
            <w:vAlign w:val="bottom"/>
          </w:tcPr>
          <w:p>
            <w:pPr>
              <w:spacing w:after="0"/>
              <w:rPr>
                <w:sz w:val="14"/>
                <w:szCs w:val="14"/>
                <w:color w:val="auto"/>
              </w:rPr>
            </w:pPr>
          </w:p>
        </w:tc>
        <w:tc>
          <w:tcPr>
            <w:tcW w:w="158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Net Financed</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6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187"/>
        </w:trPr>
        <w:tc>
          <w:tcPr>
            <w:tcW w:w="45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6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9,819</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(reversal), net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6"/>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9,893</w:t>
            </w: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545"/>
        </w:trPr>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4"/>
                <w:szCs w:val="24"/>
                <w:color w:val="auto"/>
              </w:rPr>
            </w:pPr>
          </w:p>
        </w:tc>
        <w:tc>
          <w:tcPr>
            <w:tcW w:w="3060" w:type="dxa"/>
            <w:vAlign w:val="bottom"/>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4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9"/>
                <w:szCs w:val="19"/>
                <w:color w:val="auto"/>
              </w:rPr>
            </w:pPr>
          </w:p>
        </w:tc>
        <w:tc>
          <w:tcPr>
            <w:tcW w:w="3060" w:type="dxa"/>
            <w:vAlign w:val="bottom"/>
            <w:gridSpan w:val="4"/>
          </w:tcPr>
          <w:p>
            <w:pPr>
              <w:jc w:val="right"/>
              <w:ind w:right="954"/>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38"/>
        </w:trPr>
        <w:tc>
          <w:tcPr>
            <w:tcW w:w="4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156"/>
        </w:trPr>
        <w:tc>
          <w:tcPr>
            <w:tcW w:w="4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80"/>
              <w:spacing w:after="0" w:line="157" w:lineRule="exact"/>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3"/>
                <w:szCs w:val="13"/>
                <w:color w:val="auto"/>
              </w:rPr>
            </w:pPr>
          </w:p>
        </w:tc>
        <w:tc>
          <w:tcPr>
            <w:tcW w:w="1520" w:type="dxa"/>
            <w:vAlign w:val="bottom"/>
            <w:gridSpan w:val="2"/>
          </w:tcPr>
          <w:p>
            <w:pPr>
              <w:jc w:val="center"/>
              <w:ind w:right="300"/>
              <w:spacing w:after="0" w:line="157" w:lineRule="exact"/>
              <w:rPr>
                <w:sz w:val="20"/>
                <w:szCs w:val="20"/>
                <w:color w:val="auto"/>
              </w:rPr>
            </w:pPr>
            <w:r>
              <w:rPr>
                <w:rFonts w:ascii="Times New Roman" w:cs="Times New Roman" w:eastAsia="Times New Roman" w:hAnsi="Times New Roman"/>
                <w:sz w:val="14"/>
                <w:szCs w:val="14"/>
                <w:b w:val="1"/>
                <w:bCs w:val="1"/>
                <w:color w:val="auto"/>
              </w:rPr>
              <w:t>Net Financed</w:t>
            </w:r>
          </w:p>
        </w:tc>
        <w:tc>
          <w:tcPr>
            <w:tcW w:w="200" w:type="dxa"/>
            <w:vAlign w:val="bottom"/>
          </w:tcPr>
          <w:p>
            <w:pPr>
              <w:spacing w:after="0"/>
              <w:rPr>
                <w:sz w:val="13"/>
                <w:szCs w:val="13"/>
                <w:color w:val="auto"/>
              </w:rPr>
            </w:pPr>
          </w:p>
        </w:tc>
        <w:tc>
          <w:tcPr>
            <w:tcW w:w="1500" w:type="dxa"/>
            <w:vAlign w:val="bottom"/>
            <w:gridSpan w:val="2"/>
          </w:tcPr>
          <w:p>
            <w:pPr>
              <w:jc w:val="center"/>
              <w:ind w:right="380"/>
              <w:spacing w:after="0" w:line="157" w:lineRule="exact"/>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3"/>
                <w:szCs w:val="13"/>
                <w:color w:val="auto"/>
              </w:rPr>
            </w:pPr>
          </w:p>
        </w:tc>
        <w:tc>
          <w:tcPr>
            <w:tcW w:w="1380" w:type="dxa"/>
            <w:vAlign w:val="bottom"/>
          </w:tcPr>
          <w:p>
            <w:pPr>
              <w:jc w:val="right"/>
              <w:ind w:right="294"/>
              <w:spacing w:after="0" w:line="157" w:lineRule="exact"/>
              <w:rPr>
                <w:sz w:val="20"/>
                <w:szCs w:val="20"/>
                <w:color w:val="auto"/>
              </w:rPr>
            </w:pPr>
            <w:r>
              <w:rPr>
                <w:rFonts w:ascii="Times New Roman" w:cs="Times New Roman" w:eastAsia="Times New Roman" w:hAnsi="Times New Roman"/>
                <w:sz w:val="14"/>
                <w:szCs w:val="14"/>
                <w:b w:val="1"/>
                <w:bCs w:val="1"/>
                <w:color w:val="auto"/>
              </w:rPr>
              <w:t>Net Financed</w:t>
            </w:r>
          </w:p>
        </w:tc>
      </w:tr>
      <w:tr>
        <w:trPr>
          <w:trHeight w:val="201"/>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0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 w:type="dxa"/>
            <w:vAlign w:val="bottom"/>
          </w:tcPr>
          <w:p>
            <w:pPr>
              <w:spacing w:after="0"/>
              <w:rPr>
                <w:sz w:val="17"/>
                <w:szCs w:val="17"/>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Sales Receivables</w:t>
            </w:r>
          </w:p>
        </w:tc>
        <w:tc>
          <w:tcPr>
            <w:tcW w:w="200" w:type="dxa"/>
            <w:vAlign w:val="bottom"/>
          </w:tcPr>
          <w:p>
            <w:pPr>
              <w:spacing w:after="0"/>
              <w:rPr>
                <w:sz w:val="17"/>
                <w:szCs w:val="17"/>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Leases</w:t>
            </w:r>
          </w:p>
        </w:tc>
        <w:tc>
          <w:tcPr>
            <w:tcW w:w="180" w:type="dxa"/>
            <w:vAlign w:val="bottom"/>
          </w:tcPr>
          <w:p>
            <w:pPr>
              <w:spacing w:after="0"/>
              <w:rPr>
                <w:sz w:val="17"/>
                <w:szCs w:val="17"/>
                <w:color w:val="auto"/>
              </w:rPr>
            </w:pPr>
          </w:p>
        </w:tc>
        <w:tc>
          <w:tcPr>
            <w:tcW w:w="138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Sales Receivables</w:t>
            </w:r>
          </w:p>
        </w:tc>
      </w:tr>
      <w:tr>
        <w:trPr>
          <w:trHeight w:val="38"/>
        </w:trPr>
        <w:tc>
          <w:tcPr>
            <w:tcW w:w="46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(reversal), net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6"/>
        </w:trPr>
        <w:tc>
          <w:tcPr>
            <w:tcW w:w="4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9,504</w:t>
            </w:r>
          </w:p>
        </w:tc>
      </w:tr>
      <w:tr>
        <w:trPr>
          <w:trHeight w:val="20"/>
        </w:trPr>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Company’s allowance for current expected credit losses related to its net investment in leases increased by less than $0.1 million and decreased by $0.2 million, respectively, and net financed sale receivables increased by $0.1 million and decreased by $0.3 million, respectively.</w:t>
      </w:r>
    </w:p>
    <w:p>
      <w:pPr>
        <w:spacing w:after="0" w:line="20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Company’s allowance for current expected credit losses related to its net investment in leases increased by $0.1 million, respectively, and net financed sale receivables decreased by $0.1 million, respectively.</w:t>
      </w:r>
    </w:p>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Variable Consideration Receivables</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sale arrangements, variable consideration may become due to the Company from theater operators if certain annual minimum box office receipt thresholds are exceeded. Such variable consideration is recorded as revenue in the period when the sale is recognized and adjusted in future periods based on actual results and changes in estimates. Variable consideration is only recognized to the extent the Company believes there is not a risk of significant revenue reversal.</w:t>
      </w:r>
    </w:p>
    <w:p>
      <w:pPr>
        <w:spacing w:after="0" w:line="209"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activity in the Allowance for Credit Losses related to Variable Consideration Receivables for the three and nine months ended September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2860" w:type="dxa"/>
            <w:vAlign w:val="bottom"/>
            <w:gridSpan w:val="4"/>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4"/>
          </w:tcPr>
          <w:p>
            <w:pPr>
              <w:jc w:val="right"/>
              <w:ind w:right="918"/>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28"/>
        </w:trPr>
        <w:tc>
          <w:tcPr>
            <w:tcW w:w="4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00" w:type="dxa"/>
            <w:vAlign w:val="bottom"/>
            <w:gridSpan w:val="3"/>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Pr>
          <w:p>
            <w:pPr>
              <w:spacing w:after="0"/>
              <w:rPr>
                <w:sz w:val="19"/>
                <w:szCs w:val="19"/>
                <w:color w:val="auto"/>
              </w:rPr>
            </w:pPr>
          </w:p>
        </w:tc>
      </w:tr>
      <w:tr>
        <w:trPr>
          <w:trHeight w:val="38"/>
        </w:trPr>
        <w:tc>
          <w:tcPr>
            <w:tcW w:w="464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3"/>
        </w:trPr>
        <w:tc>
          <w:tcPr>
            <w:tcW w:w="4640" w:type="dxa"/>
            <w:vAlign w:val="bottom"/>
          </w:tcPr>
          <w:p>
            <w:pPr>
              <w:spacing w:after="0"/>
              <w:rPr>
                <w:sz w:val="15"/>
                <w:szCs w:val="15"/>
                <w:color w:val="auto"/>
              </w:rPr>
            </w:pPr>
          </w:p>
        </w:tc>
        <w:tc>
          <w:tcPr>
            <w:tcW w:w="11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464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3"/>
        </w:trPr>
        <w:tc>
          <w:tcPr>
            <w:tcW w:w="4640" w:type="dxa"/>
            <w:vAlign w:val="bottom"/>
          </w:tcPr>
          <w:p>
            <w:pPr>
              <w:spacing w:after="0"/>
              <w:rPr>
                <w:sz w:val="19"/>
                <w:szCs w:val="19"/>
                <w:color w:val="auto"/>
              </w:rPr>
            </w:pPr>
          </w:p>
        </w:tc>
        <w:tc>
          <w:tcPr>
            <w:tcW w:w="116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Theater</w:t>
            </w:r>
          </w:p>
        </w:tc>
        <w:tc>
          <w:tcPr>
            <w:tcW w:w="440" w:type="dxa"/>
            <w:vAlign w:val="bottom"/>
          </w:tcPr>
          <w:p>
            <w:pPr>
              <w:spacing w:after="0"/>
              <w:rPr>
                <w:sz w:val="19"/>
                <w:szCs w:val="19"/>
                <w:color w:val="auto"/>
              </w:rPr>
            </w:pPr>
          </w:p>
        </w:tc>
        <w:tc>
          <w:tcPr>
            <w:tcW w:w="11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Theater</w:t>
            </w:r>
          </w:p>
        </w:tc>
      </w:tr>
      <w:tr>
        <w:trPr>
          <w:trHeight w:val="18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Operators</w:t>
            </w:r>
          </w:p>
        </w:tc>
        <w:tc>
          <w:tcPr>
            <w:tcW w:w="440" w:type="dxa"/>
            <w:vAlign w:val="bottom"/>
          </w:tcPr>
          <w:p>
            <w:pPr>
              <w:spacing w:after="0"/>
              <w:rPr>
                <w:sz w:val="16"/>
                <w:szCs w:val="16"/>
                <w:color w:val="auto"/>
              </w:rPr>
            </w:pPr>
          </w:p>
        </w:tc>
        <w:tc>
          <w:tcPr>
            <w:tcW w:w="1120" w:type="dxa"/>
            <w:vAlign w:val="bottom"/>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Operators</w:t>
            </w:r>
          </w:p>
        </w:tc>
      </w:tr>
      <w:tr>
        <w:trPr>
          <w:trHeight w:val="38"/>
        </w:trPr>
        <w:tc>
          <w:tcPr>
            <w:tcW w:w="464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2"/>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160" w:type="dxa"/>
            <w:vAlign w:val="bottom"/>
            <w:tcBorders>
              <w:bottom w:val="single" w:sz="8" w:color="CCEEFF"/>
            </w:tcBorders>
            <w:shd w:val="clear" w:color="auto" w:fill="CCEEFF"/>
          </w:tcPr>
          <w:p>
            <w:pPr>
              <w:jc w:val="right"/>
              <w:ind w:right="96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0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42"/>
        </w:trPr>
        <w:tc>
          <w:tcPr>
            <w:tcW w:w="4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period provision, net</w:t>
            </w:r>
          </w:p>
        </w:tc>
        <w:tc>
          <w:tcPr>
            <w:tcW w:w="116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6"/>
        </w:trPr>
        <w:tc>
          <w:tcPr>
            <w:tcW w:w="4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8"/>
        </w:trPr>
        <w:tc>
          <w:tcPr>
            <w:tcW w:w="4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exchange</w:t>
            </w: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2"/>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160" w:type="dxa"/>
            <w:vAlign w:val="bottom"/>
            <w:tcBorders>
              <w:top w:val="single" w:sz="8" w:color="auto"/>
              <w:bottom w:val="single" w:sz="8" w:color="auto"/>
            </w:tcBorders>
          </w:tcPr>
          <w:p>
            <w:pPr>
              <w:jc w:val="right"/>
              <w:ind w:right="963"/>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100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0"/>
        </w:trPr>
        <w:tc>
          <w:tcPr>
            <w:tcW w:w="4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Company’s allowance for current expected credit losses related to Variable Consideration Receivables did not change and increased by less than $0.1 million, respectively (2024 — increased by $0.1 million and $0.2 million respectively).</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180" w:hanging="173"/>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Arrangements</w:t>
      </w:r>
    </w:p>
    <w:p>
      <w:pPr>
        <w:spacing w:after="0" w:line="248"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IMAX Corporation as a Lessor</w:t>
      </w:r>
    </w:p>
    <w:p>
      <w:pPr>
        <w:spacing w:after="0" w:line="253" w:lineRule="exact"/>
        <w:rPr>
          <w:sz w:val="20"/>
          <w:szCs w:val="20"/>
          <w:color w:val="auto"/>
        </w:rPr>
      </w:pPr>
    </w:p>
    <w:p>
      <w:pPr>
        <w:jc w:val="both"/>
        <w:ind w:firstLine="193"/>
        <w:spacing w:after="0" w:line="251" w:lineRule="auto"/>
        <w:rPr>
          <w:sz w:val="20"/>
          <w:szCs w:val="20"/>
          <w:color w:val="auto"/>
        </w:rPr>
      </w:pPr>
      <w:r>
        <w:rPr>
          <w:rFonts w:ascii="Times New Roman" w:cs="Times New Roman" w:eastAsia="Times New Roman" w:hAnsi="Times New Roman"/>
          <w:sz w:val="18"/>
          <w:szCs w:val="18"/>
          <w:color w:val="auto"/>
        </w:rPr>
        <w:t>The Company provides IMAX Systems to customers through long-term lease arrangements that for accounting purposes are classified as sales-type leases. Under these arrangements, in exchange for providing the IMAX System, the Company earns fixed upfront and ongoing consideration. Certain arrangements that are legal sales are also classified as sales-type leases as certain clauses within the arrangements limit transfer of title or provide the Company with conditional rights to the system. The customer’s rights under the Company’s sales-type lease arrangements are described in Note 2 of the Company’s audited Consolidated Financial Statements included in its 2024 Form 10-K. Under the Company’s sales-type lease arrangements, the customer has the ability and the right to operate the hardware components or direct others to operate them in a manner determined by the customer. The Company’s lease portfolio terms are typically non-cancellable for 10 to 20 years with renewal provisions from inception. The Company’s sales-type lease arrangements do not contain a guarantee of residual value at the end of the lease term. The customer is required to pay for executory costs such as insurance and taxes and is required to pay the Company for maintenance and an extended warranty generally after the first year of the lease until the end of the lease term. The customer is responsible for obtaining insurance coverage for the IMAX System commencing on the date specified in the arrangement’s shipping terms and ending on the date the IMAX System is returned to the Company.</w:t>
      </w:r>
    </w:p>
    <w:p>
      <w:pPr>
        <w:spacing w:after="0" w:line="21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also provides IMAX Systems to customers through joint revenue sharing arrangements (“JRSAs”). Under the traditional form of these arrangements, in exchange for providing the IMAX System under a long-term lease, the Company earns rent based on a percentage of contingent box office receipts and, in some cases, concession revenues, rather than a fixed upfront fee or annual minimum payments.</w:t>
      </w:r>
    </w:p>
    <w:p>
      <w:pPr>
        <w:spacing w:after="0" w:line="20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Under certain other JRSAs, known as hybrid arrangements, the customer is responsible for making fixed upfront payments prior to the delivery and installation of the IMAX System.</w:t>
      </w:r>
    </w:p>
    <w:p>
      <w:pPr>
        <w:spacing w:after="0" w:line="18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Under JRSAs, the customer has the ability and the right to operate the hardware components or direct others to operate them in a manner determined by the customer. The Company’s JRSAs are typically non-cancellable for ten years or longer with renewal provisions. Title to the IMAX System under a JRSA generally does not transfer to the customer. The Company’s JRSAs do not contain a guarantee of residual value at the end of the lease term. The customer is required to pay for executory costs such as insurance and taxes and is required to pay the Company for maintenance and an extended warranty throughout the term. The customer is responsible for obtaining insurance coverage for the IMAX System commencing on the date specified in the arrangement’s shipping terms and ending on the date the IMAX System is returned to the Company.</w:t>
      </w:r>
    </w:p>
    <w:p>
      <w:pPr>
        <w:spacing w:after="0" w:line="214" w:lineRule="exact"/>
        <w:rPr>
          <w:sz w:val="20"/>
          <w:szCs w:val="20"/>
          <w:color w:val="auto"/>
        </w:rPr>
      </w:pPr>
    </w:p>
    <w:p>
      <w:pPr>
        <w:jc w:val="both"/>
        <w:ind w:firstLine="193"/>
        <w:spacing w:after="0" w:line="276" w:lineRule="auto"/>
        <w:rPr>
          <w:sz w:val="20"/>
          <w:szCs w:val="20"/>
          <w:color w:val="auto"/>
        </w:rPr>
      </w:pPr>
      <w:r>
        <w:rPr>
          <w:rFonts w:ascii="Times New Roman" w:cs="Times New Roman" w:eastAsia="Times New Roman" w:hAnsi="Times New Roman"/>
          <w:sz w:val="18"/>
          <w:szCs w:val="18"/>
          <w:color w:val="auto"/>
        </w:rPr>
        <w:t>The following lease payments are expected to be received by the Company for its sales-type leases and JRSAs in each of the remainder of 2025, next four years and thereafter following the September 30, 2025 balance sheet date:</w:t>
      </w:r>
    </w:p>
    <w:tbl>
      <w:tblPr>
        <w:tblLayout w:type="fixed"/>
        <w:tblInd w:w="0" w:type="dxa"/>
        <w:tblCellMar>
          <w:top w:w="0" w:type="dxa"/>
          <w:left w:w="0" w:type="dxa"/>
          <w:bottom w:w="0" w:type="dxa"/>
          <w:right w:w="0" w:type="dxa"/>
        </w:tblCellMar>
      </w:tblPr>
      <w:tr>
        <w:trPr>
          <w:trHeight w:val="174"/>
        </w:trPr>
        <w:tc>
          <w:tcPr>
            <w:tcW w:w="9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Sales-Type</w:t>
            </w:r>
          </w:p>
        </w:tc>
      </w:tr>
      <w:tr>
        <w:trPr>
          <w:trHeight w:val="187"/>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Pr>
          <w:p>
            <w:pPr>
              <w:spacing w:after="0"/>
              <w:rPr>
                <w:sz w:val="16"/>
                <w:szCs w:val="16"/>
                <w:color w:val="auto"/>
              </w:rPr>
            </w:pPr>
          </w:p>
        </w:tc>
        <w:tc>
          <w:tcPr>
            <w:tcW w:w="12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38"/>
        </w:trPr>
        <w:tc>
          <w:tcPr>
            <w:tcW w:w="96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2"/>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(three months remaining)</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42"/>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r>
      <w:tr>
        <w:trPr>
          <w:trHeight w:val="26"/>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r>
      <w:tr>
        <w:trPr>
          <w:trHeight w:val="242"/>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r>
      <w:tr>
        <w:trPr>
          <w:trHeight w:val="26"/>
        </w:trPr>
        <w:tc>
          <w:tcPr>
            <w:tcW w:w="9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w:t>
            </w:r>
          </w:p>
        </w:tc>
      </w:tr>
      <w:tr>
        <w:trPr>
          <w:trHeight w:val="242"/>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17,275</w:t>
            </w:r>
          </w:p>
        </w:tc>
      </w:tr>
      <w:tr>
        <w:trPr>
          <w:trHeight w:val="26"/>
        </w:trPr>
        <w:tc>
          <w:tcPr>
            <w:tcW w:w="9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7"/>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180" w:hanging="173"/>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52"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2025 and December 31, 2024, Inventories consisted of the following: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67"/>
        </w:trPr>
        <w:tc>
          <w:tcPr>
            <w:tcW w:w="79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9"/>
                <w:szCs w:val="19"/>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30,482</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29,162</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8,629</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0" w:type="dxa"/>
            <w:vAlign w:val="bottom"/>
          </w:tcPr>
          <w:p>
            <w:pPr>
              <w:spacing w:after="0"/>
              <w:rPr>
                <w:sz w:val="1"/>
                <w:szCs w:val="1"/>
                <w:color w:val="auto"/>
              </w:rPr>
            </w:pPr>
          </w:p>
        </w:tc>
      </w:tr>
      <w:tr>
        <w:trPr>
          <w:trHeight w:val="23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41,435</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32,840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September 30, 2025, Inventories included finished goods of $4.1 million (December 31, 2024 — $1.8 million) for which title had passed to the customers, but the criteria for revenue recognition were not met as of the balance sheet date.</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write-downs of less than $0.1 million and $0.2 million, respectively (2024 — write-downs of $0.1 million and $0.3 million during each such period) in Costs and Expenses Applicable to Revenues ― Technology Sales.</w:t>
      </w:r>
    </w:p>
    <w:p>
      <w:pPr>
        <w:spacing w:after="0" w:line="200" w:lineRule="exact"/>
        <w:rPr>
          <w:sz w:val="20"/>
          <w:szCs w:val="20"/>
          <w:color w:val="auto"/>
        </w:rPr>
      </w:pPr>
    </w:p>
    <w:p>
      <w:pPr>
        <w:spacing w:after="0" w:line="226" w:lineRule="exact"/>
        <w:rPr>
          <w:sz w:val="20"/>
          <w:szCs w:val="20"/>
          <w:color w:val="auto"/>
        </w:rPr>
      </w:pPr>
    </w:p>
    <w:p>
      <w:pPr>
        <w:ind w:left="180" w:hanging="173"/>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Borrowings</w:t>
      </w:r>
    </w:p>
    <w:p>
      <w:pPr>
        <w:spacing w:after="0" w:line="248"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Revolving Credit Facility Borrowings, Net</w:t>
      </w:r>
    </w:p>
    <w:p>
      <w:pPr>
        <w:spacing w:after="0" w:line="252"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September 30, 2025 and December 31, 2024, Revolving Credit Facility Borrowings, Net included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9"/>
                <w:szCs w:val="19"/>
                <w:color w:val="auto"/>
              </w:rPr>
            </w:pPr>
          </w:p>
        </w:tc>
        <w:tc>
          <w:tcPr>
            <w:tcW w:w="134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79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Wells Fargo Credit Facility borrowings</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29,000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40" w:type="dxa"/>
            <w:vAlign w:val="bottom"/>
          </w:tcPr>
          <w:p>
            <w:pPr>
              <w:spacing w:after="0"/>
              <w:rPr>
                <w:sz w:val="21"/>
                <w:szCs w:val="21"/>
                <w:color w:val="auto"/>
              </w:rPr>
            </w:pPr>
          </w:p>
        </w:tc>
        <w:tc>
          <w:tcPr>
            <w:tcW w:w="134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(2,523)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6"/>
        </w:trPr>
        <w:tc>
          <w:tcPr>
            <w:tcW w:w="7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 Borrowings, net</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26,477</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51" w:lineRule="exact"/>
        <w:rPr>
          <w:sz w:val="20"/>
          <w:szCs w:val="20"/>
          <w:color w:val="auto"/>
        </w:rPr>
      </w:pPr>
    </w:p>
    <w:p>
      <w:pPr>
        <w:jc w:val="both"/>
        <w:ind w:firstLine="161"/>
        <w:spacing w:after="0" w:line="252" w:lineRule="auto"/>
        <w:rPr>
          <w:sz w:val="20"/>
          <w:szCs w:val="20"/>
          <w:color w:val="auto"/>
        </w:rPr>
      </w:pPr>
      <w:r>
        <w:rPr>
          <w:rFonts w:ascii="Times New Roman" w:cs="Times New Roman" w:eastAsia="Times New Roman" w:hAnsi="Times New Roman"/>
          <w:sz w:val="18"/>
          <w:szCs w:val="18"/>
          <w:color w:val="auto"/>
        </w:rPr>
        <w:t>The Company was a party to a Sixth Amended and Restated Credit Agreement, dated as of March 25, 2022 (the “Credit Agreement”), that provided for a credit facility (the “Credit Facility”). On July 14, 2025, the Company entered into a Seventh Amended and Restated Credit Agreement (the “New Credit Agreement”) with Wells Fargo Bank, National Association, as agent, and a syndicate of lenders party thereto. The facility under the New Credit Agreement (the “New Credit Facility”) matures on July 14, 2030; provided that if certain convertible debt that is permitted to be incurred under the New Credit Agreement, and is so incurred after the date of the New Credit Agreement, has a maturity date that is earlier than 91 days after the maturity date of the New Credit Facility and the aggregate amount of any such convertible debt that remains outstanding on the date that is 91 days prior to the earliest maturity date of any such convertible debt (the “Springing Maturity Date”) exceeds $100.0 million, then the maturity date for the New Credit Facility shall automatically be modified to be the Springing Maturity Date. The Company’s obligations under the New Credit Agreement are guaranteed by certain of the Company’s subsidiaries (the “Guarantors”), and are secured by first-priority security interests in substantially all of the assets of the Company and the Guarantors.</w:t>
      </w:r>
    </w:p>
    <w:p>
      <w:pPr>
        <w:spacing w:after="0" w:line="216" w:lineRule="exact"/>
        <w:rPr>
          <w:sz w:val="20"/>
          <w:szCs w:val="20"/>
          <w:color w:val="auto"/>
        </w:rPr>
      </w:pPr>
    </w:p>
    <w:p>
      <w:pPr>
        <w:jc w:val="both"/>
        <w:ind w:firstLine="161"/>
        <w:spacing w:after="0" w:line="258" w:lineRule="auto"/>
        <w:rPr>
          <w:sz w:val="20"/>
          <w:szCs w:val="20"/>
          <w:color w:val="auto"/>
        </w:rPr>
      </w:pPr>
      <w:r>
        <w:rPr>
          <w:rFonts w:ascii="Times New Roman" w:cs="Times New Roman" w:eastAsia="Times New Roman" w:hAnsi="Times New Roman"/>
          <w:sz w:val="18"/>
          <w:szCs w:val="18"/>
          <w:color w:val="auto"/>
        </w:rPr>
        <w:t>The New Credit Agreement provides for a revolving borrowing capacity of $375.0 million, and contains an uncommitted accordion feature that allows the Company to further increase its borrowing capacity by the greater of $140.0 million or by the Company’s EBITDA (as defined in the Credit Agreement) (“Adjusted EBITDA per Credit Facility”) for the sum of the four most recently ended fiscal quarters, subject to certain conditions, depending on the mix of revolving loans and/or term loans under the incremental facility and subject to conditions set forth in the Credit Agreement.</w:t>
      </w:r>
    </w:p>
    <w:p>
      <w:pPr>
        <w:spacing w:after="0" w:line="20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New Credit Agreement requires that the Company does not exceed a maximum Senior Secured Net Leverage Ratio (as defined therein) of 3.25:1.00, which may be increased under certain circumstances and is tested on the last day of each fiscal quarter. In addition, the New Credit Agreement contains customary affirmative and negative covenants for a transaction of this type, including covenants that limit indebtedness, liens, asset sales, investments and restricted payments, in each case, subject to negotiated exceptions and baskets. The New Credit Agreement also contains representations, warranties and event of default provisions customary for a transaction of this type. The Company was in compliance with this requirement as of September 30, 2025 as the Senior Secured Net Leverage Ratio was 0.00:1.00.</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Loans under the New Credit Facility will bear interest, at the Company’s option, at (i) Term SOFR, Eurocurrency Rate or Term CORRA plus a margin ranging from 1.00% to 1.75% per annum or (ii) the U.S. base rate or the Canadian prime rate plus a margin ranging from 0.25% to 1.00% per annum, in each case depending on the Company’s total leverage ratio. In no event will Term SOFR, Eurocurrency Rate or Term CORRA be less than 0.00% per annum.</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incurred fees of approximately $2.2 million in connection with the New Credit Agreement, which are being amortized on a straight-basis over the term of the New Credit Agreement.</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2025, borrowings under the New Credit Facility were $29.0 million (December 31, 2024 — $37.0 million under the previous Credit Facility) and bore interest at Term SOFR, plus a margin of 1.75% per annum based on the Company’s total leverage ratio. The effective interest rate for the three and nine months ended September 30, 2025 were 6.09% and 6.15%, respectively.</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2025 and December 31, 2024, the Company had no letters of credit or advance payment guarantees outstanding under the Credit Facility. As of September 30, 2025, the amount available for future borrowings under the New Credit Facility was $346.0 million (December 31, 2024 — $263.0 million under the previous Credit Facility).</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Foreign Exchange Facility</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Within the New Credit Facility, the Company is able to purchase foreign currency forward contracts and/or other swap arrangements. As of September 30, 2025, the net unrealized gain on the Company’s outstanding foreign currency forward contracts was $0.3 million, representing the amount by which the notional value of these forward contracts exceeded their fair value (December 31, 2024 — net unrealized loss of $2.0 million). As of September 30, 2025, the notional value of the Company’s outstanding foreign currency forward contracts was $48.7 million (December 31, 2024 — $48.4 million).</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Bank of China Facility</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2025, and December 31, 2024, there were no borrowings outstanding under the Bank of China Facility (as defined and described in Note 13 to the Company’s audited Consolidated Financial Statements in its 2024 Form 10-K) and outstanding letters of guarantee were RMB 1.0 million (less than $0.1 million).</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September 30, 2025, the amount available for future borrowings under the Bank of China Facility was RMB 190.0 million ($26.7 million) and the amount available for letters of guarantee was RMB 9.0 million ($1.3 million). The amount available for future borrowings under the Bank of China Facility is not subject to a standby fee. The effective interest rate for the three and nine months ended September 30, 2025 was 0% for each such period (2024 — 0% for each such period). There were no amounts drawn under the Bank of China Facility for the three and nine months ended September 30, 2025.</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HSBC China Facility</w:t>
      </w:r>
    </w:p>
    <w:p>
      <w:pPr>
        <w:spacing w:after="0" w:line="251"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June 2022, IMAX (Shanghai) Multimedia Technology Co., Ltd. (“IMAX Shanghai”) entered into an unsecured revolving facility for up to RMB 200.0 million ($28.1 million) with HSBC Bank (China) Company Limited, Shanghai Branch to fund ongoing working capital requirements (the “HSBC China Facility”). As of September 30, 2025 and December 31, 2024, no borrowings were outstanding under the HSBC China Facility. As of September 30, 2025, the amount available for future borrowings under the HSBC China Facility was RMB 200.0 million ($28.1 million). The effective interest rate for the three and nine months ended September 30, 2025 was 0% for each such period (2024 — 0%).</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NBC Facility</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NBC Facility (as defined and described in Note 13 to the Company’s audited Consolidated Financial Statements in its 2024 Form 10-K) has been renewed to October 8, 2026. The Company did not have any letters of credit or advance payment guarantees outstanding as of September 30, 2025 and December 31, 2024 under the NBC Facility.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and Other Borrowings, Net</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of September 30, 2025 and December 31, 2024, Convertible Notes and Other Borrowings, Net included the following:</w:t>
      </w:r>
    </w:p>
    <w:p>
      <w:pPr>
        <w:spacing w:after="0" w:line="296" w:lineRule="exact"/>
        <w:rPr>
          <w:sz w:val="20"/>
          <w:szCs w:val="20"/>
          <w:color w:val="auto"/>
        </w:rPr>
      </w:pPr>
    </w:p>
    <w:p>
      <w:pPr>
        <w:jc w:val="right"/>
        <w:ind w:right="36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September 30,</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67" w:lineRule="exact"/>
        <w:rPr>
          <w:sz w:val="20"/>
          <w:szCs w:val="20"/>
          <w:color w:val="auto"/>
        </w:rPr>
      </w:pPr>
    </w:p>
    <w:p>
      <w:pPr>
        <w:ind w:left="20"/>
        <w:spacing w:after="0"/>
        <w:tabs>
          <w:tab w:leader="none" w:pos="8600" w:val="left"/>
          <w:tab w:leader="none" w:pos="10300" w:val="left"/>
        </w:tabs>
        <w:rPr>
          <w:sz w:val="20"/>
          <w:szCs w:val="20"/>
          <w:color w:val="auto"/>
        </w:rPr>
      </w:pPr>
      <w:r>
        <w:rPr>
          <w:rFonts w:ascii="Times New Roman" w:cs="Times New Roman" w:eastAsia="Times New Roman" w:hAnsi="Times New Roman"/>
          <w:sz w:val="14"/>
          <w:szCs w:val="14"/>
          <w:i w:val="1"/>
          <w:iCs w:val="1"/>
          <w:color w:val="auto"/>
        </w:rPr>
        <w:t>(In thousands of U.S. Dollars)</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41275</wp:posOffset>
            </wp:positionV>
            <wp:extent cx="7133590" cy="1790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Convertible Notes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Unamortized discounts and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40640</wp:posOffset>
            </wp:positionV>
            <wp:extent cx="7133590" cy="179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17907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Convertible Notes, net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tabs>
          <w:tab w:leader="none" w:pos="880" w:val="left"/>
          <w:tab w:leader="none" w:pos="1700" w:val="left"/>
          <w:tab w:leader="none" w:pos="25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230,000</w:t>
        <w:tab/>
        <w:t>$</w:t>
      </w:r>
      <w:r>
        <w:rPr>
          <w:sz w:val="20"/>
          <w:szCs w:val="20"/>
          <w:color w:val="auto"/>
        </w:rPr>
        <w:tab/>
      </w:r>
      <w:r>
        <w:rPr>
          <w:rFonts w:ascii="Times New Roman" w:cs="Times New Roman" w:eastAsia="Times New Roman" w:hAnsi="Times New Roman"/>
          <w:sz w:val="17"/>
          <w:szCs w:val="17"/>
          <w:color w:val="auto"/>
        </w:rPr>
        <w:t>230,000</w:t>
      </w:r>
    </w:p>
    <w:p>
      <w:pPr>
        <w:spacing w:after="0" w:line="61" w:lineRule="exact"/>
        <w:rPr>
          <w:sz w:val="20"/>
          <w:szCs w:val="20"/>
          <w:color w:val="auto"/>
        </w:rPr>
      </w:pPr>
    </w:p>
    <w:p>
      <w:pPr>
        <w:ind w:left="2720" w:hanging="1575"/>
        <w:spacing w:after="0"/>
        <w:tabs>
          <w:tab w:leader="none" w:pos="27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(1,864)</w:t>
      </w:r>
    </w:p>
    <w:p>
      <w:pPr>
        <w:spacing w:after="0" w:line="86" w:lineRule="exact"/>
        <w:rPr>
          <w:rFonts w:ascii="Times New Roman" w:cs="Times New Roman" w:eastAsia="Times New Roman" w:hAnsi="Times New Roman"/>
          <w:sz w:val="17"/>
          <w:szCs w:val="17"/>
          <w:color w:val="auto"/>
        </w:rPr>
      </w:pP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229,263</w:t>
      </w:r>
      <w:r>
        <w:rPr>
          <w:rFonts w:ascii="Times New Roman" w:cs="Times New Roman" w:eastAsia="Times New Roman" w:hAnsi="Times New Roman"/>
          <w:sz w:val="17"/>
          <w:szCs w:val="17"/>
          <w:color w:val="auto"/>
        </w:rPr>
        <w:t>228,136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wp:posOffset>
            </wp:positionV>
            <wp:extent cx="20770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770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260"/>
          </w:cols>
          <w:pgMar w:left="320" w:top="362" w:right="339" w:bottom="1440" w:gutter="0" w:footer="0" w:header="0"/>
          <w:type w:val="continuous"/>
        </w:sectPr>
      </w:pP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w:t>
            </w:r>
          </w:p>
        </w:tc>
        <w:tc>
          <w:tcPr>
            <w:tcW w:w="35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0" w:type="dxa"/>
            <w:vAlign w:val="bottom"/>
          </w:tcPr>
          <w:p>
            <w:pPr>
              <w:spacing w:after="0"/>
              <w:rPr>
                <w:sz w:val="1"/>
                <w:szCs w:val="1"/>
                <w:color w:val="auto"/>
              </w:rPr>
            </w:pPr>
          </w:p>
        </w:tc>
      </w:tr>
      <w:tr>
        <w:trPr>
          <w:trHeight w:val="24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Unaccreted interest benefit</w:t>
            </w:r>
          </w:p>
        </w:tc>
        <w:tc>
          <w:tcPr>
            <w:tcW w:w="3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6"/>
        </w:trPr>
        <w:tc>
          <w:tcPr>
            <w:tcW w:w="440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Economic Development Loan, net</w:t>
            </w:r>
          </w:p>
        </w:tc>
        <w:tc>
          <w:tcPr>
            <w:tcW w:w="35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tcPr>
          <w:p>
            <w:pPr>
              <w:spacing w:after="0"/>
              <w:rPr>
                <w:sz w:val="21"/>
                <w:szCs w:val="21"/>
                <w:color w:val="auto"/>
              </w:rPr>
            </w:pPr>
          </w:p>
        </w:tc>
        <w:tc>
          <w:tcPr>
            <w:tcW w:w="356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and Other Borrowings, net</w:t>
            </w:r>
          </w:p>
        </w:tc>
        <w:tc>
          <w:tcPr>
            <w:tcW w:w="40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230,743</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229,901</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bottom w:val="single" w:sz="8" w:color="CCEEFF"/>
            </w:tcBorders>
            <w:vMerge w:val="restart"/>
          </w:tcPr>
          <w:p>
            <w:pPr>
              <w:jc w:val="right"/>
              <w:ind w:right="2151"/>
              <w:spacing w:after="0"/>
              <w:rPr>
                <w:sz w:val="20"/>
                <w:szCs w:val="20"/>
                <w:color w:val="auto"/>
              </w:rPr>
            </w:pPr>
            <w:r>
              <w:rPr>
                <w:rFonts w:ascii="Times New Roman" w:cs="Times New Roman" w:eastAsia="Times New Roman" w:hAnsi="Times New Roman"/>
                <w:sz w:val="18"/>
                <w:szCs w:val="18"/>
                <w:color w:val="auto"/>
              </w:rPr>
              <w:t>19</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1"/>
        </w:trPr>
        <w:tc>
          <w:tcPr>
            <w:tcW w:w="440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40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On March 19, 2021, the Company issued $230.0 million of 0.500% Convertible Senior Notes due 2026 (the “Convertible Notes”).</w:t>
      </w:r>
    </w:p>
    <w:p>
      <w:pPr>
        <w:spacing w:after="0" w:line="24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Convertible Notes are senior unsecured obligations of the Company and bear interest at a rate of 0.500% per annum on the principal of $230.0 million, payable semi-annually in arrears on April 1 and October 1 of each year. The Convertible Notes will mature on April 1, 2026, unless they are redeemed or repurchased by the Company or converted on an earlier date.</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continues to record the Convertible Notes entirely as a liability on the Condensed Consolidated Balance Sheets, net of initial purchasers’ discounts and commissions and other debt issuance costs, with interest expense reflecting the cash coupon plus the amortization of the discounts and capitalized costs.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Federal Economic Development Loan</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2025, the Federal Economic Development Loan (as defined and described in Note 13 to the Company’s audited Consolidated Financial Statements in its 2024 Form 10-K) had a carrying value of $1.5 million, net of unaccreted interest benefit and is recorded within Convertible Notes and Other Borrowings, Net on the Company’s Condensed Consolidated Balance Sheets.</w:t>
      </w:r>
    </w:p>
    <w:p>
      <w:pPr>
        <w:spacing w:after="0" w:line="200" w:lineRule="exact"/>
        <w:rPr>
          <w:sz w:val="20"/>
          <w:szCs w:val="20"/>
          <w:color w:val="auto"/>
        </w:rPr>
      </w:pPr>
    </w:p>
    <w:p>
      <w:pPr>
        <w:ind w:left="200" w:right="7560" w:hanging="193"/>
        <w:spacing w:after="0" w:line="530" w:lineRule="auto"/>
        <w:tabs>
          <w:tab w:leader="none" w:pos="186"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Contingencies and Guarantees </w:t>
      </w:r>
      <w:r>
        <w:rPr>
          <w:rFonts w:ascii="Times New Roman" w:cs="Times New Roman" w:eastAsia="Times New Roman" w:hAnsi="Times New Roman"/>
          <w:sz w:val="18"/>
          <w:szCs w:val="18"/>
          <w:b w:val="1"/>
          <w:bCs w:val="1"/>
          <w:i w:val="1"/>
          <w:iCs w:val="1"/>
          <w:color w:val="auto"/>
        </w:rPr>
        <w:t>Commitments</w:t>
      </w:r>
    </w:p>
    <w:p>
      <w:pPr>
        <w:spacing w:after="0" w:line="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the ordinary course of its business, the Company enters into contractual agreements with third parties that include non-cancelable payment obligations, for which it is liable in future periods. These arrangements can include terms binding the Company to minimum payments and/or penalties if it terminates the agreement for any reason other than an event of default as described by the agreement.</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Contingencies and guarantees</w:t>
      </w:r>
    </w:p>
    <w:p>
      <w:pPr>
        <w:spacing w:after="0" w:line="253"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 is involved in lawsuits, claims, and proceedings, including those identified below, which arise in the ordinary course of business. Management is required to assess the likelihood of any adverse judgments or outcomes related to these legal contingencies, as well as potential ranges of probable or reasonably possible losses. The Company records a provision for a liability when it is probable that a loss has been incurred and the amount of the loss can be reasonably estimated. The determination of the amount of any liability recorded or disclosed is reviewed at least quarterly based on a careful analysis of each individual exposure with, in some cases, the assistance of outside legal counsel, taking into account the impact of negotiations, settlements, rulings, and other pertinent information related to the case. The amount of liabilities recorded or disclosed for these contingencies may change in the future due to changes in management’s judgments resulting from new developments or changes in settlement strategy. Any resulting adjustment to the liabilities recorded by the Company could have a material adverse effect on its results of operations, cash flows, and financial position in the period or periods in which such changes in judgment occur. The Company believes it has adequate provisions for any such matters. The Company expenses legal costs relating to its lawsuits, claims, and proceedings as incurred.</w:t>
      </w:r>
    </w:p>
    <w:p>
      <w:pPr>
        <w:spacing w:after="0" w:line="213" w:lineRule="exact"/>
        <w:rPr>
          <w:sz w:val="20"/>
          <w:szCs w:val="20"/>
          <w:color w:val="auto"/>
        </w:rPr>
      </w:pPr>
    </w:p>
    <w:p>
      <w:pPr>
        <w:jc w:val="both"/>
        <w:ind w:firstLine="193"/>
        <w:spacing w:after="0" w:line="251" w:lineRule="auto"/>
        <w:rPr>
          <w:sz w:val="20"/>
          <w:szCs w:val="20"/>
          <w:color w:val="auto"/>
        </w:rPr>
      </w:pPr>
      <w:r>
        <w:rPr>
          <w:rFonts w:ascii="Times New Roman" w:cs="Times New Roman" w:eastAsia="Times New Roman" w:hAnsi="Times New Roman"/>
          <w:sz w:val="18"/>
          <w:szCs w:val="18"/>
          <w:color w:val="auto"/>
        </w:rPr>
        <w:t>In January 2004, the Company and IMAX Theatre Services Ltd., a subsidiary of the Company, commenced an arbitration seeking damages before the International Court of Arbitration of the International Chamber of Commerce (the “ICC”) with respect to the breach by Electronic Media Limited (“EML”) of its December 2000 agreement with the Company. In June 2004, the Company commenced a related arbitration before the ICC against EML’s affiliate, E-City Entertainment (I) PVT Limited (“E-City”). On March 27, 2008, the arbitration panel issued a final award in favor of the Company in the amount of $11.3 million, as well as an additional $2,512 each day in interest from October 1, 2007 until the date the award is paid. In July 2008, E-City commenced a proceeding in Mumbai, India seeking to prevent recognition of the ICC award in India. On March 10, 2017, the Supreme Court of India dismissed E-City’s petition. On March 29, 2017, the Company filed an Execution Application in the Bombay High Court seeking to enforce the ICC award against E-City and several related parties. In an order dated November 14, 2024, the Bombay High Court dismissed the Company’s application. On December 13, 2024, the Company filed an appeal of this order, on April 23, 2025, the Bombay High Court ruled that the Company’s appeal was maintainable, and on September 16, 2025, the Supreme Court of India dismissed E-City’s petition challenging that ruling. The Company fully intends to continue pursuing its rights and seeking to enforce the arbitration award. No amounts have been recognized in connection with this matter.</w:t>
      </w:r>
    </w:p>
    <w:p>
      <w:pPr>
        <w:spacing w:after="0" w:line="2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Guarantees</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Certain subsidiaries of the Company have provided significant financial guarantees to third parties under the Credit Agreement.</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Company’s accrual for product warranties, which is recorded within Accrued and Other Liabilities on the Condensed Consolidated Balance Sheets, was $nil as of September 30, 2025 and $0.1 million as of December 31, 2024.</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Indemnifications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 xml:space="preserve">The Company’s by-laws contain an indemnification of its directors/officers, former directors/officers, and persons who have acted at its request to be a director/officer of an entity in which the Company is a shareholder or creditor, to indemnify them, to the extent permitted by the </w:t>
      </w:r>
      <w:r>
        <w:rPr>
          <w:rFonts w:ascii="Times New Roman" w:cs="Times New Roman" w:eastAsia="Times New Roman" w:hAnsi="Times New Roman"/>
          <w:sz w:val="18"/>
          <w:szCs w:val="18"/>
          <w:i w:val="1"/>
          <w:iCs w:val="1"/>
          <w:color w:val="auto"/>
        </w:rPr>
        <w:t>Canada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Corporations Act</w:t>
      </w:r>
      <w:r>
        <w:rPr>
          <w:rFonts w:ascii="Times New Roman" w:cs="Times New Roman" w:eastAsia="Times New Roman" w:hAnsi="Times New Roman"/>
          <w:sz w:val="18"/>
          <w:szCs w:val="18"/>
          <w:color w:val="auto"/>
        </w:rPr>
        <w:t>, against expenses (including legal fees), judgments, fines and any amounts actually and reasonably incurred by them in connection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action, suit or proceeding in which the directors and/or officers are sued as a result of their service, if they acted honestly and in good faith with a view to the best interests of the Company. In addition, the Company has entered into indemnification agreements with each of its directors in order to effectuate the foregoing. The nature of the indemnification prevents the Company from making a reasonable estimate of the maximum potential amount it could be required to pay to counterparties. The Company has purchased directors’ and officers’ liability insurance. No amount has been accrued on the Company’s Condensed Consolidated Balance Sheets as of September 30, 2025 and December 31, 2024, with respect to this indemnity.</w:t>
      </w:r>
    </w:p>
    <w:p>
      <w:pPr>
        <w:spacing w:after="0" w:line="20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Other Indemnification Agreements</w:t>
      </w:r>
    </w:p>
    <w:p>
      <w:pPr>
        <w:spacing w:after="0" w:line="253" w:lineRule="exact"/>
        <w:rPr>
          <w:sz w:val="20"/>
          <w:szCs w:val="20"/>
          <w:color w:val="auto"/>
        </w:rPr>
      </w:pPr>
    </w:p>
    <w:p>
      <w:pPr>
        <w:jc w:val="both"/>
        <w:ind w:firstLine="161"/>
        <w:spacing w:after="0" w:line="268" w:lineRule="auto"/>
        <w:rPr>
          <w:sz w:val="20"/>
          <w:szCs w:val="20"/>
          <w:color w:val="auto"/>
        </w:rPr>
      </w:pPr>
      <w:r>
        <w:rPr>
          <w:rFonts w:ascii="Times New Roman" w:cs="Times New Roman" w:eastAsia="Times New Roman" w:hAnsi="Times New Roman"/>
          <w:sz w:val="17"/>
          <w:szCs w:val="17"/>
          <w:color w:val="auto"/>
        </w:rPr>
        <w:t>In the normal course of its operations, the Company provides indemnifications to counterparties in transactions such as: IMAX System lease and sale agreements and the supervision of installation or servicing of IMAX Systems; film production, exhibition and distribution agreements; real property lease agreements; and employment agreements. These indemnification agreements require the Company to compensate the counterparties for costs incurred as a result of litigation claims that may be suffered by the counterparty as a consequence of the transaction or the Company’s breach or non-performance under these agreements. While the terms of these indemnification agreements vary based upon the contract, they normally extend for the life of the agreements. A small number of agreements do not provide for any limit on the maximum potential amount of indemnification; however, virtually all of the IMAX System lease and sale agreements limit such maximum potential liability to the purchase price of the system. The fact that the maximum potential amount of indemnification required by the Company is not specified in some cases prevents the Company from making a reasonable estimate of the maximum potential amount it could be required to pay to counterparties. Historically, the Company has not made any significant payments under such indemnifications and no amounts have been accrued in the Condensed Consolidated Financial Statements with respect to the contingent aspect of these indemnities.</w:t>
      </w:r>
    </w:p>
    <w:p>
      <w:pPr>
        <w:spacing w:after="0" w:line="199" w:lineRule="exact"/>
        <w:rPr>
          <w:sz w:val="20"/>
          <w:szCs w:val="20"/>
          <w:color w:val="auto"/>
        </w:rPr>
      </w:pPr>
    </w:p>
    <w:p>
      <w:pPr>
        <w:ind w:left="200" w:right="4980" w:hanging="193"/>
        <w:spacing w:after="0" w:line="530" w:lineRule="auto"/>
        <w:tabs>
          <w:tab w:leader="none" w:pos="18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Condensed Consolidated Statements of Operations – Supplemental Information </w:t>
      </w:r>
      <w:r>
        <w:rPr>
          <w:rFonts w:ascii="Times New Roman" w:cs="Times New Roman" w:eastAsia="Times New Roman" w:hAnsi="Times New Roman"/>
          <w:sz w:val="18"/>
          <w:szCs w:val="18"/>
          <w:b w:val="1"/>
          <w:bCs w:val="1"/>
          <w:i w:val="1"/>
          <w:iCs w:val="1"/>
          <w:color w:val="auto"/>
        </w:rPr>
        <w:t>Selling Expenses</w:t>
      </w:r>
    </w:p>
    <w:p>
      <w:pPr>
        <w:spacing w:after="0" w:line="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Company’s selling expenses, including sales commissions and marketing and other, which are recognized within Costs and Expenses Applicable to Revenues in the Condensed Consolidated Statements of Operations, for the three and nine months ended September 30, 2025 and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8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0"/>
        </w:trPr>
        <w:tc>
          <w:tcPr>
            <w:tcW w:w="4600" w:type="dxa"/>
            <w:vAlign w:val="bottom"/>
          </w:tcPr>
          <w:p>
            <w:pPr>
              <w:spacing w:after="0"/>
              <w:rPr>
                <w:sz w:val="14"/>
                <w:szCs w:val="14"/>
                <w:color w:val="auto"/>
              </w:rPr>
            </w:pPr>
          </w:p>
        </w:tc>
        <w:tc>
          <w:tcPr>
            <w:tcW w:w="120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122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Marketing</w:t>
            </w:r>
          </w:p>
        </w:tc>
      </w:tr>
      <w:tr>
        <w:trPr>
          <w:trHeight w:val="18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and Other</w:t>
            </w:r>
          </w:p>
        </w:tc>
      </w:tr>
      <w:tr>
        <w:trPr>
          <w:trHeight w:val="38"/>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62"/>
        </w:trPr>
        <w:tc>
          <w:tcPr>
            <w:tcW w:w="460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Technology sales</w:t>
            </w:r>
            <w:r>
              <w:rPr>
                <w:rFonts w:ascii="Times New Roman" w:cs="Times New Roman" w:eastAsia="Times New Roman" w:hAnsi="Times New Roman"/>
                <w:sz w:val="23"/>
                <w:szCs w:val="23"/>
                <w:color w:val="auto"/>
                <w:vertAlign w:val="superscript"/>
              </w:rPr>
              <w:t>(1)</w:t>
            </w:r>
          </w:p>
        </w:tc>
        <w:tc>
          <w:tcPr>
            <w:tcW w:w="120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364</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258</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6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r>
              <w:rPr>
                <w:rFonts w:ascii="Times New Roman" w:cs="Times New Roman" w:eastAsia="Times New Roman" w:hAnsi="Times New Roman"/>
                <w:sz w:val="23"/>
                <w:szCs w:val="23"/>
                <w:color w:val="auto"/>
                <w:vertAlign w:val="superscript"/>
              </w:rPr>
              <w:t>(2)</w:t>
            </w:r>
          </w:p>
        </w:tc>
        <w:tc>
          <w:tcPr>
            <w:tcW w:w="1200" w:type="dxa"/>
            <w:vAlign w:val="bottom"/>
          </w:tcPr>
          <w:p>
            <w:pPr>
              <w:spacing w:after="0"/>
              <w:rPr>
                <w:sz w:val="23"/>
                <w:szCs w:val="23"/>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w:t>
            </w:r>
          </w:p>
        </w:tc>
      </w:tr>
      <w:tr>
        <w:trPr>
          <w:trHeight w:val="26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rentals</w:t>
            </w:r>
            <w:r>
              <w:rPr>
                <w:rFonts w:ascii="Times New Roman" w:cs="Times New Roman" w:eastAsia="Times New Roman" w:hAnsi="Times New Roman"/>
                <w:sz w:val="23"/>
                <w:szCs w:val="23"/>
                <w:color w:val="auto"/>
                <w:vertAlign w:val="superscript"/>
              </w:rPr>
              <w:t>(3)</w:t>
            </w:r>
          </w:p>
        </w:tc>
        <w:tc>
          <w:tcPr>
            <w:tcW w:w="12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233</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128</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597</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4,728</w:t>
            </w: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386</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6,122</w:t>
            </w:r>
          </w:p>
        </w:tc>
      </w:tr>
      <w:tr>
        <w:trPr>
          <w:trHeight w:val="20"/>
        </w:trPr>
        <w:tc>
          <w:tcPr>
            <w:tcW w:w="4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right="20" w:hanging="315"/>
        <w:spacing w:after="0" w:line="259" w:lineRule="auto"/>
        <w:tabs>
          <w:tab w:leader="none" w:pos="332"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paid prior to the recognition of the related revenue are deferred and recognized upon the client acceptance of the IMAX System. Direct advertising and marketing costs for each IMAX System are expensed as incurred.</w:t>
      </w:r>
    </w:p>
    <w:p>
      <w:pPr>
        <w:ind w:left="340" w:hanging="315"/>
        <w:spacing w:after="0"/>
        <w:tabs>
          <w:tab w:leader="none" w:pos="34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Film exploitation costs, including advertising and marketing costs, are expensed as incurred.</w:t>
      </w:r>
    </w:p>
    <w:p>
      <w:pPr>
        <w:spacing w:after="0" w:line="13" w:lineRule="exact"/>
        <w:rPr>
          <w:rFonts w:ascii="Times New Roman" w:cs="Times New Roman" w:eastAsia="Times New Roman" w:hAnsi="Times New Roman"/>
          <w:sz w:val="14"/>
          <w:szCs w:val="14"/>
          <w:i w:val="1"/>
          <w:iCs w:val="1"/>
          <w:color w:val="auto"/>
        </w:rPr>
      </w:pPr>
    </w:p>
    <w:p>
      <w:pPr>
        <w:jc w:val="both"/>
        <w:ind w:left="340" w:right="20" w:hanging="315"/>
        <w:spacing w:after="0" w:line="279" w:lineRule="auto"/>
        <w:tabs>
          <w:tab w:leader="none" w:pos="332"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related to joint revenue sharing arrangements accounted for as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3"/>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8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70"/>
        </w:trPr>
        <w:tc>
          <w:tcPr>
            <w:tcW w:w="4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2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Marketing</w:t>
            </w:r>
          </w:p>
        </w:tc>
        <w:tc>
          <w:tcPr>
            <w:tcW w:w="260" w:type="dxa"/>
            <w:vAlign w:val="bottom"/>
          </w:tcPr>
          <w:p>
            <w:pPr>
              <w:spacing w:after="0"/>
              <w:rPr>
                <w:sz w:val="14"/>
                <w:szCs w:val="14"/>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280" w:type="dxa"/>
            <w:vAlign w:val="bottom"/>
          </w:tcPr>
          <w:p>
            <w:pPr>
              <w:spacing w:after="0"/>
              <w:rPr>
                <w:sz w:val="14"/>
                <w:szCs w:val="14"/>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Marketing</w:t>
            </w:r>
          </w:p>
        </w:tc>
      </w:tr>
      <w:tr>
        <w:trPr>
          <w:trHeight w:val="18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4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28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6"/>
                <w:szCs w:val="16"/>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Commissions</w:t>
            </w:r>
          </w:p>
        </w:tc>
        <w:tc>
          <w:tcPr>
            <w:tcW w:w="280" w:type="dxa"/>
            <w:vAlign w:val="bottom"/>
          </w:tcPr>
          <w:p>
            <w:pPr>
              <w:spacing w:after="0"/>
              <w:rPr>
                <w:sz w:val="16"/>
                <w:szCs w:val="16"/>
                <w:color w:val="auto"/>
              </w:rPr>
            </w:pPr>
          </w:p>
        </w:tc>
        <w:tc>
          <w:tcPr>
            <w:tcW w:w="128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and Other</w:t>
            </w:r>
          </w:p>
        </w:tc>
      </w:tr>
      <w:tr>
        <w:trPr>
          <w:trHeight w:val="38"/>
        </w:trPr>
        <w:tc>
          <w:tcPr>
            <w:tcW w:w="46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62"/>
        </w:trPr>
        <w:tc>
          <w:tcPr>
            <w:tcW w:w="460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Technology sales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68"/>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Image enhancement and maintenance services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11,848</w:t>
            </w:r>
          </w:p>
        </w:tc>
      </w:tr>
      <w:tr>
        <w:trPr>
          <w:trHeight w:val="268"/>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rentals</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11,705</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40" w:type="dxa"/>
            <w:vAlign w:val="bottom"/>
          </w:tcPr>
          <w:p>
            <w:pPr>
              <w:spacing w:after="0"/>
              <w:rPr>
                <w:sz w:val="22"/>
                <w:szCs w:val="22"/>
                <w:color w:val="auto"/>
              </w:rPr>
            </w:pPr>
          </w:p>
        </w:tc>
        <w:tc>
          <w:tcPr>
            <w:tcW w:w="2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14,144</w:t>
            </w:r>
          </w:p>
        </w:tc>
      </w:tr>
      <w:tr>
        <w:trPr>
          <w:trHeight w:val="20"/>
        </w:trPr>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right="220" w:hanging="315"/>
        <w:spacing w:after="0" w:line="259" w:lineRule="auto"/>
        <w:tabs>
          <w:tab w:leader="none" w:pos="332"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paid prior to the recognition of the related revenue are deferred and recognized upon the client acceptance of the IMAX System. Direct advertising and marketing costs for each IMAX System are expensed as incurred.</w:t>
      </w:r>
    </w:p>
    <w:p>
      <w:pPr>
        <w:ind w:left="340" w:hanging="315"/>
        <w:spacing w:after="0"/>
        <w:tabs>
          <w:tab w:leader="none" w:pos="34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Film exploitation costs, including advertising and marketing costs, are expensed as incurred.</w:t>
      </w:r>
    </w:p>
    <w:p>
      <w:pPr>
        <w:spacing w:after="0" w:line="13" w:lineRule="exact"/>
        <w:rPr>
          <w:rFonts w:ascii="Times New Roman" w:cs="Times New Roman" w:eastAsia="Times New Roman" w:hAnsi="Times New Roman"/>
          <w:sz w:val="14"/>
          <w:szCs w:val="14"/>
          <w:i w:val="1"/>
          <w:iCs w:val="1"/>
          <w:color w:val="auto"/>
        </w:rPr>
      </w:pPr>
    </w:p>
    <w:p>
      <w:pPr>
        <w:ind w:left="340" w:right="140" w:hanging="315"/>
        <w:spacing w:after="0" w:line="269" w:lineRule="auto"/>
        <w:tabs>
          <w:tab w:leader="none" w:pos="332"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Sales commissions related to joint revenue sharing arrangements accounted for as operating leases are recognized in the month they are earned by the salesperson, which is typically the month in which the IMAX System is installed, and are subject to subsequent performance-based adjustments. Direct advertising and marketing costs for each IMAX System are expensed as incurred.</w:t>
      </w:r>
    </w:p>
    <w:p>
      <w:pPr>
        <w:spacing w:after="0" w:line="3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Included in Selling, General and Administrative Expenses for the three and nine months ended September 30, 2025 is a foreign currency net loss of $0.2 million and loss of $0.4 million, respectively (2024 — net losses of $0.3 million and $0.8 million, respectively) resulting from changes in exchange rates related to foreign currency denominated monetary assets and liabilities. See Note 15 for additional information.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Government Assistance</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recognized $0.1 million and $4.0 million in benefits received from the Internal Revenue Service under the Employee Retention Credit (“ERC”) program which provides for a refundable tax credit for eligible businesses that had employees and were affected during the COVID-19 pandemic. During the nine months ended September 30, 2025, the ERC was recognized as a reduction to Selling, General and Administrative Expenses ($2.7 million) and Costs and Expenses Applicable to Revenues ($1.3 million).</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Collaborative Arrangements</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The accounting policy for the Company’s JRSAs is disclosed in Note 2 of the Company’s audited Consolidated Financial Statements in its 2024 Form 10-</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30"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JRSAs is recorded within Revenues — Technology Sales (for hybrid JRSAs) and Revenues — Technology Rentals (for traditional JRSAs). For the three and nine months ended September 30, 2025, such revenues totaled $23.0 million and $60.9 million, respectively (2024 — $15.9 million and $48.4 million, respectively).</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Film Remastering and Distribution</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earns revenue through the digital remastering of films and other content into IMAX formats for distribution to the IMAX network (“IMAX Film Remastering”). The accounting policy for IMAX Film Remastering and distribution arrangements is disclosed in Note 2 of the Company’s audited Consolidated Financial Statements in its 2024 Form 10-K.</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Revenue attributable to transactions arising between the Company and its customers under IMAX Film Remastering and distribution arrangements is included in Revenues – Image Enhancement and Maintenance Services. For the three and nine months ended September 30, 2025, such revenues totaled $41.9 million and $105.7 million, respectively (2024 — $26.7 million and $77.7 million, respectively). See Note 12 for a disaggregated presentation of the Company’s revenues.</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Co-Produced Film Arrangements</w:t>
      </w:r>
    </w:p>
    <w:p>
      <w:pPr>
        <w:spacing w:after="0" w:line="251"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accounting policies relating to co-produced film arrangements are disclosed in Notes 2 and 3 of the Company’s audited Consolidated Financial Statements in its 2024 Form 10-K.</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September 30, 2025, the Company is party to one co-produced film arrangement, which represented the VIE total assets balance of $1.8 million and liabilities balance of $0.4 million, and four other co-produced film arrangements, the terms of which are similar.</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nine months ended September 30, 2025, expenses of $0.2 million and $0.3 million, respectively (2024 — $0.2 million and $3.2 million, respectively) attributable to transactions between the Company and other parties involved in the production of the films have been included in Costs and Expenses Applicable to Revenues ― Image Enhancement and Maintenance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Condensed Consolidated Statements of Cash Flows – Supplemental Information</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Changes in other operating assets and liabilities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receivables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40" w:type="dxa"/>
            <w:vAlign w:val="bottom"/>
          </w:tcPr>
          <w:p>
            <w:pPr>
              <w:spacing w:after="0"/>
              <w:rPr>
                <w:sz w:val="21"/>
                <w:szCs w:val="21"/>
                <w:color w:val="auto"/>
              </w:rPr>
            </w:pP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(1,932)</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consideration receivables</w:t>
            </w:r>
          </w:p>
        </w:tc>
        <w:tc>
          <w:tcPr>
            <w:tcW w:w="380" w:type="dxa"/>
            <w:vAlign w:val="bottom"/>
          </w:tcPr>
          <w:p>
            <w:pPr>
              <w:spacing w:after="0"/>
              <w:rPr>
                <w:sz w:val="21"/>
                <w:szCs w:val="21"/>
                <w:color w:val="auto"/>
              </w:rPr>
            </w:pPr>
          </w:p>
        </w:tc>
        <w:tc>
          <w:tcPr>
            <w:tcW w:w="120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8"/>
              </w:rPr>
              <w:t>(1,233)</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(10,308)</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8"/>
              </w:rPr>
              <w:t>(2,843)</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(13,771)</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4"/>
        </w:trPr>
        <w:tc>
          <w:tcPr>
            <w:tcW w:w="7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supporting JRSAs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46,415</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Write-downs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3"/>
        </w:trPr>
        <w:tc>
          <w:tcPr>
            <w:tcW w:w="7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7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Equipment supporting JRSAs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Film assets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Significant non-cash investing activities</w:t>
      </w:r>
    </w:p>
    <w:p>
      <w:pPr>
        <w:spacing w:after="0" w:line="300"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accruals related to:</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equipment supporting JRSAs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40" w:type="dxa"/>
            <w:vAlign w:val="bottom"/>
          </w:tcPr>
          <w:p>
            <w:pPr>
              <w:spacing w:after="0"/>
              <w:rPr>
                <w:sz w:val="21"/>
                <w:szCs w:val="21"/>
                <w:color w:val="auto"/>
              </w:rPr>
            </w:pPr>
          </w:p>
        </w:tc>
        <w:tc>
          <w:tcPr>
            <w:tcW w:w="50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of other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amount</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months ended September 30, 2025, the Company recorded an income tax expense of $5.2 million (2024 — $2.4 million). The Company’s effective tax rate of 18.7% for the three months ended September 30, 2025 reflects the geographic allocation of income earned in taxing jurisdictions and reflects a decrease in the valuation allowance.</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nine months ended September 30, 2025, the Company recorded an income tax expense of $13.7 million (2024 — tax expense of $3.5 million). The Company’s effective tax rate of 24.1% for the nine months ended September 30, 2025, reflects the geographic allocation of income earned in taxing jurisdictions and also reflects a decrease in the valuation allowance, withholding taxes and a tax benefit related to share-based compensation.</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“Act”) was enacted, introducing substantial changes to U.S. tax law that will take effect for the Company beginning in fiscal year 2026. Key provisions of the Act include revisions to Interest Deductibility (IRC §163(j)), Bonus Depreciation, and Section §179. The Company is currently evaluating the Act’s potential impact on its Consolidated Financial Statements and will update its assessment as further guidance becomes available.</w:t>
      </w:r>
    </w:p>
    <w:p>
      <w:pPr>
        <w:spacing w:after="0" w:line="20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September 30, 2025, the Company’s Condensed Consolidated Balance Sheets included net deferred income tax assets of $12.7 million (December 31, 2024 — $14.5 million). Realization of net deferred tax assets is dependent upon generation of sufficient taxable income in future years to obtain benefit from the reversal of temporary differences, net operating loss carryforwards and tax credit carryforwards. The amount of net deferred tax assets considered realizable is subject to adjustment in future periods if estimates of future taxable income change.</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2025, the Company’s Condensed Consolidated Balance Sheets also included deferred tax liabilities of $12.5 million (December 31, 2024 — $12.5 million) primarily related to foreign withholding taxes associated with the remaining balance of non-repatriated historical earnings that will not be indefinitely reinvested outside of Canada.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Capital Stock and Reserves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2025, share-based compensation expense totaled $6.3 million and $18.9 million, respectively (2024 — $5.4 million and $16.9 million, respectively) and is reflected in the following accounts in the Condensed Consolidated Statements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 applicable to revenues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4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share-based compensation expense by each award type: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gridSpan w:val="3"/>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20" w:type="dxa"/>
            <w:vAlign w:val="bottom"/>
            <w:gridSpan w:val="3"/>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Share Units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11,198</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IMAX China Long Term Incentive Plan Restricted Share Units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IMAX China Long Term Incentive Plan Performance Stock</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6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Company’s share-based compensation expense included restricted share units to non-employees of less than $0.1 million and $1.7 million respectively, of which $1.7 million granted during the nine month period vested immediately (2024 — $0.1 million and $1.8 million respectively).</w:t>
      </w: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Stock Option Summary</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activity under the Company’s Stock Option Plan (“SOP”) for the nine months ended September 30, 2025 and 2024:</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4"/>
          </w:tcPr>
          <w:p>
            <w:pPr>
              <w:jc w:val="center"/>
              <w:ind w:right="293"/>
              <w:spacing w:after="0"/>
              <w:rPr>
                <w:sz w:val="20"/>
                <w:szCs w:val="20"/>
                <w:color w:val="auto"/>
              </w:rPr>
            </w:pPr>
            <w:r>
              <w:rPr>
                <w:rFonts w:ascii="Times New Roman" w:cs="Times New Roman" w:eastAsia="Times New Roman" w:hAnsi="Times New Roman"/>
                <w:sz w:val="14"/>
                <w:szCs w:val="14"/>
                <w:b w:val="1"/>
                <w:bCs w:val="1"/>
                <w:color w:val="auto"/>
              </w:rPr>
              <w:t>Weighted Average Exercise</w:t>
            </w:r>
          </w:p>
        </w:tc>
      </w:tr>
      <w:tr>
        <w:trPr>
          <w:trHeight w:val="187"/>
        </w:trPr>
        <w:tc>
          <w:tcPr>
            <w:tcW w:w="4600" w:type="dxa"/>
            <w:vAlign w:val="bottom"/>
          </w:tcPr>
          <w:p>
            <w:pPr>
              <w:spacing w:after="0"/>
              <w:rPr>
                <w:sz w:val="16"/>
                <w:szCs w:val="16"/>
                <w:color w:val="auto"/>
              </w:rPr>
            </w:pPr>
          </w:p>
        </w:tc>
        <w:tc>
          <w:tcPr>
            <w:tcW w:w="22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center"/>
              <w:ind w:left="597"/>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04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5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2,469,238</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3,329,422</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(63,863)</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6"/>
        </w:trPr>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Expired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(470,582)</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(607,114)</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Cancelled</w:t>
            </w:r>
          </w:p>
        </w:tc>
        <w:tc>
          <w:tcPr>
            <w:tcW w:w="22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1,934,793</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2,715,853</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exercisable, end of period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1,934,793</w:t>
            </w:r>
          </w:p>
        </w:tc>
        <w:tc>
          <w:tcPr>
            <w:tcW w:w="14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2,715,853</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r>
      <w:tr>
        <w:trPr>
          <w:trHeight w:val="20"/>
        </w:trPr>
        <w:tc>
          <w:tcPr>
            <w:tcW w:w="4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3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Stock options are no longer granted under the SOP.</w:t>
      </w:r>
    </w:p>
    <w:p>
      <w:pPr>
        <w:spacing w:after="0" w:line="2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Restricted Share Units (“RSU”) Summary</w:t>
      </w:r>
    </w:p>
    <w:p>
      <w:pPr>
        <w:spacing w:after="0" w:line="251"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activity in respect of RSUs issued under the IMAX Corporation Second Amended and Restated Long-Term Incentive Plan (as may be amended, “IMAX LTIP”) for the nine months ended September 30, 2025 and 2024:</w:t>
      </w:r>
    </w:p>
    <w:p>
      <w:pPr>
        <w:sectPr>
          <w:pgSz w:w="11900" w:h="16838" w:orient="portrait"/>
          <w:cols w:equalWidth="0" w:num="1">
            <w:col w:w="11240"/>
          </w:cols>
          <w:pgMar w:left="320" w:top="36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80" w:type="dxa"/>
            <w:vAlign w:val="bottom"/>
            <w:gridSpan w:val="4"/>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187"/>
        </w:trPr>
        <w:tc>
          <w:tcPr>
            <w:tcW w:w="4600" w:type="dxa"/>
            <w:vAlign w:val="bottom"/>
          </w:tcPr>
          <w:p>
            <w:pPr>
              <w:spacing w:after="0"/>
              <w:rPr>
                <w:sz w:val="16"/>
                <w:szCs w:val="16"/>
                <w:color w:val="auto"/>
              </w:rPr>
            </w:pPr>
          </w:p>
        </w:tc>
        <w:tc>
          <w:tcPr>
            <w:tcW w:w="2260" w:type="dxa"/>
            <w:vAlign w:val="bottom"/>
            <w:gridSpan w:val="3"/>
          </w:tcPr>
          <w:p>
            <w:pPr>
              <w:ind w:left="10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94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1,465,977</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1,286,830</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555,819</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948,261</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r>
      <w:tr>
        <w:trPr>
          <w:trHeight w:val="26"/>
        </w:trPr>
        <w:tc>
          <w:tcPr>
            <w:tcW w:w="46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settled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(713,130)</w:t>
            </w: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(698,187)</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(40,513)</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w:t>
            </w: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1,268,153</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1,489,430</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LTIP Performance Stock Units (“PSU”) Summary</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grants two types of PSU award, one which vests based on a combination of employee service and the achievement of certain Adjusted EBITDA targets and one which vests based on a combination of employee service and the achievement of total shareholder return (“TSR”) targets. The achievement of these targets is assessed over a three-year performance period, with vesting ranging from 0% to 175% of the initial Adjusted EBITDA PSU award or 150% of the initial TSR PSU award, depending upon actual performance.</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grant date fair value for Adjusted EBITDA PSUs is equal to the closing price of the Company’s common shares on the date of grant or the average closing price of the Company’s common shares for five days prior to the date of grant. The grant date fair value for TSR PSUs is determined using a Monte Carlo Model, influenced by share price and various assumptions, such as market conditions and expected share price volatility over the term of the awards.</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compensation expense attributable for each type of PSU is recognized on a straight-line basis over the requisite service period. If, as a result of management’s assessment, it is projected that a greater or lesser number of PSUs will vest than previously anticipated, a life-to-date adjustment to increase or decrease compensation expense is recorded in the period that such determination is made. The expense recognized in the nine months ended September 30, 2025 and 2024 includes adjustments reflecting management’s estimate of the number of Adjusted EBITDA PSUs expected to vest.</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activity in respect of PSUs issued under the IMAX LTIP for the nine months ended September 30, 2025 and 2024:</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80" w:type="dxa"/>
            <w:vAlign w:val="bottom"/>
            <w:gridSpan w:val="4"/>
          </w:tcPr>
          <w:p>
            <w:pPr>
              <w:jc w:val="center"/>
              <w:ind w:right="314"/>
              <w:spacing w:after="0"/>
              <w:rPr>
                <w:sz w:val="20"/>
                <w:szCs w:val="20"/>
                <w:color w:val="auto"/>
              </w:rPr>
            </w:pPr>
            <w:r>
              <w:rPr>
                <w:rFonts w:ascii="Times New Roman" w:cs="Times New Roman" w:eastAsia="Times New Roman" w:hAnsi="Times New Roman"/>
                <w:sz w:val="14"/>
                <w:szCs w:val="14"/>
                <w:b w:val="1"/>
                <w:bCs w:val="1"/>
                <w:color w:val="auto"/>
              </w:rPr>
              <w:t>Weighted Average Grant Date</w:t>
            </w:r>
          </w:p>
        </w:tc>
      </w:tr>
      <w:tr>
        <w:trPr>
          <w:trHeight w:val="201"/>
        </w:trPr>
        <w:tc>
          <w:tcPr>
            <w:tcW w:w="4600" w:type="dxa"/>
            <w:vAlign w:val="bottom"/>
          </w:tcPr>
          <w:p>
            <w:pPr>
              <w:spacing w:after="0"/>
              <w:rPr>
                <w:sz w:val="17"/>
                <w:szCs w:val="17"/>
                <w:color w:val="auto"/>
              </w:rPr>
            </w:pPr>
          </w:p>
        </w:tc>
        <w:tc>
          <w:tcPr>
            <w:tcW w:w="228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Number of Awards</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gridSpan w:val="3"/>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940" w:type="dxa"/>
            <w:vAlign w:val="bottom"/>
          </w:tcPr>
          <w:p>
            <w:pPr>
              <w:spacing w:after="0"/>
              <w:rPr>
                <w:sz w:val="17"/>
                <w:szCs w:val="17"/>
                <w:color w:val="auto"/>
              </w:rPr>
            </w:pPr>
          </w:p>
        </w:tc>
      </w:tr>
      <w:tr>
        <w:trPr>
          <w:trHeight w:val="38"/>
        </w:trPr>
        <w:tc>
          <w:tcPr>
            <w:tcW w:w="46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beginning of period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1,097,634</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922,621</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r>
      <w:tr>
        <w:trPr>
          <w:trHeight w:val="268"/>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555,247</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580,336</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w:t>
            </w:r>
          </w:p>
        </w:tc>
      </w:tr>
      <w:tr>
        <w:trPr>
          <w:trHeight w:val="268"/>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 and settled</w:t>
            </w:r>
            <w:r>
              <w:rPr>
                <w:rFonts w:ascii="Times New Roman" w:cs="Times New Roman" w:eastAsia="Times New Roman" w:hAnsi="Times New Roman"/>
                <w:sz w:val="23"/>
                <w:szCs w:val="23"/>
                <w:color w:val="auto"/>
                <w:vertAlign w:val="superscript"/>
              </w:rPr>
              <w:t>(1)</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(463,212)</w:t>
            </w: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(316,226)</w:t>
            </w: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42"/>
        </w:trPr>
        <w:tc>
          <w:tcPr>
            <w:tcW w:w="4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(34,301)</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(85,764)</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outstanding,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1,155,368</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1,100,967</w:t>
            </w:r>
          </w:p>
        </w:tc>
        <w:tc>
          <w:tcPr>
            <w:tcW w:w="1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217" w:lineRule="exact"/>
        <w:rPr>
          <w:sz w:val="20"/>
          <w:szCs w:val="20"/>
          <w:color w:val="auto"/>
        </w:rPr>
      </w:pPr>
    </w:p>
    <w:p>
      <w:pPr>
        <w:ind w:left="20" w:right="260" w:firstLine="5"/>
        <w:spacing w:after="0" w:line="279" w:lineRule="auto"/>
        <w:tabs>
          <w:tab w:leader="none" w:pos="222"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nine months ended September 30, 2025, the balance of shares granted includes 176,751 additional shares, at a weighted average grant date fair value per share of $19.53, as PSUs granted in 2022 with Adjusted EBITDA targets vested at 175% on account of full achievement of the targets and TSR targets vested at 123.5%, which reflects actual performance.</w:t>
      </w:r>
    </w:p>
    <w:p>
      <w:pPr>
        <w:spacing w:after="0" w:line="329"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As of September 30, 2025, the maximum number of common shares that may be issued with respect to PSUs outstanding was 1,940,472, assuming full achievement of the Adjusted EBITDA and TSR targets.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53"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On June 12, 2017, the Company announced that its Board of Directors approved a $200.0 million share repurchase program for its common shares that would have expired on June 30, 2020, which was subsequently extended through June 30, 2026 and increased to a total share repurchase authority of $400.0 million. In June 2025, the Company’s Board of Directors approved a 12-month extension to its share repurchase program through June 30, 2027 and an increase of $100.0 million in the Company’s share repurchase program authorization. With the increase of $100 million, the Company’s total share repurchase authority is $500.0 million under the current share repurchase program. As of September 30, 2025, the Company had $250.7 million available under the program. The repurchases may be made either in the open market or through private transactions, including repurchases made pursuant to a plan intended to comply with Rule 10b5-1 under the Securities Exchange Act of 1934, as amended, subject to market conditions, applicable legal requirements, and other relevant factors. The Company has no obligation to repurchase shares and the share repurchase program may be suspended or discontinued by the Company at any time.</w:t>
      </w:r>
    </w:p>
    <w:p>
      <w:pPr>
        <w:spacing w:after="0" w:line="216"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did not have any repurchases of common shares. During the three months ended September 30, 2024, the Company did not have any repurchases of common shares. During the nine months ended September 30, 2024, the Company repurchased 1,166,370 common shares, at an average price of $13.99 per share, for a total of $16.3 million, excluding commissions. During the nine months ended September 30, 2025 and 2024, there were no shares purchased in the administration of employee share-based plans.</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As of September 30, 2025 and December 31, 2024, the IMAX LTIP trustee did not hold any shares. Any shares held with the trustee are recorded at cost and are reported as a reduction against Capital Stock on the Company’s Condensed Consolidated Balance Sheets.</w:t>
      </w:r>
    </w:p>
    <w:p>
      <w:pPr>
        <w:spacing w:after="0" w:line="18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In 2024, IMAX China’s shareholders granted its Board of Directors a general mandate authorizing IMAX China’s Board of Directors, subject to applicable laws, to repurchase shares of IMAX China not to exceed 10% of the total number of issued shares as of June 7, 2024 (34,000,845 shares). This program expired on the date of the 2025 Annual General Meeting of IMAX China on June 12, 2025. During the 2025 Annual General Meeting, shareholders granted its Board of Directors a general mandate authorizing the Board of Directors of IMAX China, subject to applicable laws, to repurchase shares of IMAX China not to exceed 10% of the total number of shares as of June 12, 2025 (33,919,122 shares). This program will be valid until the 2026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w:t>
      </w:r>
    </w:p>
    <w:p>
      <w:pPr>
        <w:spacing w:after="0" w:line="215"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During the three months ended September 30, 2025, IMAX China did not repurchase any common shares. During the nine months ended September 30, 2025, IMAX China repurchased 1,495,900 common shares, at an average price of HKD 7.56 per share ($0.96 per share) for a total of HKD $11.3 million ($1.4 million), excluding commissions. During the three months ended September 30, 2024, IMAX China did not have any repurchases of common shares. During the nine months ended September 30, 2024, IMAX China repurchased 119,900 common shares, at an average price of HKD 7.43 per share ($0.95 per share) for a total of HKD 0.9 million ($0.1 million). The change in the non-controlling interest attributable to IMAX China as a result of common shares repurchased is recorded as a reduction to Non-Controlling Interests in the Condensed Consolidated Balance Sheets and the Condensed Consolidated Statements of Shareholders’ Equity. The difference between the consideration paid and the ownership interest obtained as a result of IMAX China share repurchases is recorded within Other Equity in the Condensed Consolidated Balance Sheets and the Condensed Consolidated Statements of Shareholders’ Equity.</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Basic and Diluted Weighted Average Shares Outstanding</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reconciles the denominator of the basic and diluted weighted average share computations: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298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8"/>
        </w:trPr>
        <w:tc>
          <w:tcPr>
            <w:tcW w:w="5440" w:type="dxa"/>
            <w:vAlign w:val="bottom"/>
          </w:tcPr>
          <w:p>
            <w:pPr>
              <w:spacing w:after="0"/>
              <w:rPr>
                <w:sz w:val="19"/>
                <w:szCs w:val="19"/>
                <w:color w:val="auto"/>
              </w:rPr>
            </w:pPr>
          </w:p>
        </w:tc>
        <w:tc>
          <w:tcPr>
            <w:tcW w:w="1940" w:type="dxa"/>
            <w:vAlign w:val="bottom"/>
            <w:gridSpan w:val="3"/>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3"/>
          </w:tcPr>
          <w:p>
            <w:pPr>
              <w:jc w:val="center"/>
              <w:ind w:left="8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5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40" w:type="dxa"/>
            <w:vAlign w:val="bottom"/>
            <w:vMerge w:val="continue"/>
          </w:tcPr>
          <w:p>
            <w:pPr>
              <w:spacing w:after="0"/>
              <w:rPr>
                <w:sz w:val="15"/>
                <w:szCs w:val="15"/>
                <w:color w:val="auto"/>
              </w:rPr>
            </w:pPr>
          </w:p>
        </w:tc>
        <w:tc>
          <w:tcPr>
            <w:tcW w:w="136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38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544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Issued and outstanding, beginning of period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53,260</w:t>
            </w:r>
          </w:p>
        </w:tc>
        <w:tc>
          <w:tcPr>
            <w:tcW w:w="0" w:type="dxa"/>
            <w:vAlign w:val="bottom"/>
          </w:tcPr>
          <w:p>
            <w:pPr>
              <w:spacing w:after="0"/>
              <w:rPr>
                <w:sz w:val="1"/>
                <w:szCs w:val="1"/>
                <w:color w:val="auto"/>
              </w:rPr>
            </w:pPr>
          </w:p>
        </w:tc>
      </w:tr>
      <w:tr>
        <w:trPr>
          <w:trHeight w:val="24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issued (repurchased), net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26"/>
        </w:trPr>
        <w:tc>
          <w:tcPr>
            <w:tcW w:w="54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53,561</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52,605</w:t>
            </w:r>
          </w:p>
        </w:tc>
        <w:tc>
          <w:tcPr>
            <w:tcW w:w="0" w:type="dxa"/>
            <w:vAlign w:val="bottom"/>
          </w:tcPr>
          <w:p>
            <w:pPr>
              <w:spacing w:after="0"/>
              <w:rPr>
                <w:sz w:val="1"/>
                <w:szCs w:val="1"/>
                <w:color w:val="auto"/>
              </w:rPr>
            </w:pPr>
          </w:p>
        </w:tc>
      </w:tr>
      <w:tr>
        <w:trPr>
          <w:trHeight w:val="268"/>
        </w:trPr>
        <w:tc>
          <w:tcPr>
            <w:tcW w:w="54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effect of potential common shares, if dilutive</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6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55,565</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54,089</w:t>
            </w:r>
          </w:p>
        </w:tc>
        <w:tc>
          <w:tcPr>
            <w:tcW w:w="12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55,242</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53,628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calculation of diluted weighted average shares outstanding excludes 844,551 and 928,945 shares, respectively (2024 — 2,192,874 and 2,769,499 shares, respectively) that are issuable upon the vesting or exercise of share-based compensation including: (i) nil RSUs, respectively, (2024 — nil and 10,798 RSUs, respectively), (ii) 1,510 and 85,904 PSUs, respectively (2024 — nil and 42,848 PSUs, respectively) and (iii) 843,041 stock options, respectively (2024 — 2,192,874 and 2,715,853 stock options, respectively), as the effect would be anti-dilutive.</w:t>
      </w:r>
    </w:p>
    <w:p>
      <w:pPr>
        <w:spacing w:after="0" w:line="210"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calculation of diluted weighted average shares outstanding for the three and nine months ended September 30, 2025 and 2024 also excludes any shares potentially issuable upon the conversion of the Convertible Notes as the average market price of the Company’s common shares during the period of time they were outstanding was less than the conversion price of the Convertible Notes.</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Statutory Surplus Reserve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Pursuant to the corporate law of the People’s Republic of China (“PRC”), entities registered in the PRC are required to maintain certain statutory reserves, which are appropriated from after-tax profits (after offsetting accumulated losses from prior years), as reported in their respective statutory financial statements, before the declaration or payment of dividends to equity holders. All statutory reserves are created for specific purposes.</w:t>
      </w:r>
    </w:p>
    <w:p>
      <w:pPr>
        <w:spacing w:after="0" w:line="20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statutory surplus reserve of RMB 37.7 million ($4.2 million) has reached 50% of the Company’s PRC subsidiaries’ registered capital, and as such, no further contributions to the reserve are required.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Revenue from Contracts with Customers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Disaggregated Information About Revenue</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summarize the Company’s Revenues by reportable segment and revenue stream type for the three and nine months ended September 30, 2025 and 2024:</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41,913</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41,913</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44,543</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44,832</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18,660</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23,047</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18,660</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15,784</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60,420</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60,327</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105,252</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19,360</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61,029</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105,720</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105,720</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112,174</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113,046</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49,380</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60,891</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47,501</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47,501</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49,380</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47,501</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60,891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166,652</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159,675</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279,698</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51,726</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162,636</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285,005</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1014"/>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26,687</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26,687</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30,043</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30,129</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57,971</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45,486</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88,100</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26,305</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46,891</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0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Image Enhancement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20" w:type="dxa"/>
            <w:vAlign w:val="bottom"/>
          </w:tcPr>
          <w:p>
            <w:pPr>
              <w:spacing w:after="0"/>
              <w:rPr>
                <w:sz w:val="15"/>
                <w:szCs w:val="15"/>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Technology Sales</w:t>
            </w: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Maintenance</w:t>
            </w:r>
          </w:p>
        </w:tc>
        <w:tc>
          <w:tcPr>
            <w:tcW w:w="146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Technology Rentals</w:t>
            </w: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Finance Income</w:t>
            </w:r>
          </w:p>
        </w:tc>
        <w:tc>
          <w:tcPr>
            <w:tcW w:w="320" w:type="dxa"/>
            <w:vAlign w:val="bottom"/>
          </w:tcPr>
          <w:p>
            <w:pPr>
              <w:spacing w:after="0"/>
              <w:rPr>
                <w:sz w:val="15"/>
                <w:szCs w:val="15"/>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Remastering and Distribution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77,712</w:t>
            </w:r>
          </w:p>
        </w:tc>
        <w:tc>
          <w:tcPr>
            <w:tcW w:w="140" w:type="dxa"/>
            <w:vAlign w:val="bottom"/>
          </w:tcPr>
          <w:p>
            <w:pPr>
              <w:spacing w:after="0"/>
              <w:rPr>
                <w:sz w:val="21"/>
                <w:szCs w:val="21"/>
                <w:color w:val="auto"/>
              </w:rPr>
            </w:pPr>
          </w:p>
        </w:tc>
        <w:tc>
          <w:tcPr>
            <w:tcW w:w="4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77,712</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Content Solutions</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21,292</w:t>
            </w: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21,506</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99,004</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99,218</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System Sales</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50,926</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System Rentals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48,545</w:t>
            </w:r>
          </w:p>
        </w:tc>
        <w:tc>
          <w:tcPr>
            <w:tcW w:w="0" w:type="dxa"/>
            <w:vAlign w:val="bottom"/>
          </w:tcPr>
          <w:p>
            <w:pPr>
              <w:spacing w:after="0"/>
              <w:rPr>
                <w:sz w:val="1"/>
                <w:szCs w:val="1"/>
                <w:color w:val="auto"/>
              </w:rPr>
            </w:pPr>
          </w:p>
        </w:tc>
      </w:tr>
      <w:tr>
        <w:trPr>
          <w:trHeight w:val="242"/>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45,835</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45,835</w:t>
            </w: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Income</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0" w:type="dxa"/>
            <w:vAlign w:val="bottom"/>
          </w:tcPr>
          <w:p>
            <w:pPr>
              <w:spacing w:after="0"/>
              <w:rPr>
                <w:sz w:val="1"/>
                <w:szCs w:val="1"/>
                <w:color w:val="auto"/>
              </w:rPr>
            </w:pPr>
          </w:p>
        </w:tc>
      </w:tr>
      <w:tr>
        <w:trPr>
          <w:trHeight w:val="235"/>
        </w:trPr>
        <w:tc>
          <w:tcPr>
            <w:tcW w:w="40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50,926</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45,835</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48,545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152,019</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50,926</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144,839</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251,237</w:t>
            </w:r>
          </w:p>
        </w:tc>
        <w:tc>
          <w:tcPr>
            <w:tcW w:w="0" w:type="dxa"/>
            <w:vAlign w:val="bottom"/>
          </w:tcPr>
          <w:p>
            <w:pPr>
              <w:spacing w:after="0"/>
              <w:rPr>
                <w:sz w:val="1"/>
                <w:szCs w:val="1"/>
                <w:color w:val="auto"/>
              </w:rPr>
            </w:pPr>
          </w:p>
        </w:tc>
      </w:tr>
      <w:tr>
        <w:trPr>
          <w:trHeight w:val="235"/>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0" w:type="dxa"/>
            <w:vAlign w:val="bottom"/>
          </w:tcPr>
          <w:p>
            <w:pPr>
              <w:spacing w:after="0"/>
              <w:rPr>
                <w:sz w:val="1"/>
                <w:szCs w:val="1"/>
                <w:color w:val="auto"/>
              </w:rPr>
            </w:pPr>
          </w:p>
        </w:tc>
      </w:tr>
      <w:tr>
        <w:trPr>
          <w:trHeight w:val="26"/>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54,629</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149,428</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w:t>
            </w:r>
          </w:p>
        </w:tc>
        <w:tc>
          <w:tcPr>
            <w:tcW w:w="1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259,536</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and nine months ended September 30, 2025, revenues earned from Technology Sales include variable consideration of $5.1 million and $11.4 million, respectively (2024 — $8.2 million and $17.6 million, respectively).</w:t>
      </w:r>
    </w:p>
    <w:p>
      <w:pPr>
        <w:spacing w:after="0" w:line="189" w:lineRule="exact"/>
        <w:rPr>
          <w:sz w:val="20"/>
          <w:szCs w:val="20"/>
          <w:color w:val="auto"/>
        </w:rPr>
      </w:pPr>
    </w:p>
    <w:p>
      <w:pPr>
        <w:jc w:val="both"/>
        <w:ind w:firstLine="193"/>
        <w:spacing w:after="0" w:line="259" w:lineRule="auto"/>
        <w:rPr>
          <w:sz w:val="20"/>
          <w:szCs w:val="20"/>
          <w:color w:val="auto"/>
        </w:rPr>
      </w:pPr>
      <w:r>
        <w:rPr>
          <w:rFonts w:ascii="Times New Roman" w:cs="Times New Roman" w:eastAsia="Times New Roman" w:hAnsi="Times New Roman"/>
          <w:sz w:val="18"/>
          <w:szCs w:val="18"/>
          <w:color w:val="auto"/>
        </w:rPr>
        <w:t>For the three and nine months ended September 30, 2025, revenues earned from leasing arrangements total $23.3 million and $61.8 million, respectively (2024 — $15.9 million and $48.4 million, respectively), including $23.3 million and $61.8 million, respectively, in Revenues ― Technology Rentals (2024</w:t>
      </w:r>
    </w:p>
    <w:p>
      <w:pPr>
        <w:spacing w:after="0" w:line="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$16.0 million and $48.5 million, respectively), and $nil and $0.1 million in the three and nine months ended September 30, 2025, respectively, in Revenues ― Technology Sales (2024 — a reversal of $0.1 million).</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IMAX System sale and lease arrangements include a requirement for the Company to provide maintenance services over the life of the arrangement, some of which maintenance services are subject to a consumer price index adjustment each year. In circumstances where customers prepay the entire term’s maintenance fee based on the original arrangement, additional payments are due to the Company for the years after its extended warranty and maintenance obligations expire. Payments, upon renewal each year, are either prepaid or made in arrears and can vary in frequency from monthly to annually. As of September 30, 2025, $21.3 million of consideration has been deferred in relation to outstanding maintenance services to be provided on existing maintenance contracts (December 31, 2024 — $26.5 million).</w:t>
      </w:r>
    </w:p>
    <w:p>
      <w:pPr>
        <w:spacing w:after="0" w:line="21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During the three and nine months ended September 30, 2025, $9.6 million and $29.4 million of revenue, respectively, was recognized from the $52.7 million balance of deferred revenue as of December 31, 2024. During the three and nine months ended September 30, 2024, $11.5 million and $35.7 million of revenue, respectively, was recognized from the $67.1 million balance of deferred revenue as of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Reporting</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Company’s Chief Executive Officer (“CEO”) is its Chief Operating Decision Maker (“CODM”), as such term is defined under U.S. GAAP. The CODM assesses segment performance based on segment revenues and segment gross margins. Selling, general and administrative expenses, research and development costs, the amortization of intangible assets, provision for (reversal of) current expected credit losses, certain write-downs, interest income, interest expense, and income tax (expense) benefit are not allocated to the Company’s segments.</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2 - Summary of Significant Accounting Policies of the 2024 Form 10-K. Intercompany profit or loss is not included in the evaluation of performance and allocation of resources.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Segment Financial Information</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by reportable segment for the three months ended September 30, 2025 and 2024: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8"/>
                <w:szCs w:val="18"/>
                <w:b w:val="1"/>
                <w:bCs w:val="1"/>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60" w:type="dxa"/>
            <w:vAlign w:val="bottom"/>
            <w:tcBorders>
              <w:bottom w:val="single" w:sz="8" w:color="auto"/>
            </w:tcBorders>
          </w:tcPr>
          <w:p>
            <w:pPr>
              <w:spacing w:after="0"/>
              <w:rPr>
                <w:sz w:val="19"/>
                <w:szCs w:val="19"/>
                <w:color w:val="auto"/>
              </w:rPr>
            </w:pPr>
          </w:p>
        </w:tc>
      </w:tr>
      <w:tr>
        <w:trPr>
          <w:trHeight w:val="18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44,832</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30,129</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31,923</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16,449</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57,971</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34,820</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31,964</w:t>
            </w: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105,252</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88,100</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66,743</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48,413</w:t>
            </w:r>
          </w:p>
        </w:tc>
      </w:tr>
      <w:tr>
        <w:trPr>
          <w:trHeight w:val="23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4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106,654</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67,271</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jc w:val="both"/>
        <w:ind w:left="340" w:right="20" w:hanging="315"/>
        <w:spacing w:after="0" w:line="269" w:lineRule="auto"/>
        <w:tabs>
          <w:tab w:leader="none" w:pos="332"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Company’s largest customer represents 10% of total Revenues for the three months ended September 30, 2025 (2024 — 13%). No single customer comprised more than 10% of the Company’s total Accounts Receivable balance as of September 30, 2025. No single customer accounted for more than 10% of the Company’s total Accounts Receivable balance as of December 31, 2024.</w:t>
      </w:r>
    </w:p>
    <w:p>
      <w:pPr>
        <w:spacing w:after="0" w:line="3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and gross margin by reportable segment for the nine months ended September 30, 2025 and 2024:</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6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8"/>
                <w:szCs w:val="18"/>
                <w:b w:val="1"/>
                <w:bCs w:val="1"/>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60" w:type="dxa"/>
            <w:vAlign w:val="bottom"/>
            <w:tcBorders>
              <w:bottom w:val="single" w:sz="8" w:color="auto"/>
            </w:tcBorders>
          </w:tcPr>
          <w:p>
            <w:pPr>
              <w:spacing w:after="0"/>
              <w:rPr>
                <w:sz w:val="19"/>
                <w:szCs w:val="19"/>
                <w:color w:val="auto"/>
              </w:rPr>
            </w:pPr>
          </w:p>
        </w:tc>
      </w:tr>
      <w:tr>
        <w:trPr>
          <w:trHeight w:val="183"/>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46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113,046</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77,908</w:t>
            </w:r>
          </w:p>
        </w:tc>
        <w:tc>
          <w:tcPr>
            <w:tcW w:w="1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54,686</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166,652</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152,019</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94,084</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81,331</w:t>
            </w: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279,698</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251,237</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171,992</w:t>
            </w:r>
          </w:p>
        </w:tc>
        <w:tc>
          <w:tcPr>
            <w:tcW w:w="1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136,017</w:t>
            </w:r>
          </w:p>
        </w:tc>
      </w:tr>
      <w:tr>
        <w:trPr>
          <w:trHeight w:val="23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4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w:t>
            </w:r>
          </w:p>
        </w:tc>
      </w:tr>
      <w:tr>
        <w:trPr>
          <w:trHeight w:val="26"/>
        </w:trPr>
        <w:tc>
          <w:tcPr>
            <w:tcW w:w="46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285,005</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259,536</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174,049</w:t>
            </w:r>
          </w:p>
        </w:tc>
        <w:tc>
          <w:tcPr>
            <w:tcW w:w="1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141,835</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right="20" w:hanging="315"/>
        <w:spacing w:after="0" w:line="299" w:lineRule="auto"/>
        <w:tabs>
          <w:tab w:leader="none" w:pos="332"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Company’s largest customer represented 9% of total Revenues for the nine months ended September 30, 2025 (2024 — 11%). No single customer comprised more than 10% of the Company’s total Accounts Receivable as of September 30, 2025. No single customer comprised more than 10% of the Company’s total Accounts Receivable as of December 31, 2024.</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following table presents the Costs and Expenses Applicable to Revenues for the Content Solutions segment that is made available to the CODM as part of the Company’s annual and quarterly financial reporting requirements in accordance with U.S. GAAP:</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 Solutions Segment:</w:t>
            </w:r>
          </w:p>
        </w:tc>
        <w:tc>
          <w:tcPr>
            <w:tcW w:w="300" w:type="dxa"/>
            <w:vAlign w:val="bottom"/>
          </w:tcPr>
          <w:p>
            <w:pPr>
              <w:spacing w:after="0"/>
              <w:rPr>
                <w:sz w:val="20"/>
                <w:szCs w:val="20"/>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20"/>
                <w:szCs w:val="20"/>
                <w:color w:val="auto"/>
              </w:rPr>
            </w:pPr>
          </w:p>
        </w:tc>
        <w:tc>
          <w:tcPr>
            <w:tcW w:w="290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47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99,218</w:t>
            </w:r>
          </w:p>
        </w:tc>
        <w:tc>
          <w:tcPr>
            <w:tcW w:w="0" w:type="dxa"/>
            <w:vAlign w:val="bottom"/>
          </w:tcPr>
          <w:p>
            <w:pPr>
              <w:spacing w:after="0"/>
              <w:rPr>
                <w:sz w:val="1"/>
                <w:szCs w:val="1"/>
                <w:color w:val="auto"/>
              </w:rPr>
            </w:pPr>
          </w:p>
        </w:tc>
      </w:tr>
      <w:tr>
        <w:trPr>
          <w:trHeight w:val="242"/>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Film asset amortization</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18,659</w:t>
            </w: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other selling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11,848</w:t>
            </w:r>
          </w:p>
        </w:tc>
        <w:tc>
          <w:tcPr>
            <w:tcW w:w="0" w:type="dxa"/>
            <w:vAlign w:val="bottom"/>
          </w:tcPr>
          <w:p>
            <w:pPr>
              <w:spacing w:after="0"/>
              <w:rPr>
                <w:sz w:val="1"/>
                <w:szCs w:val="1"/>
                <w:color w:val="auto"/>
              </w:rPr>
            </w:pPr>
          </w:p>
        </w:tc>
      </w:tr>
      <w:tr>
        <w:trPr>
          <w:trHeight w:val="242"/>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Co-produced film participation expenses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8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10,627</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w:t>
            </w:r>
          </w:p>
        </w:tc>
        <w:tc>
          <w:tcPr>
            <w:tcW w:w="0" w:type="dxa"/>
            <w:vAlign w:val="bottom"/>
          </w:tcPr>
          <w:p>
            <w:pPr>
              <w:spacing w:after="0"/>
              <w:rPr>
                <w:sz w:val="1"/>
                <w:szCs w:val="1"/>
                <w:color w:val="auto"/>
              </w:rPr>
            </w:pPr>
          </w:p>
        </w:tc>
      </w:tr>
      <w:tr>
        <w:trPr>
          <w:trHeight w:val="235"/>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 Applicable to Revenues</w:t>
            </w: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44,532</w:t>
            </w:r>
          </w:p>
        </w:tc>
        <w:tc>
          <w:tcPr>
            <w:tcW w:w="0" w:type="dxa"/>
            <w:vAlign w:val="bottom"/>
          </w:tcPr>
          <w:p>
            <w:pPr>
              <w:spacing w:after="0"/>
              <w:rPr>
                <w:sz w:val="1"/>
                <w:szCs w:val="1"/>
                <w:color w:val="auto"/>
              </w:rPr>
            </w:pPr>
          </w:p>
        </w:tc>
      </w:tr>
      <w:tr>
        <w:trPr>
          <w:trHeight w:val="26"/>
        </w:trPr>
        <w:tc>
          <w:tcPr>
            <w:tcW w:w="4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31,923</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within the Other segment expenses are costs related to film distribution, post production costs, production costs, and network connectivity fees.</w:t>
      </w:r>
    </w:p>
    <w:p>
      <w:pPr>
        <w:spacing w:after="0" w:line="368"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The following table presents the Costs and Expenses Applicable to Revenues for the Technology Products and Services reportable segment that is made available to the CODM as part of the Company’s annual and quarterly financial reporting requirements in accordance with U.S. GAAP:</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 Segment:</w:t>
            </w:r>
          </w:p>
        </w:tc>
        <w:tc>
          <w:tcPr>
            <w:tcW w:w="300" w:type="dxa"/>
            <w:vAlign w:val="bottom"/>
          </w:tcPr>
          <w:p>
            <w:pPr>
              <w:spacing w:after="0"/>
              <w:rPr>
                <w:sz w:val="20"/>
                <w:szCs w:val="20"/>
                <w:color w:val="auto"/>
              </w:rPr>
            </w:pPr>
          </w:p>
        </w:tc>
        <w:tc>
          <w:tcPr>
            <w:tcW w:w="29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20"/>
                <w:szCs w:val="20"/>
                <w:color w:val="auto"/>
              </w:rPr>
            </w:pPr>
          </w:p>
        </w:tc>
        <w:tc>
          <w:tcPr>
            <w:tcW w:w="290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
        </w:trPr>
        <w:tc>
          <w:tcPr>
            <w:tcW w:w="4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7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4760" w:type="dxa"/>
            <w:vAlign w:val="bottom"/>
            <w:tcBorders>
              <w:bottom w:val="single" w:sz="8" w:color="CCEEFF"/>
            </w:tcBorders>
          </w:tcPr>
          <w:p>
            <w:pPr>
              <w:spacing w:after="0"/>
              <w:rPr>
                <w:sz w:val="3"/>
                <w:szCs w:val="3"/>
                <w:color w:val="auto"/>
              </w:rPr>
            </w:pPr>
          </w:p>
        </w:tc>
        <w:tc>
          <w:tcPr>
            <w:tcW w:w="300" w:type="dxa"/>
            <w:vAlign w:val="bottom"/>
            <w:tcBorders>
              <w:bottom w:val="single" w:sz="8" w:color="494949"/>
            </w:tcBorders>
          </w:tcPr>
          <w:p>
            <w:pPr>
              <w:spacing w:after="0"/>
              <w:rPr>
                <w:sz w:val="3"/>
                <w:szCs w:val="3"/>
                <w:color w:val="auto"/>
              </w:rPr>
            </w:pPr>
          </w:p>
        </w:tc>
        <w:tc>
          <w:tcPr>
            <w:tcW w:w="1240" w:type="dxa"/>
            <w:vAlign w:val="bottom"/>
            <w:tcBorders>
              <w:bottom w:val="single" w:sz="8" w:color="494949"/>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494949"/>
            </w:tcBorders>
          </w:tcPr>
          <w:p>
            <w:pPr>
              <w:spacing w:after="0"/>
              <w:rPr>
                <w:sz w:val="3"/>
                <w:szCs w:val="3"/>
                <w:color w:val="auto"/>
              </w:rPr>
            </w:pPr>
          </w:p>
        </w:tc>
        <w:tc>
          <w:tcPr>
            <w:tcW w:w="1180" w:type="dxa"/>
            <w:vAlign w:val="bottom"/>
            <w:tcBorders>
              <w:bottom w:val="single" w:sz="8" w:color="494949"/>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494949"/>
            </w:tcBorders>
          </w:tcPr>
          <w:p>
            <w:pPr>
              <w:spacing w:after="0"/>
              <w:rPr>
                <w:sz w:val="3"/>
                <w:szCs w:val="3"/>
                <w:color w:val="auto"/>
              </w:rPr>
            </w:pPr>
          </w:p>
        </w:tc>
        <w:tc>
          <w:tcPr>
            <w:tcW w:w="1260" w:type="dxa"/>
            <w:vAlign w:val="bottom"/>
            <w:tcBorders>
              <w:bottom w:val="single" w:sz="8" w:color="494949"/>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494949"/>
            </w:tcBorders>
          </w:tcPr>
          <w:p>
            <w:pPr>
              <w:spacing w:after="0"/>
              <w:rPr>
                <w:sz w:val="3"/>
                <w:szCs w:val="3"/>
                <w:color w:val="auto"/>
              </w:rPr>
            </w:pPr>
          </w:p>
        </w:tc>
        <w:tc>
          <w:tcPr>
            <w:tcW w:w="1200" w:type="dxa"/>
            <w:vAlign w:val="bottom"/>
            <w:tcBorders>
              <w:bottom w:val="single" w:sz="8" w:color="494949"/>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57,971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152,019</w:t>
            </w:r>
          </w:p>
        </w:tc>
        <w:tc>
          <w:tcPr>
            <w:tcW w:w="0" w:type="dxa"/>
            <w:vAlign w:val="bottom"/>
          </w:tcPr>
          <w:p>
            <w:pPr>
              <w:spacing w:after="0"/>
              <w:rPr>
                <w:sz w:val="1"/>
                <w:szCs w:val="1"/>
                <w:color w:val="auto"/>
              </w:rPr>
            </w:pPr>
          </w:p>
        </w:tc>
      </w:tr>
      <w:tr>
        <w:trPr>
          <w:trHeight w:val="242"/>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of equipment supporting JRSAs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17,011</w:t>
            </w: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Marketing and other selling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42"/>
        </w:trPr>
        <w:tc>
          <w:tcPr>
            <w:tcW w:w="4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Write-down of equipment supporting JRSAs</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w:t>
            </w: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Write-down of inventory</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68"/>
        </w:trPr>
        <w:tc>
          <w:tcPr>
            <w:tcW w:w="4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19,432</w:t>
            </w:r>
          </w:p>
        </w:tc>
        <w:tc>
          <w:tcPr>
            <w:tcW w:w="8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53,330</w:t>
            </w:r>
          </w:p>
        </w:tc>
        <w:tc>
          <w:tcPr>
            <w:tcW w:w="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49,689</w:t>
            </w:r>
          </w:p>
        </w:tc>
        <w:tc>
          <w:tcPr>
            <w:tcW w:w="0" w:type="dxa"/>
            <w:vAlign w:val="bottom"/>
          </w:tcPr>
          <w:p>
            <w:pPr>
              <w:spacing w:after="0"/>
              <w:rPr>
                <w:sz w:val="1"/>
                <w:szCs w:val="1"/>
                <w:color w:val="auto"/>
              </w:rPr>
            </w:pPr>
          </w:p>
        </w:tc>
      </w:tr>
      <w:tr>
        <w:trPr>
          <w:trHeight w:val="262"/>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 Applicable to Revenues</w:t>
            </w:r>
          </w:p>
        </w:tc>
        <w:tc>
          <w:tcPr>
            <w:tcW w:w="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26,007</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72,568</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70,688</w:t>
            </w:r>
          </w:p>
        </w:tc>
        <w:tc>
          <w:tcPr>
            <w:tcW w:w="0" w:type="dxa"/>
            <w:vAlign w:val="bottom"/>
          </w:tcPr>
          <w:p>
            <w:pPr>
              <w:spacing w:after="0"/>
              <w:rPr>
                <w:sz w:val="1"/>
                <w:szCs w:val="1"/>
                <w:color w:val="auto"/>
              </w:rPr>
            </w:pPr>
          </w:p>
        </w:tc>
      </w:tr>
      <w:tr>
        <w:trPr>
          <w:trHeight w:val="262"/>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34,820</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31,964</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94,084</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340" w:right="20" w:hanging="315"/>
        <w:spacing w:after="0" w:line="279" w:lineRule="auto"/>
        <w:tabs>
          <w:tab w:leader="none" w:pos="332" w:val="left"/>
        </w:tabs>
        <w:numPr>
          <w:ilvl w:val="0"/>
          <w:numId w:val="2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Included within the Other segment expenses are costs related to the manufacturing and build of IMAX Systems recognized in the period, maintenance and warranty costs, and other product related costs. Also included is a recovery of $0.5 million for insurance proceeds received during the nine months ended September 30, 2025, associated with inventory costs that were previously written off. The total proceeds received were $0.7 million, and the incremental gain of $0.2 million was recognized in selling, general and administrative expenses.</w:t>
      </w:r>
    </w:p>
    <w:p>
      <w:pPr>
        <w:spacing w:after="0" w:line="3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Revenue by geographic area is based on the location of the customer. Revenue related to IMAX Film Remastering process is presented based upon the geographic location of the IMAX System that exhibits the remastered films. IMAX Film Remastering and distribution revenue is generated through contractual relationships with studios and other third parties that may not be in the same geographical location as the IMAX Systems that exhibit the remastered films.</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summarizes the Company’s revenues by geographic area for the three and nine months ended September 30, 2025 and 2024:</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80" w:type="dxa"/>
            <w:vAlign w:val="bottom"/>
            <w:gridSpan w:val="3"/>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80" w:type="dxa"/>
            <w:vAlign w:val="bottom"/>
            <w:gridSpan w:val="3"/>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39,507</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104,469</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103,263</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20,270</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78,072</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65,527</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23,235</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41,838</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35,643</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35,715</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28,440</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7,141</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6,672</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7,254</w:t>
            </w:r>
          </w:p>
        </w:tc>
        <w:tc>
          <w:tcPr>
            <w:tcW w:w="0" w:type="dxa"/>
            <w:vAlign w:val="bottom"/>
          </w:tcPr>
          <w:p>
            <w:pPr>
              <w:spacing w:after="0"/>
              <w:rPr>
                <w:sz w:val="1"/>
                <w:szCs w:val="1"/>
                <w:color w:val="auto"/>
              </w:rPr>
            </w:pPr>
          </w:p>
        </w:tc>
      </w:tr>
      <w:tr>
        <w:trPr>
          <w:trHeight w:val="26"/>
        </w:trPr>
        <w:tc>
          <w:tcPr>
            <w:tcW w:w="4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0" w:type="dxa"/>
            <w:vAlign w:val="bottom"/>
          </w:tcPr>
          <w:p>
            <w:pPr>
              <w:spacing w:after="0"/>
              <w:rPr>
                <w:sz w:val="1"/>
                <w:szCs w:val="1"/>
                <w:color w:val="auto"/>
              </w:rPr>
            </w:pPr>
          </w:p>
        </w:tc>
      </w:tr>
      <w:tr>
        <w:trPr>
          <w:trHeight w:val="26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106,654</w:t>
            </w:r>
          </w:p>
        </w:tc>
        <w:tc>
          <w:tcPr>
            <w:tcW w:w="14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285,005</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259,536</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United States, Greater China (which includes the mainland of the People’s Republic of China, Hong Kong, Macau, and Taiwan), Western Europe, and Asia (excluding Greater China) each comprise greater than 10% of the Company’s total revenues for the three and nine months ended September 30, 2025 and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Employee’s Pension and Postretirement Benefits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has an unfunded defined benefit pension plan, the Supplemental Executive Retirement Plan (the “SERP”), covering its CEO, Richard 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Gelfond. Under the terms of his employment agreement, as amended, the total benefit payable to Mr. Gelfond under the SERP is fixed at $20.3 million.</w:t>
      </w:r>
    </w:p>
    <w:p>
      <w:pPr>
        <w:spacing w:after="0" w:line="230"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As of September 30, 2025, the Company’s projected benefit obligation under the SERP was $17.4 million (December 31, 2024 — $19.0 million). For the three and nine months ended September 30, 2025, the Company recorded interest costs of $0.1 million and $0.5 million, respectively, (2024 — $0.2 million and $0.6 million, respectively) related to the SERP. Pursuant to an amendment to his employment agreement dated July 17, 2025, the term of Mr. Gelfond’s employment was extended through December 31, 2028. As a result, during the three months ended September 30, 2025, the Company recorded an actuarial gain of $2.3 million as a component of Other Comprehensive (Loss) Income. The Company expects to recognize additional interest costs of $0.2 million related to the SERP during the remainder of 2025. No contributions are expected to be made to the SERP in 2025.</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Benefits – Executives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has an unfunded postretirement plan for Mr. Gelfond and Bradley J. Wechsler, former Chairman of the Company’s Board of Directors (the “Executive Postretirement Benefit Plan”).</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2025, the Company’s postretirement benefits obligation under this plan was $0.5 million (December 31, 2024 — $0.5 million). For the three and nine months ended September 30, 2025, the Company has recorded an expense of less than $0.1 million, respectively (2024 — less than $0.1 million, respectively) related to this plan.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Postretirement Benefits – Canadian Employees</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has an unfunded postretirement plan for its Canadian employees meeting specific eligibility requirements. The Company will provide eligible participants, upon retirement, with health and welfare benefits. As of September 30, 2025, the Company’s postretirement benefits obligation under this plan was $0.8 million (December 31, 2024 — $0.8 million). For the three and nine months ended September 30, 2025, the Company has recorded expense of less than $0.1 million, respectively, (2024 — less than $0.1 million, respectively) related to this plan.</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Benefit Plan</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maintained a nonqualified deferred compensation benefit plan (the “Retirement Plan”) covering the former CEO of IMAX Entertainment and Senior Executive Vice President of the Company. Under the terms of the Retirement Plan, the benefits were due to vest in full if the executive incurred a separation from service from the Company (as defined therein).</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2025, the benefit obligation related to the Retirement Plan was $4.4 million (December 31, 2024 — $4.2 million) and is recorded on the Company’s Condensed Consolidated Balance Sheets within Accrued and Other Liabilities. As the Retirement Plan is fully vested, the benefit obligation is measured at the present value of the benefits expected to be paid in the future</w:t>
      </w:r>
    </w:p>
    <w:p>
      <w:pPr>
        <w:sectPr>
          <w:pgSz w:w="11900" w:h="16838" w:orient="portrait"/>
          <w:cols w:equalWidth="0" w:num="1">
            <w:col w:w="11240"/>
          </w:cols>
          <w:pgMar w:left="320" w:top="362"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accretion of interest recognized in the Condensed Consolidated Statements of Operations within Retirement Benefits Non-Service Expense.</w:t>
      </w:r>
    </w:p>
    <w:p>
      <w:pPr>
        <w:spacing w:after="0" w:line="24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Retirement Plan is funded by an investment in company-owned life insurance (“COLI”), which is recorded at its fair value on the Company’s Condensed Consolidated Balance Sheets within Prepaid Expenses. As of September 30, 2025, fair value of the COLI asset was $3.7 million (December 31, 2024 — $3.6 million). Gains and losses resulting from changes in the cash surrender value of the COLI asset are recognized in the Condensed Consolidated Statements of Operations within Realized and Unrealized Investment Gains.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Financial Instruments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Company’s cash is invested with various major financial institutions. The Company’s $143.1 million balance of cash and cash equivalents as of September 30, 2025 (December 31, 2024 — $100.6 million) included $129.8 million in cash held outside of Canada (December 31, 2024 — $85.4 million), of which $85.8 million was held in the PRC (December 31, 2024 — $47.5 million).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carrying values of the Company’s Cash and Cash Equivalents, Accounts Receivable, Variable Consideration, Accounts Payable and Accrued Liabilities due within one year approximate their fair values due to the short-term maturity of these instruments. Including these instruments, the Company’s financial instruments consisted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As of September 30, 2025</w:t>
            </w:r>
          </w:p>
        </w:tc>
        <w:tc>
          <w:tcPr>
            <w:tcW w:w="180" w:type="dxa"/>
            <w:vAlign w:val="bottom"/>
          </w:tcPr>
          <w:p>
            <w:pPr>
              <w:spacing w:after="0"/>
              <w:rPr>
                <w:sz w:val="16"/>
                <w:szCs w:val="16"/>
                <w:color w:val="auto"/>
              </w:rPr>
            </w:pPr>
          </w:p>
        </w:tc>
        <w:tc>
          <w:tcPr>
            <w:tcW w:w="3080" w:type="dxa"/>
            <w:vAlign w:val="bottom"/>
            <w:gridSpan w:val="4"/>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38"/>
        </w:trPr>
        <w:tc>
          <w:tcPr>
            <w:tcW w:w="46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5"/>
                <w:szCs w:val="15"/>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80" w:type="dxa"/>
            <w:vAlign w:val="bottom"/>
          </w:tcPr>
          <w:p>
            <w:pPr>
              <w:spacing w:after="0"/>
              <w:rPr>
                <w:sz w:val="15"/>
                <w:szCs w:val="15"/>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5"/>
                <w:szCs w:val="15"/>
                <w:color w:val="auto"/>
              </w:rPr>
            </w:pPr>
          </w:p>
        </w:tc>
        <w:tc>
          <w:tcPr>
            <w:tcW w:w="144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c>
          <w:tcPr>
            <w:tcW w:w="0" w:type="dxa"/>
            <w:vAlign w:val="bottom"/>
          </w:tcPr>
          <w:p>
            <w:pPr>
              <w:spacing w:after="0"/>
              <w:rPr>
                <w:sz w:val="1"/>
                <w:szCs w:val="1"/>
                <w:color w:val="auto"/>
              </w:rPr>
            </w:pPr>
          </w:p>
        </w:tc>
      </w:tr>
      <w:tr>
        <w:trPr>
          <w:trHeight w:val="38"/>
        </w:trPr>
        <w:tc>
          <w:tcPr>
            <w:tcW w:w="2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58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40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financed sales receivables</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89,526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85,181</w:t>
            </w:r>
          </w:p>
        </w:tc>
        <w:tc>
          <w:tcPr>
            <w:tcW w:w="14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90,546</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81,876</w:t>
            </w:r>
          </w:p>
        </w:tc>
        <w:tc>
          <w:tcPr>
            <w:tcW w:w="0" w:type="dxa"/>
            <w:vAlign w:val="bottom"/>
          </w:tcPr>
          <w:p>
            <w:pPr>
              <w:spacing w:after="0"/>
              <w:rPr>
                <w:sz w:val="1"/>
                <w:szCs w:val="1"/>
                <w:color w:val="auto"/>
              </w:rPr>
            </w:pPr>
          </w:p>
        </w:tc>
      </w:tr>
      <w:tr>
        <w:trPr>
          <w:trHeight w:val="268"/>
        </w:trPr>
        <w:tc>
          <w:tcPr>
            <w:tcW w:w="4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in sales-type leases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29,418</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26,201</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25,322</w:t>
            </w:r>
          </w:p>
        </w:tc>
        <w:tc>
          <w:tcPr>
            <w:tcW w:w="0" w:type="dxa"/>
            <w:vAlign w:val="bottom"/>
          </w:tcPr>
          <w:p>
            <w:pPr>
              <w:spacing w:after="0"/>
              <w:rPr>
                <w:sz w:val="1"/>
                <w:szCs w:val="1"/>
                <w:color w:val="auto"/>
              </w:rPr>
            </w:pPr>
          </w:p>
        </w:tc>
      </w:tr>
      <w:tr>
        <w:trPr>
          <w:trHeight w:val="310"/>
        </w:trPr>
        <w:tc>
          <w:tcPr>
            <w:tcW w:w="4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Convertible Notes</w:t>
            </w:r>
            <w:r>
              <w:rPr>
                <w:rFonts w:ascii="Times New Roman" w:cs="Times New Roman" w:eastAsia="Times New Roman" w:hAnsi="Times New Roman"/>
                <w:sz w:val="23"/>
                <w:szCs w:val="23"/>
                <w:color w:val="auto"/>
                <w:vertAlign w:val="superscript"/>
              </w:rPr>
              <w:t>(2)</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(267,920)</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(230,000)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(234,009)</w:t>
            </w: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340" w:hanging="315"/>
        <w:spacing w:after="0"/>
        <w:tabs>
          <w:tab w:leader="none" w:pos="3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determined using quoted prices in active markets.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Fair value is determined using quoted market prices that are observable in the market or that could be derived from observable market data.</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 Management</w:t>
      </w:r>
    </w:p>
    <w:p>
      <w:pPr>
        <w:spacing w:after="0" w:line="25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is exposed to market risk from changes in foreign currency rates.</w:t>
      </w:r>
    </w:p>
    <w:p>
      <w:pPr>
        <w:spacing w:after="0" w:line="249" w:lineRule="exact"/>
        <w:rPr>
          <w:sz w:val="20"/>
          <w:szCs w:val="20"/>
          <w:color w:val="auto"/>
        </w:rPr>
      </w:pPr>
    </w:p>
    <w:p>
      <w:pPr>
        <w:jc w:val="both"/>
        <w:ind w:firstLine="193"/>
        <w:spacing w:after="0" w:line="271" w:lineRule="auto"/>
        <w:rPr>
          <w:sz w:val="20"/>
          <w:szCs w:val="20"/>
          <w:color w:val="auto"/>
        </w:rPr>
      </w:pPr>
      <w:r>
        <w:rPr>
          <w:rFonts w:ascii="Times New Roman" w:cs="Times New Roman" w:eastAsia="Times New Roman" w:hAnsi="Times New Roman"/>
          <w:sz w:val="17"/>
          <w:szCs w:val="17"/>
          <w:color w:val="auto"/>
        </w:rPr>
        <w:t>A majority of the Company’s revenues are denominated in U.S. Dollars while a significant portion of its costs and expenses are denominated in Canadian Dollars. A portion of the Company’s net U.S. Dollar cash is converted to Canadian Dollars to fund Canadian Dollar expenses through the spot market. In China and Japan, the Company has ongoing operating expenses related to its operations in RMB, HKD and Japanese Yen, respectively. Net cash flows are converted to and from U.S. Dollars through the spot market. The Company also has cash receipts under leases denominated in RMB, Japanese Yen, Canadian Dollars and Euros which are converted to U.S. Dollars through the spot market. In addition, because IMAX films generate box office receipts in 89 different countries, unfavorable exchange rates between applicable local currencies and the U.S. Dollar could have an impact on box-office receipts and the Company’s revenues and results of operations. The Company’s policy is to not use any financial instruments for trading or other speculative purposes.</w:t>
      </w:r>
    </w:p>
    <w:p>
      <w:pPr>
        <w:spacing w:after="0" w:line="198"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continued to meet hedge effectiveness tests as of September 30, 2025 (the “Foreign Currency Hedges”), with settlement dates throughout 2025 and 2026. Foreign currency derivatives are recognized and measured on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in Accumulated Other Comprehensive Loss (“AOCI”) and reclassified to the Condensed Consolidated Statements of Operations when the forecasted transaction occurs. Any ineffective portion is recognized immediately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tabular disclosures reflect the impact that derivative instruments and hedging activities have on the Company’s Condensed Consolidated Financial Statements:</w:t>
      </w:r>
    </w:p>
    <w:p>
      <w:pPr>
        <w:spacing w:after="0" w:line="18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Notional value of derivatives in foreign exchange contracts: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8"/>
        </w:trPr>
        <w:tc>
          <w:tcPr>
            <w:tcW w:w="200" w:type="dxa"/>
            <w:vAlign w:val="bottom"/>
            <w:tcBorders>
              <w:bottom w:val="single" w:sz="8" w:color="CCEEFF"/>
            </w:tcBorders>
          </w:tcPr>
          <w:p>
            <w:pPr>
              <w:spacing w:after="0"/>
              <w:rPr>
                <w:sz w:val="3"/>
                <w:szCs w:val="3"/>
                <w:color w:val="auto"/>
              </w:rPr>
            </w:pPr>
          </w:p>
        </w:tc>
        <w:tc>
          <w:tcPr>
            <w:tcW w:w="38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7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1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48,713</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48,376</w:t>
            </w:r>
          </w:p>
        </w:tc>
      </w:tr>
      <w:tr>
        <w:trPr>
          <w:trHeight w:val="536"/>
        </w:trPr>
        <w:tc>
          <w:tcPr>
            <w:tcW w:w="20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Fair value of derivatives in foreign exchange contracts: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78"/>
        </w:trPr>
        <w:tc>
          <w:tcPr>
            <w:tcW w:w="200" w:type="dxa"/>
            <w:vAlign w:val="bottom"/>
          </w:tcPr>
          <w:p>
            <w:pPr>
              <w:spacing w:after="0"/>
              <w:rPr>
                <w:sz w:val="24"/>
                <w:szCs w:val="24"/>
                <w:color w:val="auto"/>
              </w:rPr>
            </w:pPr>
          </w:p>
        </w:tc>
        <w:tc>
          <w:tcPr>
            <w:tcW w:w="38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24"/>
                <w:szCs w:val="24"/>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8"/>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40" w:type="dxa"/>
            <w:vAlign w:val="bottom"/>
          </w:tcPr>
          <w:p>
            <w:pPr>
              <w:spacing w:after="0"/>
              <w:rPr>
                <w:sz w:val="19"/>
                <w:szCs w:val="19"/>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8"/>
        </w:trPr>
        <w:tc>
          <w:tcPr>
            <w:tcW w:w="4000" w:type="dxa"/>
            <w:vAlign w:val="bottom"/>
            <w:tcBorders>
              <w:bottom w:val="single" w:sz="8" w:color="CCEEFF"/>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28"/>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40" w:type="dxa"/>
            <w:vAlign w:val="bottom"/>
            <w:tcBorders>
              <w:bottom w:val="single" w:sz="8" w:color="CCEEFF"/>
            </w:tcBorders>
            <w:shd w:val="clear" w:color="auto" w:fill="CCEEFF"/>
          </w:tcPr>
          <w:p>
            <w:pPr>
              <w:spacing w:after="0"/>
              <w:rPr>
                <w:sz w:val="19"/>
                <w:szCs w:val="19"/>
                <w:color w:val="auto"/>
              </w:rPr>
            </w:pPr>
          </w:p>
        </w:tc>
        <w:tc>
          <w:tcPr>
            <w:tcW w:w="3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r>
      <w:tr>
        <w:trPr>
          <w:trHeight w:val="242"/>
        </w:trPr>
        <w:tc>
          <w:tcPr>
            <w:tcW w:w="40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 — Forwards</w:t>
            </w:r>
          </w:p>
        </w:tc>
        <w:tc>
          <w:tcPr>
            <w:tcW w:w="39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tcPr>
          <w:p>
            <w:pPr>
              <w:spacing w:after="0"/>
              <w:rPr>
                <w:sz w:val="21"/>
                <w:szCs w:val="21"/>
                <w:color w:val="auto"/>
              </w:rPr>
            </w:pP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8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8"/>
        </w:trPr>
        <w:tc>
          <w:tcPr>
            <w:tcW w:w="200" w:type="dxa"/>
            <w:vAlign w:val="bottom"/>
            <w:tcBorders>
              <w:bottom w:val="single" w:sz="8" w:color="CCEEFF"/>
            </w:tcBorders>
            <w:shd w:val="clear" w:color="auto" w:fill="CCEEFF"/>
          </w:tcPr>
          <w:p>
            <w:pPr>
              <w:spacing w:after="0"/>
              <w:rPr>
                <w:sz w:val="23"/>
                <w:szCs w:val="23"/>
                <w:color w:val="auto"/>
              </w:rPr>
            </w:pPr>
          </w:p>
        </w:tc>
        <w:tc>
          <w:tcPr>
            <w:tcW w:w="3800" w:type="dxa"/>
            <w:vAlign w:val="bottom"/>
            <w:tcBorders>
              <w:bottom w:val="single" w:sz="8" w:color="CCEEFF"/>
            </w:tcBorders>
            <w:shd w:val="clear" w:color="auto" w:fill="CCEEFF"/>
          </w:tcPr>
          <w:p>
            <w:pPr>
              <w:spacing w:after="0"/>
              <w:rPr>
                <w:sz w:val="23"/>
                <w:szCs w:val="23"/>
                <w:color w:val="auto"/>
              </w:rPr>
            </w:pPr>
          </w:p>
        </w:tc>
        <w:tc>
          <w:tcPr>
            <w:tcW w:w="39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35"/>
        </w:trPr>
        <w:tc>
          <w:tcPr>
            <w:tcW w:w="2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w:t>
            </w:r>
          </w:p>
        </w:tc>
      </w:tr>
      <w:tr>
        <w:trPr>
          <w:trHeight w:val="26"/>
        </w:trPr>
        <w:tc>
          <w:tcPr>
            <w:tcW w:w="2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u w:val="single" w:color="auto"/>
          <w:color w:val="auto"/>
        </w:rPr>
        <w:t>Derivatives in foreign currency hedging relationships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280" w:type="dxa"/>
            <w:vAlign w:val="bottom"/>
            <w:vMerge w:val="continue"/>
          </w:tcPr>
          <w:p>
            <w:pPr>
              <w:spacing w:after="0"/>
              <w:rPr>
                <w:sz w:val="15"/>
                <w:szCs w:val="15"/>
                <w:color w:val="auto"/>
              </w:rPr>
            </w:pPr>
          </w:p>
        </w:tc>
        <w:tc>
          <w:tcPr>
            <w:tcW w:w="2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2280" w:type="dxa"/>
            <w:vAlign w:val="bottom"/>
            <w:tcBorders>
              <w:bottom w:val="single" w:sz="8" w:color="CCEEFF"/>
            </w:tcBorders>
          </w:tcPr>
          <w:p>
            <w:pPr>
              <w:spacing w:after="0"/>
              <w:rPr>
                <w:sz w:val="3"/>
                <w:szCs w:val="3"/>
                <w:color w:val="auto"/>
              </w:rPr>
            </w:pPr>
          </w:p>
        </w:tc>
        <w:tc>
          <w:tcPr>
            <w:tcW w:w="23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CCEEFF"/>
          </w:tcPr>
          <w:p>
            <w:pPr>
              <w:spacing w:after="0"/>
              <w:rPr>
                <w:sz w:val="17"/>
                <w:szCs w:val="17"/>
                <w:color w:val="auto"/>
              </w:rPr>
            </w:pPr>
          </w:p>
        </w:tc>
        <w:tc>
          <w:tcPr>
            <w:tcW w:w="23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Derivative (Loss) Gain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 Recognized in OCI</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w:t>
            </w:r>
          </w:p>
        </w:tc>
        <w:tc>
          <w:tcPr>
            <w:tcW w:w="2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(Effective Portion)</w:t>
            </w:r>
          </w:p>
        </w:tc>
        <w:tc>
          <w:tcPr>
            <w:tcW w:w="36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551"/>
        </w:trPr>
        <w:tc>
          <w:tcPr>
            <w:tcW w:w="2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3"/>
          </w:tcPr>
          <w:p>
            <w:pPr>
              <w:jc w:val="center"/>
              <w:ind w:left="5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2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2280" w:type="dxa"/>
            <w:vAlign w:val="bottom"/>
          </w:tcPr>
          <w:p>
            <w:pPr>
              <w:spacing w:after="0"/>
              <w:rPr>
                <w:sz w:val="3"/>
                <w:szCs w:val="3"/>
                <w:color w:val="auto"/>
              </w:rPr>
            </w:pPr>
          </w:p>
        </w:tc>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Derivative Loss</w:t>
            </w: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13"/>
                <w:szCs w:val="13"/>
                <w:color w:val="auto"/>
              </w:rPr>
            </w:pPr>
          </w:p>
        </w:tc>
        <w:tc>
          <w:tcPr>
            <w:tcW w:w="23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Reclassified from AOCI</w:t>
            </w:r>
          </w:p>
        </w:tc>
        <w:tc>
          <w:tcPr>
            <w:tcW w:w="360" w:type="dxa"/>
            <w:vAlign w:val="bottom"/>
          </w:tcPr>
          <w:p>
            <w:pPr>
              <w:spacing w:after="0"/>
              <w:rPr>
                <w:sz w:val="15"/>
                <w:szCs w:val="15"/>
                <w:color w:val="auto"/>
              </w:rPr>
            </w:pPr>
          </w:p>
        </w:tc>
        <w:tc>
          <w:tcPr>
            <w:tcW w:w="1180" w:type="dxa"/>
            <w:vAlign w:val="bottom"/>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7"/>
        </w:trPr>
        <w:tc>
          <w:tcPr>
            <w:tcW w:w="2280" w:type="dxa"/>
            <w:vAlign w:val="bottom"/>
            <w:vMerge w:val="continue"/>
          </w:tcPr>
          <w:p>
            <w:pPr>
              <w:spacing w:after="0"/>
              <w:rPr>
                <w:sz w:val="16"/>
                <w:szCs w:val="16"/>
                <w:color w:val="auto"/>
              </w:rPr>
            </w:pPr>
          </w:p>
        </w:tc>
        <w:tc>
          <w:tcPr>
            <w:tcW w:w="2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3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28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 Selling, general and</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Forwards</w:t>
            </w:r>
          </w:p>
        </w:tc>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6"/>
        </w:trPr>
        <w:tc>
          <w:tcPr>
            <w:tcW w:w="2280" w:type="dxa"/>
            <w:vAlign w:val="bottom"/>
            <w:shd w:val="clear" w:color="auto" w:fill="CCEEFF"/>
          </w:tcPr>
          <w:p>
            <w:pPr>
              <w:spacing w:after="0"/>
              <w:rPr>
                <w:sz w:val="2"/>
                <w:szCs w:val="2"/>
                <w:color w:val="auto"/>
              </w:rPr>
            </w:pPr>
          </w:p>
        </w:tc>
        <w:tc>
          <w:tcPr>
            <w:tcW w:w="23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Company’s estimated net amount of the existing gain as of September 30, 2025 is $0.3 million, which is expected to be reclassified to the Condensed Consolidated Statements of Operations within the next twelve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Non-Controlling Interests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IMAX China Non-Controlling Interest</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As of September 30, 2025, the Company indirectly owned 71.72% of the outstanding equity interest in IMAX China, whose shares trade on the Hong Kong Stock Exchange (December 31, 2024 — 71.40%). IMAX China remains a consolidated subsidiary of the Company. As of September 30, 2025, the balance of the Company’s non-controlling interest in IMAX China was $86.5 million (December 31, 2024 — $78.1 million). For the three and nine months ended September 30, 2025, the net income attributable to the non-controlling interest in IMAX China was $1.9 million and $8.7 million, respectively (2024 — $1.4 million and $5.1 million, respectively).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Restructuring and Other Charges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In the three and nine months ended September 30, 2025, the Company incurred $nil and $0.8 million, respectively (2024 — $nil, respectively) in Restructuring and other charges in the Condensed Consolidated Statements of Operations. These charges reflect the Company’s ongoing strategic initiatives to streamline operations, reduce costs, and enhance organizational efficiency. Specifically, in the nine months ended September 30, 2025, the Company incurred $0.5 million in connection with the implementation of its plan to optimize its organizational structure, including the elimination of redundant roles, addressing spans and layers to capture efficiencies and centralize certain operational roles and $0.3 million of non-recurring fees relating to the 2024 internal asset sale as described in the 2024 Form 10-K.</w:t>
      </w:r>
    </w:p>
    <w:p>
      <w:pPr>
        <w:spacing w:after="0" w:line="214"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As of September 30, 2025, the Company’s liability was $0.8 million (December 31, 2024 — $1.4 million) on the Consolidated Balance Sheets within Accrued and other liabilities related to Restructuring and other charges.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Presented below is Management’s Discussion and Analysis of Financial Condition and Results of Operations (“MD&amp;A”) for IMAX Corporation (together with its consolidated subsidiaries, unless the context requires otherwise, “IMAX” or the “Company”) for the three and nine months ended September 30, 2025 and 2024. This MD&amp;A should be read in conjunction with Note 13, “Segment Reporting,” in the accompanying Condensed Consolidated Financial Statements in Item 1 as well as the Company’s audited consolidated financial statements and related notes and the discussion under the heading “Management’s Discussion and Analysis of Financial Condition and Results of Operations” for the fiscal year ended December 31, 2024 included in the Company’s 2024 Annual Report on Form 10-K (the “2024 Form 10-K”).</w:t>
      </w:r>
    </w:p>
    <w:p>
      <w:pPr>
        <w:spacing w:after="0" w:line="21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of September 30, 2025, the Company indirectly owned 71.72% of the outstanding equity interest in IMAX China Holding, Inc. (“IMAX China”), whose shares trade on the Hong Kong Stock Exchange. IMAX China is a consolidated subsidiary of the Company. For the nine months ended September 30, 2025, net income attributable to IMAX China was $30.5 million, of which $21.9 million was attributable to the shareholders of the Company (2024 — $17.7 million and $12.7 million, respectively).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INFORMATION</w:t>
      </w:r>
    </w:p>
    <w:p>
      <w:pPr>
        <w:spacing w:after="0" w:line="253" w:lineRule="exact"/>
        <w:rPr>
          <w:sz w:val="20"/>
          <w:szCs w:val="20"/>
          <w:color w:val="auto"/>
        </w:rPr>
      </w:pPr>
    </w:p>
    <w:p>
      <w:pPr>
        <w:jc w:val="both"/>
        <w:ind w:firstLine="193"/>
        <w:spacing w:after="0" w:line="249" w:lineRule="auto"/>
        <w:rPr>
          <w:sz w:val="20"/>
          <w:szCs w:val="20"/>
          <w:color w:val="auto"/>
        </w:rPr>
      </w:pPr>
      <w:r>
        <w:rPr>
          <w:rFonts w:ascii="Times New Roman" w:cs="Times New Roman" w:eastAsia="Times New Roman" w:hAnsi="Times New Roman"/>
          <w:sz w:val="18"/>
          <w:szCs w:val="18"/>
          <w:color w:val="auto"/>
        </w:rPr>
        <w:t>Certain statements included in this quarterly report may constitute “forward-looking statements” within the meaning of the U.S. Private Securities Litigation Reform Act of 1995 or “forward-looking information” within the meaning of Canadian securities laws. These forward-looking statements include, but are not limited to, statements regarding business and technology strategies and measures to implement strategies, statements about the Company’s belief and expectations, competitive strengths, goals, market opportunity and penetration, including opportunities in and expected growth from international markets, momentum and runway for, expansion and growth of business, network, operations and technology, future capital expenditures (including the amount and nature thereof), the Company’s technological capabilities and the differentiation thereof, brand equity and brand awareness and the benefits thereof, industry prospects and consumer behavior, future industry developments, including expected releases and the timing and effects thereof, plans and references to the future success of the Company and expectations regarding its future operating, financial and technological results.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However, whether actual results and developments will conform with the expectations and predictions of the Company is subject to a number of risks and uncertainties, including, but not limited to, risks associated with investments and operations in foreign jurisdictions and any future international expansion, including those related to economic, political and regulatory policies of local governments and laws and policies of the United States, Canada, and China, including with respect to escalating and uncertain tariffs and other trade regulations, as well as economic and trade tensions, trade wars, and geopolitical conflicts and the effects thereof; risks related to the Company’s growth and operations in China; industry conditions in China affecting both the Company and its partners; risks related to the failure of the Company’s exhibitors being able to fulfill their contractual payment obligations; risks related to the Company’s failure to attract and retain its employee population; the performance of IMAX remastered films and other films released to the IMAX network; the signing of IMAX theater system agreements; conditions, changes and developments in the commercial exhibition industry; risks related to the Company’s inability to enter into new sales and lease agreements adversely affecting revenue; risks related to the Company’s operating results and cash flow increasing the volatility of the Company’s share price; risks related to currency fluctuations and foreign exchange controls; the potential impact of increased competition in the markets within which the Company operates, including competitive actions by other companies; the failure to respond to change and advancements in technology; risks relating to consolidation among commercial exhibitors and studios; risks related to brand extensions and new business initiatives; conditions in the in-home and out-of-home entertainment industries; the opportunities (or lack thereof) that may be presented to and pursued by the Company; risks related to cybersecurity and data privacy; risks related to the Company’s inability to protect its intellectual property and to avoid infringing, misappropriating, or violating the intellectual property rights of others; risks associated with the Company’s use of artificial intelligence (“AI”) and exploration of additional use cases of AI; risks related to climate change; risks related to weather conditions and natural disasters that may disrupt or harm the Company’s business; risks related to the Company’s indebtedness and compliance with its debt agreements; general economic, market or business conditions; risks related to sustained inflationary pressure; risks related to political, economic and social instability; the failure to convert system backlog into revenue and cash flows; changes in laws or regulations; any statements of belief and any statements of assumptions underlying any of the foregoing; other factors and risks outlined in the Company’s periodic filings with the United States Securities and Exchange Commission (the “SEC”) or in Canada, the System for Electronic Data Analysis and Retrieval (“SEDAR+”); and other factors, many of which are beyond the control of the Company. Consequently, all of the forward-looking statements made in this quarterly report are qualified by these cautionary statements, and actual results or anticipated developments by the Company may not be realized, and even if substantially realized, may not have the expected consequences to, or effects on, the Company. The forward-looking statements herein are made only as of the date hereof and the Company undertakes no obligation to update publicly or otherwise revise any forward-looking statements, whether as a result of new information, future events or otherwise.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254635</wp:posOffset>
            </wp:positionV>
            <wp:extent cx="71335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 w:right="760"/>
        <w:spacing w:after="0" w:line="217" w:lineRule="auto"/>
        <w:rPr>
          <w:sz w:val="20"/>
          <w:szCs w:val="20"/>
          <w:color w:val="auto"/>
        </w:rPr>
      </w:pPr>
      <w:r>
        <w:rPr>
          <w:rFonts w:ascii="Times New Roman" w:cs="Times New Roman" w:eastAsia="Times New Roman" w:hAnsi="Times New Roman"/>
          <w:sz w:val="18"/>
          <w:szCs w:val="18"/>
          <w:color w:val="auto"/>
        </w:rPr>
        <w:t>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3D, Experience It In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DMR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Live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IMAX Enhanced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IMAX StreamSmart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trademarks and trade names of the Company or its subsidiaries that are registered or otherwise protected under laws of various jurisdictions.</w:t>
      </w:r>
    </w:p>
    <w:p>
      <w:pPr>
        <w:spacing w:after="0" w:line="34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makes available, free of charge, its Annual Reports on Form 10-K, Quarterly Reports on Form 10-Q and Current Reports on Form 8-K, and any amendments to such reports, as soon as reasonably practicable after such filings have been made with the SEC and Canadian securities regulators. Reports may be obtained free of charge through the SEC’s website at www.sec.gov or the SEDAR+ website at www.sedarplus.ca and through the Company’s website at www.imax.com or by calling the Company’s Investor Relations Department at 212-821-0154.</w:t>
      </w:r>
    </w:p>
    <w:p>
      <w:pPr>
        <w:spacing w:after="0" w:line="20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announces material information to the public through a variety of means, including filings with the SEC and Canadian securities regulators, press releases, public conference calls, and its website at www.imax.com. The Company uses these channels to communicate with investors and the public about the Company, its products and services, and other matters. Therefore, investors are encouraged to review the information the Company makes public in these locations, as such information could be deemed to be material information. No information included on the Company’s website shall be deemed included or otherwise incorporated into this filing, except where expressly indicated. All references to the Company’s website are intended to be inactive textual references only.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3" w:lineRule="exact"/>
        <w:rPr>
          <w:sz w:val="20"/>
          <w:szCs w:val="20"/>
          <w:color w:val="auto"/>
        </w:rPr>
      </w:pPr>
    </w:p>
    <w:p>
      <w:pPr>
        <w:jc w:val="both"/>
        <w:ind w:firstLine="193"/>
        <w:spacing w:after="0" w:line="242" w:lineRule="auto"/>
        <w:rPr>
          <w:sz w:val="20"/>
          <w:szCs w:val="20"/>
          <w:color w:val="auto"/>
        </w:rPr>
      </w:pPr>
      <w:r>
        <w:rPr>
          <w:rFonts w:ascii="Times New Roman" w:cs="Times New Roman" w:eastAsia="Times New Roman" w:hAnsi="Times New Roman"/>
          <w:sz w:val="18"/>
          <w:szCs w:val="18"/>
          <w:color w:val="auto"/>
        </w:rPr>
        <w:t>IMAX is a premier global technology platform for entertainment and events. Through its proprietary software, auditorium architecture, patented intellectual property, and specialized equipment, IMAX offers a unique end-to-end solution to create superior, awe-inspiring immersive content experiences for which the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is globally renowned. Top filmmakers, movie studios, artists, and creators utilize the cutting-edge visual and sound technology of IMAX to connect with audiences in innovative ways. As a result, IMAX is among the most important and successful global distribution platforms for domestic and international tentpole films. The Company’s global content portfolio includes blockbuster films, both from Hollywood and local language film industries worldwide; IMAX documentaries, both original and acquired (“IMAX Documentaries”); and IMAX events and experiences in emerging verticals, including music, gaming, and sports.</w:t>
      </w:r>
    </w:p>
    <w:p>
      <w:pPr>
        <w:spacing w:after="0" w:line="22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leverages its proprietary technology and engineering in its business, which principally consists of the digital remastering of films and other content into the IMAX format for distribution across the IMAX network (“IMAX Film Remastering”) and the sale or lease of premium IMAX theater systems (“IMAX System(s)”).</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IMAX Systems are based on proprietary and patented image, audio and other technology developed over the course of the Company’s history. The customers for IMAX Systems are principally exhibitors that operate commercial multiplex theaters, and, to a much lesser extent, institutional locations, including museums and science centers, and destination entertainment sites. The Company does not own the locations in the IMAX network, except for one, and is not an exhibitor, but instead sells or leases the IMAX System to exhibitor customers along with licenses to use its trademarks and ongoing maintenance services for which there are annual payments by the exhibitors to IMAX.</w:t>
      </w:r>
    </w:p>
    <w:p>
      <w:pPr>
        <w:spacing w:after="0" w:line="210"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IMAX has the largest global premium format network, more than double the size of its nearest competitor. As of September 30, 2025, there were 1,829 IMAX Systems in 89 countries and territories, including 1,759 commercial multiplexes, 10 commercial destinations, and 60 institutional locations in the Company’s global network. This compares to 1,788 IMAX Systems in 89 countries and territories as of September 30, 2024, including 1,714 commercial multiplexes, 12 commercial destinations, and 62 institutional locations in the Company’s global network. Refer to the table under “IMAX Network and Backlog” for additional information on the composition of the IMAX network.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IMAX Systems provide the Company’s exhibitor customers with a combination of the following benefits:</w:t>
      </w:r>
    </w:p>
    <w:p>
      <w:pPr>
        <w:spacing w:after="0" w:line="249" w:lineRule="exact"/>
        <w:rPr>
          <w:sz w:val="20"/>
          <w:szCs w:val="20"/>
          <w:color w:val="auto"/>
        </w:rPr>
      </w:pPr>
    </w:p>
    <w:p>
      <w:pPr>
        <w:ind w:left="780" w:right="20" w:hanging="387"/>
        <w:spacing w:after="0" w:line="279"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exhibit content that has been enhanced through the IMAX Film Remastering process, which results in higher image and sound fidelity than conventional cinema experiences;</w:t>
      </w:r>
    </w:p>
    <w:p>
      <w:pPr>
        <w:spacing w:after="0" w:line="189" w:lineRule="exact"/>
        <w:rPr>
          <w:rFonts w:ascii="Times New Roman" w:cs="Times New Roman" w:eastAsia="Times New Roman" w:hAnsi="Times New Roman"/>
          <w:sz w:val="18"/>
          <w:szCs w:val="18"/>
          <w:color w:val="auto"/>
        </w:rPr>
      </w:pPr>
    </w:p>
    <w:p>
      <w:pPr>
        <w:ind w:left="780" w:hanging="387"/>
        <w:spacing w:after="0" w:line="279"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high-resolution projectors with specialized equipment and automated theater control systems, which generate significantly more contrast and brightness than conventional theater systems;</w:t>
      </w:r>
    </w:p>
    <w:p>
      <w:pPr>
        <w:spacing w:after="0" w:line="189" w:lineRule="exact"/>
        <w:rPr>
          <w:rFonts w:ascii="Times New Roman" w:cs="Times New Roman" w:eastAsia="Times New Roman" w:hAnsi="Times New Roman"/>
          <w:sz w:val="18"/>
          <w:szCs w:val="18"/>
          <w:color w:val="auto"/>
        </w:rPr>
      </w:pPr>
    </w:p>
    <w:p>
      <w:pPr>
        <w:ind w:left="780" w:hanging="387"/>
        <w:spacing w:after="0" w:line="279" w:lineRule="auto"/>
        <w:tabs>
          <w:tab w:leader="none" w:pos="77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screens and proprietary auditorium geometry, which result in a substantially larger field of view than conventional theatre systems so that the screen extends to the edge of a viewer’s peripheral vision and creates more realistic images;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780" w:hanging="387"/>
        <w:spacing w:after="0" w:line="279" w:lineRule="auto"/>
        <w:tabs>
          <w:tab w:leader="none" w:pos="7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sound system components, which deliver more expansive sound imagery than conventional theatre systems and pinpointed origination of sound to any specific spot in an auditorium equipped with an IMAX System;</w:t>
      </w:r>
    </w:p>
    <w:p>
      <w:pPr>
        <w:spacing w:after="0" w:line="189" w:lineRule="exact"/>
        <w:rPr>
          <w:rFonts w:ascii="Times New Roman" w:cs="Times New Roman" w:eastAsia="Times New Roman" w:hAnsi="Times New Roman"/>
          <w:sz w:val="18"/>
          <w:szCs w:val="18"/>
          <w:color w:val="auto"/>
        </w:rPr>
      </w:pPr>
    </w:p>
    <w:p>
      <w:pPr>
        <w:ind w:left="780" w:hanging="387"/>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theater acoustics, which result in a four-fold reduction in background noise compared to conventional cinema experiences;</w:t>
      </w:r>
    </w:p>
    <w:p>
      <w:pPr>
        <w:spacing w:after="0" w:line="248" w:lineRule="exact"/>
        <w:rPr>
          <w:rFonts w:ascii="Times New Roman" w:cs="Times New Roman" w:eastAsia="Times New Roman" w:hAnsi="Times New Roman"/>
          <w:sz w:val="18"/>
          <w:szCs w:val="18"/>
          <w:color w:val="auto"/>
        </w:rPr>
      </w:pPr>
    </w:p>
    <w:p>
      <w:pPr>
        <w:ind w:left="780" w:hanging="387"/>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maintenance and extended warranty services; and</w:t>
      </w:r>
    </w:p>
    <w:p>
      <w:pPr>
        <w:spacing w:after="0" w:line="248" w:lineRule="exact"/>
        <w:rPr>
          <w:rFonts w:ascii="Times New Roman" w:cs="Times New Roman" w:eastAsia="Times New Roman" w:hAnsi="Times New Roman"/>
          <w:sz w:val="18"/>
          <w:szCs w:val="18"/>
          <w:color w:val="auto"/>
        </w:rPr>
      </w:pPr>
    </w:p>
    <w:p>
      <w:pPr>
        <w:ind w:left="780" w:right="20" w:hanging="387"/>
        <w:spacing w:after="0" w:line="279" w:lineRule="auto"/>
        <w:tabs>
          <w:tab w:leader="none" w:pos="7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to the globally recognized IMAX brand, as well as benefits from IMAX marketing of films being shown in its network and IMAX’s growing social media followership.</w:t>
      </w:r>
    </w:p>
    <w:p>
      <w:pPr>
        <w:spacing w:after="0" w:line="162"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addition, select movies shown in the IMAX network are filmed using proprietary IMAX film cameras or IMAX certified digital cameras, which along with IMAX’s customized guidance and a workflow process, provide filmmakers enhanced and differentiated image quality and an IMAX-exclusive film aspect ratio that delivers up to 26% more image onto a standard IMAX movie screen. In select IMAX locations worldwide, movies filmed with IMAX cameras have an IMAX-exclusive 1.43 film aspect ratio, delivering up to 67% more image onto a standard IMAX movie screen.</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believes that these benefits enable audiences in IMAX locations to feel as if they are a part of the on-screen action, creating a more intense, immersive, and awe-inspiring experience than a conventional cinematic format.</w:t>
      </w:r>
    </w:p>
    <w:p>
      <w:pPr>
        <w:spacing w:after="0" w:line="187" w:lineRule="exact"/>
        <w:rPr>
          <w:sz w:val="20"/>
          <w:szCs w:val="20"/>
          <w:color w:val="auto"/>
        </w:rPr>
      </w:pPr>
    </w:p>
    <w:p>
      <w:pPr>
        <w:jc w:val="both"/>
        <w:ind w:firstLine="193"/>
        <w:spacing w:after="0" w:line="255" w:lineRule="auto"/>
        <w:rPr>
          <w:sz w:val="20"/>
          <w:szCs w:val="20"/>
          <w:color w:val="auto"/>
        </w:rPr>
      </w:pPr>
      <w:r>
        <w:rPr>
          <w:rFonts w:ascii="Times New Roman" w:cs="Times New Roman" w:eastAsia="Times New Roman" w:hAnsi="Times New Roman"/>
          <w:sz w:val="18"/>
          <w:szCs w:val="18"/>
          <w:color w:val="auto"/>
        </w:rPr>
        <w:t xml:space="preserve">As a result of the engineering and scientific achievements that are a hallmark of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the Company’s exhibitor customers typically charge a premium for films released in IMAX’s format versus films exhibited in their other auditoriums. The premium pricing, combined with the higher attendance levels associated with IMAX films, tends to generate incremental box office receipts (“box office”) for the Company’s exhibitor customers and for the movie studios releasing their films to the IMAX network. The incremental box office generated by IMAX films combined with IMAX’s leading global network footprint and scale has helped establish IMAX as a key premium distribution and marketing platform for Hollywood and foreign local language movie studios.</w:t>
      </w:r>
    </w:p>
    <w:p>
      <w:pPr>
        <w:spacing w:after="0" w:line="211"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 xml:space="preserve">The Company achieved a box office record in the third quarter of 2025 of $367.6 million, a 50% increase over the prior year comparative period, from 37 new films and other content released during the period, highlighted by the performance of </w:t>
      </w:r>
      <w:r>
        <w:rPr>
          <w:rFonts w:ascii="Times New Roman" w:cs="Times New Roman" w:eastAsia="Times New Roman" w:hAnsi="Times New Roman"/>
          <w:sz w:val="18"/>
          <w:szCs w:val="18"/>
          <w:i w:val="1"/>
          <w:iCs w:val="1"/>
          <w:color w:val="auto"/>
        </w:rPr>
        <w:t>F1: The Movie,</w:t>
      </w:r>
      <w:r>
        <w:rPr>
          <w:rFonts w:ascii="Times New Roman" w:cs="Times New Roman" w:eastAsia="Times New Roman" w:hAnsi="Times New Roman"/>
          <w:sz w:val="18"/>
          <w:szCs w:val="18"/>
          <w:color w:val="auto"/>
        </w:rPr>
        <w:t xml:space="preserve"> the Company’s highest grossing Hollywood release year-to-date, achieving 15% of the film’s total worldwide box office. The third quarter of 2025 included local language box office of $121 million (or 33% of total box office), led by </w:t>
      </w:r>
      <w:r>
        <w:rPr>
          <w:rFonts w:ascii="Times New Roman" w:cs="Times New Roman" w:eastAsia="Times New Roman" w:hAnsi="Times New Roman"/>
          <w:sz w:val="18"/>
          <w:szCs w:val="18"/>
          <w:i w:val="1"/>
          <w:iCs w:val="1"/>
          <w:color w:val="auto"/>
        </w:rPr>
        <w:t>Demon Slayer: Infinity Castle</w:t>
      </w:r>
      <w:r>
        <w:rPr>
          <w:rFonts w:ascii="Times New Roman" w:cs="Times New Roman" w:eastAsia="Times New Roman" w:hAnsi="Times New Roman"/>
          <w:sz w:val="18"/>
          <w:szCs w:val="18"/>
          <w:color w:val="auto"/>
        </w:rPr>
        <w:t xml:space="preserve"> with IMAX box office of $72 million. The Company has generated over $343 million in local language box office year to date September 2025, surpassing its previous record of $243 million set in 2023.</w:t>
      </w:r>
    </w:p>
    <w:p>
      <w:pPr>
        <w:spacing w:after="0" w:line="208" w:lineRule="exact"/>
        <w:rPr>
          <w:sz w:val="20"/>
          <w:szCs w:val="20"/>
          <w:color w:val="auto"/>
        </w:rPr>
      </w:pPr>
    </w:p>
    <w:p>
      <w:pPr>
        <w:jc w:val="both"/>
        <w:ind w:firstLine="193"/>
        <w:spacing w:after="0" w:line="281" w:lineRule="auto"/>
        <w:rPr>
          <w:sz w:val="20"/>
          <w:szCs w:val="20"/>
          <w:color w:val="auto"/>
        </w:rPr>
      </w:pPr>
      <w:r>
        <w:rPr>
          <w:rFonts w:ascii="Times New Roman" w:cs="Times New Roman" w:eastAsia="Times New Roman" w:hAnsi="Times New Roman"/>
          <w:sz w:val="18"/>
          <w:szCs w:val="18"/>
          <w:color w:val="auto"/>
        </w:rPr>
        <w:t xml:space="preserve">The Company now has four releases on the year: </w:t>
      </w:r>
      <w:r>
        <w:rPr>
          <w:rFonts w:ascii="Times New Roman" w:cs="Times New Roman" w:eastAsia="Times New Roman" w:hAnsi="Times New Roman"/>
          <w:sz w:val="18"/>
          <w:szCs w:val="18"/>
          <w:i w:val="1"/>
          <w:iCs w:val="1"/>
          <w:color w:val="auto"/>
        </w:rPr>
        <w:t>Sinners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Mission: Impossible - The Final Reckoning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F1: The Movie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One Battle After Another,</w:t>
      </w:r>
      <w:r>
        <w:rPr>
          <w:rFonts w:ascii="Times New Roman" w:cs="Times New Roman" w:eastAsia="Times New Roman" w:hAnsi="Times New Roman"/>
          <w:sz w:val="18"/>
          <w:szCs w:val="18"/>
          <w:color w:val="auto"/>
        </w:rPr>
        <w:t xml:space="preserve"> for which IMAX has generated at least 20% of the domestic opening on just over 400 North American screens.</w:t>
      </w:r>
    </w:p>
    <w:p>
      <w:pPr>
        <w:spacing w:after="0" w:line="188"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As a premier global technology platform for entertainment and events, the Company strives to remain at the forefront of advancements in technology. The Company offers a suite of laser-based digital projection systems (“IMAX Laser Systems”), which deliver increased resolution, sharper and brighter images, deeper contrast, and the widest range of colors available to filmmakers today. The Company further believes that its suite of IMAX Laser Systems is helping facilitate the next major renewal and upgrade cycle for the global IMAX network.</w:t>
      </w: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 utilizes AI for image enhancement, streaming technology, and data analysis with the goal of improving various aspects of its business.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the Company is actively exploring other global use cases for AI to save costs and to improve its products, operations, and efficiency.</w:t>
      </w:r>
    </w:p>
    <w:p>
      <w:pPr>
        <w:spacing w:after="0" w:line="230"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U.S. government has implemented substantial and rapidly evolving changes to U.S. trade policies, including increased tariffs on imports. These actions have resulted in retaliatory measures and uncertainty in global trade relationships. For a description of these risks, see “Risk Factors —The Company’s business may be materially adversely affected by the imposition of tariffs and other trade barriers and retaliatory countermeasures implemented by the United States and other governments.” in Part II, Item 1A of this Form 10-Q.</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has organized its operating segments into the following two reportable segments: (i) Content Solutions, which principally includes content enhancement and distribution services, and (ii) Technology Products and Services, which principally includes the sale, lease, and maintenance of IMAX Systems. The Company’s activities that do not meet the criteria to be considered a reportable segment are disclosed within All Other (See Note 13 of Notes to Condensed Consolidated Financial Statements in Part I, Item 1).</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Content Solutions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Content Solutions segment earns revenue from Film Remastering, including the distribution of this content across the IMAX global network. To a lesser extent, the Content Solutions segment also earns revenue from the distribution of large-format documentary films and IMAX events and experiences, including music, gaming, and sports, as well as the provision of film post-production services.</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Content Solutions segment results are influenced by the level of commercial success and box office performance of the films and other content released to the IMAX network, as well as other factors, including the timing of the releases, the timing of documentary downstream sales, the length of play across the IMAX network, the box office share take rates under the Company’s Film Remastering and distribution arrangements, the level of marketing spend associated with the releases in the year, and fluctuations in the value of foreign currencies versus the U.S. Dollar.</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Film Remastering and Distribution</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IMAX Film Remastering is a proprietary technology that digitally remasters films and other content into IMAX formats for distribution across the IMAX network. In a typical IMAX Film Remastering and distribution arrangement, the Company receives a percentage of the box office from a movie studio in exchange for converting a commercial film into the IMAX format and distributing it through the IMAX network. The fee earned by the Company in a typical IMAX Film Remastering and distribution arrangement averages approximately 12.5% of box office (i.e., gross box office (“GBO”) less applicable sales taxes), except for within Greater China, where the Company often receives a lower percentage of net box office due to tax. All box office results in this report are inclusive of China booking fees.</w:t>
      </w:r>
    </w:p>
    <w:p>
      <w:pPr>
        <w:spacing w:after="0" w:line="214"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 xml:space="preserve">IMAX Film Remastering digitally enhances the image quality and/or resolution for projection on IMAX screens while maintaining or enhancing the visual clarity and sound quality to levels for which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is known. IMAX Film Remastering is completed for the image of films released to the IMAX network, creating a unique IMAX version that is optimized for IMAX’s proprietary digital projection systems and format. In addition, the original soundtrack of a film to be exhibited across the IMAX locations is remastered into a unique IMAX digital audio format. IMAX sound systems use proprietary loudspeaker systems, designs and proprietary surround sound configurations to ensure every seat in an auditorium is an optimal listening position.</w:t>
      </w:r>
    </w:p>
    <w:p>
      <w:pPr>
        <w:spacing w:after="0" w:line="214" w:lineRule="exact"/>
        <w:rPr>
          <w:sz w:val="20"/>
          <w:szCs w:val="20"/>
          <w:color w:val="auto"/>
        </w:rPr>
      </w:pPr>
    </w:p>
    <w:p>
      <w:pPr>
        <w:jc w:val="both"/>
        <w:ind w:firstLine="193"/>
        <w:spacing w:after="0" w:line="236" w:lineRule="auto"/>
        <w:rPr>
          <w:sz w:val="20"/>
          <w:szCs w:val="20"/>
          <w:color w:val="auto"/>
        </w:rPr>
      </w:pPr>
      <w:r>
        <w:rPr>
          <w:rFonts w:ascii="Times New Roman" w:cs="Times New Roman" w:eastAsia="Times New Roman" w:hAnsi="Times New Roman"/>
          <w:sz w:val="18"/>
          <w:szCs w:val="18"/>
          <w:color w:val="auto"/>
        </w:rPr>
        <w:t>IMAX films also benefit from enhancements made by individual filmmakers exclusively for the IMAX release of the film. Collectively, the Company refers to these enhancements as “IMAX DNA.” Filmmakers and movie studios increasingly seek to infuse more IMAX DNA in theatrical releases to realize a filmmaker’s creative vision more fully, while generating interest and excitement among moviegoers. Such enhancements include shooting films with IMAX cameras to increase the audience’s immersion in the film and to take advantage of the unique dimensions of the IMAX screen by projecting the film in a larger aspect ratio that delivers up to 26% more image onto a standard IMAX movie screen. In select IMAX locations worldwide, movies filmed with IMAX cameras have an IMAX-exclusive 1.43 film aspect ratio, delivering up to 67% more image. The Company’s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program enables filmmakers to craft films from their inception to optimize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and provides incremental and bespoke marketing support. The box office metrics have demonstrated audiences respond extremely favorably to Filmed For IMAX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titles, resulting in a higher market share for IMAX. In 2025, Filmed for IMAX titles have indexed almost 20% higher than titles with no IMAX DNA.</w:t>
      </w:r>
    </w:p>
    <w:p>
      <w:pPr>
        <w:spacing w:after="0" w:line="227"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 xml:space="preserve">Management believes that growth in international box office represents an important growth opportunity for the Company. The Company’s strategy to capitalize on this opportunity includes expanding the IMAX network into underpenetrated international markets and growing the number of local language films released, particularly in China, Japan, India, France, and South Korea. As the popularity of local language films has continued to increase, the Company has extended its content strategy to distribute local language content beyond native markets. For the three and nine months ended September 30, 2025, local language films exhibited across the Company’s global network generated $120 million and $343 million, respectively, in box office, representing 33% and 36%, respectively, of the Company’s global box office, including the Chinese local language film,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xml:space="preserve">, which became the highest grossing IMAX release of all time in China, and Japanese local language film, </w:t>
      </w:r>
      <w:r>
        <w:rPr>
          <w:rFonts w:ascii="Times New Roman" w:cs="Times New Roman" w:eastAsia="Times New Roman" w:hAnsi="Times New Roman"/>
          <w:sz w:val="18"/>
          <w:szCs w:val="18"/>
          <w:i w:val="1"/>
          <w:iCs w:val="1"/>
          <w:color w:val="auto"/>
        </w:rPr>
        <w:t>Demon Slayer: Infinity Castle,</w:t>
      </w:r>
      <w:r>
        <w:rPr>
          <w:rFonts w:ascii="Times New Roman" w:cs="Times New Roman" w:eastAsia="Times New Roman" w:hAnsi="Times New Roman"/>
          <w:sz w:val="18"/>
          <w:szCs w:val="18"/>
          <w:color w:val="auto"/>
        </w:rPr>
        <w:t xml:space="preserve"> which became the highest grossing IMAX release of all time in Japan.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right="20" w:firstLine="193"/>
        <w:spacing w:after="0" w:line="276" w:lineRule="auto"/>
        <w:rPr>
          <w:sz w:val="20"/>
          <w:szCs w:val="20"/>
          <w:color w:val="auto"/>
        </w:rPr>
      </w:pPr>
      <w:r>
        <w:rPr>
          <w:rFonts w:ascii="Times New Roman" w:cs="Times New Roman" w:eastAsia="Times New Roman" w:hAnsi="Times New Roman"/>
          <w:sz w:val="18"/>
          <w:szCs w:val="18"/>
          <w:color w:val="auto"/>
        </w:rPr>
        <w:t>The following table provides the number of new films and other content that were released to the Company’s global network during the three and nine months ended September 30, 2025 and 2024:</w:t>
      </w: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2300" w:type="dxa"/>
            <w:vAlign w:val="bottom"/>
            <w:gridSpan w:val="3"/>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3"/>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r>
      <w:tr>
        <w:trPr>
          <w:trHeight w:val="228"/>
        </w:trPr>
        <w:tc>
          <w:tcPr>
            <w:tcW w:w="4620" w:type="dxa"/>
            <w:vAlign w:val="bottom"/>
          </w:tcPr>
          <w:p>
            <w:pPr>
              <w:spacing w:after="0"/>
              <w:rPr>
                <w:sz w:val="19"/>
                <w:szCs w:val="19"/>
                <w:color w:val="auto"/>
              </w:rPr>
            </w:pPr>
          </w:p>
        </w:tc>
        <w:tc>
          <w:tcPr>
            <w:tcW w:w="2300" w:type="dxa"/>
            <w:vAlign w:val="bottom"/>
            <w:gridSpan w:val="3"/>
          </w:tcPr>
          <w:p>
            <w:pPr>
              <w:jc w:val="center"/>
              <w:ind w:left="8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3"/>
          </w:tcPr>
          <w:p>
            <w:pPr>
              <w:jc w:val="center"/>
              <w:ind w:left="8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9"/>
                <w:szCs w:val="19"/>
                <w:color w:val="auto"/>
              </w:rPr>
            </w:pPr>
          </w:p>
        </w:tc>
      </w:tr>
      <w:tr>
        <w:trPr>
          <w:trHeight w:val="38"/>
        </w:trPr>
        <w:tc>
          <w:tcPr>
            <w:tcW w:w="462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3"/>
        </w:trPr>
        <w:tc>
          <w:tcPr>
            <w:tcW w:w="4620" w:type="dxa"/>
            <w:vAlign w:val="bottom"/>
          </w:tcPr>
          <w:p>
            <w:pPr>
              <w:spacing w:after="0"/>
              <w:rPr>
                <w:sz w:val="15"/>
                <w:szCs w:val="15"/>
                <w:color w:val="auto"/>
              </w:rPr>
            </w:pP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46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62"/>
        </w:trPr>
        <w:tc>
          <w:tcPr>
            <w:tcW w:w="462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Hollywood film releases</w:t>
            </w:r>
            <w:r>
              <w:rPr>
                <w:rFonts w:ascii="Times New Roman" w:cs="Times New Roman" w:eastAsia="Times New Roman" w:hAnsi="Times New Roman"/>
                <w:sz w:val="23"/>
                <w:szCs w:val="23"/>
                <w:color w:val="auto"/>
                <w:vertAlign w:val="superscript"/>
              </w:rPr>
              <w:t>(1)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2"/>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Local language film releases:</w:t>
            </w: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Korea</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Vietnam</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Thailand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France</w:t>
            </w:r>
          </w:p>
        </w:tc>
        <w:tc>
          <w:tcPr>
            <w:tcW w:w="23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Indonesia</w:t>
            </w:r>
          </w:p>
        </w:tc>
        <w:tc>
          <w:tcPr>
            <w:tcW w:w="230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Egypt</w:t>
            </w:r>
          </w:p>
        </w:tc>
        <w:tc>
          <w:tcPr>
            <w:tcW w:w="23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
        </w:trPr>
        <w:tc>
          <w:tcPr>
            <w:tcW w:w="46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Saudi Arabia</w:t>
            </w:r>
          </w:p>
        </w:tc>
        <w:tc>
          <w:tcPr>
            <w:tcW w:w="2300" w:type="dxa"/>
            <w:vAlign w:val="bottom"/>
            <w:tcBorders>
              <w:bottom w:val="single" w:sz="8" w:color="CCEEFF"/>
            </w:tcBorders>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2"/>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Malaysia</w:t>
            </w:r>
          </w:p>
        </w:tc>
        <w:tc>
          <w:tcPr>
            <w:tcW w:w="23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22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
        </w:trPr>
        <w:tc>
          <w:tcPr>
            <w:tcW w:w="46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2"/>
        </w:trPr>
        <w:tc>
          <w:tcPr>
            <w:tcW w:w="4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local language film releases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5"/>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content experiences</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
        </w:trPr>
        <w:tc>
          <w:tcPr>
            <w:tcW w:w="46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7"/>
        </w:trPr>
        <w:tc>
          <w:tcPr>
            <w:tcW w:w="46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the three and nine months ended September 30, 2025, the films released to the Company’s global network include four and 13 with IMAX DNA (2024 — five).</w:t>
      </w:r>
    </w:p>
    <w:p>
      <w:pPr>
        <w:spacing w:after="0" w:line="368"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 xml:space="preserve">The films distributed through the Company’s global network during the nine months ended September 30, 2025 that generated the highest IMAX box office totals were Chinese local language film </w:t>
      </w:r>
      <w:r>
        <w:rPr>
          <w:rFonts w:ascii="Times New Roman" w:cs="Times New Roman" w:eastAsia="Times New Roman" w:hAnsi="Times New Roman"/>
          <w:sz w:val="18"/>
          <w:szCs w:val="18"/>
          <w:i w:val="1"/>
          <w:iCs w:val="1"/>
          <w:color w:val="auto"/>
        </w:rPr>
        <w:t>Ne Zha 2, F1 The Movie, Mission: Impossible - The Final Reckoning,</w:t>
      </w:r>
      <w:r>
        <w:rPr>
          <w:rFonts w:ascii="Times New Roman" w:cs="Times New Roman" w:eastAsia="Times New Roman" w:hAnsi="Times New Roman"/>
          <w:sz w:val="18"/>
          <w:szCs w:val="18"/>
          <w:color w:val="auto"/>
        </w:rPr>
        <w:t xml:space="preserve"> and Japanese local language film </w:t>
      </w:r>
      <w:r>
        <w:rPr>
          <w:rFonts w:ascii="Times New Roman" w:cs="Times New Roman" w:eastAsia="Times New Roman" w:hAnsi="Times New Roman"/>
          <w:sz w:val="18"/>
          <w:szCs w:val="18"/>
          <w:i w:val="1"/>
          <w:iCs w:val="1"/>
          <w:color w:val="auto"/>
        </w:rPr>
        <w:t xml:space="preserve">Demon Slayer: Infinity Castle. </w:t>
      </w:r>
      <w:r>
        <w:rPr>
          <w:rFonts w:ascii="Times New Roman" w:cs="Times New Roman" w:eastAsia="Times New Roman" w:hAnsi="Times New Roman"/>
          <w:sz w:val="18"/>
          <w:szCs w:val="18"/>
          <w:color w:val="auto"/>
        </w:rPr>
        <w:t>In addition, during the nine months ended September 30, 2025, a number of alternative content films and events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distributed, including </w:t>
      </w:r>
      <w:r>
        <w:rPr>
          <w:rFonts w:ascii="Times New Roman" w:cs="Times New Roman" w:eastAsia="Times New Roman" w:hAnsi="Times New Roman"/>
          <w:sz w:val="18"/>
          <w:szCs w:val="18"/>
          <w:i w:val="1"/>
          <w:iCs w:val="1"/>
          <w:color w:val="auto"/>
        </w:rPr>
        <w:t>Becoming Led Zeppelin, Pink Floyd at Pompeii - MCMLXXII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Prince - Sign O’ The Times.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addition to the 91 IMAX films and alternative content experiences released on the Company’s global network during the nine months ended September 30, 2025, the Company has announced the following additional 22 new films and alternative content experiences to be released throughout the remainder of 2025: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80" w:type="dxa"/>
            <w:vAlign w:val="bottom"/>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rPr>
              <w:t>Scheduled</w:t>
            </w:r>
          </w:p>
        </w:tc>
        <w:tc>
          <w:tcPr>
            <w:tcW w:w="2040" w:type="dxa"/>
            <w:vAlign w:val="bottom"/>
          </w:tcPr>
          <w:p>
            <w:pPr>
              <w:spacing w:after="0"/>
              <w:rPr>
                <w:sz w:val="14"/>
                <w:szCs w:val="14"/>
                <w:color w:val="auto"/>
              </w:rPr>
            </w:pPr>
          </w:p>
        </w:tc>
      </w:tr>
      <w:tr>
        <w:trPr>
          <w:trHeight w:val="229"/>
        </w:trPr>
        <w:tc>
          <w:tcPr>
            <w:tcW w:w="4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860" w:type="dxa"/>
            <w:vAlign w:val="bottom"/>
          </w:tcPr>
          <w:p>
            <w:pPr>
              <w:jc w:val="center"/>
              <w:ind w:left="220"/>
              <w:spacing w:after="0"/>
              <w:rPr>
                <w:sz w:val="20"/>
                <w:szCs w:val="20"/>
                <w:color w:val="auto"/>
              </w:rPr>
            </w:pPr>
            <w:r>
              <w:rPr>
                <w:rFonts w:ascii="Times New Roman" w:cs="Times New Roman" w:eastAsia="Times New Roman" w:hAnsi="Times New Roman"/>
                <w:sz w:val="14"/>
                <w:szCs w:val="14"/>
                <w:b w:val="1"/>
                <w:bCs w:val="1"/>
                <w:color w:val="auto"/>
              </w:rPr>
              <w:t>Studio</w:t>
            </w:r>
          </w:p>
        </w:tc>
        <w:tc>
          <w:tcPr>
            <w:tcW w:w="2080" w:type="dxa"/>
            <w:vAlign w:val="bottom"/>
          </w:tcPr>
          <w:p>
            <w:pPr>
              <w:jc w:val="center"/>
              <w:ind w:left="120"/>
              <w:spacing w:after="0"/>
              <w:rPr>
                <w:sz w:val="20"/>
                <w:szCs w:val="20"/>
                <w:color w:val="auto"/>
              </w:rPr>
            </w:pPr>
            <w:r>
              <w:rPr>
                <w:rFonts w:ascii="Times New Roman" w:cs="Times New Roman" w:eastAsia="Times New Roman" w:hAnsi="Times New Roman"/>
                <w:sz w:val="14"/>
                <w:szCs w:val="14"/>
                <w:b w:val="1"/>
                <w:bCs w:val="1"/>
                <w:color w:val="auto"/>
                <w:w w:val="97"/>
              </w:rPr>
              <w:t>Release Date</w:t>
            </w:r>
            <w:r>
              <w:rPr>
                <w:rFonts w:ascii="Times New Roman" w:cs="Times New Roman" w:eastAsia="Times New Roman" w:hAnsi="Times New Roman"/>
                <w:sz w:val="18"/>
                <w:szCs w:val="18"/>
                <w:b w:val="1"/>
                <w:bCs w:val="1"/>
                <w:color w:val="auto"/>
                <w:w w:val="97"/>
                <w:vertAlign w:val="superscript"/>
              </w:rPr>
              <w:t>(1)</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IMAX DNA</w:t>
            </w:r>
          </w:p>
        </w:tc>
      </w:tr>
      <w:tr>
        <w:trPr>
          <w:trHeight w:val="241"/>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Tron: Ares</w:t>
            </w:r>
          </w:p>
        </w:tc>
        <w:tc>
          <w:tcPr>
            <w:tcW w:w="2860" w:type="dxa"/>
            <w:vAlign w:val="bottom"/>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20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October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41"/>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Chien 51</w:t>
            </w:r>
            <w:r>
              <w:rPr>
                <w:rFonts w:ascii="Times New Roman" w:cs="Times New Roman" w:eastAsia="Times New Roman" w:hAnsi="Times New Roman"/>
                <w:sz w:val="20"/>
                <w:szCs w:val="20"/>
                <w:i w:val="1"/>
                <w:iCs w:val="1"/>
                <w:color w:val="auto"/>
                <w:w w:val="97"/>
                <w:vertAlign w:val="superscript"/>
              </w:rPr>
              <w:t>(2)</w:t>
            </w:r>
          </w:p>
        </w:tc>
        <w:tc>
          <w:tcPr>
            <w:tcW w:w="2860" w:type="dxa"/>
            <w:vAlign w:val="bottom"/>
          </w:tcPr>
          <w:p>
            <w:pPr>
              <w:jc w:val="center"/>
              <w:ind w:left="220"/>
              <w:spacing w:after="0"/>
              <w:rPr>
                <w:sz w:val="20"/>
                <w:szCs w:val="20"/>
                <w:color w:val="auto"/>
              </w:rPr>
            </w:pPr>
            <w:r>
              <w:rPr>
                <w:rFonts w:ascii="Times New Roman" w:cs="Times New Roman" w:eastAsia="Times New Roman" w:hAnsi="Times New Roman"/>
                <w:sz w:val="16"/>
                <w:szCs w:val="16"/>
                <w:color w:val="auto"/>
              </w:rPr>
              <w:t>Pathe</w:t>
            </w:r>
          </w:p>
        </w:tc>
        <w:tc>
          <w:tcPr>
            <w:tcW w:w="208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October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3"/>
              </w:rPr>
              <w:t>Thama</w:t>
            </w:r>
            <w:r>
              <w:rPr>
                <w:rFonts w:ascii="Times New Roman" w:cs="Times New Roman" w:eastAsia="Times New Roman" w:hAnsi="Times New Roman"/>
                <w:sz w:val="20"/>
                <w:szCs w:val="20"/>
                <w:i w:val="1"/>
                <w:iCs w:val="1"/>
                <w:color w:val="auto"/>
                <w:w w:val="93"/>
                <w:vertAlign w:val="superscript"/>
              </w:rPr>
              <w:t>(2)</w:t>
            </w:r>
          </w:p>
        </w:tc>
        <w:tc>
          <w:tcPr>
            <w:tcW w:w="286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rPr>
              <w:t>Maddock Films</w:t>
            </w:r>
          </w:p>
        </w:tc>
        <w:tc>
          <w:tcPr>
            <w:tcW w:w="20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October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2"/>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Springsteen: Deliver Me from Nowhere</w:t>
            </w:r>
          </w:p>
        </w:tc>
        <w:tc>
          <w:tcPr>
            <w:tcW w:w="2860" w:type="dxa"/>
            <w:vAlign w:val="bottom"/>
          </w:tcPr>
          <w:p>
            <w:pPr>
              <w:jc w:val="center"/>
              <w:ind w:left="220"/>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208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October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1"/>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Depeche Mode: M</w:t>
            </w:r>
          </w:p>
        </w:tc>
        <w:tc>
          <w:tcPr>
            <w:tcW w:w="286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w w:val="97"/>
              </w:rPr>
              <w:t>Trafalgar</w:t>
            </w:r>
          </w:p>
        </w:tc>
        <w:tc>
          <w:tcPr>
            <w:tcW w:w="20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October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7"/>
              </w:rPr>
              <w:t>G-Dragon</w:t>
            </w:r>
            <w:r>
              <w:rPr>
                <w:rFonts w:ascii="Times New Roman" w:cs="Times New Roman" w:eastAsia="Times New Roman" w:hAnsi="Times New Roman"/>
                <w:sz w:val="20"/>
                <w:szCs w:val="20"/>
                <w:i w:val="1"/>
                <w:iCs w:val="1"/>
                <w:color w:val="auto"/>
                <w:w w:val="97"/>
                <w:vertAlign w:val="superscript"/>
              </w:rPr>
              <w:t>(2)</w:t>
            </w:r>
          </w:p>
        </w:tc>
        <w:tc>
          <w:tcPr>
            <w:tcW w:w="286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rPr>
              <w:t>CJ ENM</w:t>
            </w:r>
          </w:p>
        </w:tc>
        <w:tc>
          <w:tcPr>
            <w:tcW w:w="208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October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Back to the Future: 40th Anniversary</w:t>
            </w:r>
          </w:p>
        </w:tc>
        <w:tc>
          <w:tcPr>
            <w:tcW w:w="286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rPr>
              <w:t>Universal Pictures</w:t>
            </w:r>
          </w:p>
        </w:tc>
        <w:tc>
          <w:tcPr>
            <w:tcW w:w="20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October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Baahubali: The Epic</w:t>
            </w:r>
            <w:r>
              <w:rPr>
                <w:rFonts w:ascii="Times New Roman" w:cs="Times New Roman" w:eastAsia="Times New Roman" w:hAnsi="Times New Roman"/>
                <w:sz w:val="20"/>
                <w:szCs w:val="20"/>
                <w:i w:val="1"/>
                <w:iCs w:val="1"/>
                <w:color w:val="auto"/>
                <w:w w:val="98"/>
                <w:vertAlign w:val="superscript"/>
              </w:rPr>
              <w:t>(2)</w:t>
            </w:r>
          </w:p>
        </w:tc>
        <w:tc>
          <w:tcPr>
            <w:tcW w:w="286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w w:val="98"/>
              </w:rPr>
              <w:t>Arka Media Works</w:t>
            </w:r>
          </w:p>
        </w:tc>
        <w:tc>
          <w:tcPr>
            <w:tcW w:w="208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October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League of Legends</w:t>
            </w:r>
          </w:p>
        </w:tc>
        <w:tc>
          <w:tcPr>
            <w:tcW w:w="286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rPr>
              <w:t>Riot Games</w:t>
            </w:r>
          </w:p>
        </w:tc>
        <w:tc>
          <w:tcPr>
            <w:tcW w:w="20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J-Hope</w:t>
            </w:r>
            <w:r>
              <w:rPr>
                <w:rFonts w:ascii="Times New Roman" w:cs="Times New Roman" w:eastAsia="Times New Roman" w:hAnsi="Times New Roman"/>
                <w:sz w:val="20"/>
                <w:szCs w:val="20"/>
                <w:i w:val="1"/>
                <w:iCs w:val="1"/>
                <w:color w:val="auto"/>
                <w:w w:val="95"/>
                <w:vertAlign w:val="superscript"/>
              </w:rPr>
              <w:t>(2)</w:t>
            </w:r>
          </w:p>
        </w:tc>
        <w:tc>
          <w:tcPr>
            <w:tcW w:w="286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w w:val="97"/>
              </w:rPr>
              <w:t>Hybe</w:t>
            </w:r>
          </w:p>
        </w:tc>
        <w:tc>
          <w:tcPr>
            <w:tcW w:w="208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Jujutsu Kaisen Execution</w:t>
            </w:r>
          </w:p>
        </w:tc>
        <w:tc>
          <w:tcPr>
            <w:tcW w:w="286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rPr>
              <w:t>Toho Studios</w:t>
            </w:r>
          </w:p>
        </w:tc>
        <w:tc>
          <w:tcPr>
            <w:tcW w:w="20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2"/>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Predator: Badlands</w:t>
            </w:r>
          </w:p>
        </w:tc>
        <w:tc>
          <w:tcPr>
            <w:tcW w:w="2860" w:type="dxa"/>
            <w:vAlign w:val="bottom"/>
          </w:tcPr>
          <w:p>
            <w:pPr>
              <w:jc w:val="center"/>
              <w:ind w:left="220"/>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208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1"/>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The Running Man</w:t>
            </w:r>
          </w:p>
        </w:tc>
        <w:tc>
          <w:tcPr>
            <w:tcW w:w="286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rPr>
              <w:t>Paramount Pictures</w:t>
            </w:r>
          </w:p>
        </w:tc>
        <w:tc>
          <w:tcPr>
            <w:tcW w:w="20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2"/>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6"/>
              </w:rPr>
              <w:t>Scarlet</w:t>
            </w:r>
          </w:p>
        </w:tc>
        <w:tc>
          <w:tcPr>
            <w:tcW w:w="2860" w:type="dxa"/>
            <w:vAlign w:val="bottom"/>
          </w:tcPr>
          <w:p>
            <w:pPr>
              <w:jc w:val="center"/>
              <w:ind w:left="200"/>
              <w:spacing w:after="0"/>
              <w:rPr>
                <w:sz w:val="20"/>
                <w:szCs w:val="20"/>
                <w:color w:val="auto"/>
              </w:rPr>
            </w:pPr>
            <w:r>
              <w:rPr>
                <w:rFonts w:ascii="Times New Roman" w:cs="Times New Roman" w:eastAsia="Times New Roman" w:hAnsi="Times New Roman"/>
                <w:sz w:val="16"/>
                <w:szCs w:val="16"/>
                <w:color w:val="auto"/>
              </w:rPr>
              <w:t>Toho Studios</w:t>
            </w:r>
          </w:p>
        </w:tc>
        <w:tc>
          <w:tcPr>
            <w:tcW w:w="208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1"/>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Wicked: For Good</w:t>
            </w:r>
          </w:p>
        </w:tc>
        <w:tc>
          <w:tcPr>
            <w:tcW w:w="286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rPr>
              <w:t>Universal Pictures</w:t>
            </w:r>
          </w:p>
        </w:tc>
        <w:tc>
          <w:tcPr>
            <w:tcW w:w="20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2"/>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Zootopia 2</w:t>
            </w:r>
          </w:p>
        </w:tc>
        <w:tc>
          <w:tcPr>
            <w:tcW w:w="2860" w:type="dxa"/>
            <w:vAlign w:val="bottom"/>
          </w:tcPr>
          <w:p>
            <w:pPr>
              <w:jc w:val="center"/>
              <w:ind w:left="220"/>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2080" w:type="dxa"/>
            <w:vAlign w:val="bottom"/>
          </w:tcPr>
          <w:p>
            <w:pPr>
              <w:jc w:val="center"/>
              <w:ind w:left="120"/>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1"/>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Mrs. Green Apple</w:t>
            </w:r>
          </w:p>
        </w:tc>
        <w:tc>
          <w:tcPr>
            <w:tcW w:w="286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rPr>
              <w:t>Toho Studios</w:t>
            </w:r>
          </w:p>
        </w:tc>
        <w:tc>
          <w:tcPr>
            <w:tcW w:w="2080" w:type="dxa"/>
            <w:vAlign w:val="bottom"/>
            <w:shd w:val="clear" w:color="auto" w:fill="CCEEFF"/>
          </w:tcPr>
          <w:p>
            <w:pPr>
              <w:jc w:val="center"/>
              <w:ind w:left="120"/>
              <w:spacing w:after="0"/>
              <w:rPr>
                <w:sz w:val="20"/>
                <w:szCs w:val="20"/>
                <w:color w:val="auto"/>
              </w:rPr>
            </w:pPr>
            <w:r>
              <w:rPr>
                <w:rFonts w:ascii="Times New Roman" w:cs="Times New Roman" w:eastAsia="Times New Roman" w:hAnsi="Times New Roman"/>
                <w:sz w:val="16"/>
                <w:szCs w:val="16"/>
                <w:color w:val="auto"/>
              </w:rPr>
              <w:t>November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Amsterdamned II</w:t>
            </w:r>
            <w:r>
              <w:rPr>
                <w:rFonts w:ascii="Times New Roman" w:cs="Times New Roman" w:eastAsia="Times New Roman" w:hAnsi="Times New Roman"/>
                <w:sz w:val="20"/>
                <w:szCs w:val="20"/>
                <w:i w:val="1"/>
                <w:iCs w:val="1"/>
                <w:color w:val="auto"/>
                <w:w w:val="98"/>
                <w:vertAlign w:val="superscript"/>
              </w:rPr>
              <w:t>(2)</w:t>
            </w:r>
          </w:p>
        </w:tc>
        <w:tc>
          <w:tcPr>
            <w:tcW w:w="2860" w:type="dxa"/>
            <w:vAlign w:val="bottom"/>
          </w:tcPr>
          <w:p>
            <w:pPr>
              <w:jc w:val="center"/>
              <w:ind w:left="220"/>
              <w:spacing w:after="0"/>
              <w:rPr>
                <w:sz w:val="20"/>
                <w:szCs w:val="20"/>
                <w:color w:val="auto"/>
              </w:rPr>
            </w:pPr>
            <w:r>
              <w:rPr>
                <w:rFonts w:ascii="Times New Roman" w:cs="Times New Roman" w:eastAsia="Times New Roman" w:hAnsi="Times New Roman"/>
                <w:sz w:val="16"/>
                <w:szCs w:val="16"/>
                <w:color w:val="auto"/>
              </w:rPr>
              <w:t>Splendid Film</w:t>
            </w:r>
          </w:p>
        </w:tc>
        <w:tc>
          <w:tcPr>
            <w:tcW w:w="20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December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41"/>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Stones to the Max</w:t>
            </w:r>
          </w:p>
        </w:tc>
        <w:tc>
          <w:tcPr>
            <w:tcW w:w="2860" w:type="dxa"/>
            <w:vAlign w:val="bottom"/>
            <w:shd w:val="clear" w:color="auto" w:fill="CCEEFF"/>
          </w:tcPr>
          <w:p>
            <w:pPr>
              <w:jc w:val="center"/>
              <w:ind w:left="220"/>
              <w:spacing w:after="0"/>
              <w:rPr>
                <w:sz w:val="20"/>
                <w:szCs w:val="20"/>
                <w:color w:val="auto"/>
              </w:rPr>
            </w:pPr>
            <w:r>
              <w:rPr>
                <w:rFonts w:ascii="Times New Roman" w:cs="Times New Roman" w:eastAsia="Times New Roman" w:hAnsi="Times New Roman"/>
                <w:sz w:val="16"/>
                <w:szCs w:val="16"/>
                <w:color w:val="auto"/>
              </w:rPr>
              <w:t>Mercury Studios</w:t>
            </w:r>
          </w:p>
        </w:tc>
        <w:tc>
          <w:tcPr>
            <w:tcW w:w="208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December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32"/>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Avatar: Fire and Ash</w:t>
            </w:r>
          </w:p>
        </w:tc>
        <w:tc>
          <w:tcPr>
            <w:tcW w:w="2860" w:type="dxa"/>
            <w:vAlign w:val="bottom"/>
          </w:tcPr>
          <w:p>
            <w:pPr>
              <w:jc w:val="center"/>
              <w:ind w:left="220"/>
              <w:spacing w:after="0"/>
              <w:rPr>
                <w:sz w:val="20"/>
                <w:szCs w:val="20"/>
                <w:color w:val="auto"/>
              </w:rPr>
            </w:pPr>
            <w:r>
              <w:rPr>
                <w:rFonts w:ascii="Times New Roman" w:cs="Times New Roman" w:eastAsia="Times New Roman" w:hAnsi="Times New Roman"/>
                <w:sz w:val="16"/>
                <w:szCs w:val="16"/>
                <w:color w:val="auto"/>
                <w:w w:val="99"/>
              </w:rPr>
              <w:t>Walt Disney Studios</w:t>
            </w:r>
          </w:p>
        </w:tc>
        <w:tc>
          <w:tcPr>
            <w:tcW w:w="20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December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51"/>
        </w:trPr>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Made in Yiwu</w:t>
            </w:r>
            <w:r>
              <w:rPr>
                <w:rFonts w:ascii="Times New Roman" w:cs="Times New Roman" w:eastAsia="Times New Roman" w:hAnsi="Times New Roman"/>
                <w:sz w:val="20"/>
                <w:szCs w:val="20"/>
                <w:i w:val="1"/>
                <w:iCs w:val="1"/>
                <w:color w:val="auto"/>
                <w:w w:val="95"/>
                <w:vertAlign w:val="superscript"/>
              </w:rPr>
              <w:t>(2)</w:t>
            </w:r>
          </w:p>
        </w:tc>
        <w:tc>
          <w:tcPr>
            <w:tcW w:w="286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6"/>
                <w:szCs w:val="16"/>
                <w:color w:val="auto"/>
                <w:w w:val="98"/>
              </w:rPr>
              <w:t>Lian Ray</w:t>
            </w:r>
          </w:p>
        </w:tc>
        <w:tc>
          <w:tcPr>
            <w:tcW w:w="2080" w:type="dxa"/>
            <w:vAlign w:val="bottom"/>
            <w:shd w:val="clear" w:color="auto" w:fill="CCEEFF"/>
          </w:tcPr>
          <w:p>
            <w:pPr>
              <w:jc w:val="center"/>
              <w:ind w:left="100"/>
              <w:spacing w:after="0"/>
              <w:rPr>
                <w:sz w:val="20"/>
                <w:szCs w:val="20"/>
                <w:color w:val="auto"/>
              </w:rPr>
            </w:pPr>
            <w:r>
              <w:rPr>
                <w:rFonts w:ascii="Times New Roman" w:cs="Times New Roman" w:eastAsia="Times New Roman" w:hAnsi="Times New Roman"/>
                <w:sz w:val="16"/>
                <w:szCs w:val="16"/>
                <w:color w:val="auto"/>
              </w:rPr>
              <w:t>December 2025</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r>
        <w:trPr>
          <w:trHeight w:val="290"/>
        </w:trPr>
        <w:tc>
          <w:tcPr>
            <w:tcW w:w="426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8"/>
              </w:rPr>
              <w:t>Escape From the Outland</w:t>
            </w:r>
            <w:r>
              <w:rPr>
                <w:rFonts w:ascii="Times New Roman" w:cs="Times New Roman" w:eastAsia="Times New Roman" w:hAnsi="Times New Roman"/>
                <w:sz w:val="20"/>
                <w:szCs w:val="20"/>
                <w:i w:val="1"/>
                <w:iCs w:val="1"/>
                <w:color w:val="auto"/>
                <w:w w:val="98"/>
                <w:vertAlign w:val="superscript"/>
              </w:rPr>
              <w:t>(2)</w:t>
            </w:r>
          </w:p>
        </w:tc>
        <w:tc>
          <w:tcPr>
            <w:tcW w:w="2860" w:type="dxa"/>
            <w:vAlign w:val="bottom"/>
          </w:tcPr>
          <w:p>
            <w:pPr>
              <w:jc w:val="center"/>
              <w:ind w:left="220"/>
              <w:spacing w:after="0"/>
              <w:rPr>
                <w:sz w:val="20"/>
                <w:szCs w:val="20"/>
                <w:color w:val="auto"/>
              </w:rPr>
            </w:pPr>
            <w:r>
              <w:rPr>
                <w:rFonts w:ascii="Times New Roman" w:cs="Times New Roman" w:eastAsia="Times New Roman" w:hAnsi="Times New Roman"/>
                <w:sz w:val="16"/>
                <w:szCs w:val="16"/>
                <w:color w:val="auto"/>
              </w:rPr>
              <w:t>Super Lion</w:t>
            </w:r>
          </w:p>
        </w:tc>
        <w:tc>
          <w:tcPr>
            <w:tcW w:w="2080" w:type="dxa"/>
            <w:vAlign w:val="bottom"/>
          </w:tcPr>
          <w:p>
            <w:pPr>
              <w:jc w:val="center"/>
              <w:ind w:left="100"/>
              <w:spacing w:after="0"/>
              <w:rPr>
                <w:sz w:val="20"/>
                <w:szCs w:val="20"/>
                <w:color w:val="auto"/>
              </w:rPr>
            </w:pPr>
            <w:r>
              <w:rPr>
                <w:rFonts w:ascii="Times New Roman" w:cs="Times New Roman" w:eastAsia="Times New Roman" w:hAnsi="Times New Roman"/>
                <w:sz w:val="16"/>
                <w:szCs w:val="16"/>
                <w:color w:val="auto"/>
              </w:rPr>
              <w:t>December 2025</w:t>
            </w: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Filmed for IMAX</w:t>
            </w:r>
          </w:p>
        </w:tc>
      </w:tr>
    </w:tbl>
    <w:p>
      <w:pPr>
        <w:spacing w:after="0" w:line="47" w:lineRule="exact"/>
        <w:rPr>
          <w:sz w:val="20"/>
          <w:szCs w:val="20"/>
          <w:color w:val="auto"/>
        </w:rPr>
      </w:pPr>
    </w:p>
    <w:p>
      <w:pPr>
        <w:ind w:left="340" w:hanging="315"/>
        <w:spacing w:after="0"/>
        <w:tabs>
          <w:tab w:leader="none" w:pos="3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scheduled release dates in the table above are subject to change, may vary by territory, and may not reflect the date(s) of limited premiere events.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Denotes local language release.</w:t>
      </w:r>
    </w:p>
    <w:p>
      <w:pPr>
        <w:spacing w:after="0" w:line="364" w:lineRule="exact"/>
        <w:rPr>
          <w:sz w:val="20"/>
          <w:szCs w:val="20"/>
          <w:color w:val="auto"/>
        </w:rPr>
      </w:pPr>
    </w:p>
    <w:p>
      <w:pPr>
        <w:jc w:val="both"/>
        <w:ind w:firstLine="193"/>
        <w:spacing w:after="0" w:line="244" w:lineRule="auto"/>
        <w:rPr>
          <w:sz w:val="20"/>
          <w:szCs w:val="20"/>
          <w:color w:val="auto"/>
        </w:rPr>
      </w:pPr>
      <w:r>
        <w:rPr>
          <w:rFonts w:ascii="Times New Roman" w:cs="Times New Roman" w:eastAsia="Times New Roman" w:hAnsi="Times New Roman"/>
          <w:sz w:val="18"/>
          <w:szCs w:val="18"/>
          <w:color w:val="auto"/>
        </w:rPr>
        <w:t xml:space="preserve">The Company remains in active negotiations with studios for additional films to fill out its short- and long-term film slate for the IMAX network. The Company also expects to announce additional local language films and exclusive IMAX events and experiences to be released to its global network in the last quarter of 2025. The Company has announced that a record number of over 14 Filmed for IMAX titles are scheduled to be released in 2025. The Company’s Hollywood film slate beyond 2025 is building, including major films such as: </w:t>
      </w:r>
      <w:r>
        <w:rPr>
          <w:rFonts w:ascii="Times New Roman" w:cs="Times New Roman" w:eastAsia="Times New Roman" w:hAnsi="Times New Roman"/>
          <w:sz w:val="18"/>
          <w:szCs w:val="18"/>
          <w:i w:val="1"/>
          <w:iCs w:val="1"/>
          <w:color w:val="auto"/>
        </w:rPr>
        <w:t>The Odyssey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Avengers: Doomsday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Mandalorian and Grogu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Dune 3, Avengers: Secret Wars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Project Hail Mary, Toy Story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Supergirl: Woman of Tomorrow, Moana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Batman 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Frozen 3,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Dynamic Duo. </w:t>
      </w:r>
      <w:r>
        <w:rPr>
          <w:rFonts w:ascii="Times New Roman" w:cs="Times New Roman" w:eastAsia="Times New Roman" w:hAnsi="Times New Roman"/>
          <w:sz w:val="18"/>
          <w:szCs w:val="18"/>
          <w:color w:val="auto"/>
        </w:rPr>
        <w:t>Additionally, in January 2025, the Company announced an agreement with Netflix, Inc. to debut Academy Award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-nominated director Greta Gerwig’s upcoming film, </w:t>
      </w:r>
      <w:r>
        <w:rPr>
          <w:rFonts w:ascii="Times New Roman" w:cs="Times New Roman" w:eastAsia="Times New Roman" w:hAnsi="Times New Roman"/>
          <w:sz w:val="18"/>
          <w:szCs w:val="18"/>
          <w:i w:val="1"/>
          <w:iCs w:val="1"/>
          <w:color w:val="auto"/>
        </w:rPr>
        <w:t>Narnia: The Magician’s Nephew</w:t>
      </w:r>
      <w:r>
        <w:rPr>
          <w:rFonts w:ascii="Times New Roman" w:cs="Times New Roman" w:eastAsia="Times New Roman" w:hAnsi="Times New Roman"/>
          <w:sz w:val="18"/>
          <w:szCs w:val="18"/>
          <w:color w:val="auto"/>
        </w:rPr>
        <w:t>, exclusively across the IMAX network with a two-week run beginning Thanksgiving 2026. In addition, the Company believes that at least 15 Filmed for IMAX titles will be released to its global network in 2026, which would break the record set in 2025 for such titles.</w:t>
      </w:r>
    </w:p>
    <w:p>
      <w:pPr>
        <w:spacing w:after="0" w:line="2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 Content Solutions</w:t>
      </w:r>
    </w:p>
    <w:p>
      <w:pPr>
        <w:spacing w:after="0" w:line="251"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 xml:space="preserve">The Company distributes large-format documentary feature films through its global commercial network and institutional theaters. Traditionally, the Company receives as its distribution fee either a fixed amount or a fixed percentage of the theater box office and, following the recoupment of its costs, is typically entitled to receive an additional percentage of gross revenues as participation revenues. In 2025, the Company released the institutional 3D version of </w:t>
      </w:r>
      <w:r>
        <w:rPr>
          <w:rFonts w:ascii="Times New Roman" w:cs="Times New Roman" w:eastAsia="Times New Roman" w:hAnsi="Times New Roman"/>
          <w:sz w:val="18"/>
          <w:szCs w:val="18"/>
          <w:i w:val="1"/>
          <w:iCs w:val="1"/>
          <w:color w:val="auto"/>
        </w:rPr>
        <w:t>Blue Angels</w:t>
      </w:r>
      <w:r>
        <w:rPr>
          <w:rFonts w:ascii="Times New Roman" w:cs="Times New Roman" w:eastAsia="Times New Roman" w:hAnsi="Times New Roman"/>
          <w:sz w:val="18"/>
          <w:szCs w:val="18"/>
          <w:color w:val="auto"/>
        </w:rPr>
        <w:t xml:space="preserve"> across select IMAX locations in North America, Europe, and Australia. Upcoming documentaries, which are currently in production, include </w:t>
      </w:r>
      <w:r>
        <w:rPr>
          <w:rFonts w:ascii="Times New Roman" w:cs="Times New Roman" w:eastAsia="Times New Roman" w:hAnsi="Times New Roman"/>
          <w:sz w:val="18"/>
          <w:szCs w:val="18"/>
          <w:i w:val="1"/>
          <w:iCs w:val="1"/>
          <w:color w:val="auto"/>
        </w:rPr>
        <w:t>The Lost Wolves of Yellowstone</w:t>
      </w:r>
      <w:r>
        <w:rPr>
          <w:rFonts w:ascii="Times New Roman" w:cs="Times New Roman" w:eastAsia="Times New Roman" w:hAnsi="Times New Roman"/>
          <w:sz w:val="18"/>
          <w:szCs w:val="18"/>
          <w:color w:val="auto"/>
        </w:rPr>
        <w:t>, in collaboration with Grizzly Creek Films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is expected to be released in 2026. Other feature documentary films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expected to be released in 2026 include </w:t>
      </w:r>
      <w:r>
        <w:rPr>
          <w:rFonts w:ascii="Times New Roman" w:cs="Times New Roman" w:eastAsia="Times New Roman" w:hAnsi="Times New Roman"/>
          <w:sz w:val="18"/>
          <w:szCs w:val="18"/>
          <w:i w:val="1"/>
          <w:iCs w:val="1"/>
          <w:color w:val="auto"/>
        </w:rPr>
        <w:t>Stormbound</w:t>
      </w:r>
      <w:r>
        <w:rPr>
          <w:rFonts w:ascii="Times New Roman" w:cs="Times New Roman" w:eastAsia="Times New Roman" w:hAnsi="Times New Roman"/>
          <w:sz w:val="18"/>
          <w:szCs w:val="18"/>
          <w:color w:val="auto"/>
        </w:rPr>
        <w:t xml:space="preserve"> produced by Academy Award-winning producer, Adam McKay; </w:t>
      </w:r>
      <w:r>
        <w:rPr>
          <w:rFonts w:ascii="Times New Roman" w:cs="Times New Roman" w:eastAsia="Times New Roman" w:hAnsi="Times New Roman"/>
          <w:sz w:val="18"/>
          <w:szCs w:val="18"/>
          <w:i w:val="1"/>
          <w:iCs w:val="1"/>
          <w:color w:val="auto"/>
        </w:rPr>
        <w:t>Frontier</w:t>
      </w:r>
      <w:r>
        <w:rPr>
          <w:rFonts w:ascii="Times New Roman" w:cs="Times New Roman" w:eastAsia="Times New Roman" w:hAnsi="Times New Roman"/>
          <w:sz w:val="18"/>
          <w:szCs w:val="18"/>
          <w:color w:val="auto"/>
        </w:rPr>
        <w:t xml:space="preserve"> produced in collaboration with Nocturnal Entertainment Productions, LLC, Atlas Entertainment LL, and Believe Entertainment Group, LLC; and French language </w:t>
      </w:r>
      <w:r>
        <w:rPr>
          <w:rFonts w:ascii="Times New Roman" w:cs="Times New Roman" w:eastAsia="Times New Roman" w:hAnsi="Times New Roman"/>
          <w:sz w:val="18"/>
          <w:szCs w:val="18"/>
          <w:i w:val="1"/>
          <w:iCs w:val="1"/>
          <w:color w:val="auto"/>
        </w:rPr>
        <w:t>Athos</w:t>
      </w:r>
      <w:r>
        <w:rPr>
          <w:rFonts w:ascii="Times New Roman" w:cs="Times New Roman" w:eastAsia="Times New Roman" w:hAnsi="Times New Roman"/>
          <w:sz w:val="18"/>
          <w:szCs w:val="18"/>
          <w:color w:val="auto"/>
        </w:rPr>
        <w:t xml:space="preserve"> produced by Federation Studio France. </w:t>
      </w:r>
      <w:r>
        <w:rPr>
          <w:rFonts w:ascii="Times New Roman" w:cs="Times New Roman" w:eastAsia="Times New Roman" w:hAnsi="Times New Roman"/>
          <w:sz w:val="18"/>
          <w:szCs w:val="18"/>
          <w:i w:val="1"/>
          <w:iCs w:val="1"/>
          <w:color w:val="auto"/>
        </w:rPr>
        <w:t>The Elephant Odyssey</w:t>
      </w:r>
      <w:r>
        <w:rPr>
          <w:rFonts w:ascii="Times New Roman" w:cs="Times New Roman" w:eastAsia="Times New Roman" w:hAnsi="Times New Roman"/>
          <w:sz w:val="18"/>
          <w:szCs w:val="18"/>
          <w:color w:val="auto"/>
        </w:rPr>
        <w:t>, a documentary in collaboration with Beach House Pictures Pte Ltd and China International Communications Group, is expected to be released in 2027.</w:t>
      </w:r>
    </w:p>
    <w:p>
      <w:pPr>
        <w:spacing w:after="0" w:line="216"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continues to believe that the IMAX network is a valuable global platform to launch and distribute original content, including documentaries. The ownership rights to such films may be held by the film sponsors, the film investors and/or the Company. As of September 30, 2025, the Company had distribution rights with respect to approximately 65 films, which cover subjects such as space, wildlife, music, sports, history and natural wonders.</w:t>
      </w:r>
    </w:p>
    <w:p>
      <w:pPr>
        <w:sectPr>
          <w:pgSz w:w="11900" w:h="16838" w:orient="portrait"/>
          <w:cols w:equalWidth="0" w:num="1">
            <w:col w:w="11240"/>
          </w:cols>
          <w:pgMar w:left="320" w:top="362"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In addition, the Company continues to evolve its platform to bring new, innovative IMAX events and experiences to audiences worldwide. As of September 30, 2025, the Company had a footprint of 253 connected locations in the IMAX network across North America, Europe, Africa, Australia, and Asia configured with connectivity to deliver live and interactive events with low latency and superior sight and sound.</w:t>
      </w:r>
    </w:p>
    <w:p>
      <w:pPr>
        <w:spacing w:after="0" w:line="202" w:lineRule="exact"/>
        <w:rPr>
          <w:sz w:val="20"/>
          <w:szCs w:val="20"/>
          <w:color w:val="auto"/>
        </w:rPr>
      </w:pPr>
    </w:p>
    <w:p>
      <w:pPr>
        <w:jc w:val="both"/>
        <w:ind w:firstLine="193"/>
        <w:spacing w:after="0" w:line="251" w:lineRule="auto"/>
        <w:rPr>
          <w:sz w:val="20"/>
          <w:szCs w:val="20"/>
          <w:color w:val="auto"/>
        </w:rPr>
      </w:pPr>
      <w:r>
        <w:rPr>
          <w:rFonts w:ascii="Times New Roman" w:cs="Times New Roman" w:eastAsia="Times New Roman" w:hAnsi="Times New Roman"/>
          <w:sz w:val="18"/>
          <w:szCs w:val="18"/>
          <w:color w:val="auto"/>
        </w:rPr>
        <w:t xml:space="preserve">In the third quarter, the Company had several releases which included one-night-only concert event </w:t>
      </w:r>
      <w:r>
        <w:rPr>
          <w:rFonts w:ascii="Times New Roman" w:cs="Times New Roman" w:eastAsia="Times New Roman" w:hAnsi="Times New Roman"/>
          <w:sz w:val="18"/>
          <w:szCs w:val="18"/>
          <w:i w:val="1"/>
          <w:iCs w:val="1"/>
          <w:color w:val="auto"/>
        </w:rPr>
        <w:t>Dead &amp; Company Live in IMAX From Golden 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Park </w:t>
      </w:r>
      <w:r>
        <w:rPr>
          <w:rFonts w:ascii="Times New Roman" w:cs="Times New Roman" w:eastAsia="Times New Roman" w:hAnsi="Times New Roman"/>
          <w:sz w:val="18"/>
          <w:szCs w:val="18"/>
          <w:color w:val="auto"/>
        </w:rPr>
        <w:t>with Los Muertos,</w:t>
      </w:r>
      <w:r>
        <w:rPr>
          <w:rFonts w:ascii="Times New Roman" w:cs="Times New Roman" w:eastAsia="Times New Roman" w:hAnsi="Times New Roman"/>
          <w:sz w:val="18"/>
          <w:szCs w:val="18"/>
          <w:i w:val="1"/>
          <w:iCs w:val="1"/>
          <w:color w:val="auto"/>
        </w:rPr>
        <w:t xml:space="preserve"> The Grateful Dead Movie 2025 Meet-Up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David Gilmour Live at the Circus Maximus, Rome </w:t>
      </w:r>
      <w:r>
        <w:rPr>
          <w:rFonts w:ascii="Times New Roman" w:cs="Times New Roman" w:eastAsia="Times New Roman" w:hAnsi="Times New Roman"/>
          <w:sz w:val="18"/>
          <w:szCs w:val="18"/>
          <w:color w:val="auto"/>
        </w:rPr>
        <w:t>with Trafalgar Releasing, and</w:t>
      </w:r>
      <w:r>
        <w:rPr>
          <w:rFonts w:ascii="Times New Roman" w:cs="Times New Roman" w:eastAsia="Times New Roman" w:hAnsi="Times New Roman"/>
          <w:sz w:val="18"/>
          <w:szCs w:val="18"/>
          <w:i w:val="1"/>
          <w:iCs w:val="1"/>
          <w:color w:val="auto"/>
        </w:rPr>
        <w:t xml:space="preserve"> Girl Climber </w:t>
      </w:r>
      <w:r>
        <w:rPr>
          <w:rFonts w:ascii="Times New Roman" w:cs="Times New Roman" w:eastAsia="Times New Roman" w:hAnsi="Times New Roman"/>
          <w:sz w:val="18"/>
          <w:szCs w:val="18"/>
          <w:color w:val="auto"/>
        </w:rPr>
        <w:t>with Red Bull Studios. In collaboration with Runway AI, Inc,</w:t>
      </w:r>
      <w:r>
        <w:rPr>
          <w:rFonts w:ascii="Times New Roman" w:cs="Times New Roman" w:eastAsia="Times New Roman" w:hAnsi="Times New Roman"/>
          <w:sz w:val="18"/>
          <w:szCs w:val="18"/>
          <w:i w:val="1"/>
          <w:iCs w:val="1"/>
          <w:color w:val="auto"/>
        </w:rPr>
        <w:t xml:space="preserve"> Runway’s 2025 AI Film Festival </w:t>
      </w:r>
      <w:r>
        <w:rPr>
          <w:rFonts w:ascii="Times New Roman" w:cs="Times New Roman" w:eastAsia="Times New Roman" w:hAnsi="Times New Roman"/>
          <w:sz w:val="18"/>
          <w:szCs w:val="18"/>
          <w:color w:val="auto"/>
        </w:rPr>
        <w:t>was released across ten North American IMAX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locations. The Company partnered with Mercury Studios for the release of </w:t>
      </w:r>
      <w:r>
        <w:rPr>
          <w:rFonts w:ascii="Times New Roman" w:cs="Times New Roman" w:eastAsia="Times New Roman" w:hAnsi="Times New Roman"/>
          <w:sz w:val="18"/>
          <w:szCs w:val="18"/>
          <w:i w:val="1"/>
          <w:iCs w:val="1"/>
          <w:color w:val="auto"/>
        </w:rPr>
        <w:t>Prince - Sign O’ The Times</w:t>
      </w:r>
      <w:r>
        <w:rPr>
          <w:rFonts w:ascii="Times New Roman" w:cs="Times New Roman" w:eastAsia="Times New Roman" w:hAnsi="Times New Roman"/>
          <w:sz w:val="18"/>
          <w:szCs w:val="18"/>
          <w:color w:val="auto"/>
        </w:rPr>
        <w:t xml:space="preserve"> and Bleecker Street for the release of </w:t>
      </w:r>
      <w:r>
        <w:rPr>
          <w:rFonts w:ascii="Times New Roman" w:cs="Times New Roman" w:eastAsia="Times New Roman" w:hAnsi="Times New Roman"/>
          <w:sz w:val="18"/>
          <w:szCs w:val="18"/>
          <w:i w:val="1"/>
          <w:iCs w:val="1"/>
          <w:color w:val="auto"/>
        </w:rPr>
        <w:t>Spinal Tap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End Continues, </w:t>
      </w:r>
      <w:r>
        <w:rPr>
          <w:rFonts w:ascii="Times New Roman" w:cs="Times New Roman" w:eastAsia="Times New Roman" w:hAnsi="Times New Roman"/>
          <w:sz w:val="18"/>
          <w:szCs w:val="18"/>
          <w:color w:val="auto"/>
        </w:rPr>
        <w:t>including a live Q&amp;A event. In the nine months ended September 30, 2025, in addition to the third quarter releases noted,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partnered with Sony Pictures for the exclusive release of </w:t>
      </w:r>
      <w:r>
        <w:rPr>
          <w:rFonts w:ascii="Times New Roman" w:cs="Times New Roman" w:eastAsia="Times New Roman" w:hAnsi="Times New Roman"/>
          <w:sz w:val="18"/>
          <w:szCs w:val="18"/>
          <w:i w:val="1"/>
          <w:iCs w:val="1"/>
          <w:color w:val="auto"/>
        </w:rPr>
        <w:t>Becoming Led Zeppelin,</w:t>
      </w:r>
      <w:r>
        <w:rPr>
          <w:rFonts w:ascii="Times New Roman" w:cs="Times New Roman" w:eastAsia="Times New Roman" w:hAnsi="Times New Roman"/>
          <w:sz w:val="18"/>
          <w:szCs w:val="18"/>
          <w:color w:val="auto"/>
        </w:rPr>
        <w:t xml:space="preserve"> Magnolia Pictures for the exclusive release of </w:t>
      </w:r>
      <w:r>
        <w:rPr>
          <w:rFonts w:ascii="Times New Roman" w:cs="Times New Roman" w:eastAsia="Times New Roman" w:hAnsi="Times New Roman"/>
          <w:sz w:val="18"/>
          <w:szCs w:val="18"/>
          <w:i w:val="1"/>
          <w:iCs w:val="1"/>
          <w:color w:val="auto"/>
        </w:rPr>
        <w:t>One to One: John &amp; Yoko</w:t>
      </w:r>
      <w:r>
        <w:rPr>
          <w:rFonts w:ascii="Times New Roman" w:cs="Times New Roman" w:eastAsia="Times New Roman" w:hAnsi="Times New Roman"/>
          <w:sz w:val="18"/>
          <w:szCs w:val="18"/>
          <w:color w:val="auto"/>
        </w:rPr>
        <w:t xml:space="preserve"> and Trafalgar Releasing for the exclusive release of </w:t>
      </w:r>
      <w:r>
        <w:rPr>
          <w:rFonts w:ascii="Times New Roman" w:cs="Times New Roman" w:eastAsia="Times New Roman" w:hAnsi="Times New Roman"/>
          <w:sz w:val="18"/>
          <w:szCs w:val="18"/>
          <w:i w:val="1"/>
          <w:iCs w:val="1"/>
          <w:color w:val="auto"/>
        </w:rPr>
        <w:t>Pink Floyd at Pompeii - MCMLXXII,</w:t>
      </w:r>
      <w:r>
        <w:rPr>
          <w:rFonts w:ascii="Times New Roman" w:cs="Times New Roman" w:eastAsia="Times New Roman" w:hAnsi="Times New Roman"/>
          <w:sz w:val="18"/>
          <w:szCs w:val="18"/>
          <w:color w:val="auto"/>
        </w:rPr>
        <w:t xml:space="preserve"> NBC Universal for the </w:t>
      </w:r>
      <w:r>
        <w:rPr>
          <w:rFonts w:ascii="Times New Roman" w:cs="Times New Roman" w:eastAsia="Times New Roman" w:hAnsi="Times New Roman"/>
          <w:sz w:val="18"/>
          <w:szCs w:val="18"/>
          <w:i w:val="1"/>
          <w:iCs w:val="1"/>
          <w:color w:val="auto"/>
        </w:rPr>
        <w:t>SNL50 The Homecoming Concert</w:t>
      </w:r>
      <w:r>
        <w:rPr>
          <w:rFonts w:ascii="Times New Roman" w:cs="Times New Roman" w:eastAsia="Times New Roman" w:hAnsi="Times New Roman"/>
          <w:sz w:val="18"/>
          <w:szCs w:val="18"/>
          <w:color w:val="auto"/>
        </w:rPr>
        <w:t xml:space="preserve"> in select IMAX North American locations and DAZN for the </w:t>
      </w:r>
      <w:r>
        <w:rPr>
          <w:rFonts w:ascii="Times New Roman" w:cs="Times New Roman" w:eastAsia="Times New Roman" w:hAnsi="Times New Roman"/>
          <w:sz w:val="18"/>
          <w:szCs w:val="18"/>
          <w:i w:val="1"/>
          <w:iCs w:val="1"/>
          <w:color w:val="auto"/>
        </w:rPr>
        <w:t>PSG v Marseille Le Classique Match</w:t>
      </w:r>
      <w:r>
        <w:rPr>
          <w:rFonts w:ascii="Times New Roman" w:cs="Times New Roman" w:eastAsia="Times New Roman" w:hAnsi="Times New Roman"/>
          <w:sz w:val="18"/>
          <w:szCs w:val="18"/>
          <w:color w:val="auto"/>
        </w:rPr>
        <w:t xml:space="preserve"> in select IMAX locations across France. In addition, the Company continued its partnership with A24 for one-night-only IMAX releases of classic A24 titles, including </w:t>
      </w:r>
      <w:r>
        <w:rPr>
          <w:rFonts w:ascii="Times New Roman" w:cs="Times New Roman" w:eastAsia="Times New Roman" w:hAnsi="Times New Roman"/>
          <w:sz w:val="18"/>
          <w:szCs w:val="18"/>
          <w:i w:val="1"/>
          <w:iCs w:val="1"/>
          <w:color w:val="auto"/>
        </w:rPr>
        <w:t>Talk to 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Moonlight,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Spring Breakers.</w:t>
      </w:r>
      <w:r>
        <w:rPr>
          <w:rFonts w:ascii="Times New Roman" w:cs="Times New Roman" w:eastAsia="Times New Roman" w:hAnsi="Times New Roman"/>
          <w:sz w:val="18"/>
          <w:szCs w:val="18"/>
          <w:color w:val="auto"/>
        </w:rPr>
        <w:t xml:space="preserve"> The Company collaborated with Fandango Media for the </w:t>
      </w:r>
      <w:r>
        <w:rPr>
          <w:rFonts w:ascii="Times New Roman" w:cs="Times New Roman" w:eastAsia="Times New Roman" w:hAnsi="Times New Roman"/>
          <w:sz w:val="18"/>
          <w:szCs w:val="18"/>
          <w:i w:val="1"/>
          <w:iCs w:val="1"/>
          <w:color w:val="auto"/>
        </w:rPr>
        <w:t>Fortnite Championship Series: Pro-Am</w:t>
      </w:r>
      <w:r>
        <w:rPr>
          <w:rFonts w:ascii="Times New Roman" w:cs="Times New Roman" w:eastAsia="Times New Roman" w:hAnsi="Times New Roman"/>
          <w:sz w:val="18"/>
          <w:szCs w:val="18"/>
          <w:color w:val="auto"/>
        </w:rPr>
        <w:t xml:space="preserve"> screening in eight North American IMAX locations and with Wanda Film for the </w:t>
      </w:r>
      <w:r>
        <w:rPr>
          <w:rFonts w:ascii="Times New Roman" w:cs="Times New Roman" w:eastAsia="Times New Roman" w:hAnsi="Times New Roman"/>
          <w:sz w:val="18"/>
          <w:szCs w:val="18"/>
          <w:i w:val="1"/>
          <w:iCs w:val="1"/>
          <w:color w:val="auto"/>
        </w:rPr>
        <w:t>F1 Spanish Grand Prix</w:t>
      </w:r>
      <w:r>
        <w:rPr>
          <w:rFonts w:ascii="Times New Roman" w:cs="Times New Roman" w:eastAsia="Times New Roman" w:hAnsi="Times New Roman"/>
          <w:sz w:val="18"/>
          <w:szCs w:val="18"/>
          <w:color w:val="auto"/>
        </w:rPr>
        <w:t xml:space="preserve"> screening across six IMAX locations in China.</w:t>
      </w:r>
    </w:p>
    <w:p>
      <w:pPr>
        <w:spacing w:after="0" w:line="221"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provides film post-production and quality control services for films, whether produced by IMAX or third parties, and digital post-production services. In addition, the Company provides IMAX film and digital cameras to content creators under the IMAX certified camera program.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Products and Services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Technology Products and Services segment earns revenue principally from the sale or lease of IMAX Systems, as well as from the maintenance of IMAX Systems. To a lesser extent, the Technology Products and Services segment also earns revenue from certain ancillary theater business activities, including after-market sales of IMAX Systems parts and 3D glasses.</w:t>
      </w:r>
    </w:p>
    <w:p>
      <w:pPr>
        <w:spacing w:after="0" w:line="204"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primary drivers of Technology Products and Services segment results are the number of IMAX Systems installed in a period, the costs associated with each installation, and lease payments tied to the box office performance of the films released to the IMAX network, as well as the associated maintenance contracts that accompany each installation. The average revenue and gross margin per IMAX System under sale and sales-type lease arrangements vary depending upon the number of IMAX System commitments with a single respective exhibitor, an exhibitor’s location, the type of IMAX System sold, and various other factors. The installation of IMAX Systems in theaters or multiplexes, which make up a large portion of the Company’s system backlog, depends primarily on the timing of the construction of those projects, which is not under the Company’s control.</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Sales and Sales-Type Lease Arrangements</w:t>
      </w:r>
    </w:p>
    <w:p>
      <w:pPr>
        <w:spacing w:after="0" w:line="251"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 provides IMAX Systems to exhibitors through sale arrangements or long-term lease arrangements that for accounting purposes are classified as sales-type leases. Under these arrangements, in exchange for providing the IMAX System, the Company earns initial fees and ongoing consideration, which can include fixed annual minimum payments and contingent fees in excess of the minimum payments, as well as maintenance and extended warranty fees (see “IMAX Maintenance” below). The initial fees vary depending on the system configuration and location of the IMAX System. Initial fees are paid to the Company in installments typically between the time of signing the arrangement and the time of system installation. Once an IMAX System is installed, the initial fees and the present value of future annual minimum payments, which are financing fees, are recognized as revenue. In addition, in sale arrangements, the present value of the estimated contingent fees that may become due if certain annual minimum box office receipt thresholds are exceeded is recorded as revenue in the period when the sale is recognized and is adjusted in future periods based on actual results and changes in estimates. Such variable consideration is only recognized on sales transactions to the extent the Company believes there is not a risk of significant revenue reversal. Finance income is recognized over the term of a financed sale or sales-type lease arrangement.</w:t>
      </w:r>
    </w:p>
    <w:p>
      <w:pPr>
        <w:spacing w:after="0" w:line="21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sale arrangements, title to the IMAX System equipment generally transfers to the customer. However, in certain instances, the Company retains title or a security interest in the equipment until the customer has made all payments required by the agreement or until certain shipment events for the equipment have occurred. In a sales-type lease arrangement, title to the IMAX System equipment remains with the Company. The Company has the right to remove the equipment for non-payment or other defaults by the customer.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revenue earned from customers under the Company’s IMAX System sale or sales-type lease agreements varies from quarter-to- quarter and year-to-year based on a number of factors, including the number and mix of IMAX System configurations sold or leased, the timing of installation of the IMAX Systems, the nature of the arrangement and other factors specific to individual contracts.</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Joint Revenue Sharing Arrangements</w:t>
      </w:r>
    </w:p>
    <w:p>
      <w:pPr>
        <w:spacing w:after="0" w:line="251"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also provides IMAX Systems to exhibitors through joint revenue sharing arrangements (“JRSAs”). Under the traditional form of these arrangements, the Company provides the IMAX System under a long-term lease in which the Company assumes the majority of the equipment and installation costs. In exchange for its upfront investment, the Company, primarily, earns rent based on a percentage of contingent box office receipts rather than requiring the customer to pay a fixed upfront fee or fixed annual minimum payments. Rental payments from the customer are required throughout the term of the arrangement and are typically due either monthly or quarterly. The Company retains title to the IMAX System equipment components throughout the lease term, and the equipment is returned to the Company at the conclusion of the arrangement.</w:t>
      </w:r>
    </w:p>
    <w:p>
      <w:pPr>
        <w:spacing w:after="0" w:line="21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Under certain other JRSAs, known as hybrid arrangements, the customer is responsible for making fixed upfront payments prior to the delivery and installation of the IMAX System in an amount that is typically half of what the Company would receive from a typical sale transaction. As with a traditional JRSA, the customer also pays the Company a percentage of contingent box office receipts over the term of the arrangement, although this percentage is typically half that of a traditional JRSA.</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Under most JRSAs (both traditional and hybrid), the initial non-cancellable term is 10 years or longer and is renewable by the customer for one to two additional terms of between three to five years. The Company has the right to remove the equipment for non-payment or other defaults by the customer. The contracts are non-cancellable by the customer unless the Company fails to perform its obligations.</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revenue earned from customers under the Company’s JRSAs can vary from quarter-to-quarter and year-to-year based on a number of factors that drive box office levels including film performance, the mix of IMAX System configurations, the timing of installation of IMAX Systems, the nature of the arrangement, the location, size and management of the theater and other factors specific to individual arrangements.</w:t>
      </w:r>
    </w:p>
    <w:p>
      <w:pPr>
        <w:spacing w:after="0" w:line="204"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JRSAs also require IMAX to provide maintenance and extended warranty services to the customer over the term of the lease in exchange for a separate fixed annual fee. These fees are reported within IMAX Maintenance, as discussed below.</w:t>
      </w:r>
    </w:p>
    <w:p>
      <w:pPr>
        <w:spacing w:after="0" w:line="18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JRSAs have been an important factor in the expansion of the Company’s commercial system network. JRSAs allow commercial theater exhibitors to install IMAX Systems without the significant initial capital investment required in a sale or sales-type lease arrangement. JRSAs drive recurring cash flows and earnings for the Company as customers under these arrangements pay the Company a portion of their ongoing box office receipts. The Company funds its investment in equipment for JRSAs through cash flows from operations. As of September 30, 2025, the Company had 905 locations under JRSAs in its global commercial multiplex network. The Company also had contracts in backlog for 321 systems under JRSAs as of September 30, 2025, including 126 upgrades to existing locations and 195 new locations.</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Maintenance</w:t>
      </w:r>
    </w:p>
    <w:p>
      <w:pPr>
        <w:spacing w:after="0" w:line="251"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IMAX System arrangements also include a requirement for the Company to provide maintenance services over the life of the arrangement in exchange for an extended warranty and annual maintenance fee paid by the exhibitor. Under these arrangements, the Company provides preventative and emergency maintenance services to ensure that each presentation is up to IMAX quality standards. Annual maintenance fees are paid throughout the duration of the term of the system agreements.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Enhanced | Streaming and Consumer Technology</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 xml:space="preserve">IMAX’s Streaming and Consumer Technology (“SCT”) business offers a single unified program: IMAX Enhanced. This umbrella program builds on IMAX’s brand and proprietary VisionScience™ technology to deliver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IMAX </w:t>
      </w:r>
      <w:r>
        <w:rPr>
          <w:rFonts w:ascii="Times New Roman" w:cs="Times New Roman" w:eastAsia="Times New Roman" w:hAnsi="Times New Roman"/>
          <w:sz w:val="18"/>
          <w:szCs w:val="18"/>
          <w:i w:val="1"/>
          <w:iCs w:val="1"/>
          <w:color w:val="auto"/>
        </w:rPr>
        <w:t>Experience</w:t>
      </w:r>
      <w:r>
        <w:rPr>
          <w:rFonts w:ascii="Times New Roman" w:cs="Times New Roman" w:eastAsia="Times New Roman" w:hAnsi="Times New Roman"/>
          <w:sz w:val="18"/>
          <w:szCs w:val="18"/>
          <w:color w:val="auto"/>
        </w:rPr>
        <w:t xml:space="preserve"> to users across streaming platforms and consumer devices. The new ‘IMAX Enhanced’ program for partners includes three core elements:</w:t>
      </w:r>
    </w:p>
    <w:p>
      <w:pPr>
        <w:spacing w:after="0" w:line="204" w:lineRule="exact"/>
        <w:rPr>
          <w:sz w:val="20"/>
          <w:szCs w:val="20"/>
          <w:color w:val="auto"/>
        </w:rPr>
      </w:pPr>
    </w:p>
    <w:p>
      <w:pPr>
        <w:ind w:left="660" w:right="20" w:hanging="331"/>
        <w:spacing w:after="0" w:line="279"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Enhanced Live: Real-time enhancement for sports, concerts, and events using SCT’s proprietary technology to measure, enhance, optimize, and validate premium color, contrast, and clarity at the speed of live.</w:t>
      </w:r>
    </w:p>
    <w:p>
      <w:pPr>
        <w:spacing w:after="0" w:line="189" w:lineRule="exact"/>
        <w:rPr>
          <w:rFonts w:ascii="Times New Roman" w:cs="Times New Roman" w:eastAsia="Times New Roman" w:hAnsi="Times New Roman"/>
          <w:sz w:val="18"/>
          <w:szCs w:val="18"/>
          <w:color w:val="auto"/>
        </w:rPr>
      </w:pPr>
    </w:p>
    <w:p>
      <w:pPr>
        <w:ind w:left="660" w:right="20" w:hanging="331"/>
        <w:spacing w:after="0" w:line="279"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IMAX Enhanced On-Demand: Quality preservation and optimization for films and series to preserve creative intent with IMAX-calibrated fidelity and remastering, offering viewers a differentiated, premium IMAX-assured experience. IMAX</w:t>
      </w:r>
    </w:p>
    <w:p>
      <w:pPr>
        <w:sectPr>
          <w:pgSz w:w="11900" w:h="16838" w:orient="portrait"/>
          <w:cols w:equalWidth="0" w:num="1">
            <w:col w:w="11240"/>
          </w:cols>
          <w:pgMar w:left="320" w:top="362" w:right="3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660"/>
        <w:spacing w:after="0" w:line="279" w:lineRule="auto"/>
        <w:rPr>
          <w:sz w:val="20"/>
          <w:szCs w:val="20"/>
          <w:color w:val="auto"/>
        </w:rPr>
      </w:pPr>
      <w:r>
        <w:rPr>
          <w:rFonts w:ascii="Times New Roman" w:cs="Times New Roman" w:eastAsia="Times New Roman" w:hAnsi="Times New Roman"/>
          <w:sz w:val="18"/>
          <w:szCs w:val="18"/>
          <w:color w:val="auto"/>
        </w:rPr>
        <w:t>Enhanced on-demand content is currently available for fan-favorite titles across leading services such as Disney+, Sony Pictures Core, and Tencent Video.</w:t>
      </w:r>
    </w:p>
    <w:p>
      <w:pPr>
        <w:spacing w:after="0" w:line="189" w:lineRule="exact"/>
        <w:rPr>
          <w:sz w:val="20"/>
          <w:szCs w:val="20"/>
          <w:color w:val="auto"/>
        </w:rPr>
      </w:pPr>
    </w:p>
    <w:p>
      <w:pPr>
        <w:jc w:val="both"/>
        <w:ind w:left="660" w:hanging="331"/>
        <w:spacing w:after="0" w:line="258"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Device Certification &amp; Calibration: Establishes IMAX quality standards for consumer devices to ensure playback meets IMAX benchmarks. It assures that the enhancement and preservation of quality applied upstream for both Live and On-Demand workflows are maintained faithfully and experienced as intended on consumer devices. As of September 30, 2025, over 15 million IMAX Enhanced certified devices are in-market with partners, including Sony Electronics, Hisense, TCL, LG, and Philips.</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IMAX’s Streaming and Consumer Technology is part of the Company’s next evolutionary step to extend the IMAX brand and technology into new use cases and programming, including live events, series, and leveraging consumer electronics to deliver premium experiences for users at home.</w:t>
      </w:r>
    </w:p>
    <w:p>
      <w:pPr>
        <w:spacing w:after="0" w:line="186" w:lineRule="exact"/>
        <w:rPr>
          <w:sz w:val="20"/>
          <w:szCs w:val="20"/>
          <w:color w:val="auto"/>
        </w:rPr>
      </w:pPr>
    </w:p>
    <w:p>
      <w:pPr>
        <w:jc w:val="both"/>
        <w:ind w:firstLine="193"/>
        <w:spacing w:after="0" w:line="235" w:lineRule="auto"/>
        <w:rPr>
          <w:sz w:val="20"/>
          <w:szCs w:val="20"/>
          <w:color w:val="auto"/>
        </w:rPr>
      </w:pPr>
      <w:r>
        <w:rPr>
          <w:rFonts w:ascii="Times New Roman" w:cs="Times New Roman" w:eastAsia="Times New Roman" w:hAnsi="Times New Roman"/>
          <w:sz w:val="18"/>
          <w:szCs w:val="18"/>
          <w:color w:val="auto"/>
        </w:rPr>
        <w:t>The products branded as StreamSmart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(encoding optimization) and StreamAware™ (quality assurance and monitoring) have now been streamlined to improve operational efficiency, reduce overhead, and enable partners to deliver differentiated, premium, and monetizable viewing experiences validated through IMAX’s proprietary approach to visual quality.</w:t>
      </w: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All Other also includes revenues from sources including one owned and operated IMAX System in Sacramento, California; a commercial arrangement with one theater resulting in the sharing of profits and losses; the provision of management services to three other theaters; and offering production advice and technical assistance to both documentary and Hollywood filmmakers.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IMAX NETWORK AND BACKLOG</w:t>
      </w:r>
    </w:p>
    <w:p>
      <w:pPr>
        <w:spacing w:after="0" w:line="2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IMAX Network</w:t>
      </w:r>
    </w:p>
    <w:p>
      <w:pPr>
        <w:spacing w:after="0" w:line="251"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 provides detailed information about the IMAX network by type and geographic location as of September 30, 2025 and 2024. For additional information regarding the composition of the IMAX network, see “Marketing and Customers” in Part I, Item 1 of the Company’s 2024 Form 10-K.</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40" w:type="dxa"/>
            <w:vAlign w:val="bottom"/>
          </w:tcPr>
          <w:p>
            <w:pPr>
              <w:spacing w:after="0"/>
              <w:rPr>
                <w:sz w:val="16"/>
                <w:szCs w:val="16"/>
                <w:color w:val="auto"/>
              </w:rPr>
            </w:pPr>
          </w:p>
        </w:tc>
      </w:tr>
      <w:tr>
        <w:trPr>
          <w:trHeight w:val="38"/>
        </w:trPr>
        <w:tc>
          <w:tcPr>
            <w:tcW w:w="2020" w:type="dxa"/>
            <w:vAlign w:val="bottom"/>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0"/>
        </w:trPr>
        <w:tc>
          <w:tcPr>
            <w:tcW w:w="20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7"/>
        </w:trPr>
        <w:tc>
          <w:tcPr>
            <w:tcW w:w="202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Destination</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Multiplex</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Destination</w:t>
            </w: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Institutional</w:t>
            </w: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0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42"/>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42"/>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6"/>
        </w:trPr>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8"/>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Greater China</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(excluding</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3"/>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Greater China)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6"/>
        </w:trPr>
        <w:tc>
          <w:tcPr>
            <w:tcW w:w="2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68"/>
        </w:trPr>
        <w:tc>
          <w:tcPr>
            <w:tcW w:w="2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23"/>
                <w:szCs w:val="23"/>
                <w:color w:val="auto"/>
                <w:vertAlign w:val="superscript"/>
              </w:rPr>
              <w:t>(2)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68"/>
        </w:trPr>
        <w:tc>
          <w:tcPr>
            <w:tcW w:w="2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62"/>
        </w:trPr>
        <w:tc>
          <w:tcPr>
            <w:tcW w:w="202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(3)</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r>
      <w:tr>
        <w:trPr>
          <w:trHeight w:val="20"/>
        </w:trPr>
        <w:tc>
          <w:tcPr>
            <w:tcW w:w="2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Greater China includes China, Hong Kong, Taiwan, and Macau.</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Latin America includes South America, Central America, and Mexico.</w:t>
      </w:r>
    </w:p>
    <w:p>
      <w:pPr>
        <w:spacing w:after="0" w:line="8"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2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 above are reported net of the effect of permanently closed locations.</w:t>
      </w:r>
    </w:p>
    <w:p>
      <w:pPr>
        <w:spacing w:after="0" w:line="368"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(See “Risk Factors – The Company faces risks in connection with its significant presence in China and the continued expansion of its business there,” “Risk Factors – The Company may not convert all of its backlog into revenue and cash flows,” and “Risk Factors – General political, social and economic conditions can affect the Company’s business by reducing both revenues generated from existing IMAX Systems and the demand for new IMAX Systems” in Part I, Item 1A of the Company’s 2024 Form 10-K.)</w:t>
      </w:r>
    </w:p>
    <w:p>
      <w:pPr>
        <w:spacing w:after="0" w:line="209"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IMAX currently estimates a worldwide commercial multiplex addressable market of 3,619 locations (last updated in 2023), of which there are 1,759 IMAX Systems operating as of September 30, 2025, representing a market penetration of only 49%. The Company believes that the majority of its future growth will come from international markets. As of September 30, 2025, 76% of IMAX Systems in the global commercial multiplex network were located within international markets (defined as all countries other than the United States and Canada). Revenues and GBO derived from international markets continue to exceed revenues and GBO</w:t>
      </w:r>
    </w:p>
    <w:p>
      <w:pPr>
        <w:sectPr>
          <w:pgSz w:w="11900" w:h="16838" w:orient="portrait"/>
          <w:cols w:equalWidth="0" w:num="1">
            <w:col w:w="11240"/>
          </w:cols>
          <w:pgMar w:left="320" w:top="362"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from the United States and Canada. Risks associated with the Company’s international business are outlined in “Risk Factors – The Company conducts business internationally, which exposes it to uncertainties and risks that could negatively affect its operations, sales and future growth prospects” in Part I, Item 1A of the Company’s 2024 Form 10-K.</w:t>
      </w:r>
    </w:p>
    <w:p>
      <w:pPr>
        <w:spacing w:after="0" w:line="20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provide detailed information about IMAX Systems operating in multiplex locations by arrangement type and geographic location as of September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gridSpan w:val="3"/>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6"/>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4"/>
        </w:trPr>
        <w:tc>
          <w:tcPr>
            <w:tcW w:w="4600" w:type="dxa"/>
            <w:vAlign w:val="bottom"/>
          </w:tcPr>
          <w:p>
            <w:pPr>
              <w:spacing w:after="0"/>
              <w:rPr>
                <w:sz w:val="20"/>
                <w:szCs w:val="20"/>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46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7"/>
              </w:rPr>
              <w:t>Arrangements</w:t>
            </w:r>
            <w:r>
              <w:rPr>
                <w:rFonts w:ascii="Times New Roman" w:cs="Times New Roman" w:eastAsia="Times New Roman" w:hAnsi="Times New Roman"/>
                <w:sz w:val="18"/>
                <w:szCs w:val="18"/>
                <w:b w:val="1"/>
                <w:bCs w:val="1"/>
                <w:color w:val="auto"/>
                <w:w w:val="97"/>
                <w:vertAlign w:val="superscript"/>
              </w:rPr>
              <w:t>(1)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140</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137</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3"/>
            <w:shd w:val="clear" w:color="auto" w:fill="CCEEFF"/>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714</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854</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tables above are reported net of permanently closed locations.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gridSpan w:val="3"/>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380" w:type="dxa"/>
            <w:vAlign w:val="bottom"/>
            <w:tcBorders>
              <w:bottom w:val="single" w:sz="8" w:color="auto"/>
            </w:tcBorders>
            <w:gridSpan w:val="6"/>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Commercial Multiplex Locations in IMAX Network</w:t>
            </w: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3"/>
        </w:trPr>
        <w:tc>
          <w:tcPr>
            <w:tcW w:w="4600" w:type="dxa"/>
            <w:vAlign w:val="bottom"/>
          </w:tcPr>
          <w:p>
            <w:pPr>
              <w:spacing w:after="0"/>
              <w:rPr>
                <w:sz w:val="19"/>
                <w:szCs w:val="19"/>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1"/>
        </w:trPr>
        <w:tc>
          <w:tcPr>
            <w:tcW w:w="4600" w:type="dxa"/>
            <w:vAlign w:val="bottom"/>
          </w:tcPr>
          <w:p>
            <w:pPr>
              <w:spacing w:after="0"/>
              <w:rPr>
                <w:sz w:val="17"/>
                <w:szCs w:val="17"/>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3"/>
            <w:shd w:val="clear" w:color="auto" w:fill="CCEEFF"/>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129</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691</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820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26"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Period-to-period changes in the tables above are reported net of permanently closed systems.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51" w:lineRule="exact"/>
        <w:rPr>
          <w:sz w:val="20"/>
          <w:szCs w:val="20"/>
          <w:color w:val="auto"/>
        </w:rPr>
      </w:pPr>
    </w:p>
    <w:p>
      <w:pPr>
        <w:ind w:right="20"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provide detailed information about the Company’s backlog by arrangement type and geographic location as of September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gridSpan w:val="3"/>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gridSpan w:val="4"/>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4"/>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34"/>
        </w:trPr>
        <w:tc>
          <w:tcPr>
            <w:tcW w:w="4600" w:type="dxa"/>
            <w:vAlign w:val="bottom"/>
          </w:tcPr>
          <w:p>
            <w:pPr>
              <w:spacing w:after="0"/>
              <w:rPr>
                <w:sz w:val="20"/>
                <w:szCs w:val="20"/>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29"/>
        </w:trPr>
        <w:tc>
          <w:tcPr>
            <w:tcW w:w="46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7"/>
              </w:rPr>
              <w:t>Arrangements</w:t>
            </w:r>
            <w:r>
              <w:rPr>
                <w:rFonts w:ascii="Times New Roman" w:cs="Times New Roman" w:eastAsia="Times New Roman" w:hAnsi="Times New Roman"/>
                <w:sz w:val="18"/>
                <w:szCs w:val="18"/>
                <w:b w:val="1"/>
                <w:bCs w:val="1"/>
                <w:color w:val="auto"/>
                <w:w w:val="97"/>
                <w:vertAlign w:val="superscript"/>
              </w:rPr>
              <w:t>(1)</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gridSpan w:val="3"/>
            <w:shd w:val="clear" w:color="auto" w:fill="CCEEFF"/>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142</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157</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7"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478 includes 247 new IMAX Laser Systems and 137 upgrades of existing locations to IMAX Laser Systems.</w:t>
      </w:r>
    </w:p>
    <w:p>
      <w:pPr>
        <w:spacing w:after="0" w:line="8"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478 includes 341 new system backlog and 137 upgrade system backlog.</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gridSpan w:val="3"/>
          </w:tcPr>
          <w:p>
            <w:pPr>
              <w:jc w:val="center"/>
              <w:ind w:right="649"/>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gridSpan w:val="4"/>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4"/>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IMAX System Backlog</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23"/>
        </w:trPr>
        <w:tc>
          <w:tcPr>
            <w:tcW w:w="4600" w:type="dxa"/>
            <w:vAlign w:val="bottom"/>
          </w:tcPr>
          <w:p>
            <w:pPr>
              <w:spacing w:after="0"/>
              <w:rPr>
                <w:sz w:val="19"/>
                <w:szCs w:val="19"/>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Traditional</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Hybrid</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1"/>
        </w:trPr>
        <w:tc>
          <w:tcPr>
            <w:tcW w:w="4600" w:type="dxa"/>
            <w:vAlign w:val="bottom"/>
          </w:tcPr>
          <w:p>
            <w:pPr>
              <w:spacing w:after="0"/>
              <w:rPr>
                <w:sz w:val="17"/>
                <w:szCs w:val="17"/>
                <w:color w:val="auto"/>
              </w:rPr>
            </w:pP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JRSA</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Arrangements</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46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2"/>
        </w:trPr>
        <w:tc>
          <w:tcPr>
            <w:tcW w:w="58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 Total (United States &amp; Canada)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Greater China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Asia (excluding Greater China)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8"/>
        </w:trPr>
        <w:tc>
          <w:tcPr>
            <w:tcW w:w="58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Western Europe</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2"/>
        </w:trPr>
        <w:tc>
          <w:tcPr>
            <w:tcW w:w="5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Latin America</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60" w:type="dxa"/>
            <w:vAlign w:val="bottom"/>
            <w:gridSpan w:val="3"/>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
        </w:trPr>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 of the World</w:t>
            </w:r>
          </w:p>
        </w:tc>
        <w:tc>
          <w:tcPr>
            <w:tcW w:w="12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3"/>
            <w:shd w:val="clear" w:color="auto" w:fill="CCEEFF"/>
          </w:tcPr>
          <w:p>
            <w:pPr>
              <w:jc w:val="right"/>
              <w:ind w:right="134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5"/>
        </w:trPr>
        <w:tc>
          <w:tcPr>
            <w:tcW w:w="4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International Total</w:t>
            </w:r>
          </w:p>
        </w:tc>
        <w:tc>
          <w:tcPr>
            <w:tcW w:w="1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160</w:t>
            </w:r>
          </w:p>
        </w:tc>
        <w:tc>
          <w:tcPr>
            <w:tcW w:w="1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6"/>
        </w:trPr>
        <w:tc>
          <w:tcPr>
            <w:tcW w:w="4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82"/>
        </w:trPr>
        <w:tc>
          <w:tcPr>
            <w:tcW w:w="580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Worldwide Total</w:t>
            </w:r>
            <w:r>
              <w:rPr>
                <w:rFonts w:ascii="Times New Roman" w:cs="Times New Roman" w:eastAsia="Times New Roman" w:hAnsi="Times New Roman"/>
                <w:sz w:val="23"/>
                <w:szCs w:val="23"/>
                <w:color w:val="auto"/>
                <w:vertAlign w:val="superscript"/>
              </w:rPr>
              <w:t>(2)(3)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170</w:t>
            </w:r>
          </w:p>
        </w:tc>
        <w:tc>
          <w:tcPr>
            <w:tcW w:w="12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26"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472 includes 262 new IMAX Laser Systems and 109 upgrades of existing locations to IMAX Laser Systems.</w:t>
      </w:r>
    </w:p>
    <w:p>
      <w:pPr>
        <w:spacing w:after="0" w:line="13"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Worldwide Total of 472 includes 363 new system backlog and 109 upgrade system backlog.</w:t>
      </w:r>
    </w:p>
    <w:p>
      <w:pPr>
        <w:spacing w:after="0" w:line="35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backlog reflects the minimum number of commitments for IMAX Systems according to signed contracts. The Company believes that the contractual obligations for IMAX System installations that are listed in backlog are valid and binding commitments. From time to time, in the normal course of its business, the Company will have customers who are unable to proceed with an IMAX System installation for a variety of reasons, including the inability to obtain certain consents, approvals or financing.</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Certain of the Company’s contracts contain options for the customer to elect to upgrade system type during the term or to alter the contract structure (for example, from a JRSA to a sale) after signing, but before installation. Current backlog information reflects all known elections.</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Approximately 74% of IMAX System arrangements in backlog as of September 30, 2025 were scheduled to be installed in international markets (2024 — 85%).</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(See “Risk Factors – The Company may not convert all of its backlog into revenue and cash flows.” in Part I, Item 1A of the Company’s 2024 Form 10-K.)</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i w:val="1"/>
          <w:iCs w:val="1"/>
          <w:color w:val="auto"/>
        </w:rPr>
        <w:t>Signings and Installations</w:t>
      </w:r>
    </w:p>
    <w:p>
      <w:pPr>
        <w:spacing w:after="0" w:line="251"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tables provide detailed information about IMAX System signings and installations for the three and nine months ended September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3"/>
          </w:tcPr>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r>
      <w:tr>
        <w:trPr>
          <w:trHeight w:val="228"/>
        </w:trPr>
        <w:tc>
          <w:tcPr>
            <w:tcW w:w="4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3"/>
          </w:tcPr>
          <w:p>
            <w:pPr>
              <w:jc w:val="center"/>
              <w:ind w:left="8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9"/>
                <w:szCs w:val="19"/>
                <w:color w:val="auto"/>
              </w:rPr>
            </w:pPr>
          </w:p>
        </w:tc>
      </w:tr>
      <w:tr>
        <w:trPr>
          <w:trHeight w:val="38"/>
        </w:trPr>
        <w:tc>
          <w:tcPr>
            <w:tcW w:w="46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3"/>
        </w:trPr>
        <w:tc>
          <w:tcPr>
            <w:tcW w:w="5560" w:type="dxa"/>
            <w:vAlign w:val="bottom"/>
            <w:gridSpan w:val="2"/>
          </w:tcPr>
          <w:p>
            <w:pPr>
              <w:ind w:left="526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1560" w:type="dxa"/>
            <w:vAlign w:val="bottom"/>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46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System Signings:</w:t>
            </w:r>
          </w:p>
        </w:tc>
        <w:tc>
          <w:tcPr>
            <w:tcW w:w="9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68"/>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68"/>
        </w:trPr>
        <w:tc>
          <w:tcPr>
            <w:tcW w:w="4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Traditional JRSA</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62"/>
        </w:trPr>
        <w:tc>
          <w:tcPr>
            <w:tcW w:w="462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Total IMAX System signings</w:t>
            </w:r>
            <w:r>
              <w:rPr>
                <w:rFonts w:ascii="Times New Roman" w:cs="Times New Roman" w:eastAsia="Times New Roman" w:hAnsi="Times New Roman"/>
                <w:sz w:val="23"/>
                <w:szCs w:val="23"/>
                <w:color w:val="auto"/>
                <w:vertAlign w:val="superscript"/>
              </w:rPr>
              <w:t>(2)</w:t>
            </w:r>
          </w:p>
        </w:tc>
        <w:tc>
          <w:tcPr>
            <w:tcW w:w="9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220" w:hanging="195"/>
        <w:spacing w:after="0"/>
        <w:tabs>
          <w:tab w:leader="none" w:pos="22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26" w:lineRule="exact"/>
        <w:rPr>
          <w:rFonts w:ascii="Times New Roman" w:cs="Times New Roman" w:eastAsia="Times New Roman" w:hAnsi="Times New Roman"/>
          <w:sz w:val="14"/>
          <w:szCs w:val="14"/>
          <w:i w:val="1"/>
          <w:iCs w:val="1"/>
          <w:color w:val="auto"/>
        </w:rPr>
      </w:pPr>
    </w:p>
    <w:p>
      <w:pPr>
        <w:ind w:left="220" w:hanging="195"/>
        <w:spacing w:after="0"/>
        <w:tabs>
          <w:tab w:leader="none" w:pos="220"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one and 61 IMAX System upgrades for the three and nine months ended September 30, 2025, respectively (2024 ― one and 69 upgrades, respectively).</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3"/>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6"/>
                <w:szCs w:val="16"/>
                <w:color w:val="auto"/>
              </w:rPr>
            </w:pPr>
          </w:p>
        </w:tc>
      </w:tr>
      <w:tr>
        <w:trPr>
          <w:trHeight w:val="228"/>
        </w:trPr>
        <w:tc>
          <w:tcPr>
            <w:tcW w:w="46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3"/>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9"/>
                <w:szCs w:val="19"/>
                <w:color w:val="auto"/>
              </w:rPr>
            </w:pPr>
          </w:p>
        </w:tc>
      </w:tr>
      <w:tr>
        <w:trPr>
          <w:trHeight w:val="38"/>
        </w:trPr>
        <w:tc>
          <w:tcPr>
            <w:tcW w:w="46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3"/>
        </w:trPr>
        <w:tc>
          <w:tcPr>
            <w:tcW w:w="5560" w:type="dxa"/>
            <w:vAlign w:val="bottom"/>
            <w:gridSpan w:val="2"/>
          </w:tcPr>
          <w:p>
            <w:pPr>
              <w:ind w:left="526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1560" w:type="dxa"/>
            <w:vAlign w:val="bottom"/>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462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48"/>
        </w:trPr>
        <w:tc>
          <w:tcPr>
            <w:tcW w:w="4620" w:type="dxa"/>
            <w:vAlign w:val="bottom"/>
            <w:shd w:val="clear" w:color="auto" w:fill="CCEEFF"/>
          </w:tcPr>
          <w:p>
            <w:pPr>
              <w:ind w:left="20"/>
              <w:spacing w:after="0" w:line="248" w:lineRule="exact"/>
              <w:rPr>
                <w:sz w:val="20"/>
                <w:szCs w:val="20"/>
                <w:color w:val="auto"/>
              </w:rPr>
            </w:pPr>
            <w:r>
              <w:rPr>
                <w:rFonts w:ascii="Times New Roman" w:cs="Times New Roman" w:eastAsia="Times New Roman" w:hAnsi="Times New Roman"/>
                <w:sz w:val="18"/>
                <w:szCs w:val="18"/>
                <w:color w:val="auto"/>
              </w:rPr>
              <w:t>System Installations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8"/>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Arrangements</w:t>
            </w:r>
            <w:r>
              <w:rPr>
                <w:rFonts w:ascii="Times New Roman" w:cs="Times New Roman" w:eastAsia="Times New Roman" w:hAnsi="Times New Roman"/>
                <w:sz w:val="23"/>
                <w:szCs w:val="23"/>
                <w:color w:val="auto"/>
                <w:vertAlign w:val="superscript"/>
              </w:rPr>
              <w:t>(2)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8"/>
        </w:trPr>
        <w:tc>
          <w:tcPr>
            <w:tcW w:w="55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Hybrid JRSA</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2"/>
        </w:trPr>
        <w:tc>
          <w:tcPr>
            <w:tcW w:w="5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Traditional JRSA</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6"/>
        </w:trPr>
        <w:tc>
          <w:tcPr>
            <w:tcW w:w="46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2"/>
        </w:trPr>
        <w:tc>
          <w:tcPr>
            <w:tcW w:w="5560" w:type="dxa"/>
            <w:vAlign w:val="bottom"/>
            <w:gridSpan w:val="2"/>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Total IMAX System installations</w:t>
            </w:r>
            <w:r>
              <w:rPr>
                <w:rFonts w:ascii="Times New Roman" w:cs="Times New Roman" w:eastAsia="Times New Roman" w:hAnsi="Times New Roman"/>
                <w:sz w:val="23"/>
                <w:szCs w:val="23"/>
                <w:color w:val="auto"/>
                <w:vertAlign w:val="superscript"/>
              </w:rPr>
              <w:t>(3)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jc w:val="both"/>
        <w:ind w:left="340" w:right="20" w:hanging="315"/>
        <w:spacing w:after="0" w:line="266" w:lineRule="auto"/>
        <w:tabs>
          <w:tab w:leader="none" w:pos="332"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Two and five IMAX Systems were relocated from their original location for the three and nine months ended September 30, 2025, respectively (2024 ― two and four relocations, respectively). When a system is relocated, the amount of revenue earned by the Company may vary from transaction-to-transaction and is usually less than the amount earned for a new sale. In certain situations when a system is relocated, the original location is upgraded to an IMAX Laser System.</w:t>
      </w:r>
    </w:p>
    <w:p>
      <w:pPr>
        <w:ind w:left="340" w:hanging="315"/>
        <w:spacing w:after="0"/>
        <w:tabs>
          <w:tab w:leader="none" w:pos="3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Sales and Sales-Type Lease deal types.</w:t>
      </w:r>
    </w:p>
    <w:p>
      <w:pPr>
        <w:spacing w:after="0" w:line="13" w:lineRule="exact"/>
        <w:rPr>
          <w:rFonts w:ascii="Times New Roman" w:cs="Times New Roman" w:eastAsia="Times New Roman" w:hAnsi="Times New Roman"/>
          <w:sz w:val="14"/>
          <w:szCs w:val="14"/>
          <w:i w:val="1"/>
          <w:iCs w:val="1"/>
          <w:color w:val="auto"/>
        </w:rPr>
      </w:pPr>
    </w:p>
    <w:p>
      <w:pPr>
        <w:ind w:left="340" w:hanging="315"/>
        <w:spacing w:after="0"/>
        <w:tabs>
          <w:tab w:leader="none" w:pos="34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15 and 40 IMAX System upgrades for the three and nine months ended September 30, 2025, respectively (2024 ― 32 and 43 upgrades, respectively).</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2025 and 2024</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Income and Adjusted Net Income Attributable to Common Shareholders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 presents the Company’s net income attributable to common shareholders and the associated per diluted share amounts, as well as adjusted net income attributable to common shareholders and adjusted net income attributable to common shareholders per diluted share for the three months ended September 30, 2025 and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652"/>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220" w:type="dxa"/>
            <w:vAlign w:val="bottom"/>
          </w:tcPr>
          <w:p>
            <w:pPr>
              <w:spacing w:after="0"/>
              <w:rPr>
                <w:sz w:val="24"/>
                <w:szCs w:val="24"/>
                <w:color w:val="auto"/>
              </w:rPr>
            </w:pPr>
          </w:p>
        </w:tc>
        <w:tc>
          <w:tcPr>
            <w:tcW w:w="12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Per Diluted Share</w:t>
            </w: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323"/>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shareholders</w:t>
            </w:r>
            <w:r>
              <w:rPr>
                <w:rFonts w:ascii="Times New Roman" w:cs="Times New Roman" w:eastAsia="Times New Roman" w:hAnsi="Times New Roman"/>
                <w:sz w:val="23"/>
                <w:szCs w:val="23"/>
                <w:color w:val="auto"/>
                <w:vertAlign w:val="superscript"/>
              </w:rPr>
              <w:t>*</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26,240</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Pr>
          <w:p>
            <w:pPr>
              <w:spacing w:after="0"/>
              <w:rPr>
                <w:sz w:val="24"/>
                <w:szCs w:val="24"/>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r>
    </w:tbl>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*Refer to “Non-GAAP Financial Measures” for a description of this non-GAAP financial measure and a reconciliation to the most comparable GAAP amount.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Company’s revenues and gross margin increased by $15.2 million, or 17%, and $16.3 million, or 32%, respectively, when compared to same period in 2024 principally due to stronger global IMAX box office performance.</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gross margin, and gross margin percentage by reportable segment for the three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3"/>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8"/>
        </w:trPr>
        <w:tc>
          <w:tcPr>
            <w:tcW w:w="3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Content Solutions</w:t>
            </w: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44,832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30,129</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42"/>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57,971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31,964</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6"/>
        </w:trPr>
        <w:tc>
          <w:tcPr>
            <w:tcW w:w="3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105,252</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88,100</w:t>
            </w:r>
          </w:p>
        </w:tc>
        <w:tc>
          <w:tcPr>
            <w:tcW w:w="1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48,413</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62"/>
        </w:trPr>
        <w:tc>
          <w:tcPr>
            <w:tcW w:w="3620" w:type="dxa"/>
            <w:vAlign w:val="bottom"/>
            <w:tcBorders>
              <w:bottom w:val="single" w:sz="8" w:color="CCEEFF"/>
            </w:tcBorders>
          </w:tcPr>
          <w:p>
            <w:pPr>
              <w:ind w:left="20"/>
              <w:spacing w:after="0" w:line="262"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14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87"/>
        </w:trPr>
        <w:tc>
          <w:tcPr>
            <w:tcW w:w="3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106,654</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91,452</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67,271</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51,019</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hanging="315"/>
        <w:spacing w:after="0"/>
        <w:tabs>
          <w:tab w:leader="none" w:pos="340" w:val="left"/>
        </w:tabs>
        <w:numPr>
          <w:ilvl w:val="0"/>
          <w:numId w:val="3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Streaming and Consumer Technology and other ancillary activities.</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Content Solutions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months ended September 30, 2025, Content Solutions segment revenues and gross margin increased by $14.7 million, or 49%, and increased by $15.5 million, or 94%, respectively, when compared to the same period in 2024. The third quarter results were driven by record third quarter IMAX GBO as well as IMAX’s highest ever Content Solutions gross margin percentage.</w:t>
      </w:r>
    </w:p>
    <w:p>
      <w:pPr>
        <w:spacing w:after="0" w:line="204"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 xml:space="preserve">In the third quarter of 2025, box office generated by IMAX films totaled $367.6 million, an $122.7 million, or 50% increase versus the prior year comparative period of $245.0 million. The growth was driven by the stronger IMAX box office performance of the diversified global IMAX film slate during the quarter, compared to the third quarter of 2024 box office performance. In the third quarter of 2025, IMAX box office was generated by the exhibition of 39 films (37 new films and other content and 2 films originally released in a prior year), including the following Hollywood titles: </w:t>
      </w:r>
      <w:r>
        <w:rPr>
          <w:rFonts w:ascii="Times New Roman" w:cs="Times New Roman" w:eastAsia="Times New Roman" w:hAnsi="Times New Roman"/>
          <w:sz w:val="18"/>
          <w:szCs w:val="18"/>
          <w:i w:val="1"/>
          <w:iCs w:val="1"/>
          <w:color w:val="auto"/>
        </w:rPr>
        <w:t>F1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Movie </w:t>
      </w:r>
      <w:r>
        <w:rPr>
          <w:rFonts w:ascii="Times New Roman" w:cs="Times New Roman" w:eastAsia="Times New Roman" w:hAnsi="Times New Roman"/>
          <w:sz w:val="18"/>
          <w:szCs w:val="18"/>
          <w:color w:val="auto"/>
        </w:rPr>
        <w:t>($65 million),</w:t>
      </w:r>
      <w:r>
        <w:rPr>
          <w:rFonts w:ascii="Times New Roman" w:cs="Times New Roman" w:eastAsia="Times New Roman" w:hAnsi="Times New Roman"/>
          <w:sz w:val="18"/>
          <w:szCs w:val="18"/>
          <w:i w:val="1"/>
          <w:iCs w:val="1"/>
          <w:color w:val="auto"/>
        </w:rPr>
        <w:t xml:space="preserve"> Superman </w:t>
      </w:r>
      <w:r>
        <w:rPr>
          <w:rFonts w:ascii="Times New Roman" w:cs="Times New Roman" w:eastAsia="Times New Roman" w:hAnsi="Times New Roman"/>
          <w:sz w:val="18"/>
          <w:szCs w:val="18"/>
          <w:color w:val="auto"/>
        </w:rPr>
        <w:t>($57 million), and</w:t>
      </w:r>
      <w:r>
        <w:rPr>
          <w:rFonts w:ascii="Times New Roman" w:cs="Times New Roman" w:eastAsia="Times New Roman" w:hAnsi="Times New Roman"/>
          <w:sz w:val="18"/>
          <w:szCs w:val="18"/>
          <w:i w:val="1"/>
          <w:iCs w:val="1"/>
          <w:color w:val="auto"/>
        </w:rPr>
        <w:t xml:space="preserve"> The Fantastic Four: First Steps </w:t>
      </w:r>
      <w:r>
        <w:rPr>
          <w:rFonts w:ascii="Times New Roman" w:cs="Times New Roman" w:eastAsia="Times New Roman" w:hAnsi="Times New Roman"/>
          <w:sz w:val="18"/>
          <w:szCs w:val="18"/>
          <w:color w:val="auto"/>
        </w:rPr>
        <w:t>($49 million). In the third quarter of 2025, local language films exhibited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across the Company’s global network generated $120.2 million in box office, representing 33% of its GBO. The Japanese local language film, </w:t>
      </w:r>
      <w:r>
        <w:rPr>
          <w:rFonts w:ascii="Times New Roman" w:cs="Times New Roman" w:eastAsia="Times New Roman" w:hAnsi="Times New Roman"/>
          <w:sz w:val="18"/>
          <w:szCs w:val="18"/>
          <w:i w:val="1"/>
          <w:iCs w:val="1"/>
          <w:color w:val="auto"/>
        </w:rPr>
        <w:t>Demon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Slayer: Infinity Castle, </w:t>
      </w:r>
      <w:r>
        <w:rPr>
          <w:rFonts w:ascii="Times New Roman" w:cs="Times New Roman" w:eastAsia="Times New Roman" w:hAnsi="Times New Roman"/>
          <w:sz w:val="18"/>
          <w:szCs w:val="18"/>
          <w:color w:val="auto"/>
        </w:rPr>
        <w:t>($72 million) became the highest grossing IMAX release of all time in Japan and set numerous opening weekend country records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released across the IMAX global network. In the third quarter of 2024, IMAX box office was generated by the exhibition of 44 films (37 new films and other content, and 7 films originally released in a prior year).</w:t>
      </w:r>
    </w:p>
    <w:p>
      <w:pPr>
        <w:spacing w:after="0" w:line="214" w:lineRule="exact"/>
        <w:rPr>
          <w:sz w:val="20"/>
          <w:szCs w:val="20"/>
          <w:color w:val="auto"/>
        </w:rPr>
      </w:pPr>
    </w:p>
    <w:p>
      <w:pPr>
        <w:jc w:val="both"/>
        <w:ind w:firstLine="193"/>
        <w:spacing w:after="0" w:line="259" w:lineRule="auto"/>
        <w:rPr>
          <w:sz w:val="20"/>
          <w:szCs w:val="20"/>
          <w:color w:val="auto"/>
        </w:rPr>
      </w:pPr>
      <w:r>
        <w:rPr>
          <w:rFonts w:ascii="Times New Roman" w:cs="Times New Roman" w:eastAsia="Times New Roman" w:hAnsi="Times New Roman"/>
          <w:sz w:val="18"/>
          <w:szCs w:val="18"/>
          <w:color w:val="auto"/>
        </w:rPr>
        <w:t xml:space="preserve">In the third quarter of 2025, the Company released </w:t>
      </w:r>
      <w:r>
        <w:rPr>
          <w:rFonts w:ascii="Times New Roman" w:cs="Times New Roman" w:eastAsia="Times New Roman" w:hAnsi="Times New Roman"/>
          <w:sz w:val="18"/>
          <w:szCs w:val="18"/>
          <w:i w:val="1"/>
          <w:iCs w:val="1"/>
          <w:color w:val="auto"/>
        </w:rPr>
        <w:t>Superman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Fantastic Four: First Steps</w:t>
      </w:r>
      <w:r>
        <w:rPr>
          <w:rFonts w:ascii="Times New Roman" w:cs="Times New Roman" w:eastAsia="Times New Roman" w:hAnsi="Times New Roman"/>
          <w:sz w:val="18"/>
          <w:szCs w:val="18"/>
          <w:color w:val="auto"/>
        </w:rPr>
        <w:t xml:space="preserve"> which were filmed with IMAX proprietary cameras (Filmed For IMAX). Filmed For IMAX movies traditionally result in a higher IMAX share of GBO and for the two Hollywood Filmed for IMAX films released in the three months ended September 30, 2025, IMAX generated 14.2% of the domestic opening weekend box office, despite accounting for only 1% of available screens.</w:t>
      </w:r>
    </w:p>
    <w:p>
      <w:pPr>
        <w:spacing w:after="0" w:line="208" w:lineRule="exact"/>
        <w:rPr>
          <w:sz w:val="20"/>
          <w:szCs w:val="20"/>
          <w:color w:val="auto"/>
        </w:rPr>
      </w:pPr>
    </w:p>
    <w:p>
      <w:pPr>
        <w:jc w:val="both"/>
        <w:ind w:firstLine="161"/>
        <w:spacing w:after="0" w:line="256" w:lineRule="auto"/>
        <w:rPr>
          <w:sz w:val="20"/>
          <w:szCs w:val="20"/>
          <w:color w:val="auto"/>
        </w:rPr>
      </w:pPr>
      <w:r>
        <w:rPr>
          <w:rFonts w:ascii="Times New Roman" w:cs="Times New Roman" w:eastAsia="Times New Roman" w:hAnsi="Times New Roman"/>
          <w:sz w:val="18"/>
          <w:szCs w:val="18"/>
          <w:color w:val="auto"/>
        </w:rPr>
        <w:t>In addition to the level of revenues, Content Solutions segment gross margin is influenced by the costs associated with films and other content (documentaries, live, alternative and other) exhibited in the period. The costs associated with films and other content can include production, post-production, distribution and marketing, which are expensed as incurred. For the three months ended September 30, 2025, gross margin percent was 71% compared to 55% in the prior year period. The increase in gross margin was due to the higher level of IMAX box office and the profit that incrementally ensues when individual titles generate higher levels of box office.</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Technology Products and Services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provides information about IMAX Systems installed and the associated revenue recognized at that time, IMAX System counts exclude traditional JRSAs as revenue is recognized over the lease term, during the three months ended September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600" w:type="dxa"/>
            <w:vAlign w:val="bottom"/>
          </w:tcPr>
          <w:p>
            <w:pPr>
              <w:spacing w:after="0"/>
              <w:rPr>
                <w:sz w:val="3"/>
                <w:szCs w:val="3"/>
                <w:color w:val="auto"/>
              </w:rPr>
            </w:pPr>
          </w:p>
        </w:tc>
        <w:tc>
          <w:tcPr>
            <w:tcW w:w="20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rPr>
                <w:sz w:val="15"/>
                <w:szCs w:val="15"/>
                <w:color w:val="auto"/>
              </w:rPr>
            </w:pPr>
          </w:p>
        </w:tc>
        <w:tc>
          <w:tcPr>
            <w:tcW w:w="20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7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600" w:type="dxa"/>
            <w:vAlign w:val="bottom"/>
            <w:vMerge w:val="continue"/>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 of Systems</w:t>
            </w:r>
          </w:p>
        </w:tc>
        <w:tc>
          <w:tcPr>
            <w:tcW w:w="300" w:type="dxa"/>
            <w:vAlign w:val="bottom"/>
          </w:tcPr>
          <w:p>
            <w:pPr>
              <w:spacing w:after="0"/>
              <w:rPr>
                <w:sz w:val="15"/>
                <w:szCs w:val="15"/>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Number of Systems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IMAX Systems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12,318</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11,363</w:t>
            </w:r>
          </w:p>
        </w:tc>
        <w:tc>
          <w:tcPr>
            <w:tcW w:w="0" w:type="dxa"/>
            <w:vAlign w:val="bottom"/>
          </w:tcPr>
          <w:p>
            <w:pPr>
              <w:spacing w:after="0"/>
              <w:rPr>
                <w:sz w:val="1"/>
                <w:szCs w:val="1"/>
                <w:color w:val="auto"/>
              </w:rPr>
            </w:pP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Upgraded IMAX Systems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9,424</w:t>
            </w:r>
          </w:p>
        </w:tc>
        <w:tc>
          <w:tcPr>
            <w:tcW w:w="0" w:type="dxa"/>
            <w:vAlign w:val="bottom"/>
          </w:tcPr>
          <w:p>
            <w:pPr>
              <w:spacing w:after="0"/>
              <w:rPr>
                <w:sz w:val="1"/>
                <w:szCs w:val="1"/>
                <w:color w:val="auto"/>
              </w:rPr>
            </w:pP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IMAX Systems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14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20,787</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Included in the table above are two IMAX Systems that were relocated from their original locations, one of which was closed in a prior period (2024 ― one IMAX System). When a system under a sale or sales-type lease arrangement is relocated, the amount of revenue earned by the Company may vary from transaction to transaction and is typically lower than a new IMAX system. In certain situations when a system is relocated, the original location is upgraded to an IMAX Laser System.</w:t>
      </w:r>
    </w:p>
    <w:p>
      <w:pPr>
        <w:sectPr>
          <w:pgSz w:w="11900" w:h="16838" w:orient="portrait"/>
          <w:cols w:equalWidth="0" w:num="1">
            <w:col w:w="11240"/>
          </w:cols>
          <w:pgMar w:left="320" w:top="363"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three months ended September 30, 2025, Technology Products and Services segment revenue increased by $2.4 million, or 4%, while gross margin increased by $2.9 million, or 9%, when compared to the same period in 2024. The higher level of revenue is primarily driven by a higher level of rental revenues, which is box office driven. Rental revenues increased by $7.0 million, as IMAX GBO earned from the Company’s JRSAs increased by $37.9 million, or 32%, in the third quarter of 2025 when compared to the prior year comparative period, from $116.7 million to $154.6 million. Also contributing to the increase in revenue was an increase in after-market revenue, primarily from higher sales of 3D glasses, during the quarter.</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increases in revenues described above were partially offset by a $6.6 million decrease in revenue from the installation of IMAX Systems, and lower renewals versus the prior period, under sales and sales-type lease arrangements.</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months ended September 30, 2025, Technology Products and Services gross margin percent was 58% compared to 55% in the prior period, which primarily reflects the higher level of revenues generated from stronger IMAX box office performance across the joint revenue sharing network, as described above.</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253"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7"/>
          <w:szCs w:val="17"/>
          <w:color w:val="auto"/>
        </w:rPr>
        <w:t>For the three months ended September 30, 2025, All Other revenue and gross margin decreased by $2.0 million and $2.1 million, respectively, when compared to the same period in 2024. All Other primarily reflects the results of the Company’s SCT business. The decline primarily reflects the Company’s re-positioning and relaunch the SCT business, including the introduction of new branding and product offerings such as IMAX Enhanced: On-Demand.</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Selling, General and Administrative Expenses for the three months ended September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8"/>
        </w:trPr>
        <w:tc>
          <w:tcPr>
            <w:tcW w:w="6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34,219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31,466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(5,763)</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(5,036)</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87"/>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Selling, general and administrative expenses</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28,456</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26,430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right="120" w:hanging="315"/>
        <w:spacing w:after="0" w:line="279" w:lineRule="auto"/>
        <w:tabs>
          <w:tab w:leader="none" w:pos="332" w:val="left"/>
        </w:tabs>
        <w:numPr>
          <w:ilvl w:val="0"/>
          <w:numId w:val="3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portion of share-based compensation expense is recognized within Costs and Expenses Applicable to Revenues, and Research and Development. (Refer to “Capital Stock and Reserves — Share-Based Compensation” in Note 11 of Notes to Condensed Consolidated Financial Statements in Part I, Item 1.)</w:t>
      </w:r>
    </w:p>
    <w:p>
      <w:pPr>
        <w:spacing w:after="0" w:line="32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third quarter of 2025, the higher level of Selling, General and Administrative Expenses year-over-year reflects higher annual performance driven incentive compensation costs and fringe benefits, partially offset by management’s continued focus on operational efficiencies. In the prior period, the Company recorded an adjustment of $1.6 million resulting from a reduction in the SSIMWAVE acquisition performance payout as a reduction to Selling, General and Administrative expenses. No such adjustment to reduce Selling, General and Administrative expenses was recognized in the current period.</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2025, Research and Development expenses were $1.5 million, compared to a net cost recovery of $0.3 million during the same period in the prior year. The increase is primarily driven by the capitalization of costs in accordance with the achievement of technological feasibility of the Company’s new film cameras in the third quarter of 2024. The Company continues to expense its investment in other projects, including in the development of new SCT product offerings and improvements to its existing IMAX System product suite.</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 (Reversal), Net</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months ended September 30, 2025, the Company recorded a credit loss expense of $0.6 million, as compared to a credit loss reversal of $1.1 million recognized in the prior year.</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estimates credit losses based on both a historical provision rate and customer specific circumstances. Management’s judgments regarding expected credit losses are based on the facts available to management at the time that the Condensed Consolidated Financial Statements are prepared and involve estimates about the future. As a result, the Company’s judgments and</w:t>
      </w:r>
    </w:p>
    <w:p>
      <w:pPr>
        <w:sectPr>
          <w:pgSz w:w="11900" w:h="16838" w:orient="portrait"/>
          <w:cols w:equalWidth="0" w:num="1">
            <w:col w:w="11240"/>
          </w:cols>
          <w:pgMar w:left="320" w:top="362"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associated estimates of credit losses may ultimately prove, with the benefit of hindsight, to be incorrect. (Refer to Note 3 of Notes to Condensed Consolidated Financial Statements in Part I, Item 1.)</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Interest Income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months ended September 30, 2025, interest expense was $1.8 million, representing a decrease of $0.4 million, or 18% when compared to interest expense of $2.2 million during the same period of the prior year primarily due to a lower level of borrowings under the Credit Facility in the current period. For the three months ended September 30, 2025 and 2024, interest income was $0.6 million for each period.</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30"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For the three months ended September 30, 2025, the Company recorded an income tax expense of $5.2 million (2024 — $2.4 million). The Company’s effective tax rate of 18.7% for the three months ended September 30, 2025, reflects the geographic allocation of income earned in taxing jurisdictions and reflects a decrease in the valuation allowance.</w:t>
      </w:r>
    </w:p>
    <w:p>
      <w:pPr>
        <w:spacing w:after="0" w:line="2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three months ended September 30, 2025, the net income attributable to non-controlling interests of the Company’s subsidiaries was $2.0 million, an increase of $0.5 million, when compared to the same period in 2024, primarily due to higher box office performance in Greater China.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2025 and 2024</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Net Income and Adjusted Net Income Attributable to Common Shareholders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following table presents the Company’s net income attributable to common shareholders and the associated per diluted share amounts, as well as adjusted net income attributable to common shareholders* and adjusted net income attributable to common shareholders per diluted share for the nine months ended September 30, 2025 and 2024: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652"/>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22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24"/>
                <w:szCs w:val="24"/>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Per Diluted Share</w:t>
            </w: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4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 attributable to common shareholders*</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20" w:type="dxa"/>
            <w:vAlign w:val="bottom"/>
          </w:tcPr>
          <w:p>
            <w:pPr>
              <w:spacing w:after="0"/>
              <w:rPr>
                <w:sz w:val="21"/>
                <w:szCs w:val="21"/>
                <w:color w:val="auto"/>
              </w:rPr>
            </w:pPr>
          </w:p>
        </w:tc>
        <w:tc>
          <w:tcPr>
            <w:tcW w:w="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r>
    </w:tbl>
    <w:p>
      <w:pPr>
        <w:spacing w:after="0" w:line="1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*Refer to “Non-GAAP Financial Measures” for a description of this non-GAAP financial measure and a reconciliation to the most comparable GAAP amount.</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Revenues and Gross Margin</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nine months ended September 30, 2025, the Company’s revenues and gross margin increased by $25.5 million, or 10%, and $32.2 million, or 23%, respectively, when compared to same period in 2024, principally due to stronger IMAX box office performance driven by a record Chinese New Year, Filmed For IMAX, and local language film slate.</w:t>
      </w: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following table presents the Company’s revenue, gross margin, and gross margin percentage by reportable segment for the nine months ended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8"/>
        </w:trPr>
        <w:tc>
          <w:tcPr>
            <w:tcW w:w="366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3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Content Solutions</w:t>
            </w: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113,046</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77,908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54,686</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42"/>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Products and Services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166,652</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94,084</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81,331</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6"/>
        </w:trPr>
        <w:tc>
          <w:tcPr>
            <w:tcW w:w="3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Sub-total for reportable segments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279,698</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251,237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171,992</w:t>
            </w:r>
          </w:p>
        </w:tc>
        <w:tc>
          <w:tcPr>
            <w:tcW w:w="1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136,017</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62"/>
        </w:trPr>
        <w:tc>
          <w:tcPr>
            <w:tcW w:w="3660" w:type="dxa"/>
            <w:vAlign w:val="bottom"/>
            <w:tcBorders>
              <w:bottom w:val="single" w:sz="8" w:color="CCEEFF"/>
            </w:tcBorders>
          </w:tcPr>
          <w:p>
            <w:pPr>
              <w:ind w:left="140"/>
              <w:spacing w:after="0" w:line="262" w:lineRule="exact"/>
              <w:rPr>
                <w:sz w:val="20"/>
                <w:szCs w:val="20"/>
                <w:color w:val="auto"/>
              </w:rPr>
            </w:pPr>
            <w:r>
              <w:rPr>
                <w:rFonts w:ascii="Times New Roman" w:cs="Times New Roman" w:eastAsia="Times New Roman" w:hAnsi="Times New Roman"/>
                <w:sz w:val="18"/>
                <w:szCs w:val="18"/>
                <w:color w:val="auto"/>
              </w:rPr>
              <w:t>All Other</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4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w:t>
            </w:r>
          </w:p>
        </w:tc>
        <w:tc>
          <w:tcPr>
            <w:tcW w:w="140" w:type="dxa"/>
            <w:vAlign w:val="bottom"/>
            <w:tcBorders>
              <w:bottom w:val="single" w:sz="8" w:color="CCEEFF"/>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87"/>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285,005</w:t>
            </w:r>
          </w:p>
        </w:tc>
        <w:tc>
          <w:tcPr>
            <w:tcW w:w="1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259,536</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174,049</w:t>
            </w:r>
          </w:p>
        </w:tc>
        <w:tc>
          <w:tcPr>
            <w:tcW w:w="14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141,835</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340" w:hanging="315"/>
        <w:spacing w:after="0"/>
        <w:tabs>
          <w:tab w:leader="none" w:pos="340" w:val="left"/>
        </w:tabs>
        <w:numPr>
          <w:ilvl w:val="0"/>
          <w:numId w:val="3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Other includes the results from Streaming and Consumer Technology and other ancillary activities.</w:t>
      </w:r>
    </w:p>
    <w:p>
      <w:pPr>
        <w:spacing w:after="0" w:line="3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Content Solutions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nine months ended September 30, 2025, Content Solutions segment revenues and gross margin increased by $13.8 million, or 14%, and increased by $23.2 million, or 42%, respectively, when compared to the same period in 2024.</w:t>
      </w:r>
    </w:p>
    <w:p>
      <w:pPr>
        <w:spacing w:after="0" w:line="189" w:lineRule="exact"/>
        <w:rPr>
          <w:sz w:val="20"/>
          <w:szCs w:val="20"/>
          <w:color w:val="auto"/>
        </w:rPr>
      </w:pPr>
    </w:p>
    <w:p>
      <w:pPr>
        <w:jc w:val="both"/>
        <w:ind w:firstLine="193"/>
        <w:spacing w:after="0" w:line="251" w:lineRule="auto"/>
        <w:rPr>
          <w:sz w:val="20"/>
          <w:szCs w:val="20"/>
          <w:color w:val="auto"/>
        </w:rPr>
      </w:pPr>
      <w:r>
        <w:rPr>
          <w:rFonts w:ascii="Times New Roman" w:cs="Times New Roman" w:eastAsia="Times New Roman" w:hAnsi="Times New Roman"/>
          <w:sz w:val="18"/>
          <w:szCs w:val="18"/>
          <w:color w:val="auto"/>
        </w:rPr>
        <w:t xml:space="preserve">In the nine months ended September 30, 2025, box office generated by IMAX films totaled $946.9 million, a $234.8 million, or 33%, increase versus the prior year comparative period of $712.1 million. This growth was primarily driven by the stronger IMAX box office performance of the IMAX Hollywood and local language film slate in 2025. During the nine months ended September 30, 2025, IMAX box office was generated by the exhibition of 94 films and other content (91 new films and 3 films originally released in a prior year), including the following Hollywood titles: </w:t>
      </w:r>
      <w:r>
        <w:rPr>
          <w:rFonts w:ascii="Times New Roman" w:cs="Times New Roman" w:eastAsia="Times New Roman" w:hAnsi="Times New Roman"/>
          <w:sz w:val="18"/>
          <w:szCs w:val="18"/>
          <w:i w:val="1"/>
          <w:iCs w:val="1"/>
          <w:color w:val="auto"/>
        </w:rPr>
        <w:t>F1 The Movie</w:t>
      </w:r>
      <w:r>
        <w:rPr>
          <w:rFonts w:ascii="Times New Roman" w:cs="Times New Roman" w:eastAsia="Times New Roman" w:hAnsi="Times New Roman"/>
          <w:sz w:val="18"/>
          <w:szCs w:val="18"/>
          <w:color w:val="auto"/>
        </w:rPr>
        <w:t xml:space="preserve"> ($97 million), </w:t>
      </w:r>
      <w:r>
        <w:rPr>
          <w:rFonts w:ascii="Times New Roman" w:cs="Times New Roman" w:eastAsia="Times New Roman" w:hAnsi="Times New Roman"/>
          <w:sz w:val="18"/>
          <w:szCs w:val="18"/>
          <w:i w:val="1"/>
          <w:iCs w:val="1"/>
          <w:color w:val="auto"/>
        </w:rPr>
        <w:t>Mission: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Impossible - The Final Reckoning </w:t>
      </w:r>
      <w:r>
        <w:rPr>
          <w:rFonts w:ascii="Times New Roman" w:cs="Times New Roman" w:eastAsia="Times New Roman" w:hAnsi="Times New Roman"/>
          <w:sz w:val="18"/>
          <w:szCs w:val="18"/>
          <w:color w:val="auto"/>
        </w:rPr>
        <w:t>($76 million),</w:t>
      </w:r>
      <w:r>
        <w:rPr>
          <w:rFonts w:ascii="Times New Roman" w:cs="Times New Roman" w:eastAsia="Times New Roman" w:hAnsi="Times New Roman"/>
          <w:sz w:val="18"/>
          <w:szCs w:val="18"/>
          <w:i w:val="1"/>
          <w:iCs w:val="1"/>
          <w:color w:val="auto"/>
        </w:rPr>
        <w:t xml:space="preserve"> Superman </w:t>
      </w:r>
      <w:r>
        <w:rPr>
          <w:rFonts w:ascii="Times New Roman" w:cs="Times New Roman" w:eastAsia="Times New Roman" w:hAnsi="Times New Roman"/>
          <w:sz w:val="18"/>
          <w:szCs w:val="18"/>
          <w:color w:val="auto"/>
        </w:rPr>
        <w:t>($57 million),</w:t>
      </w:r>
      <w:r>
        <w:rPr>
          <w:rFonts w:ascii="Times New Roman" w:cs="Times New Roman" w:eastAsia="Times New Roman" w:hAnsi="Times New Roman"/>
          <w:sz w:val="18"/>
          <w:szCs w:val="18"/>
          <w:i w:val="1"/>
          <w:iCs w:val="1"/>
          <w:color w:val="auto"/>
        </w:rPr>
        <w:t xml:space="preserve"> The Fantastic Four: First Steps </w:t>
      </w:r>
      <w:r>
        <w:rPr>
          <w:rFonts w:ascii="Times New Roman" w:cs="Times New Roman" w:eastAsia="Times New Roman" w:hAnsi="Times New Roman"/>
          <w:sz w:val="18"/>
          <w:szCs w:val="18"/>
          <w:color w:val="auto"/>
        </w:rPr>
        <w:t>($49 million) and</w:t>
      </w:r>
      <w:r>
        <w:rPr>
          <w:rFonts w:ascii="Times New Roman" w:cs="Times New Roman" w:eastAsia="Times New Roman" w:hAnsi="Times New Roman"/>
          <w:sz w:val="18"/>
          <w:szCs w:val="18"/>
          <w:i w:val="1"/>
          <w:iCs w:val="1"/>
          <w:color w:val="auto"/>
        </w:rPr>
        <w:t xml:space="preserve"> Sinners </w:t>
      </w:r>
      <w:r>
        <w:rPr>
          <w:rFonts w:ascii="Times New Roman" w:cs="Times New Roman" w:eastAsia="Times New Roman" w:hAnsi="Times New Roman"/>
          <w:sz w:val="18"/>
          <w:szCs w:val="18"/>
          <w:color w:val="auto"/>
        </w:rPr>
        <w:t>($39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 in the nine months ended September 30, 2025, local language films exhibited across the Company’s global network generated $343 million in box office, representing 36% of its GBO. The Chinese local language film, </w:t>
      </w:r>
      <w:r>
        <w:rPr>
          <w:rFonts w:ascii="Times New Roman" w:cs="Times New Roman" w:eastAsia="Times New Roman" w:hAnsi="Times New Roman"/>
          <w:sz w:val="18"/>
          <w:szCs w:val="18"/>
          <w:i w:val="1"/>
          <w:iCs w:val="1"/>
          <w:color w:val="auto"/>
        </w:rPr>
        <w:t>Ne Zha 2,</w:t>
      </w:r>
      <w:r>
        <w:rPr>
          <w:rFonts w:ascii="Times New Roman" w:cs="Times New Roman" w:eastAsia="Times New Roman" w:hAnsi="Times New Roman"/>
          <w:sz w:val="18"/>
          <w:szCs w:val="18"/>
          <w:color w:val="auto"/>
        </w:rPr>
        <w:t xml:space="preserve"> became the highest grossing IMAX release of all time in China ($167 million) and contributed to the highest grossing Chinese New Year in the Company’s history. The Japanese local language film, </w:t>
      </w:r>
      <w:r>
        <w:rPr>
          <w:rFonts w:ascii="Times New Roman" w:cs="Times New Roman" w:eastAsia="Times New Roman" w:hAnsi="Times New Roman"/>
          <w:sz w:val="18"/>
          <w:szCs w:val="18"/>
          <w:i w:val="1"/>
          <w:iCs w:val="1"/>
          <w:color w:val="auto"/>
        </w:rPr>
        <w:t>Demon Slayer: Infinity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Castle </w:t>
      </w:r>
      <w:r>
        <w:rPr>
          <w:rFonts w:ascii="Times New Roman" w:cs="Times New Roman" w:eastAsia="Times New Roman" w:hAnsi="Times New Roman"/>
          <w:sz w:val="18"/>
          <w:szCs w:val="18"/>
          <w:color w:val="auto"/>
        </w:rPr>
        <w:t>($72 million) became the highest grossing IMAX release of all time in Japan. In the nine months ended September 30, 2024, IMAX box office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revenue was generated by the exhibition of 104 films (83 new films and 21 films originally released in a prior year). These increases in revenue due to higher box office were partially offset by the revenue earned from the completion of the sale of the worldwide commercial and streaming rights of the Company’s original documentary, </w:t>
      </w:r>
      <w:r>
        <w:rPr>
          <w:rFonts w:ascii="Times New Roman" w:cs="Times New Roman" w:eastAsia="Times New Roman" w:hAnsi="Times New Roman"/>
          <w:sz w:val="18"/>
          <w:szCs w:val="18"/>
          <w:i w:val="1"/>
          <w:iCs w:val="1"/>
          <w:color w:val="auto"/>
        </w:rPr>
        <w:t>The Blue Angels</w:t>
      </w:r>
      <w:r>
        <w:rPr>
          <w:rFonts w:ascii="Times New Roman" w:cs="Times New Roman" w:eastAsia="Times New Roman" w:hAnsi="Times New Roman"/>
          <w:sz w:val="18"/>
          <w:szCs w:val="18"/>
          <w:color w:val="auto"/>
        </w:rPr>
        <w:t>, to Amazon Content recorded in the comparative 2024 period.</w:t>
      </w:r>
    </w:p>
    <w:p>
      <w:pPr>
        <w:spacing w:after="0" w:line="217"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 xml:space="preserve">In the nine months ended September 30, 2025, the Company released movies that were filmed with IMAX proprietary cameras (Filmed For IMAX), including </w:t>
      </w:r>
      <w:r>
        <w:rPr>
          <w:rFonts w:ascii="Times New Roman" w:cs="Times New Roman" w:eastAsia="Times New Roman" w:hAnsi="Times New Roman"/>
          <w:sz w:val="18"/>
          <w:szCs w:val="18"/>
          <w:i w:val="1"/>
          <w:iCs w:val="1"/>
          <w:color w:val="auto"/>
        </w:rPr>
        <w:t>Sinners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F1 The Movie, Mission: Impossible - The Final Reckoning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Superman,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Fantastic Four: First Steps.</w:t>
      </w:r>
      <w:r>
        <w:rPr>
          <w:rFonts w:ascii="Times New Roman" w:cs="Times New Roman" w:eastAsia="Times New Roman" w:hAnsi="Times New Roman"/>
          <w:sz w:val="18"/>
          <w:szCs w:val="18"/>
          <w:color w:val="auto"/>
        </w:rPr>
        <w:t xml:space="preserve"> Filmed For IMAX movies traditionally perform disproportionately well at the box office, and for four of these films, IMAX delivered approximately 20% or more of the opening weekend domestic box office, despite accounting for only 1% of available screens. In the nine months ended September 30, 2025, Filmed For IMAX domestic opening weekend indexing was 15.3% compared to 13.6% in the same period of 2024.</w:t>
      </w:r>
    </w:p>
    <w:p>
      <w:pPr>
        <w:spacing w:after="0" w:line="210"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In addition to the level of revenues, Content Solutions segment gross margin is influenced by the costs associated with films and other content exhibited in the period. These costs can include production, post-production, distribution, and marketing, which are expensed as incurred. For the nine months ended September 30, 2025, gross margin percent was 69% compared to 55% in the prior period. This increase was driven by a higher level of IMAX box office and a lower mix of self-produced content expensed compared to the prior period.</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Technology Products and Services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provides information about IMAX Systems installed and the associated revenue recognized at that time, except for traditional JRSAs as revenue is recognized over the lease term, during the nine months ended September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38"/>
        </w:trPr>
        <w:tc>
          <w:tcPr>
            <w:tcW w:w="4600" w:type="dxa"/>
            <w:vAlign w:val="bottom"/>
          </w:tcPr>
          <w:p>
            <w:pPr>
              <w:spacing w:after="0"/>
              <w:rPr>
                <w:sz w:val="3"/>
                <w:szCs w:val="3"/>
                <w:color w:val="auto"/>
              </w:rPr>
            </w:pPr>
          </w:p>
        </w:tc>
        <w:tc>
          <w:tcPr>
            <w:tcW w:w="20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3"/>
        </w:trPr>
        <w:tc>
          <w:tcPr>
            <w:tcW w:w="4600" w:type="dxa"/>
            <w:vAlign w:val="bottom"/>
          </w:tcPr>
          <w:p>
            <w:pPr>
              <w:spacing w:after="0"/>
              <w:rPr>
                <w:sz w:val="15"/>
                <w:szCs w:val="15"/>
                <w:color w:val="auto"/>
              </w:rPr>
            </w:pPr>
          </w:p>
        </w:tc>
        <w:tc>
          <w:tcPr>
            <w:tcW w:w="2000" w:type="dxa"/>
            <w:vAlign w:val="bottom"/>
            <w:gridSpan w:val="3"/>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60" w:type="dxa"/>
            <w:vAlign w:val="bottom"/>
          </w:tcPr>
          <w:p>
            <w:pPr>
              <w:spacing w:after="0"/>
              <w:rPr>
                <w:sz w:val="15"/>
                <w:szCs w:val="15"/>
                <w:color w:val="auto"/>
              </w:rPr>
            </w:pPr>
          </w:p>
        </w:tc>
      </w:tr>
      <w:tr>
        <w:trPr>
          <w:trHeight w:val="38"/>
        </w:trPr>
        <w:tc>
          <w:tcPr>
            <w:tcW w:w="4600" w:type="dxa"/>
            <w:vAlign w:val="bottom"/>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0"/>
        </w:trPr>
        <w:tc>
          <w:tcPr>
            <w:tcW w:w="460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7"/>
        </w:trPr>
        <w:tc>
          <w:tcPr>
            <w:tcW w:w="4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number of systems</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300" w:type="dxa"/>
            <w:vAlign w:val="bottom"/>
          </w:tcPr>
          <w:p>
            <w:pPr>
              <w:spacing w:after="0"/>
              <w:rPr>
                <w:sz w:val="16"/>
                <w:szCs w:val="16"/>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0" w:type="dxa"/>
            <w:vAlign w:val="bottom"/>
          </w:tcPr>
          <w:p>
            <w:pPr>
              <w:jc w:val="center"/>
              <w:ind w:left="289"/>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Revenue</w:t>
            </w:r>
          </w:p>
        </w:tc>
      </w:tr>
      <w:tr>
        <w:trPr>
          <w:trHeight w:val="38"/>
        </w:trPr>
        <w:tc>
          <w:tcPr>
            <w:tcW w:w="46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IMAX Systems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32,648</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22,874</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Upgraded IMAX Systems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w:t>
            </w: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13,727</w:t>
            </w:r>
          </w:p>
        </w:tc>
      </w:tr>
      <w:tr>
        <w:trPr>
          <w:trHeight w:val="26"/>
        </w:trPr>
        <w:tc>
          <w:tcPr>
            <w:tcW w:w="46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2"/>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37,867</w:t>
            </w: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36,601</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7"/>
          <w:szCs w:val="17"/>
          <w:color w:val="auto"/>
        </w:rPr>
        <w:t>Included in the table above are five IMAX Systems that were relocated from their original locations (2024 ― four IMAX Systems). When a system under a sale or sales-type lease arrangement is relocated, the amount of revenue earned by the Company may vary from transaction to transaction and is usually less than the amount earned for a new sale. In certain situations when a system is relocated, the original location is upgraded to an IMAX Laser System.</w:t>
      </w:r>
    </w:p>
    <w:p>
      <w:pPr>
        <w:spacing w:after="0" w:line="186"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2025, Technology Products and Services segment revenue and gross margin increased by $14.6 million, or 10%, and $12.8 million, or 16%, respectively, when compared to the same period in the prior year. The higher level of revenue is primarily driven by a higher level of rental revenues, which is box office dependent. Rental revenues increased by $12.3 million, driven by IMAX GBO from joint revenue sharing arrangements which increased by $95.5 million in the nine months ended September 30, 2025 when compared to the prior year comparative period, from $324.3 million to $419.8 million. Also contributing to the increase in revenue was an increase in after-market revenue, primarily from higher sales of 3D glasses, and the number of systems recognized under sales and sales-type lease arrangements, per the table above.</w:t>
      </w:r>
    </w:p>
    <w:p>
      <w:pPr>
        <w:spacing w:after="0" w:line="214"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The increases in revenue were partially offset by a $7.7 million decrease in revenue contribution from the impact of amendments, renewals and other agreements to existing IMAX Systems arrangements.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right="20" w:firstLine="193"/>
        <w:spacing w:after="0" w:line="279" w:lineRule="auto"/>
        <w:rPr>
          <w:sz w:val="20"/>
          <w:szCs w:val="20"/>
          <w:color w:val="auto"/>
        </w:rPr>
      </w:pPr>
      <w:r>
        <w:rPr>
          <w:rFonts w:ascii="Times New Roman" w:cs="Times New Roman" w:eastAsia="Times New Roman" w:hAnsi="Times New Roman"/>
          <w:sz w:val="18"/>
          <w:szCs w:val="18"/>
          <w:color w:val="auto"/>
        </w:rPr>
        <w:t>For the nine months ended September 30, 2025, gross margin percent was 56% compared to 54% in the same period in the prior year, which primarily reflects the higher level of revenues as described above.</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All Other</w:t>
      </w:r>
    </w:p>
    <w:p>
      <w:pPr>
        <w:spacing w:after="0" w:line="253"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7"/>
          <w:szCs w:val="17"/>
          <w:color w:val="auto"/>
        </w:rPr>
        <w:t>For the nine months ended September 30, 2025, All Other revenue and gross margin decreased by $3.0 million, and $3.8 million, respectively, when compared to the same period in 2024. All Other primarily reflects the results of the Company’s SCT business. The decline primarily reflects the Company’s re-positioning and relaunch of the SCT business, including the introduction of new branding and product offerings such as IMAX Enhanced: On-Demand.</w:t>
      </w:r>
    </w:p>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Selling, General and Administrative Expenses for the nine months ended September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1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8"/>
        </w:trPr>
        <w:tc>
          <w:tcPr>
            <w:tcW w:w="614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center"/>
              <w:ind w:left="178"/>
              <w:spacing w:after="0"/>
              <w:rPr>
                <w:sz w:val="20"/>
                <w:szCs w:val="20"/>
                <w:color w:val="auto"/>
              </w:rPr>
            </w:pPr>
            <w:r>
              <w:rPr>
                <w:rFonts w:ascii="Times New Roman" w:cs="Times New Roman" w:eastAsia="Times New Roman" w:hAnsi="Times New Roman"/>
                <w:sz w:val="18"/>
                <w:szCs w:val="18"/>
                <w:color w:val="auto"/>
                <w:w w:val="98"/>
              </w:rPr>
              <w:t>2,696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(17,345)</w:t>
            </w: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center"/>
              <w:ind w:left="138"/>
              <w:spacing w:after="0"/>
              <w:rPr>
                <w:sz w:val="20"/>
                <w:szCs w:val="20"/>
                <w:color w:val="auto"/>
              </w:rPr>
            </w:pPr>
            <w:r>
              <w:rPr>
                <w:rFonts w:ascii="Times New Roman" w:cs="Times New Roman" w:eastAsia="Times New Roman" w:hAnsi="Times New Roman"/>
                <w:sz w:val="18"/>
                <w:szCs w:val="18"/>
                <w:color w:val="auto"/>
                <w:w w:val="98"/>
              </w:rPr>
              <w:t>(1,466)</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87"/>
        </w:trPr>
        <w:tc>
          <w:tcPr>
            <w:tcW w:w="6140" w:type="dxa"/>
            <w:vAlign w:val="bottom"/>
            <w:tcBorders>
              <w:bottom w:val="single" w:sz="8" w:color="CCEEFF"/>
            </w:tcBorders>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Total Adjusted Selling, general and administrative expenses</w:t>
            </w:r>
            <w:r>
              <w:rPr>
                <w:rFonts w:ascii="Times New Roman" w:cs="Times New Roman" w:eastAsia="Times New Roman" w:hAnsi="Times New Roman"/>
                <w:sz w:val="23"/>
                <w:szCs w:val="23"/>
                <w:color w:val="auto"/>
                <w:vertAlign w:val="superscript"/>
              </w:rPr>
              <w:t>(2)</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85,638</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84,408</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178"/>
              <w:spacing w:after="0"/>
              <w:rPr>
                <w:sz w:val="20"/>
                <w:szCs w:val="20"/>
                <w:color w:val="auto"/>
              </w:rPr>
            </w:pPr>
            <w:r>
              <w:rPr>
                <w:rFonts w:ascii="Times New Roman" w:cs="Times New Roman" w:eastAsia="Times New Roman" w:hAnsi="Times New Roman"/>
                <w:sz w:val="18"/>
                <w:szCs w:val="18"/>
                <w:color w:val="auto"/>
                <w:w w:val="98"/>
              </w:rPr>
              <w:t>1,230</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340" w:right="20" w:hanging="315"/>
        <w:spacing w:after="0" w:line="259" w:lineRule="auto"/>
        <w:tabs>
          <w:tab w:leader="none" w:pos="332"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 portion of share-based compensation expense is recognized within Cost and Expenses Applicable to Revenue, and Research and Development. (Refer to “Capital Stock and Reserves — Share-Based Compensation” in Note 11 of Notes to Condensed Consolidated Financial Statements in Part I, Item 1.)</w:t>
      </w:r>
    </w:p>
    <w:p>
      <w:pPr>
        <w:ind w:left="340" w:hanging="315"/>
        <w:spacing w:after="0"/>
        <w:tabs>
          <w:tab w:leader="none" w:pos="340" w:val="left"/>
        </w:tabs>
        <w:numPr>
          <w:ilvl w:val="0"/>
          <w:numId w:val="3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See “Non-GAAP Financial Measures” for a description of this non-GAAP financial measure and a reconciliation to the most comparable GAAP amount.</w:t>
      </w:r>
    </w:p>
    <w:p>
      <w:pPr>
        <w:spacing w:after="0" w:line="368"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2025, the higher level of Selling, General and Administrative Expenses year-over-year reflects higher annual, performance driven incentive compensation costs and fringe benefits, partially offset by management’s continued focus on operational efficiencies, including workforce reductions. Additionally, in the period, the Company recognized $2.6 million in benefits resulting from an Employee Retention Credit as a reduction to Selling, General and Administrative expenses, partially offsetting the higher costs. Also impacting the prior period, the Company recorded adjustments relating to payouts in connection with a prior year acquisition as a reduction to Selling, General and Administrative expenses.</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2025, Research and Development expenses were $4.4 million, representing an increase of $0.4 million, or 10%, when compared to Research and Development expenses of $4.0 million during the same period in the prior year. The increase year-over-year was primarily driven by the capitalization of costs in accordance with the achievement of technological feasibility of the Company’s new film cameras in 2024. The Company continues to expense its investment in other projects, including in the development of new Streaming and Technology product offerings and improvements to its existing IMAX System product suite.</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 (Reversal), Net</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nine months ended September 30, 2025, the Company recorded a credit loss expense of $0.3 million, as compared to a credit loss reversal of $1.0 million recognized in the prior year.</w:t>
      </w:r>
    </w:p>
    <w:p>
      <w:pPr>
        <w:spacing w:after="0" w:line="189"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estimates credit losses based on both a historical provision rate and customer specific circumstances. Management’s judgments regarding expected credit losses are based on the facts available to management at the time that the Condensed Consolidated Financial Statements are prepared and involve estimates about the future. As a result, the Company’s judgments and associated estimates of credit losses may ultimately prove, with the benefit of hindsight, to be incorrect. (Refer to Note 3 of Notes to Condensed Consolidated Financial Statements in Part I, Item 1).</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Interest Income</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nine months ended September 30, 2025, interest expense was $5.6 million, representing a decrease of $0.9 million, or 14%, as compared to $6.5 million during the same period of the prior year primarily due to a lower level of borrowings under the Credit Facility in the current period. For the nine months ended September 30, 2025 and 2024, interest income was $2.2 million and $1.7 million, respectively.</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nine months ended September 30, 2025, the Company recorded an income tax expense of $13.7 million (2024 — tax expense of $3.5 million). The Company’s effective tax rate of 24.1% for the nine months ended September 30, 2025, reflects the geographic allocation of income earned in taxing jurisdictions and also reflects a decrease in the valuation allowance, withholding taxes and a tax benefit related to share-based compensation.</w:t>
      </w:r>
    </w:p>
    <w:p>
      <w:pPr>
        <w:spacing w:after="0" w:line="20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the nine months ended September 30, 2025, the net income attributable to non-controlling interests of the Company’s subsidiaries was $8.8 million, an increase of $3.7 million, when compared to the same period in 2024, which reflects a higher level of IMAX box office earned in Greater China.</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Charges</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2025, the Company recorded $0.8 million (2024 — $nil) of restructuring and other charges. These charges are associated with continued strategic initiatives aimed at enhancing operational efficiency, reducing costs, and optimizing the Company’s organization structure. Specifically, the Company incurred $0.5 million in connection with the implementation of its plan to optimize its organizational structure, including the elimination of redundant roles, addressing spans and layers to capture efficiencies and centralize certain operational roles. Additionally, the Company incurred $0.3 million of non-recurring fees relating to the 2024 internal asset sale described in the 2024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FOR THE NINE MONTHS ENDED SEPTEMBER 30, 2025 AND 2024</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discussion below summarizes our cash flows from operating, investing, and financing activities as reflected in the Condensed Consolidated Statements of Cash Flows for the nine months ended September 30, 2025 and 2024.</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9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79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8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97,694</w:t>
            </w:r>
          </w:p>
        </w:tc>
        <w:tc>
          <w:tcPr>
            <w:tcW w:w="140" w:type="dxa"/>
            <w:vAlign w:val="bottom"/>
          </w:tcPr>
          <w:p>
            <w:pPr>
              <w:spacing w:after="0"/>
              <w:rPr>
                <w:sz w:val="21"/>
                <w:szCs w:val="21"/>
                <w:color w:val="auto"/>
              </w:rPr>
            </w:pPr>
          </w:p>
        </w:tc>
        <w:tc>
          <w:tcPr>
            <w:tcW w:w="580" w:type="dxa"/>
            <w:vAlign w:val="bottom"/>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59,352</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(34,779)</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(30,346)</w:t>
            </w:r>
          </w:p>
        </w:tc>
        <w:tc>
          <w:tcPr>
            <w:tcW w:w="0" w:type="dxa"/>
            <w:vAlign w:val="bottom"/>
          </w:tcPr>
          <w:p>
            <w:pPr>
              <w:spacing w:after="0"/>
              <w:rPr>
                <w:sz w:val="1"/>
                <w:szCs w:val="1"/>
                <w:color w:val="auto"/>
              </w:rPr>
            </w:pPr>
          </w:p>
        </w:tc>
      </w:tr>
      <w:tr>
        <w:trPr>
          <w:trHeight w:val="242"/>
        </w:trPr>
        <w:tc>
          <w:tcPr>
            <w:tcW w:w="7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(20,381)</w:t>
            </w: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62"/>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380" w:type="dxa"/>
            <w:vAlign w:val="bottom"/>
            <w:tcBorders>
              <w:top w:val="single" w:sz="8" w:color="auto"/>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42,514</w:t>
            </w:r>
          </w:p>
        </w:tc>
        <w:tc>
          <w:tcPr>
            <w:tcW w:w="14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28,304</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Net cash provided by the Company’s operating activities increased $38.3 million in the nine months ended September 30, 2025, when compared to the same period in 2024, primarily due to an increase in the net income earned in the current period and a net increase in working capital (Refer to Note 9 to Condensed Consolidated Financial Statements in Item 1. for more information on the Company’s change in other operating assets and liabilities.)</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Net cash used in investing activities increased $4.4 million in the nine months ended September 30, 2025, when compared to the same period in 2024, which reflects an increase in the level of investment in equipment contributed to the Company’s JRSAs with exhibitor customers and general corporate capital expenditures.</w:t>
      </w:r>
    </w:p>
    <w:p>
      <w:pPr>
        <w:spacing w:after="0" w:line="204"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Net cash used in financing activities increased $19.4 million in the nine months ended September 30, 2025, when compared to the same period in 2024, mainly driven by a decrease in net borrowings under the revolving credit facilities, an increase in cash paid for taxes withheld on employee stock awards that vested at a higher market price, offset by a decrease in cash outlay for share purchases.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As of September 30, 2025, the Company’s principal sources of liquidity included: (i) its balances of cash and cash equivalents of $143.1 million; (ii) the anticipated collection of trade accounts receivable, which includes amounts owed under JRSAs and Film Remastering and distribution agreements with movie studios; (iii) the anticipated collection of financing and variable consideration receivables due in the next 12 months under sale and sales-type lease arrangements for systems currently in operation; and (iv) installment payments expected in the next 12 months under sale and sales-type lease arrangements in backlog. Under the terms of the Company’s typical sale and sales-type lease agreements, the Company receives substantial cash payments before it completes the performance of its contractual obligations.</w:t>
      </w:r>
    </w:p>
    <w:p>
      <w:pPr>
        <w:sectPr>
          <w:pgSz w:w="11900" w:h="16838" w:orient="portrait"/>
          <w:cols w:equalWidth="0" w:num="1">
            <w:col w:w="11240"/>
          </w:cols>
          <w:pgMar w:left="320" w:top="362"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In addition, as of September 30, 2025, the Company had $346.0 million in available borrowing capacity under its Seventh Amended and Restated Credit Agreement (the “Credit Agreement”), $26.7 million in available borrowing capacity under the IMAX Shanghai revolving credit facility with the Bank of China (the “Bank of China Facility”), and $28.1 million in available borrowing capacity under IMAX Shanghai’s revolving credit facility with HSBC Bank (China) Company Limited, Shanghai Branch (the “HSBC China Facility”). Refer to “Borrowings — Convertible Notes and Other Borrowings, Net” in Note 6 of Notes to Condensed Consolidated Financial Statements in Part I, Item 1.</w:t>
      </w:r>
    </w:p>
    <w:p>
      <w:pPr>
        <w:spacing w:after="0" w:line="210"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Company’s $143.1 million balance of cash and cash equivalents as of September 30, 2025 (December 31, 2024 — $100.6 million) included $129.8 million in cash held outside of Canada (December 31, 2024 — $85.4 million), of which $85.8 million was held in the People’s Republic of China (the “PRC”) (December 31, 2024 — $47.5 million). Management reassessed its strategy with respect to the most efficient means of deploying the Company’s capital resources globally and determined that historical earnings of certain foreign subsidiaries in excess of amounts required to sustain business operations would no longer be indefinitely reinvested. During the nine months ended September 30, 2025, no historical earnings from a subsidiary in the PRC were distributed (2024 — $nil) and, as a result, no foreign withholding taxes were paid to the relevant tax authorities (2024 — $nil). As of September 30, 2025, the Company’s Condensed Consolidated Balance Sheets included a deferred tax liability of $12.5 million for the applicable foreign withholding taxes associated with the remaining balance of non-repatriated historical earnings that will not be indefinitely reinvested outside of Canada. These taxes will become payable upon the repatriation of any such earnings.</w:t>
      </w:r>
    </w:p>
    <w:p>
      <w:pPr>
        <w:spacing w:after="0" w:line="216"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forecasts its future cash flow and short-term liquidity requirements on an ongoing basis. These forecasts are based on estimates and may be materially impacted by factors that are outside of the Company’s control (including the factors described in “Risk Factors” in Part I, Item 1A of the Company’s 2024 Form 10-K as supplemented by “Risk Factors” in Part II, Item 1A of this Form 10-Q). As a result, there is no guarantee that these forecasts will come to fruition and that the Company will be able to fund its operations through cash flows from operations. In particular, the Company’s operating cash flows and cash balances will be adversely impacted if management’s projections of future signings and installations of IMAX Systems and box office performance of IMAX content are not realized.</w:t>
      </w:r>
    </w:p>
    <w:p>
      <w:pPr>
        <w:spacing w:after="0" w:line="21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 also has certain significant contractual obligations and commitments that have been disclosed in “Contractual Obligations” in Part II, Item 7 of the Company’s 2024 Form 10-K. There are no material changes to these obligations and commitments as of September 30, 2025.</w:t>
      </w:r>
    </w:p>
    <w:p>
      <w:pPr>
        <w:spacing w:after="0" w:line="18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Based on the Company’s current cash balances and operating cash flows, management expects to have sufficient capital and liquidity to fund its anticipated operating needs and capital requirements during the next twelve-month period following the date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There are currently no off-balance sheet arrangements that have or are reasonably likely to have a current or future material effect on the Company’s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accordance with U.S. GAAP requires management to make judgments, assumptions, and estimates that affect the amounts reported in the Company’s Condensed Consolidated Financial Statements and accompanying notes. Management’s judgments, assumptions, and estimates are based on historical experience, future expectations, and other factors that are believed to be reasonable as of the date of the Company’s Condensed Consolidated Financial Statements. Actual results may ultimately differ from the Company’s original estimates, as future events and circumstances sometimes do not develop as expected, and the differences may be material. For more information on the Company’s critical accounting estimates refer to the section entitled “Critical Accounting Estimates” in Item 7 “Management’s Discussion and Analysis of Financial Condition and Results of Operations” of the 2024 Form 10-K.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Refer to Note 2 of Notes to Condensed Consolidated Financial Statements in Part I, Item 1 for a discussion of recently issued accounting standards and their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2"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3"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GAAP refers to generally accepted accounting principles in the United States of America. In this report, the Company presents financial measures in accordance with GAAP and also on a non-GAAP basis under the SEC regulations. Specifically, the Company presents the following non-GAAP financial measures as supplemental measures of its performance:</w:t>
      </w:r>
    </w:p>
    <w:p>
      <w:pPr>
        <w:spacing w:after="0" w:line="204" w:lineRule="exact"/>
        <w:rPr>
          <w:sz w:val="20"/>
          <w:szCs w:val="20"/>
          <w:color w:val="auto"/>
        </w:rPr>
      </w:pPr>
    </w:p>
    <w:p>
      <w:pPr>
        <w:ind w:left="640" w:hanging="440"/>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w:t>
      </w:r>
    </w:p>
    <w:p>
      <w:pPr>
        <w:spacing w:after="0" w:line="248" w:lineRule="exact"/>
        <w:rPr>
          <w:rFonts w:ascii="Times New Roman" w:cs="Times New Roman" w:eastAsia="Times New Roman" w:hAnsi="Times New Roman"/>
          <w:sz w:val="18"/>
          <w:szCs w:val="18"/>
          <w:color w:val="auto"/>
        </w:rPr>
      </w:pPr>
    </w:p>
    <w:p>
      <w:pPr>
        <w:ind w:left="640" w:hanging="440"/>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or loss attributable to common shareholders per basic and diluted share;</w:t>
      </w:r>
    </w:p>
    <w:p>
      <w:pPr>
        <w:spacing w:after="0" w:line="248" w:lineRule="exact"/>
        <w:rPr>
          <w:rFonts w:ascii="Times New Roman" w:cs="Times New Roman" w:eastAsia="Times New Roman" w:hAnsi="Times New Roman"/>
          <w:sz w:val="18"/>
          <w:szCs w:val="18"/>
          <w:color w:val="auto"/>
        </w:rPr>
      </w:pPr>
    </w:p>
    <w:p>
      <w:pPr>
        <w:ind w:left="640" w:hanging="440"/>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248" w:lineRule="exact"/>
        <w:rPr>
          <w:rFonts w:ascii="Times New Roman" w:cs="Times New Roman" w:eastAsia="Times New Roman" w:hAnsi="Times New Roman"/>
          <w:sz w:val="18"/>
          <w:szCs w:val="18"/>
          <w:color w:val="auto"/>
        </w:rPr>
      </w:pPr>
    </w:p>
    <w:p>
      <w:pPr>
        <w:ind w:left="640" w:hanging="440"/>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per Credit Facility; and</w:t>
      </w:r>
    </w:p>
    <w:p>
      <w:pPr>
        <w:spacing w:after="0" w:line="248" w:lineRule="exact"/>
        <w:rPr>
          <w:rFonts w:ascii="Times New Roman" w:cs="Times New Roman" w:eastAsia="Times New Roman" w:hAnsi="Times New Roman"/>
          <w:sz w:val="18"/>
          <w:szCs w:val="18"/>
          <w:color w:val="auto"/>
        </w:rPr>
      </w:pPr>
    </w:p>
    <w:p>
      <w:pPr>
        <w:ind w:left="640" w:hanging="440"/>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Selling, general and administrative expenses.</w:t>
      </w:r>
    </w:p>
    <w:p>
      <w:pPr>
        <w:spacing w:after="0" w:line="24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Adjusted net income or loss attributable to common shareholders and adjusted net income or loss attributable to common shareholders per basic and diluted share exclude, where applicable: (i) share-based compensation; (ii) realized and unrealized investment gains or losses; (iii) restructuring and other charges; and (iv) employee retention credits, and as well as the related tax impact of these adjustments.</w:t>
      </w:r>
    </w:p>
    <w:p>
      <w:pPr>
        <w:spacing w:after="0" w:line="20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 believes that these non-GAAP financial measures are important supplemental measures that allow management and users of the Company’s financial statements to view operating trends and analyze controllable operating performance on a comparable basis between periods without the after-tax impact of share-based compensation and certain unusual items included in net income attributable to common shareholders. Although share-based compensation is an important aspect of the Company’s employee and executive compensation packages, it is a non-cash expense and is excluded from certain internal business performance measures.</w:t>
      </w:r>
    </w:p>
    <w:p>
      <w:pPr>
        <w:spacing w:after="0" w:line="210"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and the associated per share amounts to adjusted net income attributable to common shareholders and adjusted net income attributable to common shareholders per diluted share are presented in the tables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share amounts)</w:t>
            </w: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0" w:type="dxa"/>
            <w:vAlign w:val="bottom"/>
          </w:tcPr>
          <w:p>
            <w:pPr>
              <w:spacing w:after="0"/>
              <w:rPr>
                <w:sz w:val="1"/>
                <w:szCs w:val="1"/>
                <w:color w:val="auto"/>
              </w:rPr>
            </w:pP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6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42"/>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retention credits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impact on items listed above</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6"/>
        </w:trPr>
        <w:tc>
          <w:tcPr>
            <w:tcW w:w="54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5400" w:type="dxa"/>
            <w:vAlign w:val="bottom"/>
            <w:shd w:val="clear" w:color="auto" w:fill="CCEEFF"/>
          </w:tcPr>
          <w:p>
            <w:pPr>
              <w:ind w:left="20"/>
              <w:spacing w:after="0" w:line="262"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18,855</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53,788</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52,682</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55,565</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54,089</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4"/>
          <w:szCs w:val="14"/>
          <w:i w:val="1"/>
          <w:iCs w:val="1"/>
          <w:color w:val="auto"/>
        </w:rPr>
        <w:t>(1)</w:t>
        <w:tab/>
        <w:t>Reflects amounts attributable to common shareholders.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4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per diluted share amounts)</w:t>
            </w: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20" w:type="dxa"/>
            <w:vAlign w:val="bottom"/>
          </w:tcPr>
          <w:p>
            <w:pPr>
              <w:spacing w:after="0"/>
              <w:rPr>
                <w:sz w:val="15"/>
                <w:szCs w:val="15"/>
                <w:color w:val="auto"/>
              </w:rPr>
            </w:pPr>
          </w:p>
        </w:tc>
        <w:tc>
          <w:tcPr>
            <w:tcW w:w="124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Per Diluted Share</w:t>
            </w:r>
          </w:p>
        </w:tc>
        <w:tc>
          <w:tcPr>
            <w:tcW w:w="0" w:type="dxa"/>
            <w:vAlign w:val="bottom"/>
          </w:tcPr>
          <w:p>
            <w:pPr>
              <w:spacing w:after="0"/>
              <w:rPr>
                <w:sz w:val="1"/>
                <w:szCs w:val="1"/>
                <w:color w:val="auto"/>
              </w:rPr>
            </w:pPr>
          </w:p>
        </w:tc>
      </w:tr>
      <w:tr>
        <w:trPr>
          <w:trHeight w:val="38"/>
        </w:trPr>
        <w:tc>
          <w:tcPr>
            <w:tcW w:w="54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2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36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6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42"/>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retention credits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5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impact on items listed above</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62"/>
        </w:trPr>
        <w:tc>
          <w:tcPr>
            <w:tcW w:w="5400" w:type="dxa"/>
            <w:vAlign w:val="bottom"/>
          </w:tcPr>
          <w:p>
            <w:pPr>
              <w:ind w:left="20"/>
              <w:spacing w:after="0" w:line="262"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36,542</w:t>
            </w:r>
          </w:p>
        </w:tc>
        <w:tc>
          <w:tcPr>
            <w:tcW w:w="14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4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53,561</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52,605</w:t>
            </w:r>
          </w:p>
        </w:tc>
        <w:tc>
          <w:tcPr>
            <w:tcW w:w="0" w:type="dxa"/>
            <w:vAlign w:val="bottom"/>
          </w:tcPr>
          <w:p>
            <w:pPr>
              <w:spacing w:after="0"/>
              <w:rPr>
                <w:sz w:val="1"/>
                <w:szCs w:val="1"/>
                <w:color w:val="auto"/>
              </w:rPr>
            </w:pP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7"/>
        </w:trPr>
        <w:tc>
          <w:tcPr>
            <w:tcW w:w="5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55,242</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53,628</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9" w:lineRule="exact"/>
        <w:rPr>
          <w:sz w:val="20"/>
          <w:szCs w:val="20"/>
          <w:color w:val="auto"/>
        </w:rPr>
      </w:pPr>
    </w:p>
    <w:p>
      <w:pPr>
        <w:ind w:left="20"/>
        <w:spacing w:after="0"/>
        <w:tabs>
          <w:tab w:leader="none" w:pos="320" w:val="left"/>
        </w:tabs>
        <w:rPr>
          <w:sz w:val="20"/>
          <w:szCs w:val="20"/>
          <w:color w:val="auto"/>
        </w:rPr>
      </w:pPr>
      <w:r>
        <w:rPr>
          <w:rFonts w:ascii="Times New Roman" w:cs="Times New Roman" w:eastAsia="Times New Roman" w:hAnsi="Times New Roman"/>
          <w:sz w:val="14"/>
          <w:szCs w:val="14"/>
          <w:i w:val="1"/>
          <w:iCs w:val="1"/>
          <w:color w:val="auto"/>
        </w:rPr>
        <w:t>(1)</w:t>
        <w:tab/>
        <w:t>Reflects amounts attributable to common shareholders.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In addition to the non-GAAP financial measures discussed above, management also uses “EBITDA,” as such term is defined in the Credit Agreement, and which is referred to herein as “Adjusted EBITDA per Credit Facility.” As defined in the Credit Agreement, Adjusted EBITDA per Credit Facility includes adjustments in addition to the exclusion of interest, taxes, depreciation and amortization. Accordingly, this non-GAAP financial measure is presented to allow a more comprehensive analysis of the Company’s operating performance and to provide additional information with respect to the Company’s compliance with its Credit Agreement requirements, when applicable. In addition, the Company believes that Adjusted EBITDA per Credit Facility presents relevant and useful information widely used by analysts, investors and other interested parties in the Company’s industry to evaluate, assess and benchmark the Company’s results.</w:t>
      </w:r>
    </w:p>
    <w:p>
      <w:pPr>
        <w:spacing w:after="0" w:line="21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EBITDA is defined as net income or loss excluding: (i) income tax expense or benefit; (ii) interest expense, net of interest income; (iii) depreciation and amortization, including film asset amortization; and (iv) amortization of deferred financing costs. Adjusted EBITDA per Credit Facility is defined as EBITDA excluding: (i) share-based and other non-cash compensation; (ii) realized and unrealized investment gains or losses; (iii) restructuring and other charges; and (iv) write-downs, net of recoveries, including asset impairments and credit loss expense or reversal.</w:t>
      </w:r>
    </w:p>
    <w:p>
      <w:pPr>
        <w:spacing w:after="0" w:line="209"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Reconciliations of net income attributable to common shareholders, which is the most directly comparable GAAP measure, to EBITDA and Adjusted EBITDA per Credit Facility are presented in the tables below:</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84"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9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0" w:type="dxa"/>
            <w:vAlign w:val="bottom"/>
          </w:tcPr>
          <w:p>
            <w:pPr>
              <w:spacing w:after="0"/>
              <w:rPr>
                <w:sz w:val="16"/>
                <w:szCs w:val="16"/>
                <w:color w:val="auto"/>
              </w:rPr>
            </w:pPr>
          </w:p>
        </w:tc>
        <w:tc>
          <w:tcPr>
            <w:tcW w:w="15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8"/>
        </w:trPr>
        <w:tc>
          <w:tcPr>
            <w:tcW w:w="92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2"/>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22,616</w:t>
            </w:r>
          </w:p>
        </w:tc>
      </w:tr>
      <w:tr>
        <w:trPr>
          <w:trHeight w:val="242"/>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6"/>
        </w:trPr>
        <w:tc>
          <w:tcPr>
            <w:tcW w:w="9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8"/>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w:t>
            </w:r>
          </w:p>
        </w:tc>
      </w:tr>
      <w:tr>
        <w:trPr>
          <w:trHeight w:val="242"/>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6"/>
        </w:trPr>
        <w:tc>
          <w:tcPr>
            <w:tcW w:w="9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8"/>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r>
      <w:tr>
        <w:trPr>
          <w:trHeight w:val="268"/>
        </w:trPr>
        <w:tc>
          <w:tcPr>
            <w:tcW w:w="92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42"/>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EBITDA</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44,706</w:t>
            </w:r>
          </w:p>
        </w:tc>
      </w:tr>
      <w:tr>
        <w:trPr>
          <w:trHeight w:val="242"/>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r>
      <w:tr>
        <w:trPr>
          <w:trHeight w:val="26"/>
        </w:trPr>
        <w:tc>
          <w:tcPr>
            <w:tcW w:w="9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8"/>
        </w:trPr>
        <w:tc>
          <w:tcPr>
            <w:tcW w:w="9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investment (gains) losses</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2"/>
        </w:trPr>
        <w:tc>
          <w:tcPr>
            <w:tcW w:w="9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1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6"/>
        </w:trPr>
        <w:tc>
          <w:tcPr>
            <w:tcW w:w="9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2"/>
        </w:trPr>
        <w:tc>
          <w:tcPr>
            <w:tcW w:w="9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51,809</w:t>
            </w:r>
          </w:p>
        </w:tc>
      </w:tr>
      <w:tr>
        <w:trPr>
          <w:trHeight w:val="235"/>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w:t>
            </w:r>
          </w:p>
        </w:tc>
      </w:tr>
      <w:tr>
        <w:trPr>
          <w:trHeight w:val="26"/>
        </w:trPr>
        <w:tc>
          <w:tcPr>
            <w:tcW w:w="9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2"/>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 - attributable to common shareholders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47,959</w:t>
            </w:r>
          </w:p>
        </w:tc>
      </w:tr>
      <w:tr>
        <w:trPr>
          <w:trHeight w:val="20"/>
        </w:trPr>
        <w:tc>
          <w:tcPr>
            <w:tcW w:w="9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540" w:hanging="322"/>
        <w:spacing w:after="0"/>
        <w:tabs>
          <w:tab w:leader="none" w:pos="540" w:val="left"/>
        </w:tabs>
        <w:numPr>
          <w:ilvl w:val="0"/>
          <w:numId w:val="4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Condensed Consolidated Statements of Operations.</w:t>
      </w:r>
    </w:p>
    <w:p>
      <w:pPr>
        <w:spacing w:after="0" w:line="17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201"/>
        </w:trPr>
        <w:tc>
          <w:tcPr>
            <w:tcW w:w="92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40" w:type="dxa"/>
            <w:vAlign w:val="bottom"/>
          </w:tcPr>
          <w:p>
            <w:pPr>
              <w:spacing w:after="0"/>
              <w:rPr>
                <w:sz w:val="17"/>
                <w:szCs w:val="17"/>
                <w:color w:val="auto"/>
              </w:rPr>
            </w:pPr>
          </w:p>
        </w:tc>
        <w:tc>
          <w:tcPr>
            <w:tcW w:w="16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8"/>
        </w:trPr>
        <w:tc>
          <w:tcPr>
            <w:tcW w:w="92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42"/>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49,867</w:t>
            </w:r>
          </w:p>
        </w:tc>
      </w:tr>
      <w:tr>
        <w:trPr>
          <w:trHeight w:val="242"/>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(subtract):</w:t>
            </w:r>
          </w:p>
        </w:tc>
        <w:tc>
          <w:tcPr>
            <w:tcW w:w="14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6"/>
        </w:trPr>
        <w:tc>
          <w:tcPr>
            <w:tcW w:w="9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8"/>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15,146</w:t>
            </w:r>
          </w:p>
        </w:tc>
      </w:tr>
      <w:tr>
        <w:trPr>
          <w:trHeight w:val="242"/>
        </w:trPr>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r>
      <w:tr>
        <w:trPr>
          <w:trHeight w:val="26"/>
        </w:trPr>
        <w:tc>
          <w:tcPr>
            <w:tcW w:w="9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8"/>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including film asset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63,021</w:t>
            </w:r>
          </w:p>
        </w:tc>
      </w:tr>
      <w:tr>
        <w:trPr>
          <w:trHeight w:val="268"/>
        </w:trPr>
        <w:tc>
          <w:tcPr>
            <w:tcW w:w="9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r>
      <w:tr>
        <w:trPr>
          <w:trHeight w:val="242"/>
        </w:trPr>
        <w:tc>
          <w:tcPr>
            <w:tcW w:w="9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132,540</w:t>
            </w:r>
          </w:p>
        </w:tc>
      </w:tr>
      <w:tr>
        <w:trPr>
          <w:trHeight w:val="242"/>
        </w:trPr>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and other non-cash compensation</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24,998</w:t>
            </w:r>
          </w:p>
        </w:tc>
      </w:tr>
      <w:tr>
        <w:trPr>
          <w:trHeight w:val="26"/>
        </w:trPr>
        <w:tc>
          <w:tcPr>
            <w:tcW w:w="9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8"/>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investment gains</w:t>
            </w:r>
          </w:p>
        </w:tc>
        <w:tc>
          <w:tcPr>
            <w:tcW w:w="1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42"/>
        </w:trPr>
        <w:tc>
          <w:tcPr>
            <w:tcW w:w="9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r>
      <w:tr>
        <w:trPr>
          <w:trHeight w:val="26"/>
        </w:trPr>
        <w:tc>
          <w:tcPr>
            <w:tcW w:w="9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68"/>
        </w:trPr>
        <w:tc>
          <w:tcPr>
            <w:tcW w:w="9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Write-downs, including asset impairments and credit loss expense</w:t>
            </w:r>
          </w:p>
        </w:tc>
        <w:tc>
          <w:tcPr>
            <w:tcW w:w="1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r>
      <w:tr>
        <w:trPr>
          <w:trHeight w:val="235"/>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165,040</w:t>
            </w:r>
          </w:p>
        </w:tc>
      </w:tr>
      <w:tr>
        <w:trPr>
          <w:trHeight w:val="26"/>
        </w:trPr>
        <w:tc>
          <w:tcPr>
            <w:tcW w:w="9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62"/>
        </w:trPr>
        <w:tc>
          <w:tcPr>
            <w:tcW w:w="9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Non-controlling interest</w:t>
            </w:r>
          </w:p>
        </w:tc>
        <w:tc>
          <w:tcPr>
            <w:tcW w:w="1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w:t>
            </w:r>
          </w:p>
        </w:tc>
      </w:tr>
      <w:tr>
        <w:trPr>
          <w:trHeight w:val="262"/>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per Credit Facility - attributable to common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146,902</w:t>
            </w:r>
          </w:p>
        </w:tc>
      </w:tr>
      <w:tr>
        <w:trPr>
          <w:trHeight w:val="20"/>
        </w:trPr>
        <w:tc>
          <w:tcPr>
            <w:tcW w:w="9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500" w:hanging="314"/>
        <w:spacing w:after="0"/>
        <w:tabs>
          <w:tab w:leader="none" w:pos="500" w:val="left"/>
        </w:tabs>
        <w:numPr>
          <w:ilvl w:val="0"/>
          <w:numId w:val="4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amortization of deferred financing costs is recorded within Interest Expense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100" w:firstLine="193"/>
        <w:spacing w:after="0" w:line="256" w:lineRule="auto"/>
        <w:rPr>
          <w:sz w:val="20"/>
          <w:szCs w:val="20"/>
          <w:color w:val="auto"/>
        </w:rPr>
      </w:pPr>
      <w:r>
        <w:rPr>
          <w:rFonts w:ascii="Times New Roman" w:cs="Times New Roman" w:eastAsia="Times New Roman" w:hAnsi="Times New Roman"/>
          <w:sz w:val="18"/>
          <w:szCs w:val="18"/>
          <w:color w:val="auto"/>
        </w:rPr>
        <w:t>The Company also adjusts Selling, General and Administrative Expenses to exclude a portion of share-based compensation and related payroll taxes. Management uses non-GAAP and other financial measures such as this, internally for financial and operational decision-making and as a means to evaluate period-to-period comparisons. IMAX believes that this non-GAAP measure provides useful information about operating results, enhances the overall understanding of past financial performance and future prospects, and allows for greater transparency with respect to key metrics used by management and its financial and operational decision making.</w:t>
      </w:r>
    </w:p>
    <w:p>
      <w:pPr>
        <w:spacing w:after="0" w:line="210" w:lineRule="exact"/>
        <w:rPr>
          <w:sz w:val="20"/>
          <w:szCs w:val="20"/>
          <w:color w:val="auto"/>
        </w:rPr>
      </w:pPr>
    </w:p>
    <w:p>
      <w:pPr>
        <w:jc w:val="both"/>
        <w:ind w:right="100" w:firstLine="193"/>
        <w:spacing w:after="0" w:line="279" w:lineRule="auto"/>
        <w:rPr>
          <w:sz w:val="20"/>
          <w:szCs w:val="20"/>
          <w:color w:val="auto"/>
        </w:rPr>
      </w:pPr>
      <w:r>
        <w:rPr>
          <w:rFonts w:ascii="Times New Roman" w:cs="Times New Roman" w:eastAsia="Times New Roman" w:hAnsi="Times New Roman"/>
          <w:sz w:val="18"/>
          <w:szCs w:val="18"/>
          <w:color w:val="auto"/>
        </w:rPr>
        <w:t>A reconciliation of Selling, General and Administrative Expenses, the most directly comparable GAAP measure presented in the Condensed Consolidated Statement of Operations in Part I, Item 1, to Adjusted Selling, General and Administrative Expenses is presented in the table below.</w:t>
      </w:r>
    </w:p>
    <w:p>
      <w:pPr>
        <w:spacing w:after="0" w:line="236" w:lineRule="exact"/>
        <w:rPr>
          <w:sz w:val="20"/>
          <w:szCs w:val="20"/>
          <w:color w:val="auto"/>
        </w:rPr>
      </w:pPr>
    </w:p>
    <w:tbl>
      <w:tblPr>
        <w:tblLayout w:type="fixed"/>
        <w:tblInd w:w="200" w:type="dxa"/>
        <w:tblCellMar>
          <w:top w:w="0" w:type="dxa"/>
          <w:left w:w="0" w:type="dxa"/>
          <w:bottom w:w="0" w:type="dxa"/>
          <w:right w:w="0" w:type="dxa"/>
        </w:tblCellMar>
      </w:tblPr>
      <w:tr>
        <w:trPr>
          <w:trHeight w:val="187"/>
        </w:trPr>
        <w:tc>
          <w:tcPr>
            <w:tcW w:w="6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060" w:type="dxa"/>
            <w:vAlign w:val="bottom"/>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8"/>
        </w:trPr>
        <w:tc>
          <w:tcPr>
            <w:tcW w:w="6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38"/>
        </w:trPr>
        <w:tc>
          <w:tcPr>
            <w:tcW w:w="626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8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34,219</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31,466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100,287</w:t>
            </w:r>
          </w:p>
        </w:tc>
        <w:tc>
          <w:tcPr>
            <w:tcW w:w="0" w:type="dxa"/>
            <w:vAlign w:val="bottom"/>
          </w:tcPr>
          <w:p>
            <w:pPr>
              <w:spacing w:after="0"/>
              <w:rPr>
                <w:sz w:val="1"/>
                <w:szCs w:val="1"/>
                <w:color w:val="auto"/>
              </w:rPr>
            </w:pPr>
          </w:p>
        </w:tc>
      </w:tr>
      <w:tr>
        <w:trPr>
          <w:trHeight w:val="242"/>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Share-based compensation</w:t>
            </w:r>
          </w:p>
        </w:tc>
        <w:tc>
          <w:tcPr>
            <w:tcW w:w="280" w:type="dxa"/>
            <w:vAlign w:val="bottom"/>
          </w:tcPr>
          <w:p>
            <w:pPr>
              <w:spacing w:after="0"/>
              <w:rPr>
                <w:sz w:val="21"/>
                <w:szCs w:val="21"/>
                <w:color w:val="auto"/>
              </w:rPr>
            </w:pPr>
          </w:p>
        </w:tc>
        <w:tc>
          <w:tcPr>
            <w:tcW w:w="8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(5,763)</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(5,036)</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0" w:type="dxa"/>
            <w:vAlign w:val="bottom"/>
          </w:tcPr>
          <w:p>
            <w:pPr>
              <w:spacing w:after="0"/>
              <w:rPr>
                <w:sz w:val="1"/>
                <w:szCs w:val="1"/>
                <w:color w:val="auto"/>
              </w:rPr>
            </w:pPr>
          </w:p>
        </w:tc>
      </w:tr>
      <w:tr>
        <w:trPr>
          <w:trHeight w:val="26"/>
        </w:trPr>
        <w:tc>
          <w:tcPr>
            <w:tcW w:w="6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Adjusted Selling, general and administrative expenses</w:t>
            </w:r>
          </w:p>
        </w:tc>
        <w:tc>
          <w:tcPr>
            <w:tcW w:w="28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28,456</w:t>
            </w:r>
          </w:p>
        </w:tc>
        <w:tc>
          <w:tcPr>
            <w:tcW w:w="1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26,430</w:t>
            </w:r>
          </w:p>
        </w:tc>
        <w:tc>
          <w:tcPr>
            <w:tcW w:w="1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85,638</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84,408</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362" w:right="239" w:bottom="1146"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362" w:right="239" w:bottom="1146"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cautions users of its financial statements that these non-GAAP financial measures may not be comparable to similarly titled measures reported by other companies. Additionally, the non-GAAP financial measures used by the Company should not be considered in isolation, or as a substitute for, or superior to, the comparable GAAP amounts.</w:t>
      </w:r>
    </w:p>
    <w:p>
      <w:pPr>
        <w:spacing w:after="0" w:line="20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53"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is exposed to market risk from foreign currency exchange rates and interest rates, which could affect operating results, financial position and cash flows. Market risk is the potential change in an instrument’s value caused by, for example, fluctuations in interest and currency exchange rates. The Company’s primary market risk exposure is the risk of unfavorable movements in exchange rates between the U.S. Dollar, the Canadian Dollar, and Chinese Renminbi (“RMB”). The Company does not use financial instruments for trading or other speculative purposes.</w:t>
      </w:r>
    </w:p>
    <w:p>
      <w:pPr>
        <w:spacing w:after="0" w:line="2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253"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A majority of the Company’s revenue is denominated in U.S. Dollars while a significant portion of its costs and expenses is denominated in Canadian Dollars. A portion of the Company’s net U.S. Dollar cash flows is converted to Canadian Dollars to fund Canadian Dollar expenses through the spot market. In addition, IMAX films generate box office in 89 different countries, and therefore unfavorable exchange rates between applicable local currencies and the U.S. Dollar could have an impact on the GBO generated by the Company’s exhibitor customers and its revenues. For example, the impact of changes in foreign currency valuations versus the U.S. Dollar led to a decrease in IMAX GBO of approximately $110 million as compared to those in 2019. The Company has incoming cash flows from its revenue generating IMAX network and ongoing operating expenses in China through its majority-owned subsidiary IMAX Shanghai. In Japan, the Company has ongoing Yen-denominated operating expenses related to its Japanese operations. Net RMB and Japanese Yen cash flows are converted to U.S. Dollars through the spot market. The Company also has cash receipts under leases denominated in RMB, Japanese Yen, British Pound Sterling, Euros and Canadian Dollars.</w:t>
      </w:r>
    </w:p>
    <w:p>
      <w:pPr>
        <w:spacing w:after="0" w:line="216"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The Company manages its exposure to foreign exchange rate risks through its regular operating and financing activities and, when appropriate, through the use of derivative financial instruments. These derivative financial instruments are utilized to hedge economic exposures as well as reduce earnings and cash flow volatility resulting from shifts in market rates.</w:t>
      </w:r>
    </w:p>
    <w:p>
      <w:pPr>
        <w:spacing w:after="0" w:line="204"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Certain of the Company’s PRC subsidiaries held approximately RMB 606.9 million ($85.4 million) in cash and cash equivalents as of September 30, 2025 (December 31, 2024 — RMB 341.1 million or $47.5 million) and are required to transact locally in RMB. Foreign currency exchange transactions, including the remittance of any funds into and out of the PRC, are subject to controls and require the approval of the China State Administration of Foreign Exchange to complete. Any developments relating to the Chinese economy and any actions taken by the Chinese government are beyond the control of the Company; however, the Company monitors and manages its capital and liquidity requirements to ensure compliance with local regulatory and policy requirements. (Refer to “Risk Factors – The Company faces risks in connection with its significant presence in China and the continued expansion of its business there” in Part I, Item 1A. of the Company’s 2024 Form 10-K.)</w:t>
      </w:r>
    </w:p>
    <w:p>
      <w:pPr>
        <w:spacing w:after="0" w:line="215"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Management also monitors the macroeconomic environment as part of its continuous assessment of credit risk. This includes consideration of developments in the U.S. and global banking sectors, which informs management’s assessment of any potential direct and indirect impacts on the Company. There are no concentrations of cash and cash equivalents in any regional banking institutions, such that management considers there to be any material risk in this regard.</w:t>
      </w:r>
    </w:p>
    <w:p>
      <w:pPr>
        <w:spacing w:after="0" w:line="20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recorded a foreign exchange net loss of $0.2 million and net loss of $0.4 million respectively, resulting from changes in exchange rates related to foreign currency denominated monetary assets and liabilities (2024 — net losses of $0.3 million and $0.8 million, respectively).</w:t>
      </w:r>
    </w:p>
    <w:p>
      <w:pPr>
        <w:spacing w:after="0" w:line="204"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Company has entered into a series of foreign currency forward contracts to manage the risks associated with the volatility of foreign currencies. Certain of these foreign currency forward contracts met the criteria required for hedge accounting under the Derivatives and Hedging Topic of the FASB ASC at inception, and continue to meet hedge effectiveness tests as of September 30, 2025, with settlement dates throughout 2025 and 2026. Foreign currency derivatives are recognized and measured on the Condensed Consolidated Balance Sheets at fair value. Changes in the fair value (i.e., gains or losses) are recognized in the Condensed Consolidated Statements of Operations except for derivatives designated and qualifying as foreign currency cash flow hedging instruments. The Company currently has cash flow hedging instruments associated with Selling, General and Administrative Expenses. For foreign currency cash flow hedging instruments related to Selling, General and Administrative Expenses, the effective portion of the gain or loss in a hedge of a forecasted transaction is reported within Accumulated Other Comprehensive Income (Loss) and reclassified to the Condensed Consolidated Statements of Operations when the forecasted transaction occurs. Any ineffective portion is recognized immediately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notional value of foreign currency cash flow hedging instruments that qualify for hedge accounting as of September 30, 2025 was $48.7 million (December 31, 2024 — $48.4 million). Losses of $1.2 million and gains of $0.6 million were recorded to Other Comprehensive Loss with respect to the change in fair value of these contracts for the three and nine months ended September 30, 2025, respectively (2024 — gains of $0.3 million and losses of $0.9 million, respectively). Losses of $0.1 million and $1.7 million were reclassified from Accumulated Other Comprehensive Loss to Selling, General and Administrative Expenses for the three and nine months ended September 30, 2025, respectively (2024 — losses of $0.2 million and $0.2 million, respectively). The Company currently does not hold any derivatives which are not designated as hedging instruments.</w:t>
      </w:r>
    </w:p>
    <w:p>
      <w:pPr>
        <w:spacing w:after="0" w:line="214"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For all derivative instruments, the Company is subject to counterparty credit risk to the extent that the counterparty may not meet its obligations to the Company. To manage this risk, the Company enters into derivative transactions only with major financial institutions.</w:t>
      </w:r>
    </w:p>
    <w:p>
      <w:pPr>
        <w:spacing w:after="0" w:line="189"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As of September 30, 2025, the Company’s Financing Receivables and working capital items denominated in Canadian Dollars, RMB, Japanese Yen, Euros and other foreign currencies translated into U.S. Dollars was $147.1 million. Assuming a 10% appreciation or depreciation in foreign currency exchange rates from the quoted foreign currency exchange rates as of September 30, 2025, the potential change in the fair value of foreign currency-denominated financing receivables and working capital items would have been $14.7 million. A significant portion of the Company’s Selling, General, and Administrative Expenses is denominated in Canadian Dollars. Assuming a 1% change appreciation or depreciation in foreign currency exchange rates as of September 30, 2025, the potential change in the amount of Selling, General, and Administrative Expenses would be $0.1 million.</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Interest Rate Risk Management</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 Company’s earnings may also be affected by changes in interest rates due to the impact those changes have on its interest income from cash, and its interest expense from variable-rate borrowings that may be made under the Credit Facility.</w:t>
      </w:r>
    </w:p>
    <w:p>
      <w:pPr>
        <w:spacing w:after="0" w:line="189" w:lineRule="exact"/>
        <w:rPr>
          <w:sz w:val="20"/>
          <w:szCs w:val="20"/>
          <w:color w:val="auto"/>
        </w:rPr>
      </w:pPr>
    </w:p>
    <w:p>
      <w:pPr>
        <w:jc w:val="both"/>
        <w:ind w:firstLine="193"/>
        <w:spacing w:after="0" w:line="263" w:lineRule="auto"/>
        <w:rPr>
          <w:sz w:val="20"/>
          <w:szCs w:val="20"/>
          <w:color w:val="auto"/>
        </w:rPr>
      </w:pPr>
      <w:r>
        <w:rPr>
          <w:rFonts w:ascii="Times New Roman" w:cs="Times New Roman" w:eastAsia="Times New Roman" w:hAnsi="Times New Roman"/>
          <w:sz w:val="18"/>
          <w:szCs w:val="18"/>
          <w:color w:val="auto"/>
        </w:rPr>
        <w:t>As of September 30, 2025, the Company had drawn down $29.0 million on its Credit Facility (December 31, 2024 — $37.0 million), and $nil on its HSBC China Facility (December 31, 2024 — $nil) and $nil on its Bank of China Facility (December 31, 2024 — $nil), which are subject to variable effective interest rates.</w:t>
      </w:r>
    </w:p>
    <w:p>
      <w:pPr>
        <w:spacing w:after="0" w:line="204"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The Company had variable rate debt instruments representing 6% and 8% of its total liabilities as of September 30, 2025 and December 31, 2024, respectively. If the interest rates available to the Company increased by 10%, the Company’s interest expense would increase by $0.2 million and interest income from cash would increase by $0.4 million. These amounts are determined by considering the impact of the hypothetical interest rates on the Company’s variable rate debt and cash balances as of September 30, 2025.</w:t>
      </w:r>
    </w:p>
    <w:p>
      <w:pPr>
        <w:spacing w:after="0" w:line="2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designed to ensure that information required to be disclosed in reports filed under the Securities Exchange Act of 1934, as amended (the “Exchange Act”), is recorded, processed, summarized, and reported within the specified time periods and that such information is accumulated and communicated to management, including the CEO and Chief Financial Officer (“CFO”), to allow timely discussions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214"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The Company’s management, with the participation of its CEO and its CFO, has evaluated the effectiveness of the Company’s “disclosure controls and procedures” (as defined in Rules 13a-15(e) or 15d-15(e) under the Exchange Act) as of September 30, 2025 and has concluded that, as of the end of the period covered by this report, the Company’s disclosure controls and procedures were effective. The Company will continue to periodically evaluate its disclosure controls and procedures and will make modifications from time to time as deemed necessary to ensure that information is recorded, processed, summarized, and reported within the time periods specified in the SEC’s rules and forms.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which occurred during the three months ended September 30, 2025,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4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53"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Refer to Note 7 of Notes to Condensed Consolidated Financial Statements in Part I, Item 1 for information regarding legal proceedings involving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53"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This Form 10-Q should be read together with, and supplement, the risk factors in Item 1A “Risk Factors” in the Company’s 2024 Form 10-K, which describes various risks and uncertainties to which the Company is or may become subject. The risk factor below updates certain risk factors included in the Company’s 2024 Form 10-K in light of recent events. The below risk factor and the risk factors included in the Company’s 2024 Form 10-K are not the only risks facing the Company. Additional risks and uncertainties not currently known to the Company or that the Company currently deems to be immaterial also may materially adversely affect its business, financial condition and/or operating results.</w:t>
      </w:r>
    </w:p>
    <w:p>
      <w:pPr>
        <w:spacing w:after="0" w:line="206" w:lineRule="exact"/>
        <w:rPr>
          <w:sz w:val="20"/>
          <w:szCs w:val="20"/>
          <w:color w:val="auto"/>
        </w:rPr>
      </w:pPr>
    </w:p>
    <w:p>
      <w:pPr>
        <w:jc w:val="both"/>
        <w:ind w:firstLine="193"/>
        <w:spacing w:after="0" w:line="283" w:lineRule="auto"/>
        <w:rPr>
          <w:sz w:val="20"/>
          <w:szCs w:val="20"/>
          <w:color w:val="auto"/>
        </w:rPr>
      </w:pPr>
      <w:r>
        <w:rPr>
          <w:rFonts w:ascii="Times New Roman" w:cs="Times New Roman" w:eastAsia="Times New Roman" w:hAnsi="Times New Roman"/>
          <w:sz w:val="18"/>
          <w:szCs w:val="18"/>
          <w:b w:val="1"/>
          <w:bCs w:val="1"/>
          <w:i w:val="1"/>
          <w:iCs w:val="1"/>
          <w:color w:val="auto"/>
        </w:rPr>
        <w:t>The Company’s business may be materially adversely affected by the imposition of tariffs and other trade barriers and retaliatory countermeasures implemented by the United States and other governments.</w:t>
      </w:r>
    </w:p>
    <w:p>
      <w:pPr>
        <w:spacing w:after="0" w:line="186" w:lineRule="exact"/>
        <w:rPr>
          <w:sz w:val="20"/>
          <w:szCs w:val="20"/>
          <w:color w:val="auto"/>
        </w:rPr>
      </w:pPr>
    </w:p>
    <w:p>
      <w:pPr>
        <w:jc w:val="both"/>
        <w:ind w:firstLine="193"/>
        <w:spacing w:after="0" w:line="256" w:lineRule="auto"/>
        <w:rPr>
          <w:sz w:val="20"/>
          <w:szCs w:val="20"/>
          <w:color w:val="auto"/>
        </w:rPr>
      </w:pPr>
      <w:r>
        <w:rPr>
          <w:rFonts w:ascii="Times New Roman" w:cs="Times New Roman" w:eastAsia="Times New Roman" w:hAnsi="Times New Roman"/>
          <w:sz w:val="18"/>
          <w:szCs w:val="18"/>
          <w:color w:val="auto"/>
        </w:rPr>
        <w:t>Recently, the U.S. government has implemented substantial and rapidly evolving changes to U.S. trade policies, including increased tariffs and changes in U.S. participation in multilateral trade agreements, while other countries, China and Canada in particular, have undertaken retaliatory measures in response to such changes. These changes could adversely impact the Company’s operations, costs and expenses applicable to revenues, and cash flows. While the Company does not believe these changes will materially impact its results for 2025, there can be no guarantees that further changes to U.S. trade policy and/or retaliatory actions by other countries will not occur.</w:t>
      </w:r>
    </w:p>
    <w:p>
      <w:pPr>
        <w:spacing w:after="0" w:line="210" w:lineRule="exact"/>
        <w:rPr>
          <w:sz w:val="20"/>
          <w:szCs w:val="20"/>
          <w:color w:val="auto"/>
        </w:rPr>
      </w:pPr>
    </w:p>
    <w:p>
      <w:pPr>
        <w:jc w:val="both"/>
        <w:ind w:firstLine="193"/>
        <w:spacing w:after="0" w:line="258" w:lineRule="auto"/>
        <w:rPr>
          <w:sz w:val="20"/>
          <w:szCs w:val="20"/>
          <w:color w:val="auto"/>
        </w:rPr>
      </w:pPr>
      <w:r>
        <w:rPr>
          <w:rFonts w:ascii="Times New Roman" w:cs="Times New Roman" w:eastAsia="Times New Roman" w:hAnsi="Times New Roman"/>
          <w:sz w:val="18"/>
          <w:szCs w:val="18"/>
          <w:color w:val="auto"/>
        </w:rPr>
        <w:t>Additionally, uncertainty about global trade relationships has and may continue to increase market volatility, currency exchange rate fluctuation, and economic instability, which may adversely impact the Company’s results of operations. Furthermore, any resulting downturn or increase in geopolitical tensions may adversely impact consumers’ discretionary income and/or adversely affect consumer purchasing behavior, which could have a material adverse effect on box office receipts and on our results of operations and financial condition.</w:t>
      </w:r>
    </w:p>
    <w:p>
      <w:pPr>
        <w:spacing w:after="0" w:line="209" w:lineRule="exact"/>
        <w:rPr>
          <w:sz w:val="20"/>
          <w:szCs w:val="20"/>
          <w:color w:val="auto"/>
        </w:rPr>
      </w:pPr>
    </w:p>
    <w:p>
      <w:pPr>
        <w:jc w:val="both"/>
        <w:ind w:firstLine="193"/>
        <w:spacing w:after="0" w:line="252" w:lineRule="auto"/>
        <w:rPr>
          <w:sz w:val="20"/>
          <w:szCs w:val="20"/>
          <w:color w:val="auto"/>
        </w:rPr>
      </w:pPr>
      <w:r>
        <w:rPr>
          <w:rFonts w:ascii="Times New Roman" w:cs="Times New Roman" w:eastAsia="Times New Roman" w:hAnsi="Times New Roman"/>
          <w:sz w:val="18"/>
          <w:szCs w:val="18"/>
          <w:color w:val="auto"/>
        </w:rPr>
        <w:t>The extent and duration of increased tariffs, retaliatory actions, and the resulting impact of both on general economic conditions around the world and on the global filmed entertainment industry in particular, are uncertain and depend on numerous factors, such as the responses of and negotiations among the affected countries. As such, we cannot predict the impact to our business from any future changes to the trading relationships between the U.S. and other countries or the impact of new laws or regulations adopted by the U.S. or other countries. Furthermore, any adverse development in these areas could exacerbate risks discussed in “Risk Factors – The Company conducts business internationally, which exposes it to uncertainties and risks that could negatively affect its operations, sales, and future growth prospects,” “Risk Factors –The Company faces risks in connection with its significant presence in China and the continued expansion of its business there,” and “Risk Factors –General political, social and economic conditions can affect the Company’s business by reducing both revenues generated from existing IMAX Systems and the demand for new IMAX Systems” in Part I, Item 1A of the Company’s 2024 Form 10-K.</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3" w:lineRule="exact"/>
        <w:rPr>
          <w:sz w:val="20"/>
          <w:szCs w:val="20"/>
          <w:color w:val="auto"/>
        </w:rPr>
      </w:pPr>
    </w:p>
    <w:p>
      <w:pPr>
        <w:jc w:val="both"/>
        <w:ind w:firstLine="193"/>
        <w:spacing w:after="0" w:line="253" w:lineRule="auto"/>
        <w:rPr>
          <w:sz w:val="20"/>
          <w:szCs w:val="20"/>
          <w:color w:val="auto"/>
        </w:rPr>
      </w:pPr>
      <w:r>
        <w:rPr>
          <w:rFonts w:ascii="Times New Roman" w:cs="Times New Roman" w:eastAsia="Times New Roman" w:hAnsi="Times New Roman"/>
          <w:sz w:val="18"/>
          <w:szCs w:val="18"/>
          <w:color w:val="auto"/>
        </w:rPr>
        <w:t>On June 12, 2017, the Company announced that its Board of Directors approved a $200.0 million share repurchase program for its common shares that would have expired on June 30, 2020, which was subsequently extended for a 12-month period in 2020, 2021, and 2022 and increased in the total share repurchase authority to $400.0 million. In 2023, the Board of Directors approved a 36-month extension to the share repurchase program through June 30, 2026. On June 12, 2025, the Company announced an increase of $100.0 million in the Company’s share repurchase program along with a one-year extension through June 30, 2027. As of September 30, 2025, the Company had $250.7 million available under the program. The repurchases may be made either in the open market or through private transactions, including repurchases made pursuant to a plan intended to comply with Rule 10b5-1 under the Exchange Act, subject to market conditions, applicable legal requirements, and other relevant factors. The Company has no obligation to repurchase shares and the share repurchase program may be suspended or discontinued by the Company at any time.</w:t>
      </w:r>
    </w:p>
    <w:p>
      <w:pPr>
        <w:spacing w:after="0" w:line="212"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During the three months ended September 30, 2025, the Company did not repurchase any common shares under the Company’s publicly announced program, and there are no other programs under which the Company repurchases shares.</w:t>
      </w:r>
    </w:p>
    <w:p>
      <w:pPr>
        <w:sectPr>
          <w:pgSz w:w="11900" w:h="16838" w:orient="portrait"/>
          <w:cols w:equalWidth="0" w:num="1">
            <w:col w:w="11240"/>
          </w:cols>
          <w:pgMar w:left="320" w:top="3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The Company’s common share repurchase program activity for the three months ended September 30, 2025 was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approximate</w:t>
            </w:r>
          </w:p>
        </w:tc>
      </w:tr>
      <w:tr>
        <w:trPr>
          <w:trHeight w:val="174"/>
        </w:trPr>
        <w:tc>
          <w:tcPr>
            <w:tcW w:w="46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dollar value of shares</w:t>
            </w:r>
          </w:p>
        </w:tc>
      </w:tr>
      <w:tr>
        <w:trPr>
          <w:trHeight w:val="161"/>
        </w:trPr>
        <w:tc>
          <w:tcPr>
            <w:tcW w:w="46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74"/>
        </w:trPr>
        <w:tc>
          <w:tcPr>
            <w:tcW w:w="4600" w:type="dxa"/>
            <w:vAlign w:val="bottom"/>
          </w:tcPr>
          <w:p>
            <w:pPr>
              <w:spacing w:after="0"/>
              <w:rPr>
                <w:sz w:val="15"/>
                <w:szCs w:val="15"/>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87"/>
        </w:trPr>
        <w:tc>
          <w:tcPr>
            <w:tcW w:w="4600" w:type="dxa"/>
            <w:vAlign w:val="bottom"/>
          </w:tcPr>
          <w:p>
            <w:pPr>
              <w:spacing w:after="0"/>
              <w:rPr>
                <w:sz w:val="16"/>
                <w:szCs w:val="16"/>
                <w:color w:val="auto"/>
              </w:rPr>
            </w:pPr>
          </w:p>
        </w:tc>
        <w:tc>
          <w:tcPr>
            <w:tcW w:w="168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60" w:type="dxa"/>
            <w:vAlign w:val="bottom"/>
          </w:tcPr>
          <w:p>
            <w:pPr>
              <w:spacing w:after="0"/>
              <w:rPr>
                <w:sz w:val="16"/>
                <w:szCs w:val="16"/>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program</w:t>
            </w:r>
          </w:p>
        </w:tc>
      </w:tr>
      <w:tr>
        <w:trPr>
          <w:trHeight w:val="38"/>
        </w:trPr>
        <w:tc>
          <w:tcPr>
            <w:tcW w:w="46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through July 31, 2025</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250,720,352</w:t>
            </w:r>
          </w:p>
        </w:tc>
      </w:tr>
      <w:tr>
        <w:trPr>
          <w:trHeight w:val="242"/>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through August 31, 2025</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3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250,720,352</w:t>
            </w:r>
          </w:p>
        </w:tc>
      </w:tr>
      <w:tr>
        <w:trPr>
          <w:trHeight w:val="26"/>
        </w:trPr>
        <w:tc>
          <w:tcPr>
            <w:tcW w:w="4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6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through September 30, 2025</w:t>
            </w: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250,720,352</w:t>
            </w:r>
          </w:p>
        </w:tc>
      </w:tr>
      <w:tr>
        <w:trPr>
          <w:trHeight w:val="235"/>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6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580" w:type="dxa"/>
            <w:vAlign w:val="bottom"/>
            <w:tcBorders>
              <w:top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193"/>
        <w:spacing w:after="0" w:line="274" w:lineRule="auto"/>
        <w:rPr>
          <w:sz w:val="20"/>
          <w:szCs w:val="20"/>
          <w:color w:val="auto"/>
        </w:rPr>
      </w:pPr>
      <w:r>
        <w:rPr>
          <w:rFonts w:ascii="Times New Roman" w:cs="Times New Roman" w:eastAsia="Times New Roman" w:hAnsi="Times New Roman"/>
          <w:sz w:val="17"/>
          <w:szCs w:val="17"/>
          <w:color w:val="auto"/>
        </w:rPr>
        <w:t>During the 2025 Annual General Meeting of IMAX China, shareholders granted its Board of Directors a general mandate authorizing the Board of Directors of IMAX China, subject to applicable laws, to repurchase shares of IMAX China not to exceed 10% of the total number of shares as of June 12, 2025 (33,919,122 shares). This program will be valid until the 2026 Annual General Meeting of IMAX China. The repurchases may be made in the open market or through other means permitted by applicable laws. IMAX China has no obligation to repurchase its shares and the share repurchase program may be suspended or discontinued by IMAX China at any time. During the three months ended September 30, 2025, IMAX China did not repurchase any shares.</w:t>
      </w:r>
    </w:p>
    <w:p>
      <w:pPr>
        <w:spacing w:after="0" w:line="198" w:lineRule="exact"/>
        <w:rPr>
          <w:sz w:val="20"/>
          <w:szCs w:val="20"/>
          <w:color w:val="auto"/>
        </w:rPr>
      </w:pPr>
    </w:p>
    <w:p>
      <w:pPr>
        <w:jc w:val="both"/>
        <w:ind w:firstLine="193"/>
        <w:spacing w:after="0" w:line="279" w:lineRule="auto"/>
        <w:rPr>
          <w:sz w:val="20"/>
          <w:szCs w:val="20"/>
          <w:color w:val="auto"/>
        </w:rPr>
      </w:pPr>
      <w:r>
        <w:rPr>
          <w:rFonts w:ascii="Times New Roman" w:cs="Times New Roman" w:eastAsia="Times New Roman" w:hAnsi="Times New Roman"/>
          <w:sz w:val="18"/>
          <w:szCs w:val="18"/>
          <w:color w:val="auto"/>
        </w:rPr>
        <w:t>(Refer to Note 6 of Notes to Condensed Consolidated Financial Statements in Part I, Item 1 for a summary of the material terms and conditions of the Company’s revolving credit facility, which includes a limitation of the amount of permitted share repurchases.)</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53" w:lineRule="exact"/>
        <w:rPr>
          <w:sz w:val="20"/>
          <w:szCs w:val="20"/>
          <w:color w:val="auto"/>
        </w:rPr>
      </w:pPr>
    </w:p>
    <w:p>
      <w:pPr>
        <w:ind w:left="780" w:hanging="387"/>
        <w:spacing w:after="0"/>
        <w:tabs>
          <w:tab w:leader="none" w:pos="78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None.</w:t>
      </w:r>
    </w:p>
    <w:p>
      <w:pPr>
        <w:spacing w:after="0" w:line="248" w:lineRule="exact"/>
        <w:rPr>
          <w:rFonts w:ascii="Times New Roman" w:cs="Times New Roman" w:eastAsia="Times New Roman" w:hAnsi="Times New Roman"/>
          <w:sz w:val="18"/>
          <w:szCs w:val="18"/>
          <w:b w:val="1"/>
          <w:bCs w:val="1"/>
          <w:i w:val="1"/>
          <w:iCs w:val="1"/>
          <w:color w:val="auto"/>
        </w:rPr>
      </w:pPr>
    </w:p>
    <w:p>
      <w:pPr>
        <w:ind w:left="780" w:hanging="387"/>
        <w:spacing w:after="0"/>
        <w:tabs>
          <w:tab w:leader="none" w:pos="78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None.</w:t>
      </w:r>
    </w:p>
    <w:p>
      <w:pPr>
        <w:spacing w:after="0" w:line="244" w:lineRule="exact"/>
        <w:rPr>
          <w:rFonts w:ascii="Times New Roman" w:cs="Times New Roman" w:eastAsia="Times New Roman" w:hAnsi="Times New Roman"/>
          <w:sz w:val="18"/>
          <w:szCs w:val="18"/>
          <w:b w:val="1"/>
          <w:bCs w:val="1"/>
          <w:i w:val="1"/>
          <w:iCs w:val="1"/>
          <w:color w:val="auto"/>
        </w:rPr>
      </w:pPr>
    </w:p>
    <w:p>
      <w:pPr>
        <w:ind w:left="780" w:hanging="387"/>
        <w:spacing w:after="0"/>
        <w:tabs>
          <w:tab w:leader="none" w:pos="780" w:val="left"/>
        </w:tabs>
        <w:numPr>
          <w:ilvl w:val="0"/>
          <w:numId w:val="4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Rule 10b5-1 and Non-Rule 10b5-1 Trading Arrangements</w:t>
      </w:r>
    </w:p>
    <w:p>
      <w:pPr>
        <w:spacing w:after="0" w:line="253" w:lineRule="exact"/>
        <w:rPr>
          <w:sz w:val="20"/>
          <w:szCs w:val="20"/>
          <w:color w:val="auto"/>
        </w:rPr>
      </w:pPr>
    </w:p>
    <w:p>
      <w:pPr>
        <w:jc w:val="both"/>
        <w:ind w:firstLine="193"/>
        <w:spacing w:after="0" w:line="254" w:lineRule="auto"/>
        <w:rPr>
          <w:sz w:val="20"/>
          <w:szCs w:val="20"/>
          <w:color w:val="auto"/>
        </w:rPr>
      </w:pPr>
      <w:r>
        <w:rPr>
          <w:rFonts w:ascii="Times New Roman" w:cs="Times New Roman" w:eastAsia="Times New Roman" w:hAnsi="Times New Roman"/>
          <w:sz w:val="18"/>
          <w:szCs w:val="18"/>
          <w:color w:val="auto"/>
        </w:rPr>
        <w:t>On September 15, 2025, Mark Welton, the Company’s President, IMAX Global Theatres, entered into a Rule 10b5-1 trading arrangement (as defined in Item 408 of Regulation S-K under the Exchange Act (“Item 408”) and such arrangement, the “Plan”) for the sale of up to 25,000 common shares of the Company. Sales under this Plan may commence on December 15, 2025, after the completion of the required cooling off period under Rule 10b5-1. The Plan will terminate on March 6, 2026, or earlier if all shares under the Plan have been sold. This trading arrangement is intended to satisfy the affirmative defense of Rule 10b5-1(c). No other Rule 10b5-1 or non-Rule 10b5-1 trading arrangements (as defined in Item 408) were adopted or terminated by any directors or officers of the Company during the third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36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0" w:type="dxa"/>
            <w:vAlign w:val="bottom"/>
          </w:tcPr>
          <w:p>
            <w:pPr>
              <w:spacing w:after="0"/>
              <w:rPr>
                <w:sz w:val="1"/>
                <w:szCs w:val="1"/>
                <w:color w:val="auto"/>
              </w:rPr>
            </w:pPr>
          </w:p>
        </w:tc>
      </w:tr>
      <w:tr>
        <w:trPr>
          <w:trHeight w:val="487"/>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6"/>
        </w:trPr>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5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FF"/>
                <w:w w:val="98"/>
              </w:rPr>
              <w:t>Articles of Amalgamation of IMAX Corporation, dated as of January 1, 2024.</w:t>
            </w:r>
          </w:p>
        </w:tc>
        <w:tc>
          <w:tcPr>
            <w:tcW w:w="4480" w:type="dxa"/>
            <w:vAlign w:val="bottom"/>
            <w:gridSpan w:val="6"/>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20" w:type="dxa"/>
            <w:vAlign w:val="bottom"/>
          </w:tcPr>
          <w:p>
            <w:pPr>
              <w:ind w:left="20"/>
              <w:spacing w:after="0" w:line="168" w:lineRule="exact"/>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580" w:type="dxa"/>
            <w:vAlign w:val="bottom"/>
            <w:tcBorders>
              <w:bottom w:val="single" w:sz="8" w:color="0000FF"/>
            </w:tcBorders>
            <w:gridSpan w:val="3"/>
            <w:vMerge w:val="continue"/>
          </w:tcPr>
          <w:p>
            <w:pPr>
              <w:spacing w:after="0"/>
              <w:rPr>
                <w:sz w:val="15"/>
                <w:szCs w:val="15"/>
                <w:color w:val="auto"/>
              </w:rPr>
            </w:pPr>
          </w:p>
        </w:tc>
        <w:tc>
          <w:tcPr>
            <w:tcW w:w="44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9"/>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60" w:type="dxa"/>
            <w:vAlign w:val="bottom"/>
            <w:gridSpan w:val="9"/>
          </w:tcPr>
          <w:p>
            <w:pPr>
              <w:spacing w:after="0"/>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 xml:space="preserve">Second Amended and Restated By-Law No. 1 of IMAX Corporation, </w:t>
              </w:r>
            </w:hyperlink>
            <w:r>
              <w:rPr>
                <w:rFonts w:ascii="Times New Roman" w:cs="Times New Roman" w:eastAsia="Times New Roman" w:hAnsi="Times New Roman"/>
                <w:sz w:val="18"/>
                <w:szCs w:val="18"/>
                <w:color w:val="0000FF"/>
                <w:w w:val="99"/>
              </w:rPr>
              <w:t xml:space="preserve">enacted </w:t>
            </w:r>
            <w:hyperlink r:id="rId84">
              <w:r>
                <w:rPr>
                  <w:rFonts w:ascii="Times New Roman" w:cs="Times New Roman" w:eastAsia="Times New Roman" w:hAnsi="Times New Roman"/>
                  <w:sz w:val="18"/>
                  <w:szCs w:val="18"/>
                  <w:color w:val="0000FF"/>
                  <w:w w:val="99"/>
                </w:rPr>
                <w:t xml:space="preserve">on February 7, 2023. Incorporated by reference to </w:t>
              </w:r>
            </w:hyperlink>
            <w:r>
              <w:rPr>
                <w:rFonts w:ascii="Times New Roman" w:cs="Times New Roman" w:eastAsia="Times New Roman" w:hAnsi="Times New Roman"/>
                <w:sz w:val="18"/>
                <w:szCs w:val="18"/>
                <w:color w:val="0000FF"/>
                <w:w w:val="99"/>
              </w:rPr>
              <w:t xml:space="preserve">Exhibit </w:t>
            </w:r>
            <w:hyperlink r:id="rId84">
              <w:r>
                <w:rPr>
                  <w:rFonts w:ascii="Times New Roman" w:cs="Times New Roman" w:eastAsia="Times New Roman" w:hAnsi="Times New Roman"/>
                  <w:sz w:val="18"/>
                  <w:szCs w:val="18"/>
                  <w:color w:val="0000FF"/>
                  <w:w w:val="99"/>
                </w:rPr>
                <w:t>3.1</w:t>
              </w:r>
            </w:hyperlink>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0" w:type="dxa"/>
            <w:vAlign w:val="bottom"/>
            <w:tcBorders>
              <w:top w:val="single" w:sz="8" w:color="0000FF"/>
            </w:tcBorders>
            <w:gridSpan w:val="8"/>
          </w:tcPr>
          <w:p>
            <w:pPr>
              <w:spacing w:after="0" w:line="195" w:lineRule="exact"/>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to IMAX Corporation’s Form 8-K filed on February 10, 2023.</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560" w:type="dxa"/>
            <w:vAlign w:val="bottom"/>
            <w:shd w:val="clear" w:color="auto" w:fill="0000FF"/>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Seventh Amended and Restated Credit Agreement, dated July 14, 2025, by and between IMAX Corporation and Wells Fargo Bank, National</w:t>
            </w:r>
          </w:p>
        </w:tc>
        <w:tc>
          <w:tcPr>
            <w:tcW w:w="0" w:type="dxa"/>
            <w:vAlign w:val="bottom"/>
          </w:tcPr>
          <w:p>
            <w:pPr>
              <w:spacing w:after="0"/>
              <w:rPr>
                <w:sz w:val="1"/>
                <w:szCs w:val="1"/>
                <w:color w:val="auto"/>
              </w:rPr>
            </w:pPr>
          </w:p>
        </w:tc>
      </w:tr>
      <w:tr>
        <w:trPr>
          <w:trHeight w:val="194"/>
        </w:trPr>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60" w:type="dxa"/>
            <w:vAlign w:val="bottom"/>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Association.</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Third Amendment to Employment Agreement, dated as of July 17, 2025, by and between IMAX Corporation and Richard L. Gelfond.</w:t>
            </w:r>
          </w:p>
        </w:tc>
        <w:tc>
          <w:tcPr>
            <w:tcW w:w="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Section 302 of the Sarbanes-Oxley Act of 2002, dated October 23, 2025, by Richard L. Gelfond</w:t>
            </w:r>
          </w:p>
        </w:tc>
        <w:tc>
          <w:tcPr>
            <w:tcW w:w="0" w:type="dxa"/>
            <w:vAlign w:val="bottom"/>
          </w:tcPr>
          <w:p>
            <w:pPr>
              <w:spacing w:after="0"/>
              <w:rPr>
                <w:sz w:val="1"/>
                <w:szCs w:val="1"/>
                <w:color w:val="auto"/>
              </w:rPr>
            </w:pP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302 of the Sarbanes-Oxley Act of 2002, dated October 23, 2025, by Natasha Fernandes</w:t>
            </w:r>
          </w:p>
        </w:tc>
        <w:tc>
          <w:tcPr>
            <w:tcW w:w="20" w:type="dxa"/>
            <w:vAlign w:val="bottom"/>
            <w:tcBorders>
              <w:top w:val="single" w:sz="8" w:color="0000FF"/>
            </w:tcBorders>
          </w:tcPr>
          <w:p>
            <w:pPr>
              <w:spacing w:after="0"/>
              <w:rPr>
                <w:sz w:val="24"/>
                <w:szCs w:val="24"/>
                <w:color w:val="auto"/>
              </w:rPr>
            </w:pPr>
          </w:p>
        </w:tc>
        <w:tc>
          <w:tcPr>
            <w:tcW w:w="1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dated October 23, 2025, by Richard L. Gelfond</w:t>
            </w:r>
          </w:p>
        </w:tc>
        <w:tc>
          <w:tcPr>
            <w:tcW w:w="0" w:type="dxa"/>
            <w:vAlign w:val="bottom"/>
          </w:tcPr>
          <w:p>
            <w:pPr>
              <w:spacing w:after="0"/>
              <w:rPr>
                <w:sz w:val="1"/>
                <w:szCs w:val="1"/>
                <w:color w:val="auto"/>
              </w:rPr>
            </w:pPr>
          </w:p>
        </w:tc>
      </w:tr>
      <w:tr>
        <w:trPr>
          <w:trHeight w:val="35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Pursuant to Section 906 of the Sarbanes-Oxley Act of 2002, dated October 23, 2025, by Natasha Fernandes</w:t>
            </w:r>
          </w:p>
        </w:tc>
        <w:tc>
          <w:tcPr>
            <w:tcW w:w="1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w:t>
            </w:r>
          </w:p>
        </w:tc>
        <w:tc>
          <w:tcPr>
            <w:tcW w:w="14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101. PRE</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75"/>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343" w:lineRule="exact"/>
        <w:rPr>
          <w:rFonts w:ascii="Times New Roman" w:cs="Times New Roman" w:eastAsia="Times New Roman" w:hAnsi="Times New Roman"/>
          <w:sz w:val="18"/>
          <w:szCs w:val="18"/>
          <w:color w:val="0000FF"/>
          <w:w w:val="99"/>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6" w:lineRule="exact"/>
        <w:rPr>
          <w:rFonts w:ascii="Times New Roman" w:cs="Times New Roman" w:eastAsia="Times New Roman" w:hAnsi="Times New Roman"/>
          <w:sz w:val="18"/>
          <w:szCs w:val="18"/>
          <w:color w:val="0000FF"/>
          <w:w w:val="99"/>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7" w:lineRule="exact"/>
        <w:rPr>
          <w:rFonts w:ascii="Times New Roman" w:cs="Times New Roman" w:eastAsia="Times New Roman" w:hAnsi="Times New Roman"/>
          <w:sz w:val="18"/>
          <w:szCs w:val="18"/>
          <w:color w:val="0000FF"/>
          <w:w w:val="99"/>
        </w:rPr>
      </w:pPr>
    </w:p>
    <w:p>
      <w:pPr>
        <w:spacing w:after="0"/>
        <w:rPr>
          <w:sz w:val="20"/>
          <w:szCs w:val="20"/>
          <w:color w:val="auto"/>
        </w:rPr>
      </w:pPr>
      <w:r>
        <w:rPr>
          <w:rFonts w:ascii="Times New Roman" w:cs="Times New Roman" w:eastAsia="Times New Roman" w:hAnsi="Times New Roman"/>
          <w:sz w:val="18"/>
          <w:szCs w:val="18"/>
          <w:color w:val="auto"/>
        </w:rPr>
        <w:t>+Management contract or compensatory plan, contract or arrangement.</w:t>
      </w:r>
    </w:p>
    <w:p>
      <w:pPr>
        <w:spacing w:after="0" w:line="200" w:lineRule="exact"/>
        <w:rPr>
          <w:rFonts w:ascii="Times New Roman" w:cs="Times New Roman" w:eastAsia="Times New Roman" w:hAnsi="Times New Roman"/>
          <w:sz w:val="18"/>
          <w:szCs w:val="18"/>
          <w:color w:val="0000FF"/>
          <w:w w:val="99"/>
        </w:rPr>
      </w:pPr>
    </w:p>
    <w:p>
      <w:pPr>
        <w:spacing w:after="0" w:line="200" w:lineRule="exact"/>
        <w:rPr>
          <w:rFonts w:ascii="Times New Roman" w:cs="Times New Roman" w:eastAsia="Times New Roman" w:hAnsi="Times New Roman"/>
          <w:sz w:val="18"/>
          <w:szCs w:val="18"/>
          <w:color w:val="0000FF"/>
          <w:w w:val="99"/>
        </w:rPr>
      </w:pPr>
    </w:p>
    <w:p>
      <w:pPr>
        <w:spacing w:after="0" w:line="200" w:lineRule="exact"/>
        <w:rPr>
          <w:rFonts w:ascii="Times New Roman" w:cs="Times New Roman" w:eastAsia="Times New Roman" w:hAnsi="Times New Roman"/>
          <w:sz w:val="18"/>
          <w:szCs w:val="18"/>
          <w:color w:val="0000FF"/>
          <w:w w:val="99"/>
        </w:rPr>
      </w:pPr>
    </w:p>
    <w:p>
      <w:pPr>
        <w:spacing w:after="0" w:line="300" w:lineRule="exact"/>
        <w:rPr>
          <w:rFonts w:ascii="Times New Roman" w:cs="Times New Roman" w:eastAsia="Times New Roman" w:hAnsi="Times New Roman"/>
          <w:sz w:val="18"/>
          <w:szCs w:val="18"/>
          <w:color w:val="0000FF"/>
          <w:w w:val="99"/>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rFonts w:ascii="Times New Roman" w:cs="Times New Roman" w:eastAsia="Times New Roman" w:hAnsi="Times New Roman"/>
          <w:sz w:val="18"/>
          <w:szCs w:val="18"/>
          <w:color w:val="0000FF"/>
          <w:w w:val="99"/>
        </w:rPr>
      </w:pPr>
      <w:r>
        <w:rPr>
          <w:rFonts w:ascii="Times New Roman" w:cs="Times New Roman" w:eastAsia="Times New Roman" w:hAnsi="Times New Roman"/>
          <w:sz w:val="18"/>
          <w:szCs w:val="18"/>
          <w:color w:val="0000FF"/>
          <w:w w:val="99"/>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20"/>
          </w:cols>
          <w:pgMar w:left="320" w:top="362"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3" w:lineRule="exact"/>
        <w:rPr>
          <w:sz w:val="20"/>
          <w:szCs w:val="20"/>
          <w:color w:val="auto"/>
        </w:rPr>
      </w:pPr>
    </w:p>
    <w:p>
      <w:pPr>
        <w:ind w:firstLine="193"/>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640" w:type="dxa"/>
            <w:vAlign w:val="bottom"/>
          </w:tcPr>
          <w:p>
            <w:pPr>
              <w:spacing w:after="0"/>
              <w:rPr>
                <w:sz w:val="20"/>
                <w:szCs w:val="20"/>
                <w:color w:val="auto"/>
              </w:rPr>
            </w:pPr>
          </w:p>
        </w:tc>
        <w:tc>
          <w:tcPr>
            <w:tcW w:w="758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IMAX CORPORATION</w:t>
            </w:r>
          </w:p>
        </w:tc>
      </w:tr>
      <w:tr>
        <w:trPr>
          <w:trHeight w:val="53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23, 2025</w:t>
            </w:r>
          </w:p>
        </w:tc>
        <w:tc>
          <w:tcPr>
            <w:tcW w:w="23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6"/>
        </w:trPr>
        <w:tc>
          <w:tcPr>
            <w:tcW w:w="3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5"/>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268"/>
        </w:trPr>
        <w:tc>
          <w:tcPr>
            <w:tcW w:w="36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&amp; Executive Vice President</w:t>
            </w:r>
          </w:p>
        </w:tc>
      </w:tr>
      <w:tr>
        <w:trPr>
          <w:trHeight w:val="268"/>
        </w:trPr>
        <w:tc>
          <w:tcPr>
            <w:tcW w:w="36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23"/>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23, 2025</w:t>
            </w:r>
          </w:p>
        </w:tc>
        <w:tc>
          <w:tcPr>
            <w:tcW w:w="23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JOSE ZLATAR</w:t>
            </w:r>
          </w:p>
        </w:tc>
      </w:tr>
      <w:tr>
        <w:trPr>
          <w:trHeight w:val="26"/>
        </w:trPr>
        <w:tc>
          <w:tcPr>
            <w:tcW w:w="3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5"/>
        </w:trPr>
        <w:tc>
          <w:tcPr>
            <w:tcW w:w="3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 Zlatar</w:t>
            </w:r>
          </w:p>
        </w:tc>
      </w:tr>
      <w:tr>
        <w:trPr>
          <w:trHeight w:val="268"/>
        </w:trPr>
        <w:tc>
          <w:tcPr>
            <w:tcW w:w="36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Vice-President, Finance &amp; Controller</w:t>
            </w:r>
          </w:p>
        </w:tc>
      </w:tr>
      <w:tr>
        <w:trPr>
          <w:trHeight w:val="268"/>
        </w:trPr>
        <w:tc>
          <w:tcPr>
            <w:tcW w:w="36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362" w:right="339" w:bottom="1440" w:gutter="0" w:footer="0" w:header="0"/>
        </w:sectPr>
      </w:pPr>
    </w:p>
    <w:bookmarkStart w:id="67" w:name="page68"/>
    <w:bookmarkEnd w:id="67"/>
    <w:p>
      <w:pPr>
        <w:ind w:left="9120"/>
        <w:spacing w:after="0"/>
        <w:rPr>
          <w:sz w:val="20"/>
          <w:szCs w:val="20"/>
          <w:color w:val="auto"/>
        </w:rPr>
      </w:pPr>
      <w:r>
        <w:rPr>
          <w:rFonts w:ascii="Arial" w:cs="Arial" w:eastAsia="Arial" w:hAnsi="Arial"/>
          <w:sz w:val="21"/>
          <w:szCs w:val="2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671830</wp:posOffset>
            </wp:positionV>
            <wp:extent cx="4494530" cy="68351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4494530" cy="6835140"/>
                    </a:xfrm>
                    <a:prstGeom prst="rect">
                      <a:avLst/>
                    </a:prstGeom>
                    <a:noFill/>
                  </pic:spPr>
                </pic:pic>
              </a:graphicData>
            </a:graphic>
          </wp:anchor>
        </w:drawing>
      </w:r>
    </w:p>
    <w:p>
      <w:pPr>
        <w:sectPr>
          <w:pgSz w:w="11900" w:h="16838" w:orient="portrait"/>
          <w:cols w:equalWidth="0" w:num="1">
            <w:col w:w="10120"/>
          </w:cols>
          <w:pgMar w:left="1440" w:top="127" w:right="339" w:bottom="1440"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1118870</wp:posOffset>
            </wp:positionH>
            <wp:positionV relativeFrom="page">
              <wp:posOffset>906145</wp:posOffset>
            </wp:positionV>
            <wp:extent cx="5311775" cy="69462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311775" cy="6946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ind w:right="-74"/>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186" w:lineRule="exact"/>
        <w:rPr>
          <w:sz w:val="20"/>
          <w:szCs w:val="20"/>
          <w:color w:val="auto"/>
        </w:rPr>
      </w:pPr>
    </w:p>
    <w:p>
      <w:pPr>
        <w:ind w:left="455" w:hanging="455"/>
        <w:spacing w:after="0"/>
        <w:tabs>
          <w:tab w:leader="none" w:pos="4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w:t>
      </w:r>
    </w:p>
    <w:p>
      <w:pPr>
        <w:spacing w:after="0" w:line="195" w:lineRule="exact"/>
        <w:rPr>
          <w:sz w:val="20"/>
          <w:szCs w:val="20"/>
          <w:color w:val="auto"/>
        </w:rPr>
      </w:pPr>
    </w:p>
    <w:p>
      <w:pPr>
        <w:ind w:left="415"/>
        <w:spacing w:after="0"/>
        <w:rPr>
          <w:sz w:val="20"/>
          <w:szCs w:val="20"/>
          <w:color w:val="auto"/>
        </w:rPr>
      </w:pPr>
      <w:r>
        <w:rPr>
          <w:rFonts w:ascii="Times New Roman" w:cs="Times New Roman" w:eastAsia="Times New Roman" w:hAnsi="Times New Roman"/>
          <w:sz w:val="18"/>
          <w:szCs w:val="18"/>
          <w:color w:val="auto"/>
        </w:rPr>
        <w:t>The rights, privileges, restrictions and conditions attaching to the Common Shares are as follows:</w:t>
      </w:r>
    </w:p>
    <w:p>
      <w:pPr>
        <w:spacing w:after="0" w:line="193" w:lineRule="exact"/>
        <w:rPr>
          <w:sz w:val="20"/>
          <w:szCs w:val="20"/>
          <w:color w:val="auto"/>
        </w:rPr>
      </w:pPr>
    </w:p>
    <w:p>
      <w:pPr>
        <w:ind w:left="915" w:right="60" w:hanging="459"/>
        <w:spacing w:after="0" w:line="275" w:lineRule="auto"/>
        <w:tabs>
          <w:tab w:leader="none" w:pos="91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Payment of Dividends</w:t>
      </w:r>
      <w:r>
        <w:rPr>
          <w:rFonts w:ascii="Times New Roman" w:cs="Times New Roman" w:eastAsia="Times New Roman" w:hAnsi="Times New Roman"/>
          <w:sz w:val="17"/>
          <w:szCs w:val="17"/>
          <w:color w:val="auto"/>
        </w:rPr>
        <w:t>: The holders of the Common Shares shall be entitled to receive dividends if, as and when declared by the Board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Directors of the Corporation out of the assets of the Corporation properly applicable to the payment of dividends in such amounts and payable in such manner as the Board of Directors may from time to time determine. Subject to the rights of the holders of any other class of shares of the Corporation entitled to receive dividends in priority to or ratably with the holders of the Common Shares, the Board of Directors may in their sole discretion declare dividends on the Common Shares to the exclusion of any other class of shares of the Corporation.</w:t>
      </w:r>
    </w:p>
    <w:p>
      <w:pPr>
        <w:spacing w:after="0" w:line="247" w:lineRule="exact"/>
        <w:rPr>
          <w:rFonts w:ascii="Times New Roman" w:cs="Times New Roman" w:eastAsia="Times New Roman" w:hAnsi="Times New Roman"/>
          <w:sz w:val="17"/>
          <w:szCs w:val="17"/>
          <w:color w:val="auto"/>
        </w:rPr>
      </w:pPr>
    </w:p>
    <w:p>
      <w:pPr>
        <w:ind w:left="915" w:right="20" w:hanging="459"/>
        <w:spacing w:after="0" w:line="256" w:lineRule="auto"/>
        <w:tabs>
          <w:tab w:leader="none" w:pos="9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Participation upon Liquidation, Dissolution or Winding-Up</w:t>
      </w:r>
      <w:r>
        <w:rPr>
          <w:rFonts w:ascii="Times New Roman" w:cs="Times New Roman" w:eastAsia="Times New Roman" w:hAnsi="Times New Roman"/>
          <w:sz w:val="18"/>
          <w:szCs w:val="18"/>
          <w:color w:val="auto"/>
        </w:rPr>
        <w:t>: In the event of the liquidation, dissolution or winding-up of the Corporation,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distribution of assets of the Corporation among its shareholders for the purpose of winding-up its affairs, the holders of the Common Shares shall, subject to the rights of the holders of any other class of shares of the Corporation entitled to receive the assets of the Corporation upon such a distribution in priority to or ratably with the holders of the Common Shares, be entitled to participate ratably in any distribution of the assets of the Corporation.</w:t>
      </w:r>
    </w:p>
    <w:p>
      <w:pPr>
        <w:spacing w:after="0" w:line="263" w:lineRule="exact"/>
        <w:rPr>
          <w:rFonts w:ascii="Times New Roman" w:cs="Times New Roman" w:eastAsia="Times New Roman" w:hAnsi="Times New Roman"/>
          <w:sz w:val="18"/>
          <w:szCs w:val="18"/>
          <w:color w:val="auto"/>
        </w:rPr>
      </w:pPr>
    </w:p>
    <w:p>
      <w:pPr>
        <w:ind w:left="915" w:right="420" w:hanging="459"/>
        <w:spacing w:after="0" w:line="281" w:lineRule="auto"/>
        <w:tabs>
          <w:tab w:leader="none" w:pos="9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The holders of the Common Shares shall be entitled to receive notice of an to attend all annual and special meetings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of the Corporation and to one vote in respect of each Common Share held at all such meetings.</w:t>
      </w:r>
    </w:p>
    <w:p>
      <w:pPr>
        <w:spacing w:after="0" w:line="200" w:lineRule="exact"/>
        <w:rPr>
          <w:sz w:val="20"/>
          <w:szCs w:val="20"/>
          <w:color w:val="auto"/>
        </w:rPr>
      </w:pPr>
    </w:p>
    <w:p>
      <w:pPr>
        <w:spacing w:after="0" w:line="296" w:lineRule="exact"/>
        <w:rPr>
          <w:sz w:val="20"/>
          <w:szCs w:val="20"/>
          <w:color w:val="auto"/>
        </w:rPr>
      </w:pPr>
    </w:p>
    <w:p>
      <w:pPr>
        <w:ind w:left="455" w:hanging="455"/>
        <w:spacing w:after="0"/>
        <w:tabs>
          <w:tab w:leader="none" w:pos="4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Shares</w:t>
      </w:r>
    </w:p>
    <w:p>
      <w:pPr>
        <w:spacing w:after="0" w:line="195" w:lineRule="exact"/>
        <w:rPr>
          <w:sz w:val="20"/>
          <w:szCs w:val="20"/>
          <w:color w:val="auto"/>
        </w:rPr>
      </w:pPr>
    </w:p>
    <w:p>
      <w:pPr>
        <w:ind w:left="415"/>
        <w:spacing w:after="0"/>
        <w:rPr>
          <w:sz w:val="20"/>
          <w:szCs w:val="20"/>
          <w:color w:val="auto"/>
        </w:rPr>
      </w:pPr>
      <w:r>
        <w:rPr>
          <w:rFonts w:ascii="Times New Roman" w:cs="Times New Roman" w:eastAsia="Times New Roman" w:hAnsi="Times New Roman"/>
          <w:sz w:val="18"/>
          <w:szCs w:val="18"/>
          <w:color w:val="auto"/>
        </w:rPr>
        <w:t>The rights, privileges, restrictions and conditions attaching to the Special Shares are as follows;</w:t>
      </w:r>
    </w:p>
    <w:p>
      <w:pPr>
        <w:spacing w:after="0" w:line="193" w:lineRule="exact"/>
        <w:rPr>
          <w:sz w:val="20"/>
          <w:szCs w:val="20"/>
          <w:color w:val="auto"/>
        </w:rPr>
      </w:pPr>
    </w:p>
    <w:p>
      <w:pPr>
        <w:jc w:val="both"/>
        <w:ind w:left="915" w:right="220" w:hanging="459"/>
        <w:spacing w:after="0" w:line="265" w:lineRule="auto"/>
        <w:tabs>
          <w:tab w:leader="none" w:pos="9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Series</w:t>
      </w:r>
      <w:r>
        <w:rPr>
          <w:rFonts w:ascii="Times New Roman" w:cs="Times New Roman" w:eastAsia="Times New Roman" w:hAnsi="Times New Roman"/>
          <w:sz w:val="18"/>
          <w:szCs w:val="18"/>
          <w:color w:val="auto"/>
        </w:rPr>
        <w:t>: The Special Shares may at any time or from time to time be issued in one or more series. The Board of Directors of the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from time to time before the issue thereof fix the number of shares in, and determine the designation, rights, privileges, restrictions and conditions attaching to the shares of, each series of Special Shares.</w:t>
      </w:r>
    </w:p>
    <w:p>
      <w:pPr>
        <w:spacing w:after="0" w:line="252" w:lineRule="exact"/>
        <w:rPr>
          <w:rFonts w:ascii="Times New Roman" w:cs="Times New Roman" w:eastAsia="Times New Roman" w:hAnsi="Times New Roman"/>
          <w:sz w:val="18"/>
          <w:szCs w:val="18"/>
          <w:color w:val="auto"/>
        </w:rPr>
      </w:pPr>
    </w:p>
    <w:p>
      <w:pPr>
        <w:ind w:left="915" w:hanging="459"/>
        <w:spacing w:after="0" w:line="287" w:lineRule="auto"/>
        <w:tabs>
          <w:tab w:leader="none" w:pos="91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Priority</w:t>
      </w:r>
      <w:r>
        <w:rPr>
          <w:rFonts w:ascii="Times New Roman" w:cs="Times New Roman" w:eastAsia="Times New Roman" w:hAnsi="Times New Roman"/>
          <w:sz w:val="17"/>
          <w:szCs w:val="17"/>
          <w:color w:val="auto"/>
        </w:rPr>
        <w:t>: The Special Shares shall be entitled to priority over the Common Shares and all other shares ranking junior to the Special Shares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 to the payment of dividends and the distribution of assets of the Corporation in the event of any liquidation, dissolution or winding-up of the Corporation or other distribution of assets of the Corporation among its shareholders for the purpose of winding-up its affairs.</w:t>
      </w:r>
    </w:p>
    <w:p>
      <w:pPr>
        <w:spacing w:after="0" w:line="330" w:lineRule="exact"/>
        <w:rPr>
          <w:rFonts w:ascii="Times New Roman" w:cs="Times New Roman" w:eastAsia="Times New Roman" w:hAnsi="Times New Roman"/>
          <w:sz w:val="17"/>
          <w:szCs w:val="17"/>
          <w:color w:val="auto"/>
        </w:rPr>
      </w:pPr>
    </w:p>
    <w:p>
      <w:pPr>
        <w:ind w:left="915" w:right="220" w:hanging="459"/>
        <w:spacing w:after="0" w:line="180" w:lineRule="auto"/>
        <w:tabs>
          <w:tab w:leader="none" w:pos="915" w:val="left"/>
        </w:tabs>
        <w:numPr>
          <w:ilvl w:val="0"/>
          <w:numId w:val="47"/>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Except as otherwise provided by law, the holders of the Special Shares shall not, as such, be entitled to receive notice of or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attend any</w:t>
      </w:r>
    </w:p>
    <w:p>
      <w:pPr>
        <w:sectPr>
          <w:pgSz w:w="11900" w:h="16838" w:orient="portrait"/>
          <w:cols w:equalWidth="0" w:num="1">
            <w:col w:w="11135"/>
          </w:cols>
          <w:pgMar w:left="345" w:top="1404" w:right="419" w:bottom="1440" w:gutter="0" w:footer="0" w:header="0"/>
        </w:sectPr>
      </w:pPr>
    </w:p>
    <w:bookmarkStart w:id="70" w:name="page71"/>
    <w:bookmarkEnd w:id="70"/>
    <w:p>
      <w:pPr>
        <w:spacing w:after="0" w:line="250" w:lineRule="exact"/>
        <w:rPr>
          <w:sz w:val="20"/>
          <w:szCs w:val="20"/>
          <w:color w:val="auto"/>
        </w:rPr>
      </w:pPr>
    </w:p>
    <w:p>
      <w:pPr>
        <w:ind w:left="3" w:right="220"/>
        <w:spacing w:after="0" w:line="234" w:lineRule="auto"/>
        <w:rPr>
          <w:sz w:val="20"/>
          <w:szCs w:val="20"/>
          <w:color w:val="auto"/>
        </w:rPr>
      </w:pPr>
      <w:r>
        <w:rPr>
          <w:rFonts w:ascii="Times New Roman" w:cs="Times New Roman" w:eastAsia="Times New Roman" w:hAnsi="Times New Roman"/>
          <w:sz w:val="17"/>
          <w:szCs w:val="17"/>
          <w:color w:val="auto"/>
        </w:rPr>
        <w:t>meeting of the shareholders of the Corporation and shall not be entitled to vote at any such meeting. Without limiting the generality of the foregoing, the holders of the Special Shares shall not be entitled to vote separately as a class on any proposal to amend the Articles of the</w:t>
      </w:r>
    </w:p>
    <w:p>
      <w:pPr>
        <w:spacing w:after="0" w:line="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Corporation to:</w:t>
      </w:r>
    </w:p>
    <w:p>
      <w:pPr>
        <w:spacing w:after="0" w:line="242" w:lineRule="exact"/>
        <w:rPr>
          <w:sz w:val="20"/>
          <w:szCs w:val="20"/>
          <w:color w:val="auto"/>
        </w:rPr>
      </w:pPr>
    </w:p>
    <w:p>
      <w:pPr>
        <w:ind w:left="583" w:hanging="583"/>
        <w:spacing w:after="0" w:line="248" w:lineRule="auto"/>
        <w:tabs>
          <w:tab w:leader="none" w:pos="5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any maximum number of authorized Special Shares, or increase any maximum number of authorized shares of a class having rights or privileges equal or superior to the Special Shares; or</w:t>
      </w:r>
    </w:p>
    <w:p>
      <w:pPr>
        <w:spacing w:after="0" w:line="242" w:lineRule="exact"/>
        <w:rPr>
          <w:rFonts w:ascii="Times New Roman" w:cs="Times New Roman" w:eastAsia="Times New Roman" w:hAnsi="Times New Roman"/>
          <w:sz w:val="18"/>
          <w:szCs w:val="18"/>
          <w:color w:val="auto"/>
        </w:rPr>
      </w:pPr>
    </w:p>
    <w:p>
      <w:pPr>
        <w:ind w:left="583" w:hanging="583"/>
        <w:spacing w:after="0"/>
        <w:tabs>
          <w:tab w:leader="none" w:pos="5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 exchange, reclassification or cancellation of all or part of the Special Shares; or</w:t>
      </w:r>
    </w:p>
    <w:p>
      <w:pPr>
        <w:spacing w:after="0" w:line="262" w:lineRule="exact"/>
        <w:rPr>
          <w:rFonts w:ascii="Times New Roman" w:cs="Times New Roman" w:eastAsia="Times New Roman" w:hAnsi="Times New Roman"/>
          <w:sz w:val="18"/>
          <w:szCs w:val="18"/>
          <w:color w:val="auto"/>
        </w:rPr>
      </w:pPr>
    </w:p>
    <w:p>
      <w:pPr>
        <w:ind w:left="583" w:hanging="583"/>
        <w:spacing w:after="0"/>
        <w:tabs>
          <w:tab w:leader="none" w:pos="5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new class of shares equal or superior to the Special Shares.</w:t>
      </w:r>
    </w:p>
    <w:p>
      <w:pPr>
        <w:sectPr>
          <w:pgSz w:w="11900" w:h="16838" w:orient="portrait"/>
          <w:cols w:equalWidth="0" w:num="1">
            <w:col w:w="10083"/>
          </w:cols>
          <w:pgMar w:left="1257" w:top="1440" w:right="559" w:bottom="1440" w:gutter="0" w:footer="0" w:header="0"/>
        </w:sectPr>
      </w:pPr>
    </w:p>
    <w:bookmarkStart w:id="71" w:name="page72"/>
    <w:bookmarkEnd w:id="71"/>
    <w:p>
      <w:pPr>
        <w:jc w:val="center"/>
        <w:ind w:right="-54"/>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86" w:lineRule="exact"/>
        <w:rPr>
          <w:sz w:val="20"/>
          <w:szCs w:val="20"/>
          <w:color w:val="auto"/>
        </w:rPr>
      </w:pPr>
    </w:p>
    <w:p>
      <w:pPr>
        <w:ind w:left="455" w:right="100" w:hanging="455"/>
        <w:spacing w:after="0" w:line="224" w:lineRule="auto"/>
        <w:tabs>
          <w:tab w:leader="none" w:pos="4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of the Corporation at any time shall be such number within the minimum and maximum number of directors set forth in the articles of the Corporation as is determined from time to time by resolution of the directors in light of the Corporation’s contractual obligations in effect from time to time.</w:t>
      </w:r>
    </w:p>
    <w:p>
      <w:pPr>
        <w:spacing w:after="0" w:line="252" w:lineRule="exact"/>
        <w:rPr>
          <w:sz w:val="20"/>
          <w:szCs w:val="20"/>
          <w:color w:val="auto"/>
        </w:rPr>
      </w:pPr>
    </w:p>
    <w:p>
      <w:pPr>
        <w:ind w:left="455" w:hanging="455"/>
        <w:spacing w:after="0" w:line="230" w:lineRule="auto"/>
        <w:tabs>
          <w:tab w:leader="none" w:pos="4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Canada Business Corporations Act and the Corporation’s contractual obligations then in effect, the directors may fill any vacancies among the directors, whether arising due to an increase in the number of directors within the minimum and maximum number of directors set forth in the articles of the Corporation or otherwise.</w:t>
      </w:r>
    </w:p>
    <w:p>
      <w:pPr>
        <w:spacing w:after="0" w:line="236" w:lineRule="exact"/>
        <w:rPr>
          <w:sz w:val="20"/>
          <w:szCs w:val="20"/>
          <w:color w:val="auto"/>
        </w:rPr>
      </w:pPr>
    </w:p>
    <w:p>
      <w:pPr>
        <w:ind w:left="455" w:right="200" w:hanging="455"/>
        <w:spacing w:after="0" w:line="236" w:lineRule="auto"/>
        <w:tabs>
          <w:tab w:leader="none" w:pos="4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elected at a meeting of shareholders will hold offices until the next annual meeting of shareholders or until their successors are elected or appointed.</w:t>
      </w:r>
    </w:p>
    <w:p>
      <w:pPr>
        <w:spacing w:after="0" w:line="250" w:lineRule="exact"/>
        <w:rPr>
          <w:sz w:val="20"/>
          <w:szCs w:val="20"/>
          <w:color w:val="auto"/>
        </w:rPr>
      </w:pPr>
    </w:p>
    <w:p>
      <w:pPr>
        <w:jc w:val="both"/>
        <w:ind w:left="455" w:right="60" w:hanging="455"/>
        <w:spacing w:after="0" w:line="230" w:lineRule="auto"/>
        <w:tabs>
          <w:tab w:leader="none" w:pos="45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Meetings of shareholders may be held in New York, New York; Los Angeles, California; Santa Monica, California; San Diego, California; Chicago, Illinois; Houston, Texas; San Antonio, Texas; Dallas, Texas; Philadelphia, Pennsylvania; Phoenix, Arizona; Detroit, Michigan; and Washington, DC; or in any place in Canada that the directors from time to time determine.</w:t>
      </w:r>
    </w:p>
    <w:p>
      <w:pPr>
        <w:sectPr>
          <w:pgSz w:w="11900" w:h="16838" w:orient="portrait"/>
          <w:cols w:equalWidth="0" w:num="1">
            <w:col w:w="11155"/>
          </w:cols>
          <w:pgMar w:left="345" w:top="1404" w:right="39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1"/>
          <w:szCs w:val="2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1"/>
          <w:szCs w:val="21"/>
          <w:b w:val="1"/>
          <w:bCs w:val="1"/>
          <w:color w:val="auto"/>
        </w:rPr>
        <w:t>SEVENTH AMENDED AND RESTATED CREDIT AGREEMENT</w:t>
      </w:r>
    </w:p>
    <w:p>
      <w:pPr>
        <w:spacing w:after="0" w:line="23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by and among</w:t>
      </w:r>
    </w:p>
    <w:p>
      <w:pPr>
        <w:spacing w:after="0" w:line="21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b w:val="1"/>
          <w:bCs w:val="1"/>
          <w:color w:val="auto"/>
        </w:rPr>
        <w:t>IMAX CORPORATION</w:t>
      </w:r>
      <w:r>
        <w:rPr>
          <w:rFonts w:ascii="Times New Roman" w:cs="Times New Roman" w:eastAsia="Times New Roman" w:hAnsi="Times New Roman"/>
          <w:sz w:val="21"/>
          <w:szCs w:val="21"/>
          <w:color w:val="auto"/>
        </w:rPr>
        <w:t>,</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Borrower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and -</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GUARANTORS REFERRED TO HEREIN</w:t>
      </w:r>
      <w:r>
        <w:rPr>
          <w:rFonts w:ascii="Times New Roman" w:cs="Times New Roman" w:eastAsia="Times New Roman" w:hAnsi="Times New Roman"/>
          <w:sz w:val="21"/>
          <w:szCs w:val="21"/>
          <w:color w:val="auto"/>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Guarantors</w:t>
      </w:r>
    </w:p>
    <w:p>
      <w:pPr>
        <w:spacing w:after="0" w:line="1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color w:val="auto"/>
        </w:rPr>
        <w:t>- and -</w:t>
      </w:r>
    </w:p>
    <w:p>
      <w:pPr>
        <w:spacing w:after="0" w:line="21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b w:val="1"/>
          <w:bCs w:val="1"/>
          <w:color w:val="auto"/>
        </w:rPr>
        <w:t>THE LENDERS REFERRED TO HEREIN</w:t>
      </w:r>
      <w:r>
        <w:rPr>
          <w:rFonts w:ascii="Times New Roman" w:cs="Times New Roman" w:eastAsia="Times New Roman" w:hAnsi="Times New Roman"/>
          <w:sz w:val="21"/>
          <w:szCs w:val="21"/>
          <w:color w:val="auto"/>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Lenders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and -</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WELLS FARGO BANK, NATIONAL ASSOCIATION</w:t>
      </w:r>
      <w:r>
        <w:rPr>
          <w:rFonts w:ascii="Times New Roman" w:cs="Times New Roman" w:eastAsia="Times New Roman" w:hAnsi="Times New Roman"/>
          <w:sz w:val="21"/>
          <w:szCs w:val="21"/>
          <w:color w:val="auto"/>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Administrative Agent, Issuing Lender and Swingline Lender</w:t>
      </w:r>
    </w:p>
    <w:p>
      <w:pPr>
        <w:spacing w:after="0" w:line="16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color w:val="auto"/>
        </w:rPr>
        <w:t>- and -</w:t>
      </w:r>
    </w:p>
    <w:p>
      <w:pPr>
        <w:spacing w:after="0" w:line="21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b w:val="1"/>
          <w:bCs w:val="1"/>
          <w:color w:val="auto"/>
        </w:rPr>
        <w:t>WELLS FARGO SECURITIES, LLC</w:t>
      </w:r>
      <w:r>
        <w:rPr>
          <w:rFonts w:ascii="Times New Roman" w:cs="Times New Roman" w:eastAsia="Times New Roman" w:hAnsi="Times New Roman"/>
          <w:sz w:val="21"/>
          <w:szCs w:val="21"/>
          <w:color w:val="auto"/>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Sole Lead Arranger</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 and -</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WELLS FARGO SECURITIES, LLC </w:t>
      </w:r>
      <w:r>
        <w:rPr>
          <w:rFonts w:ascii="Times New Roman" w:cs="Times New Roman" w:eastAsia="Times New Roman" w:hAnsi="Times New Roman"/>
          <w:sz w:val="21"/>
          <w:szCs w:val="21"/>
          <w:color w:val="auto"/>
        </w:rPr>
        <w:t>and</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JPMORGAN CHASE BANK, N.A.</w:t>
      </w:r>
      <w:r>
        <w:rPr>
          <w:rFonts w:ascii="Times New Roman" w:cs="Times New Roman" w:eastAsia="Times New Roman" w:hAnsi="Times New Roman"/>
          <w:sz w:val="21"/>
          <w:szCs w:val="2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Joint Bookrunners</w:t>
      </w:r>
    </w:p>
    <w:p>
      <w:pPr>
        <w:spacing w:after="0" w:line="17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color w:val="auto"/>
        </w:rPr>
        <w:t>- and -</w:t>
      </w:r>
    </w:p>
    <w:p>
      <w:pPr>
        <w:spacing w:after="0" w:line="21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b w:val="1"/>
          <w:bCs w:val="1"/>
          <w:color w:val="auto"/>
        </w:rPr>
        <w:t>JPMORGAN CHASE BANK, N.A.</w:t>
      </w:r>
      <w:r>
        <w:rPr>
          <w:rFonts w:ascii="Times New Roman" w:cs="Times New Roman" w:eastAsia="Times New Roman" w:hAnsi="Times New Roman"/>
          <w:sz w:val="21"/>
          <w:szCs w:val="21"/>
          <w:color w:val="auto"/>
        </w:rPr>
        <w:t>,</w:t>
      </w:r>
    </w:p>
    <w:p>
      <w:pPr>
        <w:spacing w:after="0" w:line="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1"/>
          <w:szCs w:val="21"/>
          <w:color w:val="auto"/>
        </w:rPr>
        <w:t>as Syndication Agent</w:t>
      </w:r>
    </w:p>
    <w:p>
      <w:pPr>
        <w:spacing w:after="0" w:line="17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color w:val="auto"/>
        </w:rPr>
        <w:t>- and -</w:t>
      </w:r>
    </w:p>
    <w:p>
      <w:pPr>
        <w:spacing w:after="0" w:line="21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1"/>
          <w:szCs w:val="21"/>
          <w:b w:val="1"/>
          <w:bCs w:val="1"/>
          <w:color w:val="auto"/>
        </w:rPr>
        <w:t>BANK OF AMERICA, N.A.</w:t>
      </w:r>
      <w:r>
        <w:rPr>
          <w:rFonts w:ascii="Times New Roman" w:cs="Times New Roman" w:eastAsia="Times New Roman" w:hAnsi="Times New Roman"/>
          <w:sz w:val="21"/>
          <w:szCs w:val="21"/>
          <w:color w:val="auto"/>
        </w:rPr>
        <w:t>,</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BANK OF MONTREAL</w:t>
      </w:r>
      <w:r>
        <w:rPr>
          <w:rFonts w:ascii="Times New Roman" w:cs="Times New Roman" w:eastAsia="Times New Roman" w:hAnsi="Times New Roman"/>
          <w:sz w:val="21"/>
          <w:szCs w:val="21"/>
          <w:color w:val="auto"/>
        </w:rPr>
        <w:t>,</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 xml:space="preserve">NATIONAL BANK OF CANADA </w:t>
      </w:r>
      <w:r>
        <w:rPr>
          <w:rFonts w:ascii="Times New Roman" w:cs="Times New Roman" w:eastAsia="Times New Roman" w:hAnsi="Times New Roman"/>
          <w:sz w:val="21"/>
          <w:szCs w:val="21"/>
          <w:color w:val="auto"/>
        </w:rPr>
        <w:t>and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ROYAL BANK OF CANADA</w:t>
      </w:r>
      <w:r>
        <w:rPr>
          <w:rFonts w:ascii="Times New Roman" w:cs="Times New Roman" w:eastAsia="Times New Roman" w:hAnsi="Times New Roman"/>
          <w:sz w:val="21"/>
          <w:szCs w:val="21"/>
          <w:color w:val="auto"/>
        </w:rPr>
        <w:t>,</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Co-Documentation Agents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Dated: July 14, 2025</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26" w:right="3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83"/>
        </w:trPr>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00" w:type="dxa"/>
            <w:vAlign w:val="bottom"/>
            <w:gridSpan w:val="2"/>
          </w:tcPr>
          <w:p>
            <w:pPr>
              <w:jc w:val="right"/>
              <w:ind w:right="2273"/>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920" w:type="dxa"/>
            <w:vAlign w:val="bottom"/>
          </w:tcPr>
          <w:p>
            <w:pPr>
              <w:spacing w:after="0"/>
              <w:rPr>
                <w:sz w:val="24"/>
                <w:szCs w:val="24"/>
                <w:color w:val="auto"/>
              </w:rPr>
            </w:pPr>
          </w:p>
        </w:tc>
      </w:tr>
      <w:tr>
        <w:trPr>
          <w:trHeight w:val="469"/>
        </w:trPr>
        <w:tc>
          <w:tcPr>
            <w:tcW w:w="110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ARTICLE 1</w:t>
            </w:r>
          </w:p>
        </w:tc>
        <w:tc>
          <w:tcPr>
            <w:tcW w:w="1720" w:type="dxa"/>
            <w:vAlign w:val="bottom"/>
            <w:gridSpan w:val="4"/>
          </w:tcPr>
          <w:p>
            <w:pPr>
              <w:ind w:left="180"/>
              <w:spacing w:after="0"/>
              <w:rPr>
                <w:sz w:val="20"/>
                <w:szCs w:val="20"/>
                <w:color w:val="auto"/>
              </w:rPr>
            </w:pPr>
            <w:r>
              <w:rPr>
                <w:rFonts w:ascii="Times New Roman" w:cs="Times New Roman" w:eastAsia="Times New Roman" w:hAnsi="Times New Roman"/>
                <w:sz w:val="21"/>
                <w:szCs w:val="21"/>
                <w:color w:val="auto"/>
              </w:rPr>
              <w:t>DEFINITIONS</w:t>
            </w:r>
          </w:p>
        </w:tc>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2</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2"/>
        </w:trPr>
        <w:tc>
          <w:tcPr>
            <w:tcW w:w="110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ARTICLE 2</w:t>
            </w:r>
          </w:p>
        </w:tc>
        <w:tc>
          <w:tcPr>
            <w:tcW w:w="2300" w:type="dxa"/>
            <w:vAlign w:val="bottom"/>
            <w:gridSpan w:val="5"/>
          </w:tcPr>
          <w:p>
            <w:pPr>
              <w:ind w:left="180"/>
              <w:spacing w:after="0"/>
              <w:rPr>
                <w:sz w:val="20"/>
                <w:szCs w:val="20"/>
                <w:color w:val="auto"/>
              </w:rPr>
            </w:pPr>
            <w:r>
              <w:rPr>
                <w:rFonts w:ascii="Times New Roman" w:cs="Times New Roman" w:eastAsia="Times New Roman" w:hAnsi="Times New Roman"/>
                <w:sz w:val="21"/>
                <w:szCs w:val="21"/>
                <w:color w:val="auto"/>
              </w:rPr>
              <w:t>CREDIT FACILITIES</w:t>
            </w:r>
          </w:p>
        </w:tc>
        <w:tc>
          <w:tcPr>
            <w:tcW w:w="660" w:type="dxa"/>
            <w:vAlign w:val="bottom"/>
          </w:tcPr>
          <w:p>
            <w:pPr>
              <w:jc w:val="right"/>
              <w:ind w:right="293"/>
              <w:spacing w:after="0"/>
              <w:rPr>
                <w:sz w:val="20"/>
                <w:szCs w:val="20"/>
                <w:color w:val="auto"/>
              </w:rPr>
            </w:pPr>
            <w:r>
              <w:rPr>
                <w:rFonts w:ascii="Times New Roman" w:cs="Times New Roman" w:eastAsia="Times New Roman" w:hAnsi="Times New Roman"/>
                <w:sz w:val="21"/>
                <w:szCs w:val="21"/>
                <w:color w:val="auto"/>
              </w:rPr>
              <w:t>48</w:t>
            </w: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5"/>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2.1</w:t>
            </w:r>
          </w:p>
        </w:tc>
        <w:tc>
          <w:tcPr>
            <w:tcW w:w="1720" w:type="dxa"/>
            <w:vAlign w:val="bottom"/>
            <w:gridSpan w:val="4"/>
          </w:tcPr>
          <w:p>
            <w:pPr>
              <w:ind w:left="40"/>
              <w:spacing w:after="0"/>
              <w:rPr>
                <w:sz w:val="20"/>
                <w:szCs w:val="20"/>
                <w:color w:val="auto"/>
              </w:rPr>
            </w:pPr>
            <w:r>
              <w:rPr>
                <w:rFonts w:ascii="Times New Roman" w:cs="Times New Roman" w:eastAsia="Times New Roman" w:hAnsi="Times New Roman"/>
                <w:sz w:val="21"/>
                <w:szCs w:val="21"/>
                <w:color w:val="auto"/>
              </w:rPr>
              <w:t>Revolving Loans</w:t>
            </w:r>
          </w:p>
        </w:tc>
        <w:tc>
          <w:tcPr>
            <w:tcW w:w="580" w:type="dxa"/>
            <w:vAlign w:val="bottom"/>
          </w:tcPr>
          <w:p>
            <w:pPr>
              <w:spacing w:after="0"/>
              <w:rPr>
                <w:sz w:val="20"/>
                <w:szCs w:val="20"/>
                <w:color w:val="auto"/>
              </w:rPr>
            </w:pPr>
            <w:r>
              <w:rPr>
                <w:rFonts w:ascii="Times New Roman" w:cs="Times New Roman" w:eastAsia="Times New Roman" w:hAnsi="Times New Roman"/>
                <w:sz w:val="21"/>
                <w:szCs w:val="21"/>
                <w:color w:val="auto"/>
              </w:rPr>
              <w:t>48</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2.2</w:t>
            </w:r>
          </w:p>
        </w:tc>
        <w:tc>
          <w:tcPr>
            <w:tcW w:w="2960" w:type="dxa"/>
            <w:vAlign w:val="bottom"/>
            <w:gridSpan w:val="6"/>
          </w:tcPr>
          <w:p>
            <w:pPr>
              <w:ind w:left="40"/>
              <w:spacing w:after="0"/>
              <w:rPr>
                <w:sz w:val="20"/>
                <w:szCs w:val="20"/>
                <w:color w:val="auto"/>
              </w:rPr>
            </w:pPr>
            <w:r>
              <w:rPr>
                <w:rFonts w:ascii="Times New Roman" w:cs="Times New Roman" w:eastAsia="Times New Roman" w:hAnsi="Times New Roman"/>
                <w:sz w:val="21"/>
                <w:szCs w:val="21"/>
                <w:color w:val="auto"/>
              </w:rPr>
              <w:t>Letter of Credit Accommodations</w:t>
            </w:r>
          </w:p>
        </w:tc>
        <w:tc>
          <w:tcPr>
            <w:tcW w:w="1120" w:type="dxa"/>
            <w:vAlign w:val="bottom"/>
          </w:tcPr>
          <w:p>
            <w:pPr>
              <w:jc w:val="right"/>
              <w:ind w:right="613"/>
              <w:spacing w:after="0"/>
              <w:rPr>
                <w:sz w:val="20"/>
                <w:szCs w:val="20"/>
                <w:color w:val="auto"/>
              </w:rPr>
            </w:pPr>
            <w:r>
              <w:rPr>
                <w:rFonts w:ascii="Times New Roman" w:cs="Times New Roman" w:eastAsia="Times New Roman" w:hAnsi="Times New Roman"/>
                <w:sz w:val="21"/>
                <w:szCs w:val="21"/>
                <w:color w:val="auto"/>
              </w:rPr>
              <w:t>52</w:t>
            </w: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2.3</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Maturity Date</w:t>
            </w:r>
          </w:p>
        </w:tc>
        <w:tc>
          <w:tcPr>
            <w:tcW w:w="28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53</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2.4</w:t>
            </w:r>
          </w:p>
        </w:tc>
        <w:tc>
          <w:tcPr>
            <w:tcW w:w="8060" w:type="dxa"/>
            <w:vAlign w:val="bottom"/>
            <w:gridSpan w:val="8"/>
          </w:tcPr>
          <w:p>
            <w:pPr>
              <w:ind w:left="40"/>
              <w:spacing w:after="0"/>
              <w:rPr>
                <w:sz w:val="20"/>
                <w:szCs w:val="20"/>
                <w:color w:val="auto"/>
              </w:rPr>
            </w:pPr>
            <w:r>
              <w:rPr>
                <w:rFonts w:ascii="Times New Roman" w:cs="Times New Roman" w:eastAsia="Times New Roman" w:hAnsi="Times New Roman"/>
                <w:sz w:val="21"/>
                <w:szCs w:val="21"/>
                <w:color w:val="auto"/>
              </w:rPr>
              <w:t>Optional Prepayments and Cancellation of Unused Revolving Loan Commitments  54</w:t>
            </w:r>
          </w:p>
        </w:tc>
        <w:tc>
          <w:tcPr>
            <w:tcW w:w="920" w:type="dxa"/>
            <w:vAlign w:val="bottom"/>
          </w:tcPr>
          <w:p>
            <w:pPr>
              <w:spacing w:after="0"/>
              <w:rPr>
                <w:sz w:val="24"/>
                <w:szCs w:val="24"/>
                <w:color w:val="auto"/>
              </w:rPr>
            </w:pP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2.5</w:t>
            </w:r>
          </w:p>
        </w:tc>
        <w:tc>
          <w:tcPr>
            <w:tcW w:w="2300" w:type="dxa"/>
            <w:vAlign w:val="bottom"/>
            <w:gridSpan w:val="5"/>
          </w:tcPr>
          <w:p>
            <w:pPr>
              <w:ind w:left="40"/>
              <w:spacing w:after="0"/>
              <w:rPr>
                <w:sz w:val="20"/>
                <w:szCs w:val="20"/>
                <w:color w:val="auto"/>
              </w:rPr>
            </w:pPr>
            <w:r>
              <w:rPr>
                <w:rFonts w:ascii="Times New Roman" w:cs="Times New Roman" w:eastAsia="Times New Roman" w:hAnsi="Times New Roman"/>
                <w:sz w:val="21"/>
                <w:szCs w:val="21"/>
                <w:color w:val="auto"/>
              </w:rPr>
              <w:t>Hedge Transactions  55</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5"/>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2.6</w:t>
            </w:r>
          </w:p>
        </w:tc>
        <w:tc>
          <w:tcPr>
            <w:tcW w:w="4080" w:type="dxa"/>
            <w:vAlign w:val="bottom"/>
            <w:gridSpan w:val="7"/>
          </w:tcPr>
          <w:p>
            <w:pPr>
              <w:ind w:left="40"/>
              <w:spacing w:after="0"/>
              <w:rPr>
                <w:sz w:val="20"/>
                <w:szCs w:val="20"/>
                <w:color w:val="auto"/>
              </w:rPr>
            </w:pPr>
            <w:r>
              <w:rPr>
                <w:rFonts w:ascii="Times New Roman" w:cs="Times New Roman" w:eastAsia="Times New Roman" w:hAnsi="Times New Roman"/>
                <w:sz w:val="21"/>
                <w:szCs w:val="21"/>
                <w:color w:val="auto"/>
              </w:rPr>
              <w:t>Incremental Term Loans and Revolving Loans</w:t>
            </w:r>
          </w:p>
        </w:tc>
        <w:tc>
          <w:tcPr>
            <w:tcW w:w="3980" w:type="dxa"/>
            <w:vAlign w:val="bottom"/>
          </w:tcPr>
          <w:p>
            <w:pPr>
              <w:jc w:val="right"/>
              <w:ind w:right="3493"/>
              <w:spacing w:after="0"/>
              <w:rPr>
                <w:sz w:val="20"/>
                <w:szCs w:val="20"/>
                <w:color w:val="auto"/>
              </w:rPr>
            </w:pPr>
            <w:r>
              <w:rPr>
                <w:rFonts w:ascii="Times New Roman" w:cs="Times New Roman" w:eastAsia="Times New Roman" w:hAnsi="Times New Roman"/>
                <w:sz w:val="21"/>
                <w:szCs w:val="21"/>
                <w:color w:val="auto"/>
              </w:rPr>
              <w:t>55</w:t>
            </w:r>
          </w:p>
        </w:tc>
        <w:tc>
          <w:tcPr>
            <w:tcW w:w="920" w:type="dxa"/>
            <w:vAlign w:val="bottom"/>
          </w:tcPr>
          <w:p>
            <w:pPr>
              <w:spacing w:after="0"/>
              <w:rPr>
                <w:sz w:val="24"/>
                <w:szCs w:val="24"/>
                <w:color w:val="auto"/>
              </w:rPr>
            </w:pPr>
          </w:p>
        </w:tc>
      </w:tr>
      <w:tr>
        <w:trPr>
          <w:trHeight w:val="362"/>
        </w:trPr>
        <w:tc>
          <w:tcPr>
            <w:tcW w:w="110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ARTICLE 3</w:t>
            </w:r>
          </w:p>
        </w:tc>
        <w:tc>
          <w:tcPr>
            <w:tcW w:w="8060" w:type="dxa"/>
            <w:vAlign w:val="bottom"/>
            <w:gridSpan w:val="8"/>
          </w:tcPr>
          <w:p>
            <w:pPr>
              <w:ind w:left="180"/>
              <w:spacing w:after="0"/>
              <w:rPr>
                <w:sz w:val="20"/>
                <w:szCs w:val="20"/>
                <w:color w:val="auto"/>
              </w:rPr>
            </w:pPr>
            <w:r>
              <w:rPr>
                <w:rFonts w:ascii="Times New Roman" w:cs="Times New Roman" w:eastAsia="Times New Roman" w:hAnsi="Times New Roman"/>
                <w:sz w:val="21"/>
                <w:szCs w:val="21"/>
                <w:color w:val="auto"/>
              </w:rPr>
              <w:t>INTEREST, REQUESTS FOR REVOLVING LOANS, INCREASED COSTS AND FEES</w:t>
            </w:r>
          </w:p>
        </w:tc>
        <w:tc>
          <w:tcPr>
            <w:tcW w:w="920" w:type="dxa"/>
            <w:vAlign w:val="bottom"/>
          </w:tcPr>
          <w:p>
            <w:pPr>
              <w:jc w:val="right"/>
              <w:ind w:right="453"/>
              <w:spacing w:after="0"/>
              <w:rPr>
                <w:sz w:val="20"/>
                <w:szCs w:val="20"/>
                <w:color w:val="auto"/>
              </w:rPr>
            </w:pPr>
            <w:r>
              <w:rPr>
                <w:rFonts w:ascii="Times New Roman" w:cs="Times New Roman" w:eastAsia="Times New Roman" w:hAnsi="Times New Roman"/>
                <w:sz w:val="21"/>
                <w:szCs w:val="21"/>
                <w:color w:val="auto"/>
              </w:rPr>
              <w:t>59</w:t>
            </w: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3.1</w:t>
            </w:r>
          </w:p>
        </w:tc>
        <w:tc>
          <w:tcPr>
            <w:tcW w:w="70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Interest</w:t>
            </w:r>
          </w:p>
        </w:tc>
        <w:tc>
          <w:tcPr>
            <w:tcW w:w="740" w:type="dxa"/>
            <w:vAlign w:val="bottom"/>
            <w:gridSpan w:val="2"/>
          </w:tcPr>
          <w:p>
            <w:pPr>
              <w:jc w:val="right"/>
              <w:ind w:right="233"/>
              <w:spacing w:after="0"/>
              <w:rPr>
                <w:sz w:val="20"/>
                <w:szCs w:val="20"/>
                <w:color w:val="auto"/>
              </w:rPr>
            </w:pPr>
            <w:r>
              <w:rPr>
                <w:rFonts w:ascii="Times New Roman" w:cs="Times New Roman" w:eastAsia="Times New Roman" w:hAnsi="Times New Roman"/>
                <w:sz w:val="21"/>
                <w:szCs w:val="21"/>
                <w:color w:val="auto"/>
              </w:rPr>
              <w:t>59</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3.2</w:t>
            </w:r>
          </w:p>
        </w:tc>
        <w:tc>
          <w:tcPr>
            <w:tcW w:w="2300" w:type="dxa"/>
            <w:vAlign w:val="bottom"/>
            <w:gridSpan w:val="5"/>
          </w:tcPr>
          <w:p>
            <w:pPr>
              <w:ind w:left="40"/>
              <w:spacing w:after="0"/>
              <w:rPr>
                <w:sz w:val="20"/>
                <w:szCs w:val="20"/>
                <w:color w:val="auto"/>
              </w:rPr>
            </w:pPr>
            <w:r>
              <w:rPr>
                <w:rFonts w:ascii="Times New Roman" w:cs="Times New Roman" w:eastAsia="Times New Roman" w:hAnsi="Times New Roman"/>
                <w:sz w:val="21"/>
                <w:szCs w:val="21"/>
                <w:color w:val="auto"/>
              </w:rPr>
              <w:t>Changed Circumstances</w:t>
            </w:r>
          </w:p>
        </w:tc>
        <w:tc>
          <w:tcPr>
            <w:tcW w:w="660" w:type="dxa"/>
            <w:vAlign w:val="bottom"/>
          </w:tcPr>
          <w:p>
            <w:pPr>
              <w:jc w:val="right"/>
              <w:ind w:right="313"/>
              <w:spacing w:after="0"/>
              <w:rPr>
                <w:sz w:val="20"/>
                <w:szCs w:val="20"/>
                <w:color w:val="auto"/>
              </w:rPr>
            </w:pPr>
            <w:r>
              <w:rPr>
                <w:rFonts w:ascii="Times New Roman" w:cs="Times New Roman" w:eastAsia="Times New Roman" w:hAnsi="Times New Roman"/>
                <w:sz w:val="21"/>
                <w:szCs w:val="21"/>
                <w:color w:val="auto"/>
              </w:rPr>
              <w:t>63</w:t>
            </w: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3.3</w:t>
            </w:r>
          </w:p>
        </w:tc>
        <w:tc>
          <w:tcPr>
            <w:tcW w:w="8060" w:type="dxa"/>
            <w:vAlign w:val="bottom"/>
            <w:gridSpan w:val="8"/>
          </w:tcPr>
          <w:p>
            <w:pPr>
              <w:ind w:left="40"/>
              <w:spacing w:after="0"/>
              <w:rPr>
                <w:sz w:val="20"/>
                <w:szCs w:val="20"/>
                <w:color w:val="auto"/>
              </w:rPr>
            </w:pPr>
            <w:r>
              <w:rPr>
                <w:rFonts w:ascii="Times New Roman" w:cs="Times New Roman" w:eastAsia="Times New Roman" w:hAnsi="Times New Roman"/>
                <w:sz w:val="21"/>
                <w:szCs w:val="21"/>
                <w:color w:val="auto"/>
              </w:rPr>
              <w:t>Compensation for Breakage or Non-Commencement of Interest Periods  68</w:t>
            </w:r>
          </w:p>
        </w:tc>
        <w:tc>
          <w:tcPr>
            <w:tcW w:w="920" w:type="dxa"/>
            <w:vAlign w:val="bottom"/>
          </w:tcPr>
          <w:p>
            <w:pPr>
              <w:spacing w:after="0"/>
              <w:rPr>
                <w:sz w:val="24"/>
                <w:szCs w:val="24"/>
                <w:color w:val="auto"/>
              </w:rPr>
            </w:pP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3.4</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Increased Costs</w:t>
            </w:r>
          </w:p>
        </w:tc>
        <w:tc>
          <w:tcPr>
            <w:tcW w:w="860" w:type="dxa"/>
            <w:vAlign w:val="bottom"/>
            <w:gridSpan w:val="2"/>
          </w:tcPr>
          <w:p>
            <w:pPr>
              <w:jc w:val="right"/>
              <w:ind w:right="373"/>
              <w:spacing w:after="0"/>
              <w:rPr>
                <w:sz w:val="20"/>
                <w:szCs w:val="20"/>
                <w:color w:val="auto"/>
              </w:rPr>
            </w:pPr>
            <w:r>
              <w:rPr>
                <w:rFonts w:ascii="Times New Roman" w:cs="Times New Roman" w:eastAsia="Times New Roman" w:hAnsi="Times New Roman"/>
                <w:sz w:val="21"/>
                <w:szCs w:val="21"/>
                <w:color w:val="auto"/>
              </w:rPr>
              <w:t>69</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5"/>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3.5</w:t>
            </w:r>
          </w:p>
        </w:tc>
        <w:tc>
          <w:tcPr>
            <w:tcW w:w="7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Taxes</w:t>
            </w:r>
          </w:p>
        </w:tc>
        <w:tc>
          <w:tcPr>
            <w:tcW w:w="3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71</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3.6</w:t>
            </w:r>
          </w:p>
        </w:tc>
        <w:tc>
          <w:tcPr>
            <w:tcW w:w="8060" w:type="dxa"/>
            <w:vAlign w:val="bottom"/>
            <w:gridSpan w:val="8"/>
          </w:tcPr>
          <w:p>
            <w:pPr>
              <w:ind w:left="40"/>
              <w:spacing w:after="0"/>
              <w:rPr>
                <w:sz w:val="20"/>
                <w:szCs w:val="20"/>
                <w:color w:val="auto"/>
              </w:rPr>
            </w:pPr>
            <w:r>
              <w:rPr>
                <w:rFonts w:ascii="Times New Roman" w:cs="Times New Roman" w:eastAsia="Times New Roman" w:hAnsi="Times New Roman"/>
                <w:sz w:val="21"/>
                <w:szCs w:val="21"/>
                <w:color w:val="auto"/>
              </w:rPr>
              <w:t>Mitigation Obligations; Replacement of Lenders  74</w:t>
            </w:r>
          </w:p>
        </w:tc>
        <w:tc>
          <w:tcPr>
            <w:tcW w:w="920" w:type="dxa"/>
            <w:vAlign w:val="bottom"/>
          </w:tcPr>
          <w:p>
            <w:pPr>
              <w:spacing w:after="0"/>
              <w:rPr>
                <w:sz w:val="24"/>
                <w:szCs w:val="24"/>
                <w:color w:val="auto"/>
              </w:rPr>
            </w:pP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3.7</w:t>
            </w:r>
          </w:p>
        </w:tc>
        <w:tc>
          <w:tcPr>
            <w:tcW w:w="1720" w:type="dxa"/>
            <w:vAlign w:val="bottom"/>
            <w:gridSpan w:val="4"/>
          </w:tcPr>
          <w:p>
            <w:pPr>
              <w:ind w:left="40"/>
              <w:spacing w:after="0"/>
              <w:rPr>
                <w:sz w:val="20"/>
                <w:szCs w:val="20"/>
                <w:color w:val="auto"/>
              </w:rPr>
            </w:pPr>
            <w:r>
              <w:rPr>
                <w:rFonts w:ascii="Times New Roman" w:cs="Times New Roman" w:eastAsia="Times New Roman" w:hAnsi="Times New Roman"/>
                <w:sz w:val="21"/>
                <w:szCs w:val="21"/>
                <w:color w:val="auto"/>
              </w:rPr>
              <w:t>Commitment Fee</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21"/>
                <w:szCs w:val="21"/>
                <w:color w:val="auto"/>
              </w:rPr>
              <w:t>75</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3.8</w:t>
            </w:r>
          </w:p>
        </w:tc>
        <w:tc>
          <w:tcPr>
            <w:tcW w:w="1720" w:type="dxa"/>
            <w:vAlign w:val="bottom"/>
            <w:gridSpan w:val="4"/>
          </w:tcPr>
          <w:p>
            <w:pPr>
              <w:ind w:left="40"/>
              <w:spacing w:after="0"/>
              <w:rPr>
                <w:sz w:val="20"/>
                <w:szCs w:val="20"/>
                <w:color w:val="auto"/>
              </w:rPr>
            </w:pPr>
            <w:r>
              <w:rPr>
                <w:rFonts w:ascii="Times New Roman" w:cs="Times New Roman" w:eastAsia="Times New Roman" w:hAnsi="Times New Roman"/>
                <w:sz w:val="21"/>
                <w:szCs w:val="21"/>
                <w:color w:val="auto"/>
              </w:rPr>
              <w:t>Defaulting Lenders</w:t>
            </w:r>
          </w:p>
        </w:tc>
        <w:tc>
          <w:tcPr>
            <w:tcW w:w="58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76</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2"/>
        </w:trPr>
        <w:tc>
          <w:tcPr>
            <w:tcW w:w="110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ARTICLE 4</w:t>
            </w:r>
          </w:p>
        </w:tc>
        <w:tc>
          <w:tcPr>
            <w:tcW w:w="2960" w:type="dxa"/>
            <w:vAlign w:val="bottom"/>
            <w:gridSpan w:val="6"/>
          </w:tcPr>
          <w:p>
            <w:pPr>
              <w:ind w:left="180"/>
              <w:spacing w:after="0"/>
              <w:rPr>
                <w:sz w:val="20"/>
                <w:szCs w:val="20"/>
                <w:color w:val="auto"/>
              </w:rPr>
            </w:pPr>
            <w:r>
              <w:rPr>
                <w:rFonts w:ascii="Times New Roman" w:cs="Times New Roman" w:eastAsia="Times New Roman" w:hAnsi="Times New Roman"/>
                <w:sz w:val="21"/>
                <w:szCs w:val="21"/>
                <w:color w:val="auto"/>
              </w:rPr>
              <w:t>CONDITIONS PRECEDENT</w:t>
            </w:r>
          </w:p>
        </w:tc>
        <w:tc>
          <w:tcPr>
            <w:tcW w:w="1120" w:type="dxa"/>
            <w:vAlign w:val="bottom"/>
          </w:tcPr>
          <w:p>
            <w:pPr>
              <w:jc w:val="right"/>
              <w:ind w:right="773"/>
              <w:spacing w:after="0"/>
              <w:rPr>
                <w:sz w:val="20"/>
                <w:szCs w:val="20"/>
                <w:color w:val="auto"/>
              </w:rPr>
            </w:pPr>
            <w:r>
              <w:rPr>
                <w:rFonts w:ascii="Times New Roman" w:cs="Times New Roman" w:eastAsia="Times New Roman" w:hAnsi="Times New Roman"/>
                <w:sz w:val="21"/>
                <w:szCs w:val="21"/>
                <w:color w:val="auto"/>
              </w:rPr>
              <w:t>78</w:t>
            </w: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5"/>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4.1</w:t>
            </w:r>
          </w:p>
        </w:tc>
        <w:tc>
          <w:tcPr>
            <w:tcW w:w="8980" w:type="dxa"/>
            <w:vAlign w:val="bottom"/>
            <w:gridSpan w:val="9"/>
          </w:tcPr>
          <w:p>
            <w:pPr>
              <w:ind w:left="40"/>
              <w:spacing w:after="0"/>
              <w:rPr>
                <w:sz w:val="20"/>
                <w:szCs w:val="20"/>
                <w:color w:val="auto"/>
              </w:rPr>
            </w:pPr>
            <w:r>
              <w:rPr>
                <w:rFonts w:ascii="Times New Roman" w:cs="Times New Roman" w:eastAsia="Times New Roman" w:hAnsi="Times New Roman"/>
                <w:sz w:val="21"/>
                <w:szCs w:val="21"/>
                <w:color w:val="auto"/>
              </w:rPr>
              <w:t>Conditions Precedent to the Availability of Revolving Loans and Letter of Credit Accommodations  78</w:t>
            </w: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4.2</w:t>
            </w:r>
          </w:p>
        </w:tc>
        <w:tc>
          <w:tcPr>
            <w:tcW w:w="8060" w:type="dxa"/>
            <w:vAlign w:val="bottom"/>
            <w:gridSpan w:val="8"/>
          </w:tcPr>
          <w:p>
            <w:pPr>
              <w:ind w:left="40"/>
              <w:spacing w:after="0"/>
              <w:rPr>
                <w:sz w:val="20"/>
                <w:szCs w:val="20"/>
                <w:color w:val="auto"/>
              </w:rPr>
            </w:pPr>
            <w:r>
              <w:rPr>
                <w:rFonts w:ascii="Times New Roman" w:cs="Times New Roman" w:eastAsia="Times New Roman" w:hAnsi="Times New Roman"/>
                <w:sz w:val="21"/>
                <w:szCs w:val="21"/>
                <w:color w:val="auto"/>
              </w:rPr>
              <w:t>Conditions Precedent to the Availability of All Loans and Letter of Credit Accommodations</w:t>
            </w:r>
          </w:p>
        </w:tc>
        <w:tc>
          <w:tcPr>
            <w:tcW w:w="920" w:type="dxa"/>
            <w:vAlign w:val="bottom"/>
          </w:tcPr>
          <w:p>
            <w:pPr>
              <w:jc w:val="right"/>
              <w:ind w:right="513"/>
              <w:spacing w:after="0"/>
              <w:rPr>
                <w:sz w:val="20"/>
                <w:szCs w:val="20"/>
                <w:color w:val="auto"/>
              </w:rPr>
            </w:pPr>
            <w:r>
              <w:rPr>
                <w:rFonts w:ascii="Times New Roman" w:cs="Times New Roman" w:eastAsia="Times New Roman" w:hAnsi="Times New Roman"/>
                <w:sz w:val="21"/>
                <w:szCs w:val="21"/>
                <w:color w:val="auto"/>
              </w:rPr>
              <w:t>80</w:t>
            </w:r>
          </w:p>
        </w:tc>
      </w:tr>
      <w:tr>
        <w:trPr>
          <w:trHeight w:val="362"/>
        </w:trPr>
        <w:tc>
          <w:tcPr>
            <w:tcW w:w="110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9"/>
              </w:rPr>
              <w:t>ARTICLE 5</w:t>
            </w:r>
          </w:p>
        </w:tc>
        <w:tc>
          <w:tcPr>
            <w:tcW w:w="4080" w:type="dxa"/>
            <w:vAlign w:val="bottom"/>
            <w:gridSpan w:val="7"/>
          </w:tcPr>
          <w:p>
            <w:pPr>
              <w:ind w:left="180"/>
              <w:spacing w:after="0"/>
              <w:rPr>
                <w:sz w:val="20"/>
                <w:szCs w:val="20"/>
                <w:color w:val="auto"/>
              </w:rPr>
            </w:pPr>
            <w:r>
              <w:rPr>
                <w:rFonts w:ascii="Times New Roman" w:cs="Times New Roman" w:eastAsia="Times New Roman" w:hAnsi="Times New Roman"/>
                <w:sz w:val="21"/>
                <w:szCs w:val="21"/>
                <w:color w:val="auto"/>
              </w:rPr>
              <w:t>COLLECTION AND ADMINISTRATION</w:t>
            </w:r>
          </w:p>
        </w:tc>
        <w:tc>
          <w:tcPr>
            <w:tcW w:w="3980" w:type="dxa"/>
            <w:vAlign w:val="bottom"/>
          </w:tcPr>
          <w:p>
            <w:pPr>
              <w:jc w:val="right"/>
              <w:ind w:right="3593"/>
              <w:spacing w:after="0"/>
              <w:rPr>
                <w:sz w:val="20"/>
                <w:szCs w:val="20"/>
                <w:color w:val="auto"/>
              </w:rPr>
            </w:pPr>
            <w:r>
              <w:rPr>
                <w:rFonts w:ascii="Times New Roman" w:cs="Times New Roman" w:eastAsia="Times New Roman" w:hAnsi="Times New Roman"/>
                <w:sz w:val="21"/>
                <w:szCs w:val="21"/>
                <w:color w:val="auto"/>
              </w:rPr>
              <w:t>81</w:t>
            </w:r>
          </w:p>
        </w:tc>
        <w:tc>
          <w:tcPr>
            <w:tcW w:w="920" w:type="dxa"/>
            <w:vAlign w:val="bottom"/>
          </w:tcPr>
          <w:p>
            <w:pPr>
              <w:spacing w:after="0"/>
              <w:rPr>
                <w:sz w:val="24"/>
                <w:szCs w:val="24"/>
                <w:color w:val="auto"/>
              </w:rPr>
            </w:pP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5.1</w:t>
            </w:r>
          </w:p>
        </w:tc>
        <w:tc>
          <w:tcPr>
            <w:tcW w:w="2300" w:type="dxa"/>
            <w:vAlign w:val="bottom"/>
            <w:gridSpan w:val="5"/>
          </w:tcPr>
          <w:p>
            <w:pPr>
              <w:ind w:left="40"/>
              <w:spacing w:after="0"/>
              <w:rPr>
                <w:sz w:val="20"/>
                <w:szCs w:val="20"/>
                <w:color w:val="auto"/>
              </w:rPr>
            </w:pPr>
            <w:r>
              <w:rPr>
                <w:rFonts w:ascii="Times New Roman" w:cs="Times New Roman" w:eastAsia="Times New Roman" w:hAnsi="Times New Roman"/>
                <w:sz w:val="21"/>
                <w:szCs w:val="21"/>
                <w:color w:val="auto"/>
              </w:rPr>
              <w:t>Borrower’s Loan Account</w:t>
            </w: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21"/>
                <w:szCs w:val="21"/>
                <w:color w:val="auto"/>
              </w:rPr>
              <w:t>81</w:t>
            </w: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5.2</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Statements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82</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5"/>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5.3</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Payments</w:t>
            </w:r>
          </w:p>
        </w:tc>
        <w:tc>
          <w:tcPr>
            <w:tcW w:w="420" w:type="dxa"/>
            <w:vAlign w:val="bottom"/>
          </w:tcPr>
          <w:p>
            <w:pPr>
              <w:jc w:val="right"/>
              <w:ind w:right="33"/>
              <w:spacing w:after="0"/>
              <w:rPr>
                <w:sz w:val="20"/>
                <w:szCs w:val="20"/>
                <w:color w:val="auto"/>
              </w:rPr>
            </w:pPr>
            <w:r>
              <w:rPr>
                <w:rFonts w:ascii="Times New Roman" w:cs="Times New Roman" w:eastAsia="Times New Roman" w:hAnsi="Times New Roman"/>
                <w:sz w:val="21"/>
                <w:szCs w:val="21"/>
                <w:color w:val="auto"/>
              </w:rPr>
              <w:t>82</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5.4</w:t>
            </w:r>
          </w:p>
        </w:tc>
        <w:tc>
          <w:tcPr>
            <w:tcW w:w="8060" w:type="dxa"/>
            <w:vAlign w:val="bottom"/>
            <w:gridSpan w:val="8"/>
          </w:tcPr>
          <w:p>
            <w:pPr>
              <w:ind w:left="20"/>
              <w:spacing w:after="0"/>
              <w:rPr>
                <w:sz w:val="20"/>
                <w:szCs w:val="20"/>
                <w:color w:val="auto"/>
              </w:rPr>
            </w:pPr>
            <w:r>
              <w:rPr>
                <w:rFonts w:ascii="Times New Roman" w:cs="Times New Roman" w:eastAsia="Times New Roman" w:hAnsi="Times New Roman"/>
                <w:sz w:val="21"/>
                <w:szCs w:val="21"/>
                <w:color w:val="auto"/>
              </w:rPr>
              <w:t>Authorization to Make Loans and Letter of Credit Accommodations  83</w:t>
            </w:r>
          </w:p>
        </w:tc>
        <w:tc>
          <w:tcPr>
            <w:tcW w:w="920" w:type="dxa"/>
            <w:vAlign w:val="bottom"/>
          </w:tcPr>
          <w:p>
            <w:pPr>
              <w:spacing w:after="0"/>
              <w:rPr>
                <w:sz w:val="24"/>
                <w:szCs w:val="24"/>
                <w:color w:val="auto"/>
              </w:rPr>
            </w:pP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5.5</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Use of Proceeds</w:t>
            </w:r>
          </w:p>
        </w:tc>
        <w:tc>
          <w:tcPr>
            <w:tcW w:w="860" w:type="dxa"/>
            <w:vAlign w:val="bottom"/>
            <w:gridSpan w:val="2"/>
          </w:tcPr>
          <w:p>
            <w:pPr>
              <w:jc w:val="right"/>
              <w:ind w:right="333"/>
              <w:spacing w:after="0"/>
              <w:rPr>
                <w:sz w:val="20"/>
                <w:szCs w:val="20"/>
                <w:color w:val="auto"/>
              </w:rPr>
            </w:pPr>
            <w:r>
              <w:rPr>
                <w:rFonts w:ascii="Times New Roman" w:cs="Times New Roman" w:eastAsia="Times New Roman" w:hAnsi="Times New Roman"/>
                <w:sz w:val="21"/>
                <w:szCs w:val="21"/>
                <w:color w:val="auto"/>
              </w:rPr>
              <w:t>84</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5.6</w:t>
            </w:r>
          </w:p>
        </w:tc>
        <w:tc>
          <w:tcPr>
            <w:tcW w:w="1720" w:type="dxa"/>
            <w:vAlign w:val="bottom"/>
            <w:gridSpan w:val="4"/>
          </w:tcPr>
          <w:p>
            <w:pPr>
              <w:ind w:left="40"/>
              <w:spacing w:after="0"/>
              <w:rPr>
                <w:sz w:val="20"/>
                <w:szCs w:val="20"/>
                <w:color w:val="auto"/>
              </w:rPr>
            </w:pPr>
            <w:r>
              <w:rPr>
                <w:rFonts w:ascii="Times New Roman" w:cs="Times New Roman" w:eastAsia="Times New Roman" w:hAnsi="Times New Roman"/>
                <w:sz w:val="21"/>
                <w:szCs w:val="21"/>
                <w:color w:val="auto"/>
              </w:rPr>
              <w:t>Pro Rata Treatment</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21"/>
                <w:szCs w:val="21"/>
                <w:color w:val="auto"/>
              </w:rPr>
              <w:t>84</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2"/>
        </w:trPr>
        <w:tc>
          <w:tcPr>
            <w:tcW w:w="110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5.7</w:t>
            </w:r>
          </w:p>
        </w:tc>
        <w:tc>
          <w:tcPr>
            <w:tcW w:w="8060" w:type="dxa"/>
            <w:vAlign w:val="bottom"/>
            <w:gridSpan w:val="8"/>
          </w:tcPr>
          <w:p>
            <w:pPr>
              <w:ind w:left="40"/>
              <w:spacing w:after="0"/>
              <w:rPr>
                <w:sz w:val="20"/>
                <w:szCs w:val="20"/>
                <w:color w:val="auto"/>
              </w:rPr>
            </w:pPr>
            <w:r>
              <w:rPr>
                <w:rFonts w:ascii="Times New Roman" w:cs="Times New Roman" w:eastAsia="Times New Roman" w:hAnsi="Times New Roman"/>
                <w:sz w:val="21"/>
                <w:szCs w:val="21"/>
                <w:color w:val="auto"/>
              </w:rPr>
              <w:t>Obligations Several; Independent Nature of Lenders’ Rights  84</w:t>
            </w:r>
          </w:p>
        </w:tc>
        <w:tc>
          <w:tcPr>
            <w:tcW w:w="9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0139"/>
          </w:cols>
          <w:pgMar w:left="320" w:top="1409" w:right="1440"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79"/>
        </w:trPr>
        <w:tc>
          <w:tcPr>
            <w:tcW w:w="1100" w:type="dxa"/>
            <w:vAlign w:val="bottom"/>
          </w:tcPr>
          <w:p>
            <w:pPr>
              <w:spacing w:after="0"/>
              <w:rPr>
                <w:sz w:val="20"/>
                <w:szCs w:val="20"/>
                <w:color w:val="auto"/>
              </w:rPr>
            </w:pPr>
            <w:r>
              <w:rPr>
                <w:rFonts w:ascii="Times New Roman" w:cs="Times New Roman" w:eastAsia="Times New Roman" w:hAnsi="Times New Roman"/>
                <w:sz w:val="21"/>
                <w:szCs w:val="21"/>
                <w:color w:val="auto"/>
              </w:rPr>
              <w:t>ARTICLE 6</w:t>
            </w:r>
          </w:p>
        </w:tc>
        <w:tc>
          <w:tcPr>
            <w:tcW w:w="4080" w:type="dxa"/>
            <w:vAlign w:val="bottom"/>
            <w:gridSpan w:val="6"/>
          </w:tcPr>
          <w:p>
            <w:pPr>
              <w:ind w:left="180"/>
              <w:spacing w:after="0"/>
              <w:rPr>
                <w:sz w:val="20"/>
                <w:szCs w:val="20"/>
                <w:color w:val="auto"/>
              </w:rPr>
            </w:pPr>
            <w:r>
              <w:rPr>
                <w:rFonts w:ascii="Times New Roman" w:cs="Times New Roman" w:eastAsia="Times New Roman" w:hAnsi="Times New Roman"/>
                <w:sz w:val="21"/>
                <w:szCs w:val="21"/>
                <w:color w:val="auto"/>
                <w:w w:val="99"/>
              </w:rPr>
              <w:t>REPRESENTATIONS AND WARRANTIES</w:t>
            </w:r>
          </w:p>
        </w:tc>
        <w:tc>
          <w:tcPr>
            <w:tcW w:w="2040" w:type="dxa"/>
            <w:vAlign w:val="bottom"/>
          </w:tcPr>
          <w:p>
            <w:pPr>
              <w:jc w:val="right"/>
              <w:ind w:right="1513"/>
              <w:spacing w:after="0"/>
              <w:rPr>
                <w:sz w:val="20"/>
                <w:szCs w:val="20"/>
                <w:color w:val="auto"/>
              </w:rPr>
            </w:pPr>
            <w:r>
              <w:rPr>
                <w:rFonts w:ascii="Times New Roman" w:cs="Times New Roman" w:eastAsia="Times New Roman" w:hAnsi="Times New Roman"/>
                <w:sz w:val="21"/>
                <w:szCs w:val="21"/>
                <w:color w:val="auto"/>
              </w:rPr>
              <w:t>84</w:t>
            </w: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6.1</w:t>
            </w:r>
          </w:p>
        </w:tc>
        <w:tc>
          <w:tcPr>
            <w:tcW w:w="6120" w:type="dxa"/>
            <w:vAlign w:val="bottom"/>
            <w:gridSpan w:val="7"/>
          </w:tcPr>
          <w:p>
            <w:pPr>
              <w:ind w:left="40"/>
              <w:spacing w:after="0"/>
              <w:rPr>
                <w:sz w:val="20"/>
                <w:szCs w:val="20"/>
                <w:color w:val="auto"/>
              </w:rPr>
            </w:pPr>
            <w:r>
              <w:rPr>
                <w:rFonts w:ascii="Times New Roman" w:cs="Times New Roman" w:eastAsia="Times New Roman" w:hAnsi="Times New Roman"/>
                <w:sz w:val="21"/>
                <w:szCs w:val="21"/>
                <w:color w:val="auto"/>
              </w:rPr>
              <w:t>Existence, Power and Authority; Subsidiaries; Solvency  84</w:t>
            </w: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6.2</w:t>
            </w:r>
          </w:p>
        </w:tc>
        <w:tc>
          <w:tcPr>
            <w:tcW w:w="6120" w:type="dxa"/>
            <w:vAlign w:val="bottom"/>
            <w:gridSpan w:val="7"/>
          </w:tcPr>
          <w:p>
            <w:pPr>
              <w:ind w:left="40"/>
              <w:spacing w:after="0"/>
              <w:rPr>
                <w:sz w:val="20"/>
                <w:szCs w:val="20"/>
                <w:color w:val="auto"/>
              </w:rPr>
            </w:pPr>
            <w:r>
              <w:rPr>
                <w:rFonts w:ascii="Times New Roman" w:cs="Times New Roman" w:eastAsia="Times New Roman" w:hAnsi="Times New Roman"/>
                <w:sz w:val="21"/>
                <w:szCs w:val="21"/>
                <w:color w:val="auto"/>
              </w:rPr>
              <w:t>Financial Statements; No Material Adverse Change  85</w:t>
            </w:r>
          </w:p>
        </w:tc>
      </w:tr>
      <w:tr>
        <w:trPr>
          <w:trHeight w:val="375"/>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6.3</w:t>
            </w:r>
          </w:p>
        </w:tc>
        <w:tc>
          <w:tcPr>
            <w:tcW w:w="4080" w:type="dxa"/>
            <w:vAlign w:val="bottom"/>
            <w:gridSpan w:val="6"/>
          </w:tcPr>
          <w:p>
            <w:pPr>
              <w:ind w:left="40"/>
              <w:spacing w:after="0"/>
              <w:rPr>
                <w:sz w:val="20"/>
                <w:szCs w:val="20"/>
                <w:color w:val="auto"/>
              </w:rPr>
            </w:pPr>
            <w:r>
              <w:rPr>
                <w:rFonts w:ascii="Times New Roman" w:cs="Times New Roman" w:eastAsia="Times New Roman" w:hAnsi="Times New Roman"/>
                <w:sz w:val="21"/>
                <w:szCs w:val="21"/>
                <w:color w:val="auto"/>
              </w:rPr>
              <w:t>Chief Executive Office; Collateral Locations</w:t>
            </w:r>
          </w:p>
        </w:tc>
        <w:tc>
          <w:tcPr>
            <w:tcW w:w="2040" w:type="dxa"/>
            <w:vAlign w:val="bottom"/>
          </w:tcPr>
          <w:p>
            <w:pPr>
              <w:jc w:val="right"/>
              <w:ind w:right="1713"/>
              <w:spacing w:after="0"/>
              <w:rPr>
                <w:sz w:val="20"/>
                <w:szCs w:val="20"/>
                <w:color w:val="auto"/>
              </w:rPr>
            </w:pPr>
            <w:r>
              <w:rPr>
                <w:rFonts w:ascii="Times New Roman" w:cs="Times New Roman" w:eastAsia="Times New Roman" w:hAnsi="Times New Roman"/>
                <w:sz w:val="21"/>
                <w:szCs w:val="21"/>
                <w:color w:val="auto"/>
                <w:w w:val="95"/>
              </w:rPr>
              <w:t>85</w:t>
            </w: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6.4</w:t>
            </w:r>
          </w:p>
        </w:tc>
        <w:tc>
          <w:tcPr>
            <w:tcW w:w="6120" w:type="dxa"/>
            <w:vAlign w:val="bottom"/>
            <w:gridSpan w:val="7"/>
          </w:tcPr>
          <w:p>
            <w:pPr>
              <w:ind w:left="40"/>
              <w:spacing w:after="0"/>
              <w:rPr>
                <w:sz w:val="20"/>
                <w:szCs w:val="20"/>
                <w:color w:val="auto"/>
              </w:rPr>
            </w:pPr>
            <w:r>
              <w:rPr>
                <w:rFonts w:ascii="Times New Roman" w:cs="Times New Roman" w:eastAsia="Times New Roman" w:hAnsi="Times New Roman"/>
                <w:sz w:val="21"/>
                <w:szCs w:val="21"/>
                <w:color w:val="auto"/>
              </w:rPr>
              <w:t>Priority of Liens; Title to Properties; Intellectual Property Matters  85</w:t>
            </w: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6.5</w:t>
            </w:r>
          </w:p>
        </w:tc>
        <w:tc>
          <w:tcPr>
            <w:tcW w:w="10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Tax Returns</w:t>
            </w: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21"/>
                <w:szCs w:val="21"/>
                <w:color w:val="auto"/>
              </w:rPr>
              <w:t>86</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6.6</w:t>
            </w:r>
          </w:p>
        </w:tc>
        <w:tc>
          <w:tcPr>
            <w:tcW w:w="10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Litigation</w:t>
            </w:r>
          </w:p>
        </w:tc>
        <w:tc>
          <w:tcPr>
            <w:tcW w:w="960" w:type="dxa"/>
            <w:vAlign w:val="bottom"/>
          </w:tcPr>
          <w:p>
            <w:pPr>
              <w:jc w:val="right"/>
              <w:ind w:right="633"/>
              <w:spacing w:after="0"/>
              <w:rPr>
                <w:sz w:val="20"/>
                <w:szCs w:val="20"/>
                <w:color w:val="auto"/>
              </w:rPr>
            </w:pPr>
            <w:r>
              <w:rPr>
                <w:rFonts w:ascii="Times New Roman" w:cs="Times New Roman" w:eastAsia="Times New Roman" w:hAnsi="Times New Roman"/>
                <w:sz w:val="21"/>
                <w:szCs w:val="21"/>
                <w:color w:val="auto"/>
                <w:w w:val="95"/>
              </w:rPr>
              <w:t>86</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6.7</w:t>
            </w:r>
          </w:p>
        </w:tc>
        <w:tc>
          <w:tcPr>
            <w:tcW w:w="4080" w:type="dxa"/>
            <w:vAlign w:val="bottom"/>
            <w:gridSpan w:val="6"/>
          </w:tcPr>
          <w:p>
            <w:pPr>
              <w:ind w:left="40"/>
              <w:spacing w:after="0"/>
              <w:rPr>
                <w:sz w:val="20"/>
                <w:szCs w:val="20"/>
                <w:color w:val="auto"/>
              </w:rPr>
            </w:pPr>
            <w:r>
              <w:rPr>
                <w:rFonts w:ascii="Times New Roman" w:cs="Times New Roman" w:eastAsia="Times New Roman" w:hAnsi="Times New Roman"/>
                <w:sz w:val="21"/>
                <w:szCs w:val="21"/>
                <w:color w:val="auto"/>
              </w:rPr>
              <w:t>Compliance with Applicable Laws; Approvals</w:t>
            </w:r>
          </w:p>
        </w:tc>
        <w:tc>
          <w:tcPr>
            <w:tcW w:w="2040" w:type="dxa"/>
            <w:vAlign w:val="bottom"/>
          </w:tcPr>
          <w:p>
            <w:pPr>
              <w:jc w:val="right"/>
              <w:ind w:right="1553"/>
              <w:spacing w:after="0"/>
              <w:rPr>
                <w:sz w:val="20"/>
                <w:szCs w:val="20"/>
                <w:color w:val="auto"/>
              </w:rPr>
            </w:pPr>
            <w:r>
              <w:rPr>
                <w:rFonts w:ascii="Times New Roman" w:cs="Times New Roman" w:eastAsia="Times New Roman" w:hAnsi="Times New Roman"/>
                <w:sz w:val="21"/>
                <w:szCs w:val="21"/>
                <w:color w:val="auto"/>
              </w:rPr>
              <w:t>87</w:t>
            </w:r>
          </w:p>
        </w:tc>
      </w:tr>
      <w:tr>
        <w:trPr>
          <w:trHeight w:val="375"/>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6.8</w:t>
            </w:r>
          </w:p>
        </w:tc>
        <w:tc>
          <w:tcPr>
            <w:tcW w:w="10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[Reserved]</w:t>
            </w:r>
          </w:p>
        </w:tc>
        <w:tc>
          <w:tcPr>
            <w:tcW w:w="960" w:type="dxa"/>
            <w:vAlign w:val="bottom"/>
          </w:tcPr>
          <w:p>
            <w:pPr>
              <w:jc w:val="right"/>
              <w:ind w:right="533"/>
              <w:spacing w:after="0"/>
              <w:rPr>
                <w:sz w:val="20"/>
                <w:szCs w:val="20"/>
                <w:color w:val="auto"/>
              </w:rPr>
            </w:pPr>
            <w:r>
              <w:rPr>
                <w:rFonts w:ascii="Times New Roman" w:cs="Times New Roman" w:eastAsia="Times New Roman" w:hAnsi="Times New Roman"/>
                <w:sz w:val="21"/>
                <w:szCs w:val="21"/>
                <w:color w:val="auto"/>
              </w:rPr>
              <w:t>87</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6.9</w:t>
            </w:r>
          </w:p>
        </w:tc>
        <w:tc>
          <w:tcPr>
            <w:tcW w:w="2700" w:type="dxa"/>
            <w:vAlign w:val="bottom"/>
            <w:gridSpan w:val="4"/>
          </w:tcPr>
          <w:p>
            <w:pPr>
              <w:ind w:left="20"/>
              <w:spacing w:after="0"/>
              <w:rPr>
                <w:sz w:val="20"/>
                <w:szCs w:val="20"/>
                <w:color w:val="auto"/>
              </w:rPr>
            </w:pPr>
            <w:r>
              <w:rPr>
                <w:rFonts w:ascii="Times New Roman" w:cs="Times New Roman" w:eastAsia="Times New Roman" w:hAnsi="Times New Roman"/>
                <w:sz w:val="21"/>
                <w:szCs w:val="21"/>
                <w:color w:val="auto"/>
              </w:rPr>
              <w:t>Accuracy of Information  87</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6.10</w:t>
            </w:r>
          </w:p>
        </w:tc>
        <w:tc>
          <w:tcPr>
            <w:tcW w:w="3380" w:type="dxa"/>
            <w:vAlign w:val="bottom"/>
            <w:gridSpan w:val="5"/>
          </w:tcPr>
          <w:p>
            <w:pPr>
              <w:ind w:left="140"/>
              <w:spacing w:after="0"/>
              <w:rPr>
                <w:sz w:val="20"/>
                <w:szCs w:val="20"/>
                <w:color w:val="auto"/>
              </w:rPr>
            </w:pPr>
            <w:r>
              <w:rPr>
                <w:rFonts w:ascii="Times New Roman" w:cs="Times New Roman" w:eastAsia="Times New Roman" w:hAnsi="Times New Roman"/>
                <w:sz w:val="21"/>
                <w:szCs w:val="21"/>
                <w:color w:val="auto"/>
              </w:rPr>
              <w:t>Status of Pension Plans and ERISA</w:t>
            </w:r>
          </w:p>
        </w:tc>
        <w:tc>
          <w:tcPr>
            <w:tcW w:w="700" w:type="dxa"/>
            <w:vAlign w:val="bottom"/>
          </w:tcPr>
          <w:p>
            <w:pPr>
              <w:jc w:val="right"/>
              <w:ind w:right="373"/>
              <w:spacing w:after="0"/>
              <w:rPr>
                <w:sz w:val="20"/>
                <w:szCs w:val="20"/>
                <w:color w:val="auto"/>
              </w:rPr>
            </w:pPr>
            <w:r>
              <w:rPr>
                <w:rFonts w:ascii="Times New Roman" w:cs="Times New Roman" w:eastAsia="Times New Roman" w:hAnsi="Times New Roman"/>
                <w:sz w:val="21"/>
                <w:szCs w:val="21"/>
                <w:color w:val="auto"/>
                <w:w w:val="95"/>
              </w:rPr>
              <w:t>87</w:t>
            </w: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6.11</w:t>
            </w:r>
          </w:p>
        </w:tc>
        <w:tc>
          <w:tcPr>
            <w:tcW w:w="2700" w:type="dxa"/>
            <w:vAlign w:val="bottom"/>
            <w:gridSpan w:val="4"/>
          </w:tcPr>
          <w:p>
            <w:pPr>
              <w:ind w:left="140"/>
              <w:spacing w:after="0"/>
              <w:rPr>
                <w:sz w:val="20"/>
                <w:szCs w:val="20"/>
                <w:color w:val="auto"/>
              </w:rPr>
            </w:pPr>
            <w:r>
              <w:rPr>
                <w:rFonts w:ascii="Times New Roman" w:cs="Times New Roman" w:eastAsia="Times New Roman" w:hAnsi="Times New Roman"/>
                <w:sz w:val="21"/>
                <w:szCs w:val="21"/>
                <w:color w:val="auto"/>
              </w:rPr>
              <w:t>Environmental Compliance</w:t>
            </w:r>
          </w:p>
        </w:tc>
        <w:tc>
          <w:tcPr>
            <w:tcW w:w="680" w:type="dxa"/>
            <w:vAlign w:val="bottom"/>
          </w:tcPr>
          <w:p>
            <w:pPr>
              <w:jc w:val="right"/>
              <w:ind w:right="353"/>
              <w:spacing w:after="0"/>
              <w:rPr>
                <w:sz w:val="20"/>
                <w:szCs w:val="20"/>
                <w:color w:val="auto"/>
              </w:rPr>
            </w:pPr>
            <w:r>
              <w:rPr>
                <w:rFonts w:ascii="Times New Roman" w:cs="Times New Roman" w:eastAsia="Times New Roman" w:hAnsi="Times New Roman"/>
                <w:sz w:val="21"/>
                <w:szCs w:val="21"/>
                <w:color w:val="auto"/>
                <w:w w:val="95"/>
              </w:rPr>
              <w:t>89</w:t>
            </w: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6.12</w:t>
            </w: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rPr>
              <w:t>Specific Legislation</w:t>
            </w:r>
          </w:p>
        </w:tc>
        <w:tc>
          <w:tcPr>
            <w:tcW w:w="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90</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6.13</w:t>
            </w: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rPr>
              <w:t>Material Subsidiaries</w:t>
            </w:r>
          </w:p>
        </w:tc>
        <w:tc>
          <w:tcPr>
            <w:tcW w:w="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75"/>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6.14</w:t>
            </w: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rPr>
              <w:t>Employee Relations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6.15</w:t>
            </w:r>
          </w:p>
        </w:tc>
        <w:tc>
          <w:tcPr>
            <w:tcW w:w="1080" w:type="dxa"/>
            <w:vAlign w:val="bottom"/>
          </w:tcPr>
          <w:p>
            <w:pPr>
              <w:ind w:left="140"/>
              <w:spacing w:after="0"/>
              <w:rPr>
                <w:sz w:val="20"/>
                <w:szCs w:val="20"/>
                <w:color w:val="auto"/>
              </w:rPr>
            </w:pPr>
            <w:r>
              <w:rPr>
                <w:rFonts w:ascii="Times New Roman" w:cs="Times New Roman" w:eastAsia="Times New Roman" w:hAnsi="Times New Roman"/>
                <w:sz w:val="21"/>
                <w:szCs w:val="21"/>
                <w:color w:val="auto"/>
                <w:w w:val="99"/>
              </w:rPr>
              <w:t>[Reserved]</w:t>
            </w:r>
          </w:p>
        </w:tc>
        <w:tc>
          <w:tcPr>
            <w:tcW w:w="960" w:type="dxa"/>
            <w:vAlign w:val="bottom"/>
          </w:tcPr>
          <w:p>
            <w:pPr>
              <w:jc w:val="right"/>
              <w:ind w:right="413"/>
              <w:spacing w:after="0"/>
              <w:rPr>
                <w:sz w:val="20"/>
                <w:szCs w:val="20"/>
                <w:color w:val="auto"/>
              </w:rPr>
            </w:pPr>
            <w:r>
              <w:rPr>
                <w:rFonts w:ascii="Times New Roman" w:cs="Times New Roman" w:eastAsia="Times New Roman" w:hAnsi="Times New Roman"/>
                <w:sz w:val="21"/>
                <w:szCs w:val="21"/>
                <w:color w:val="auto"/>
              </w:rPr>
              <w:t>91</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6.16</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Absence of Defaults</w:t>
            </w:r>
          </w:p>
        </w:tc>
        <w:tc>
          <w:tcPr>
            <w:tcW w:w="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91</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6.17</w:t>
            </w:r>
          </w:p>
        </w:tc>
        <w:tc>
          <w:tcPr>
            <w:tcW w:w="2700" w:type="dxa"/>
            <w:vAlign w:val="bottom"/>
            <w:gridSpan w:val="4"/>
          </w:tcPr>
          <w:p>
            <w:pPr>
              <w:ind w:left="200"/>
              <w:spacing w:after="0"/>
              <w:rPr>
                <w:sz w:val="20"/>
                <w:szCs w:val="20"/>
                <w:color w:val="auto"/>
              </w:rPr>
            </w:pPr>
            <w:r>
              <w:rPr>
                <w:rFonts w:ascii="Times New Roman" w:cs="Times New Roman" w:eastAsia="Times New Roman" w:hAnsi="Times New Roman"/>
                <w:sz w:val="21"/>
                <w:szCs w:val="21"/>
                <w:color w:val="auto"/>
              </w:rPr>
              <w:t>Senior Indebtedness Status</w:t>
            </w:r>
          </w:p>
        </w:tc>
        <w:tc>
          <w:tcPr>
            <w:tcW w:w="680" w:type="dxa"/>
            <w:vAlign w:val="bottom"/>
          </w:tcPr>
          <w:p>
            <w:pPr>
              <w:jc w:val="right"/>
              <w:ind w:right="333"/>
              <w:spacing w:after="0"/>
              <w:rPr>
                <w:sz w:val="20"/>
                <w:szCs w:val="20"/>
                <w:color w:val="auto"/>
              </w:rPr>
            </w:pPr>
            <w:r>
              <w:rPr>
                <w:rFonts w:ascii="Times New Roman" w:cs="Times New Roman" w:eastAsia="Times New Roman" w:hAnsi="Times New Roman"/>
                <w:sz w:val="21"/>
                <w:szCs w:val="21"/>
                <w:color w:val="auto"/>
              </w:rPr>
              <w:t>92</w:t>
            </w: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6.18</w:t>
            </w:r>
          </w:p>
        </w:tc>
        <w:tc>
          <w:tcPr>
            <w:tcW w:w="2400" w:type="dxa"/>
            <w:vAlign w:val="bottom"/>
            <w:gridSpan w:val="3"/>
          </w:tcPr>
          <w:p>
            <w:pPr>
              <w:ind w:left="140"/>
              <w:spacing w:after="0"/>
              <w:rPr>
                <w:sz w:val="20"/>
                <w:szCs w:val="20"/>
                <w:color w:val="auto"/>
              </w:rPr>
            </w:pPr>
            <w:r>
              <w:rPr>
                <w:rFonts w:ascii="Times New Roman" w:cs="Times New Roman" w:eastAsia="Times New Roman" w:hAnsi="Times New Roman"/>
                <w:sz w:val="21"/>
                <w:szCs w:val="21"/>
                <w:color w:val="auto"/>
              </w:rPr>
              <w:t>Flood Hazard Insurance</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75"/>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6.19</w:t>
            </w:r>
          </w:p>
        </w:tc>
        <w:tc>
          <w:tcPr>
            <w:tcW w:w="3380" w:type="dxa"/>
            <w:vAlign w:val="bottom"/>
            <w:gridSpan w:val="5"/>
          </w:tcPr>
          <w:p>
            <w:pPr>
              <w:ind w:left="140"/>
              <w:spacing w:after="0"/>
              <w:rPr>
                <w:sz w:val="20"/>
                <w:szCs w:val="20"/>
                <w:color w:val="auto"/>
              </w:rPr>
            </w:pPr>
            <w:r>
              <w:rPr>
                <w:rFonts w:ascii="Times New Roman" w:cs="Times New Roman" w:eastAsia="Times New Roman" w:hAnsi="Times New Roman"/>
                <w:sz w:val="21"/>
                <w:szCs w:val="21"/>
                <w:color w:val="auto"/>
              </w:rPr>
              <w:t>Survival of Warranties; Cumulative</w:t>
            </w:r>
          </w:p>
        </w:tc>
        <w:tc>
          <w:tcPr>
            <w:tcW w:w="700" w:type="dxa"/>
            <w:vAlign w:val="bottom"/>
          </w:tcPr>
          <w:p>
            <w:pPr>
              <w:jc w:val="right"/>
              <w:ind w:right="353"/>
              <w:spacing w:after="0"/>
              <w:rPr>
                <w:sz w:val="20"/>
                <w:szCs w:val="20"/>
                <w:color w:val="auto"/>
              </w:rPr>
            </w:pPr>
            <w:r>
              <w:rPr>
                <w:rFonts w:ascii="Times New Roman" w:cs="Times New Roman" w:eastAsia="Times New Roman" w:hAnsi="Times New Roman"/>
                <w:sz w:val="21"/>
                <w:szCs w:val="21"/>
                <w:color w:val="auto"/>
              </w:rPr>
              <w:t>92</w:t>
            </w:r>
          </w:p>
        </w:tc>
        <w:tc>
          <w:tcPr>
            <w:tcW w:w="2040" w:type="dxa"/>
            <w:vAlign w:val="bottom"/>
          </w:tcPr>
          <w:p>
            <w:pPr>
              <w:spacing w:after="0"/>
              <w:rPr>
                <w:sz w:val="24"/>
                <w:szCs w:val="24"/>
                <w:color w:val="auto"/>
              </w:rPr>
            </w:pPr>
          </w:p>
        </w:tc>
      </w:tr>
      <w:tr>
        <w:trPr>
          <w:trHeight w:val="362"/>
        </w:trPr>
        <w:tc>
          <w:tcPr>
            <w:tcW w:w="1100" w:type="dxa"/>
            <w:vAlign w:val="bottom"/>
          </w:tcPr>
          <w:p>
            <w:pPr>
              <w:spacing w:after="0"/>
              <w:rPr>
                <w:sz w:val="20"/>
                <w:szCs w:val="20"/>
                <w:color w:val="auto"/>
              </w:rPr>
            </w:pPr>
            <w:r>
              <w:rPr>
                <w:rFonts w:ascii="Times New Roman" w:cs="Times New Roman" w:eastAsia="Times New Roman" w:hAnsi="Times New Roman"/>
                <w:sz w:val="21"/>
                <w:szCs w:val="21"/>
                <w:color w:val="auto"/>
              </w:rPr>
              <w:t>ARTICLE 7</w:t>
            </w:r>
          </w:p>
        </w:tc>
        <w:tc>
          <w:tcPr>
            <w:tcW w:w="3380" w:type="dxa"/>
            <w:vAlign w:val="bottom"/>
            <w:gridSpan w:val="5"/>
          </w:tcPr>
          <w:p>
            <w:pPr>
              <w:ind w:left="160"/>
              <w:spacing w:after="0"/>
              <w:rPr>
                <w:sz w:val="20"/>
                <w:szCs w:val="20"/>
                <w:color w:val="auto"/>
              </w:rPr>
            </w:pPr>
            <w:r>
              <w:rPr>
                <w:rFonts w:ascii="Times New Roman" w:cs="Times New Roman" w:eastAsia="Times New Roman" w:hAnsi="Times New Roman"/>
                <w:sz w:val="21"/>
                <w:szCs w:val="21"/>
                <w:color w:val="auto"/>
              </w:rPr>
              <w:t>AFFIRMATIVE COVENANTS  92</w:t>
            </w: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7.1</w:t>
            </w:r>
          </w:p>
        </w:tc>
        <w:tc>
          <w:tcPr>
            <w:tcW w:w="240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Maintenance of Existence</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92</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7.2</w:t>
            </w:r>
          </w:p>
        </w:tc>
        <w:tc>
          <w:tcPr>
            <w:tcW w:w="240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New Collateral Locations</w:t>
            </w:r>
          </w:p>
        </w:tc>
        <w:tc>
          <w:tcPr>
            <w:tcW w:w="3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93</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7.3</w:t>
            </w: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Compliance with Laws</w:t>
            </w:r>
          </w:p>
        </w:tc>
        <w:tc>
          <w:tcPr>
            <w:tcW w:w="660" w:type="dxa"/>
            <w:vAlign w:val="bottom"/>
            <w:gridSpan w:val="2"/>
          </w:tcPr>
          <w:p>
            <w:pPr>
              <w:jc w:val="right"/>
              <w:ind w:right="133"/>
              <w:spacing w:after="0"/>
              <w:rPr>
                <w:sz w:val="20"/>
                <w:szCs w:val="20"/>
                <w:color w:val="auto"/>
              </w:rPr>
            </w:pPr>
            <w:r>
              <w:rPr>
                <w:rFonts w:ascii="Times New Roman" w:cs="Times New Roman" w:eastAsia="Times New Roman" w:hAnsi="Times New Roman"/>
                <w:sz w:val="21"/>
                <w:szCs w:val="21"/>
                <w:color w:val="auto"/>
              </w:rPr>
              <w:t>93</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75"/>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7.4</w:t>
            </w:r>
          </w:p>
        </w:tc>
        <w:tc>
          <w:tcPr>
            <w:tcW w:w="204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Payment of Taxes  93</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7.5</w:t>
            </w:r>
          </w:p>
        </w:tc>
        <w:tc>
          <w:tcPr>
            <w:tcW w:w="10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Insurance</w:t>
            </w:r>
          </w:p>
        </w:tc>
        <w:tc>
          <w:tcPr>
            <w:tcW w:w="960" w:type="dxa"/>
            <w:vAlign w:val="bottom"/>
          </w:tcPr>
          <w:p>
            <w:pPr>
              <w:jc w:val="right"/>
              <w:ind w:right="633"/>
              <w:spacing w:after="0"/>
              <w:rPr>
                <w:sz w:val="20"/>
                <w:szCs w:val="20"/>
                <w:color w:val="auto"/>
              </w:rPr>
            </w:pPr>
            <w:r>
              <w:rPr>
                <w:rFonts w:ascii="Times New Roman" w:cs="Times New Roman" w:eastAsia="Times New Roman" w:hAnsi="Times New Roman"/>
                <w:sz w:val="21"/>
                <w:szCs w:val="21"/>
                <w:color w:val="auto"/>
                <w:w w:val="95"/>
              </w:rPr>
              <w:t>93</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7.6</w:t>
            </w:r>
          </w:p>
        </w:tc>
        <w:tc>
          <w:tcPr>
            <w:tcW w:w="6120" w:type="dxa"/>
            <w:vAlign w:val="bottom"/>
            <w:gridSpan w:val="7"/>
          </w:tcPr>
          <w:p>
            <w:pPr>
              <w:ind w:left="40"/>
              <w:spacing w:after="0"/>
              <w:rPr>
                <w:sz w:val="20"/>
                <w:szCs w:val="20"/>
                <w:color w:val="auto"/>
              </w:rPr>
            </w:pPr>
            <w:r>
              <w:rPr>
                <w:rFonts w:ascii="Times New Roman" w:cs="Times New Roman" w:eastAsia="Times New Roman" w:hAnsi="Times New Roman"/>
                <w:sz w:val="21"/>
                <w:szCs w:val="21"/>
                <w:color w:val="auto"/>
              </w:rPr>
              <w:t>Financial Statements and Other Information  94</w:t>
            </w: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7.7</w:t>
            </w:r>
          </w:p>
        </w:tc>
        <w:tc>
          <w:tcPr>
            <w:tcW w:w="240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Intellectual Property  96</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7.8</w:t>
            </w:r>
          </w:p>
        </w:tc>
        <w:tc>
          <w:tcPr>
            <w:tcW w:w="240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Operation of Pension Plans</w:t>
            </w:r>
          </w:p>
        </w:tc>
        <w:tc>
          <w:tcPr>
            <w:tcW w:w="980" w:type="dxa"/>
            <w:vAlign w:val="bottom"/>
            <w:gridSpan w:val="2"/>
          </w:tcPr>
          <w:p>
            <w:pPr>
              <w:jc w:val="right"/>
              <w:ind w:right="473"/>
              <w:spacing w:after="0"/>
              <w:rPr>
                <w:sz w:val="20"/>
                <w:szCs w:val="20"/>
                <w:color w:val="auto"/>
              </w:rPr>
            </w:pPr>
            <w:r>
              <w:rPr>
                <w:rFonts w:ascii="Times New Roman" w:cs="Times New Roman" w:eastAsia="Times New Roman" w:hAnsi="Times New Roman"/>
                <w:sz w:val="21"/>
                <w:szCs w:val="21"/>
                <w:color w:val="auto"/>
              </w:rPr>
              <w:t>96</w:t>
            </w: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7.9</w:t>
            </w:r>
          </w:p>
        </w:tc>
        <w:tc>
          <w:tcPr>
            <w:tcW w:w="10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ERISA  97</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75"/>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7.10</w:t>
            </w: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rPr>
              <w:t>IP Collateral  97</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62"/>
        </w:trPr>
        <w:tc>
          <w:tcPr>
            <w:tcW w:w="11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7.11</w:t>
            </w:r>
          </w:p>
        </w:tc>
        <w:tc>
          <w:tcPr>
            <w:tcW w:w="204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Visits and Inspections</w:t>
            </w:r>
          </w:p>
        </w:tc>
        <w:tc>
          <w:tcPr>
            <w:tcW w:w="660" w:type="dxa"/>
            <w:vAlign w:val="bottom"/>
            <w:gridSpan w:val="2"/>
          </w:tcPr>
          <w:p>
            <w:pPr>
              <w:jc w:val="right"/>
              <w:ind w:right="153"/>
              <w:spacing w:after="0"/>
              <w:rPr>
                <w:sz w:val="20"/>
                <w:szCs w:val="20"/>
                <w:color w:val="auto"/>
              </w:rPr>
            </w:pPr>
            <w:r>
              <w:rPr>
                <w:rFonts w:ascii="Times New Roman" w:cs="Times New Roman" w:eastAsia="Times New Roman" w:hAnsi="Times New Roman"/>
                <w:sz w:val="21"/>
                <w:szCs w:val="21"/>
                <w:color w:val="auto"/>
              </w:rPr>
              <w:t>99</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139"/>
          </w:cols>
          <w:pgMar w:left="320" w:top="1412" w:right="1440" w:bottom="1440" w:gutter="0" w:footer="0" w:header="0"/>
        </w:sect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0139"/>
          </w:cols>
          <w:pgMar w:left="320" w:top="1412" w:right="1440"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279"/>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7.12</w:t>
            </w:r>
          </w:p>
        </w:tc>
        <w:tc>
          <w:tcPr>
            <w:tcW w:w="4580" w:type="dxa"/>
            <w:vAlign w:val="bottom"/>
            <w:gridSpan w:val="8"/>
          </w:tcPr>
          <w:p>
            <w:pPr>
              <w:ind w:left="140"/>
              <w:spacing w:after="0"/>
              <w:rPr>
                <w:sz w:val="20"/>
                <w:szCs w:val="20"/>
                <w:color w:val="auto"/>
              </w:rPr>
            </w:pPr>
            <w:r>
              <w:rPr>
                <w:rFonts w:ascii="Times New Roman" w:cs="Times New Roman" w:eastAsia="Times New Roman" w:hAnsi="Times New Roman"/>
                <w:sz w:val="21"/>
                <w:szCs w:val="21"/>
                <w:color w:val="auto"/>
              </w:rPr>
              <w:t>Material Subsidiaries and Real Property Collateral</w:t>
            </w:r>
          </w:p>
        </w:tc>
        <w:tc>
          <w:tcPr>
            <w:tcW w:w="2560" w:type="dxa"/>
            <w:vAlign w:val="bottom"/>
          </w:tcPr>
          <w:p>
            <w:pPr>
              <w:jc w:val="right"/>
              <w:ind w:right="2033"/>
              <w:spacing w:after="0"/>
              <w:rPr>
                <w:sz w:val="20"/>
                <w:szCs w:val="20"/>
                <w:color w:val="auto"/>
              </w:rPr>
            </w:pPr>
            <w:r>
              <w:rPr>
                <w:rFonts w:ascii="Times New Roman" w:cs="Times New Roman" w:eastAsia="Times New Roman" w:hAnsi="Times New Roman"/>
                <w:sz w:val="21"/>
                <w:szCs w:val="21"/>
                <w:color w:val="auto"/>
              </w:rPr>
              <w:t>100</w:t>
            </w:r>
          </w:p>
        </w:tc>
      </w:tr>
      <w:tr>
        <w:trPr>
          <w:trHeight w:val="362"/>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7.13</w:t>
            </w:r>
          </w:p>
        </w:tc>
        <w:tc>
          <w:tcPr>
            <w:tcW w:w="4580" w:type="dxa"/>
            <w:vAlign w:val="bottom"/>
            <w:gridSpan w:val="8"/>
          </w:tcPr>
          <w:p>
            <w:pPr>
              <w:ind w:left="140"/>
              <w:spacing w:after="0"/>
              <w:rPr>
                <w:sz w:val="20"/>
                <w:szCs w:val="20"/>
                <w:color w:val="auto"/>
              </w:rPr>
            </w:pPr>
            <w:r>
              <w:rPr>
                <w:rFonts w:ascii="Times New Roman" w:cs="Times New Roman" w:eastAsia="Times New Roman" w:hAnsi="Times New Roman"/>
                <w:sz w:val="21"/>
                <w:szCs w:val="21"/>
                <w:color w:val="auto"/>
              </w:rPr>
              <w:t>Grant of Equitable Mortgage by IMAX Barbados</w:t>
            </w:r>
          </w:p>
        </w:tc>
        <w:tc>
          <w:tcPr>
            <w:tcW w:w="2560" w:type="dxa"/>
            <w:vAlign w:val="bottom"/>
          </w:tcPr>
          <w:p>
            <w:pPr>
              <w:jc w:val="right"/>
              <w:ind w:right="2113"/>
              <w:spacing w:after="0"/>
              <w:rPr>
                <w:sz w:val="20"/>
                <w:szCs w:val="20"/>
                <w:color w:val="auto"/>
              </w:rPr>
            </w:pPr>
            <w:r>
              <w:rPr>
                <w:rFonts w:ascii="Times New Roman" w:cs="Times New Roman" w:eastAsia="Times New Roman" w:hAnsi="Times New Roman"/>
                <w:sz w:val="21"/>
                <w:szCs w:val="21"/>
                <w:color w:val="auto"/>
              </w:rPr>
              <w:t>101</w:t>
            </w:r>
          </w:p>
        </w:tc>
      </w:tr>
      <w:tr>
        <w:trPr>
          <w:trHeight w:val="362"/>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7.14</w:t>
            </w: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21"/>
                <w:szCs w:val="21"/>
                <w:color w:val="auto"/>
              </w:rPr>
              <w:t>Accounts</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102</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75"/>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7.15</w:t>
            </w:r>
          </w:p>
        </w:tc>
        <w:tc>
          <w:tcPr>
            <w:tcW w:w="2240" w:type="dxa"/>
            <w:vAlign w:val="bottom"/>
            <w:gridSpan w:val="5"/>
          </w:tcPr>
          <w:p>
            <w:pPr>
              <w:ind w:left="140"/>
              <w:spacing w:after="0"/>
              <w:rPr>
                <w:sz w:val="20"/>
                <w:szCs w:val="20"/>
                <w:color w:val="auto"/>
              </w:rPr>
            </w:pPr>
            <w:r>
              <w:rPr>
                <w:rFonts w:ascii="Times New Roman" w:cs="Times New Roman" w:eastAsia="Times New Roman" w:hAnsi="Times New Roman"/>
                <w:sz w:val="21"/>
                <w:szCs w:val="21"/>
                <w:color w:val="auto"/>
              </w:rPr>
              <w:t>Flood Insurance Matters</w:t>
            </w:r>
          </w:p>
        </w:tc>
        <w:tc>
          <w:tcPr>
            <w:tcW w:w="5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102</w:t>
            </w: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7.16</w:t>
            </w:r>
          </w:p>
        </w:tc>
        <w:tc>
          <w:tcPr>
            <w:tcW w:w="1980" w:type="dxa"/>
            <w:vAlign w:val="bottom"/>
            <w:gridSpan w:val="4"/>
          </w:tcPr>
          <w:p>
            <w:pPr>
              <w:ind w:left="140"/>
              <w:spacing w:after="0"/>
              <w:rPr>
                <w:sz w:val="20"/>
                <w:szCs w:val="20"/>
                <w:color w:val="auto"/>
              </w:rPr>
            </w:pPr>
            <w:r>
              <w:rPr>
                <w:rFonts w:ascii="Times New Roman" w:cs="Times New Roman" w:eastAsia="Times New Roman" w:hAnsi="Times New Roman"/>
                <w:sz w:val="21"/>
                <w:szCs w:val="21"/>
                <w:color w:val="auto"/>
              </w:rPr>
              <w:t>Post-Closing Matters</w:t>
            </w:r>
          </w:p>
        </w:tc>
        <w:tc>
          <w:tcPr>
            <w:tcW w:w="800" w:type="dxa"/>
            <w:vAlign w:val="bottom"/>
            <w:gridSpan w:val="2"/>
          </w:tcPr>
          <w:p>
            <w:pPr>
              <w:jc w:val="right"/>
              <w:ind w:right="173"/>
              <w:spacing w:after="0"/>
              <w:rPr>
                <w:sz w:val="20"/>
                <w:szCs w:val="20"/>
                <w:color w:val="auto"/>
              </w:rPr>
            </w:pPr>
            <w:r>
              <w:rPr>
                <w:rFonts w:ascii="Times New Roman" w:cs="Times New Roman" w:eastAsia="Times New Roman" w:hAnsi="Times New Roman"/>
                <w:sz w:val="21"/>
                <w:szCs w:val="21"/>
                <w:color w:val="auto"/>
              </w:rPr>
              <w:t>103</w:t>
            </w: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1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8</w:t>
            </w:r>
          </w:p>
        </w:tc>
        <w:tc>
          <w:tcPr>
            <w:tcW w:w="2780" w:type="dxa"/>
            <w:vAlign w:val="bottom"/>
            <w:gridSpan w:val="6"/>
          </w:tcPr>
          <w:p>
            <w:pPr>
              <w:jc w:val="center"/>
              <w:spacing w:after="0"/>
              <w:rPr>
                <w:sz w:val="20"/>
                <w:szCs w:val="20"/>
                <w:color w:val="auto"/>
              </w:rPr>
            </w:pPr>
            <w:r>
              <w:rPr>
                <w:rFonts w:ascii="Times New Roman" w:cs="Times New Roman" w:eastAsia="Times New Roman" w:hAnsi="Times New Roman"/>
                <w:sz w:val="21"/>
                <w:szCs w:val="21"/>
                <w:color w:val="auto"/>
              </w:rPr>
              <w:t>NEGATIVE COVENANTS</w:t>
            </w:r>
          </w:p>
        </w:tc>
        <w:tc>
          <w:tcPr>
            <w:tcW w:w="13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103</w:t>
            </w: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8.1</w:t>
            </w:r>
          </w:p>
        </w:tc>
        <w:tc>
          <w:tcPr>
            <w:tcW w:w="4180" w:type="dxa"/>
            <w:vAlign w:val="bottom"/>
            <w:gridSpan w:val="8"/>
          </w:tcPr>
          <w:p>
            <w:pPr>
              <w:ind w:left="60"/>
              <w:spacing w:after="0"/>
              <w:rPr>
                <w:sz w:val="20"/>
                <w:szCs w:val="20"/>
                <w:color w:val="auto"/>
              </w:rPr>
            </w:pPr>
            <w:r>
              <w:rPr>
                <w:rFonts w:ascii="Times New Roman" w:cs="Times New Roman" w:eastAsia="Times New Roman" w:hAnsi="Times New Roman"/>
                <w:sz w:val="21"/>
                <w:szCs w:val="21"/>
                <w:color w:val="auto"/>
              </w:rPr>
              <w:t>Merger, Sale of Assets, Dissolution, Etc.  103</w:t>
            </w: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8.2</w:t>
            </w:r>
          </w:p>
        </w:tc>
        <w:tc>
          <w:tcPr>
            <w:tcW w:w="2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Liens</w:t>
            </w:r>
          </w:p>
        </w:tc>
        <w:tc>
          <w:tcPr>
            <w:tcW w:w="5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105</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75"/>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8.3</w:t>
            </w:r>
          </w:p>
        </w:tc>
        <w:tc>
          <w:tcPr>
            <w:tcW w:w="2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Debt</w:t>
            </w:r>
          </w:p>
        </w:tc>
        <w:tc>
          <w:tcPr>
            <w:tcW w:w="540" w:type="dxa"/>
            <w:vAlign w:val="bottom"/>
          </w:tcPr>
          <w:p>
            <w:pPr>
              <w:jc w:val="right"/>
              <w:ind w:right="33"/>
              <w:spacing w:after="0"/>
              <w:rPr>
                <w:sz w:val="20"/>
                <w:szCs w:val="20"/>
                <w:color w:val="auto"/>
              </w:rPr>
            </w:pPr>
            <w:r>
              <w:rPr>
                <w:rFonts w:ascii="Times New Roman" w:cs="Times New Roman" w:eastAsia="Times New Roman" w:hAnsi="Times New Roman"/>
                <w:sz w:val="21"/>
                <w:szCs w:val="21"/>
                <w:color w:val="auto"/>
              </w:rPr>
              <w:t>108</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8.4</w:t>
            </w:r>
          </w:p>
        </w:tc>
        <w:tc>
          <w:tcPr>
            <w:tcW w:w="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Investments</w:t>
            </w:r>
          </w:p>
        </w:tc>
        <w:tc>
          <w:tcPr>
            <w:tcW w:w="860" w:type="dxa"/>
            <w:vAlign w:val="bottom"/>
            <w:gridSpan w:val="2"/>
          </w:tcPr>
          <w:p>
            <w:pPr>
              <w:jc w:val="right"/>
              <w:ind w:right="273"/>
              <w:spacing w:after="0"/>
              <w:rPr>
                <w:sz w:val="20"/>
                <w:szCs w:val="20"/>
                <w:color w:val="auto"/>
              </w:rPr>
            </w:pPr>
            <w:r>
              <w:rPr>
                <w:rFonts w:ascii="Times New Roman" w:cs="Times New Roman" w:eastAsia="Times New Roman" w:hAnsi="Times New Roman"/>
                <w:sz w:val="21"/>
                <w:szCs w:val="21"/>
                <w:color w:val="auto"/>
              </w:rPr>
              <w:t>113</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8.5</w:t>
            </w:r>
          </w:p>
        </w:tc>
        <w:tc>
          <w:tcPr>
            <w:tcW w:w="20" w:type="dxa"/>
            <w:vAlign w:val="bottom"/>
          </w:tcPr>
          <w:p>
            <w:pPr>
              <w:spacing w:after="0"/>
              <w:rPr>
                <w:sz w:val="24"/>
                <w:szCs w:val="24"/>
                <w:color w:val="auto"/>
              </w:rPr>
            </w:pPr>
          </w:p>
        </w:tc>
        <w:tc>
          <w:tcPr>
            <w:tcW w:w="1980" w:type="dxa"/>
            <w:vAlign w:val="bottom"/>
            <w:gridSpan w:val="4"/>
          </w:tcPr>
          <w:p>
            <w:pPr>
              <w:ind w:left="40"/>
              <w:spacing w:after="0"/>
              <w:rPr>
                <w:sz w:val="20"/>
                <w:szCs w:val="20"/>
                <w:color w:val="auto"/>
              </w:rPr>
            </w:pPr>
            <w:r>
              <w:rPr>
                <w:rFonts w:ascii="Times New Roman" w:cs="Times New Roman" w:eastAsia="Times New Roman" w:hAnsi="Times New Roman"/>
                <w:sz w:val="21"/>
                <w:szCs w:val="21"/>
                <w:color w:val="auto"/>
              </w:rPr>
              <w:t>Restricted Payments</w:t>
            </w:r>
          </w:p>
        </w:tc>
        <w:tc>
          <w:tcPr>
            <w:tcW w:w="800" w:type="dxa"/>
            <w:vAlign w:val="bottom"/>
            <w:gridSpan w:val="2"/>
          </w:tcPr>
          <w:p>
            <w:pPr>
              <w:jc w:val="right"/>
              <w:ind w:right="353"/>
              <w:spacing w:after="0"/>
              <w:rPr>
                <w:sz w:val="20"/>
                <w:szCs w:val="20"/>
                <w:color w:val="auto"/>
              </w:rPr>
            </w:pPr>
            <w:r>
              <w:rPr>
                <w:rFonts w:ascii="Times New Roman" w:cs="Times New Roman" w:eastAsia="Times New Roman" w:hAnsi="Times New Roman"/>
                <w:sz w:val="21"/>
                <w:szCs w:val="21"/>
                <w:color w:val="auto"/>
              </w:rPr>
              <w:t>115</w:t>
            </w: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8.6</w:t>
            </w:r>
          </w:p>
        </w:tc>
        <w:tc>
          <w:tcPr>
            <w:tcW w:w="20" w:type="dxa"/>
            <w:vAlign w:val="bottom"/>
          </w:tcPr>
          <w:p>
            <w:pPr>
              <w:spacing w:after="0"/>
              <w:rPr>
                <w:sz w:val="24"/>
                <w:szCs w:val="24"/>
                <w:color w:val="auto"/>
              </w:rPr>
            </w:pPr>
          </w:p>
        </w:tc>
        <w:tc>
          <w:tcPr>
            <w:tcW w:w="4160" w:type="dxa"/>
            <w:vAlign w:val="bottom"/>
            <w:gridSpan w:val="7"/>
          </w:tcPr>
          <w:p>
            <w:pPr>
              <w:ind w:left="20"/>
              <w:spacing w:after="0"/>
              <w:rPr>
                <w:sz w:val="20"/>
                <w:szCs w:val="20"/>
                <w:color w:val="auto"/>
              </w:rPr>
            </w:pPr>
            <w:r>
              <w:rPr>
                <w:rFonts w:ascii="Times New Roman" w:cs="Times New Roman" w:eastAsia="Times New Roman" w:hAnsi="Times New Roman"/>
                <w:sz w:val="21"/>
                <w:szCs w:val="21"/>
                <w:color w:val="auto"/>
              </w:rPr>
              <w:t>Transactions with Affiliates  117</w:t>
            </w: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8.7</w:t>
            </w:r>
          </w:p>
        </w:tc>
        <w:tc>
          <w:tcPr>
            <w:tcW w:w="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[Reserved]</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117</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8.8</w:t>
            </w:r>
          </w:p>
        </w:tc>
        <w:tc>
          <w:tcPr>
            <w:tcW w:w="20" w:type="dxa"/>
            <w:vAlign w:val="bottom"/>
          </w:tcPr>
          <w:p>
            <w:pPr>
              <w:spacing w:after="0"/>
              <w:rPr>
                <w:sz w:val="24"/>
                <w:szCs w:val="24"/>
                <w:color w:val="auto"/>
              </w:rPr>
            </w:pPr>
          </w:p>
        </w:tc>
        <w:tc>
          <w:tcPr>
            <w:tcW w:w="4580" w:type="dxa"/>
            <w:vAlign w:val="bottom"/>
            <w:gridSpan w:val="8"/>
          </w:tcPr>
          <w:p>
            <w:pPr>
              <w:ind w:left="40"/>
              <w:spacing w:after="0"/>
              <w:rPr>
                <w:sz w:val="20"/>
                <w:szCs w:val="20"/>
                <w:color w:val="auto"/>
              </w:rPr>
            </w:pPr>
            <w:r>
              <w:rPr>
                <w:rFonts w:ascii="Times New Roman" w:cs="Times New Roman" w:eastAsia="Times New Roman" w:hAnsi="Times New Roman"/>
                <w:sz w:val="21"/>
                <w:szCs w:val="21"/>
                <w:color w:val="auto"/>
              </w:rPr>
              <w:t>Limitations Regarding Outbound Investment Rules</w:t>
            </w:r>
          </w:p>
        </w:tc>
        <w:tc>
          <w:tcPr>
            <w:tcW w:w="2560" w:type="dxa"/>
            <w:vAlign w:val="bottom"/>
          </w:tcPr>
          <w:p>
            <w:pPr>
              <w:jc w:val="right"/>
              <w:ind w:right="2073"/>
              <w:spacing w:after="0"/>
              <w:rPr>
                <w:sz w:val="20"/>
                <w:szCs w:val="20"/>
                <w:color w:val="auto"/>
              </w:rPr>
            </w:pPr>
            <w:r>
              <w:rPr>
                <w:rFonts w:ascii="Times New Roman" w:cs="Times New Roman" w:eastAsia="Times New Roman" w:hAnsi="Times New Roman"/>
                <w:sz w:val="21"/>
                <w:szCs w:val="21"/>
                <w:color w:val="auto"/>
              </w:rPr>
              <w:t>117</w:t>
            </w:r>
          </w:p>
        </w:tc>
      </w:tr>
      <w:tr>
        <w:trPr>
          <w:trHeight w:val="375"/>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8.9</w:t>
            </w:r>
          </w:p>
        </w:tc>
        <w:tc>
          <w:tcPr>
            <w:tcW w:w="20" w:type="dxa"/>
            <w:vAlign w:val="bottom"/>
          </w:tcPr>
          <w:p>
            <w:pPr>
              <w:spacing w:after="0"/>
              <w:rPr>
                <w:sz w:val="24"/>
                <w:szCs w:val="24"/>
                <w:color w:val="auto"/>
              </w:rPr>
            </w:pPr>
          </w:p>
        </w:tc>
        <w:tc>
          <w:tcPr>
            <w:tcW w:w="1980" w:type="dxa"/>
            <w:vAlign w:val="bottom"/>
            <w:gridSpan w:val="4"/>
          </w:tcPr>
          <w:p>
            <w:pPr>
              <w:ind w:left="40"/>
              <w:spacing w:after="0"/>
              <w:rPr>
                <w:sz w:val="20"/>
                <w:szCs w:val="20"/>
                <w:color w:val="auto"/>
              </w:rPr>
            </w:pPr>
            <w:r>
              <w:rPr>
                <w:rFonts w:ascii="Times New Roman" w:cs="Times New Roman" w:eastAsia="Times New Roman" w:hAnsi="Times New Roman"/>
                <w:sz w:val="21"/>
                <w:szCs w:val="21"/>
                <w:color w:val="auto"/>
              </w:rPr>
              <w:t>No Material Changes</w:t>
            </w:r>
          </w:p>
        </w:tc>
        <w:tc>
          <w:tcPr>
            <w:tcW w:w="800" w:type="dxa"/>
            <w:vAlign w:val="bottom"/>
            <w:gridSpan w:val="2"/>
          </w:tcPr>
          <w:p>
            <w:pPr>
              <w:jc w:val="right"/>
              <w:ind w:right="273"/>
              <w:spacing w:after="0"/>
              <w:rPr>
                <w:sz w:val="20"/>
                <w:szCs w:val="20"/>
                <w:color w:val="auto"/>
              </w:rPr>
            </w:pPr>
            <w:r>
              <w:rPr>
                <w:rFonts w:ascii="Times New Roman" w:cs="Times New Roman" w:eastAsia="Times New Roman" w:hAnsi="Times New Roman"/>
                <w:sz w:val="21"/>
                <w:szCs w:val="21"/>
                <w:color w:val="auto"/>
              </w:rPr>
              <w:t>117</w:t>
            </w: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8.10</w:t>
            </w:r>
          </w:p>
        </w:tc>
        <w:tc>
          <w:tcPr>
            <w:tcW w:w="7140" w:type="dxa"/>
            <w:vAlign w:val="bottom"/>
            <w:gridSpan w:val="9"/>
          </w:tcPr>
          <w:p>
            <w:pPr>
              <w:ind w:left="140"/>
              <w:spacing w:after="0"/>
              <w:rPr>
                <w:sz w:val="20"/>
                <w:szCs w:val="20"/>
                <w:color w:val="auto"/>
              </w:rPr>
            </w:pPr>
            <w:r>
              <w:rPr>
                <w:rFonts w:ascii="Times New Roman" w:cs="Times New Roman" w:eastAsia="Times New Roman" w:hAnsi="Times New Roman"/>
                <w:sz w:val="21"/>
                <w:szCs w:val="21"/>
                <w:color w:val="auto"/>
              </w:rPr>
              <w:t>No Further Negative Pledges; Restrictive Agreements  118</w:t>
            </w:r>
          </w:p>
        </w:tc>
      </w:tr>
      <w:tr>
        <w:trPr>
          <w:trHeight w:val="362"/>
        </w:trPr>
        <w:tc>
          <w:tcPr>
            <w:tcW w:w="11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ARTICLE 9</w:t>
            </w:r>
          </w:p>
        </w:tc>
        <w:tc>
          <w:tcPr>
            <w:tcW w:w="2780" w:type="dxa"/>
            <w:vAlign w:val="bottom"/>
            <w:gridSpan w:val="6"/>
          </w:tcPr>
          <w:p>
            <w:pPr>
              <w:jc w:val="center"/>
              <w:spacing w:after="0"/>
              <w:rPr>
                <w:sz w:val="20"/>
                <w:szCs w:val="20"/>
                <w:color w:val="auto"/>
              </w:rPr>
            </w:pPr>
            <w:r>
              <w:rPr>
                <w:rFonts w:ascii="Times New Roman" w:cs="Times New Roman" w:eastAsia="Times New Roman" w:hAnsi="Times New Roman"/>
                <w:sz w:val="21"/>
                <w:szCs w:val="21"/>
                <w:color w:val="auto"/>
              </w:rPr>
              <w:t>FINANCIAL COVENANT</w:t>
            </w:r>
          </w:p>
        </w:tc>
        <w:tc>
          <w:tcPr>
            <w:tcW w:w="1380" w:type="dxa"/>
            <w:vAlign w:val="bottom"/>
          </w:tcPr>
          <w:p>
            <w:pPr>
              <w:spacing w:after="0"/>
              <w:rPr>
                <w:sz w:val="20"/>
                <w:szCs w:val="20"/>
                <w:color w:val="auto"/>
              </w:rPr>
            </w:pPr>
            <w:r>
              <w:rPr>
                <w:rFonts w:ascii="Times New Roman" w:cs="Times New Roman" w:eastAsia="Times New Roman" w:hAnsi="Times New Roman"/>
                <w:sz w:val="21"/>
                <w:szCs w:val="21"/>
                <w:color w:val="auto"/>
              </w:rPr>
              <w:t>119</w:t>
            </w: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9.1</w:t>
            </w:r>
          </w:p>
        </w:tc>
        <w:tc>
          <w:tcPr>
            <w:tcW w:w="20" w:type="dxa"/>
            <w:vAlign w:val="bottom"/>
          </w:tcPr>
          <w:p>
            <w:pPr>
              <w:spacing w:after="0"/>
              <w:rPr>
                <w:sz w:val="24"/>
                <w:szCs w:val="24"/>
                <w:color w:val="auto"/>
              </w:rPr>
            </w:pPr>
          </w:p>
        </w:tc>
        <w:tc>
          <w:tcPr>
            <w:tcW w:w="4160" w:type="dxa"/>
            <w:vAlign w:val="bottom"/>
            <w:gridSpan w:val="7"/>
          </w:tcPr>
          <w:p>
            <w:pPr>
              <w:ind w:left="40"/>
              <w:spacing w:after="0"/>
              <w:rPr>
                <w:sz w:val="20"/>
                <w:szCs w:val="20"/>
                <w:color w:val="auto"/>
              </w:rPr>
            </w:pPr>
            <w:r>
              <w:rPr>
                <w:rFonts w:ascii="Times New Roman" w:cs="Times New Roman" w:eastAsia="Times New Roman" w:hAnsi="Times New Roman"/>
                <w:sz w:val="21"/>
                <w:szCs w:val="21"/>
                <w:color w:val="auto"/>
              </w:rPr>
              <w:t>Maximum Senior Secured Net Leverage Ratio</w:t>
            </w:r>
          </w:p>
        </w:tc>
        <w:tc>
          <w:tcPr>
            <w:tcW w:w="4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119</w:t>
            </w:r>
          </w:p>
        </w:tc>
        <w:tc>
          <w:tcPr>
            <w:tcW w:w="2560" w:type="dxa"/>
            <w:vAlign w:val="bottom"/>
          </w:tcPr>
          <w:p>
            <w:pPr>
              <w:spacing w:after="0"/>
              <w:rPr>
                <w:sz w:val="24"/>
                <w:szCs w:val="24"/>
                <w:color w:val="auto"/>
              </w:rPr>
            </w:pPr>
          </w:p>
        </w:tc>
      </w:tr>
      <w:tr>
        <w:trPr>
          <w:trHeight w:val="362"/>
        </w:trPr>
        <w:tc>
          <w:tcPr>
            <w:tcW w:w="5260" w:type="dxa"/>
            <w:vAlign w:val="bottom"/>
            <w:gridSpan w:val="9"/>
          </w:tcPr>
          <w:p>
            <w:pPr>
              <w:spacing w:after="0"/>
              <w:rPr>
                <w:sz w:val="20"/>
                <w:szCs w:val="20"/>
                <w:color w:val="auto"/>
              </w:rPr>
            </w:pPr>
            <w:r>
              <w:rPr>
                <w:rFonts w:ascii="Times New Roman" w:cs="Times New Roman" w:eastAsia="Times New Roman" w:hAnsi="Times New Roman"/>
                <w:sz w:val="21"/>
                <w:szCs w:val="21"/>
                <w:color w:val="auto"/>
              </w:rPr>
              <w:t>ARTICLE 10  EVENTS OF DEFAULT AND REMEDIES</w:t>
            </w:r>
          </w:p>
        </w:tc>
        <w:tc>
          <w:tcPr>
            <w:tcW w:w="2980" w:type="dxa"/>
            <w:vAlign w:val="bottom"/>
            <w:gridSpan w:val="2"/>
          </w:tcPr>
          <w:p>
            <w:pPr>
              <w:jc w:val="right"/>
              <w:ind w:right="2433"/>
              <w:spacing w:after="0"/>
              <w:rPr>
                <w:sz w:val="20"/>
                <w:szCs w:val="20"/>
                <w:color w:val="auto"/>
              </w:rPr>
            </w:pPr>
            <w:r>
              <w:rPr>
                <w:rFonts w:ascii="Times New Roman" w:cs="Times New Roman" w:eastAsia="Times New Roman" w:hAnsi="Times New Roman"/>
                <w:sz w:val="21"/>
                <w:szCs w:val="21"/>
                <w:color w:val="auto"/>
              </w:rPr>
              <w:t>119</w:t>
            </w:r>
          </w:p>
        </w:tc>
      </w:tr>
      <w:tr>
        <w:trPr>
          <w:trHeight w:val="375"/>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10.1</w:t>
            </w:r>
          </w:p>
        </w:tc>
        <w:tc>
          <w:tcPr>
            <w:tcW w:w="2240" w:type="dxa"/>
            <w:vAlign w:val="bottom"/>
            <w:gridSpan w:val="5"/>
          </w:tcPr>
          <w:p>
            <w:pPr>
              <w:ind w:left="140"/>
              <w:spacing w:after="0"/>
              <w:rPr>
                <w:sz w:val="20"/>
                <w:szCs w:val="20"/>
                <w:color w:val="auto"/>
              </w:rPr>
            </w:pPr>
            <w:r>
              <w:rPr>
                <w:rFonts w:ascii="Times New Roman" w:cs="Times New Roman" w:eastAsia="Times New Roman" w:hAnsi="Times New Roman"/>
                <w:sz w:val="21"/>
                <w:szCs w:val="21"/>
                <w:color w:val="auto"/>
              </w:rPr>
              <w:t>Events of Default  119</w:t>
            </w: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10.2</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rPr>
              <w:t>Remedies</w:t>
            </w:r>
          </w:p>
        </w:tc>
        <w:tc>
          <w:tcPr>
            <w:tcW w:w="42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122</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10.3</w:t>
            </w:r>
          </w:p>
        </w:tc>
        <w:tc>
          <w:tcPr>
            <w:tcW w:w="416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Agent May File Proofs of Claim  127</w:t>
            </w: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100" w:type="dxa"/>
            <w:vAlign w:val="bottom"/>
            <w:gridSpan w:val="2"/>
          </w:tcPr>
          <w:p>
            <w:pPr>
              <w:ind w:left="660"/>
              <w:spacing w:after="0"/>
              <w:rPr>
                <w:sz w:val="20"/>
                <w:szCs w:val="20"/>
                <w:color w:val="auto"/>
              </w:rPr>
            </w:pPr>
            <w:r>
              <w:rPr>
                <w:rFonts w:ascii="Times New Roman" w:cs="Times New Roman" w:eastAsia="Times New Roman" w:hAnsi="Times New Roman"/>
                <w:sz w:val="21"/>
                <w:szCs w:val="21"/>
                <w:color w:val="auto"/>
              </w:rPr>
              <w:t>10.4</w:t>
            </w: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21"/>
                <w:szCs w:val="21"/>
                <w:color w:val="auto"/>
              </w:rPr>
              <w:t>Credit Bidding</w:t>
            </w:r>
          </w:p>
        </w:tc>
        <w:tc>
          <w:tcPr>
            <w:tcW w:w="4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137</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8240" w:type="dxa"/>
            <w:vAlign w:val="bottom"/>
            <w:gridSpan w:val="11"/>
          </w:tcPr>
          <w:p>
            <w:pPr>
              <w:spacing w:after="0"/>
              <w:rPr>
                <w:sz w:val="20"/>
                <w:szCs w:val="20"/>
                <w:color w:val="auto"/>
              </w:rPr>
            </w:pPr>
            <w:r>
              <w:rPr>
                <w:rFonts w:ascii="Times New Roman" w:cs="Times New Roman" w:eastAsia="Times New Roman" w:hAnsi="Times New Roman"/>
                <w:sz w:val="21"/>
                <w:szCs w:val="21"/>
                <w:color w:val="auto"/>
              </w:rPr>
              <w:t>ARTICLE 11  ASSIGNMENT AND PARTICIPATIONS: APPOINTMENT OF AGENT  128</w:t>
            </w:r>
          </w:p>
        </w:tc>
      </w:tr>
      <w:tr>
        <w:trPr>
          <w:trHeight w:val="375"/>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11.1</w:t>
            </w:r>
          </w:p>
        </w:tc>
        <w:tc>
          <w:tcPr>
            <w:tcW w:w="20" w:type="dxa"/>
            <w:vAlign w:val="bottom"/>
          </w:tcPr>
          <w:p>
            <w:pPr>
              <w:spacing w:after="0"/>
              <w:rPr>
                <w:sz w:val="24"/>
                <w:szCs w:val="24"/>
                <w:color w:val="auto"/>
              </w:rPr>
            </w:pPr>
          </w:p>
        </w:tc>
        <w:tc>
          <w:tcPr>
            <w:tcW w:w="2780" w:type="dxa"/>
            <w:vAlign w:val="bottom"/>
            <w:gridSpan w:val="6"/>
          </w:tcPr>
          <w:p>
            <w:pPr>
              <w:ind w:left="120"/>
              <w:spacing w:after="0"/>
              <w:rPr>
                <w:sz w:val="20"/>
                <w:szCs w:val="20"/>
                <w:color w:val="auto"/>
              </w:rPr>
            </w:pPr>
            <w:r>
              <w:rPr>
                <w:rFonts w:ascii="Times New Roman" w:cs="Times New Roman" w:eastAsia="Times New Roman" w:hAnsi="Times New Roman"/>
                <w:sz w:val="21"/>
                <w:szCs w:val="21"/>
                <w:color w:val="auto"/>
              </w:rPr>
              <w:t>Assignment and Participations</w:t>
            </w:r>
          </w:p>
        </w:tc>
        <w:tc>
          <w:tcPr>
            <w:tcW w:w="1380" w:type="dxa"/>
            <w:vAlign w:val="bottom"/>
          </w:tcPr>
          <w:p>
            <w:pPr>
              <w:jc w:val="right"/>
              <w:ind w:right="773"/>
              <w:spacing w:after="0"/>
              <w:rPr>
                <w:sz w:val="20"/>
                <w:szCs w:val="20"/>
                <w:color w:val="auto"/>
              </w:rPr>
            </w:pPr>
            <w:r>
              <w:rPr>
                <w:rFonts w:ascii="Times New Roman" w:cs="Times New Roman" w:eastAsia="Times New Roman" w:hAnsi="Times New Roman"/>
                <w:sz w:val="21"/>
                <w:szCs w:val="21"/>
                <w:color w:val="auto"/>
              </w:rPr>
              <w:t>128</w:t>
            </w: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11.2</w:t>
            </w:r>
          </w:p>
        </w:tc>
        <w:tc>
          <w:tcPr>
            <w:tcW w:w="20" w:type="dxa"/>
            <w:vAlign w:val="bottom"/>
          </w:tcPr>
          <w:p>
            <w:pPr>
              <w:spacing w:after="0"/>
              <w:rPr>
                <w:sz w:val="24"/>
                <w:szCs w:val="24"/>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Appointment of Agent</w:t>
            </w:r>
          </w:p>
        </w:tc>
        <w:tc>
          <w:tcPr>
            <w:tcW w:w="540" w:type="dxa"/>
            <w:vAlign w:val="bottom"/>
          </w:tcPr>
          <w:p>
            <w:pPr>
              <w:jc w:val="right"/>
              <w:ind w:right="73"/>
              <w:spacing w:after="0"/>
              <w:rPr>
                <w:sz w:val="20"/>
                <w:szCs w:val="20"/>
                <w:color w:val="auto"/>
              </w:rPr>
            </w:pPr>
            <w:r>
              <w:rPr>
                <w:rFonts w:ascii="Times New Roman" w:cs="Times New Roman" w:eastAsia="Times New Roman" w:hAnsi="Times New Roman"/>
                <w:sz w:val="21"/>
                <w:szCs w:val="21"/>
                <w:color w:val="auto"/>
              </w:rPr>
              <w:t>131</w:t>
            </w: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11.3</w:t>
            </w:r>
          </w:p>
        </w:tc>
        <w:tc>
          <w:tcPr>
            <w:tcW w:w="20" w:type="dxa"/>
            <w:vAlign w:val="bottom"/>
          </w:tcPr>
          <w:p>
            <w:pPr>
              <w:spacing w:after="0"/>
              <w:rPr>
                <w:sz w:val="24"/>
                <w:szCs w:val="24"/>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21"/>
                <w:szCs w:val="21"/>
                <w:color w:val="auto"/>
              </w:rPr>
              <w:t>Agent’s Reliance, Etc.</w:t>
            </w:r>
          </w:p>
        </w:tc>
        <w:tc>
          <w:tcPr>
            <w:tcW w:w="540" w:type="dxa"/>
            <w:vAlign w:val="bottom"/>
          </w:tcPr>
          <w:p>
            <w:pPr>
              <w:jc w:val="right"/>
              <w:ind w:right="93"/>
              <w:spacing w:after="0"/>
              <w:rPr>
                <w:sz w:val="20"/>
                <w:szCs w:val="20"/>
                <w:color w:val="auto"/>
              </w:rPr>
            </w:pPr>
            <w:r>
              <w:rPr>
                <w:rFonts w:ascii="Times New Roman" w:cs="Times New Roman" w:eastAsia="Times New Roman" w:hAnsi="Times New Roman"/>
                <w:sz w:val="21"/>
                <w:szCs w:val="21"/>
                <w:color w:val="auto"/>
              </w:rPr>
              <w:t>132</w:t>
            </w: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11.4</w:t>
            </w:r>
          </w:p>
        </w:tc>
        <w:tc>
          <w:tcPr>
            <w:tcW w:w="20" w:type="dxa"/>
            <w:vAlign w:val="bottom"/>
          </w:tcPr>
          <w:p>
            <w:pPr>
              <w:spacing w:after="0"/>
              <w:rPr>
                <w:sz w:val="24"/>
                <w:szCs w:val="24"/>
                <w:color w:val="auto"/>
              </w:rPr>
            </w:pP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21"/>
                <w:szCs w:val="21"/>
                <w:color w:val="auto"/>
              </w:rPr>
              <w:t>Agent as Lender</w:t>
            </w:r>
          </w:p>
        </w:tc>
        <w:tc>
          <w:tcPr>
            <w:tcW w:w="700" w:type="dxa"/>
            <w:vAlign w:val="bottom"/>
            <w:gridSpan w:val="2"/>
          </w:tcPr>
          <w:p>
            <w:pPr>
              <w:jc w:val="right"/>
              <w:ind w:right="53"/>
              <w:spacing w:after="0"/>
              <w:rPr>
                <w:sz w:val="20"/>
                <w:szCs w:val="20"/>
                <w:color w:val="auto"/>
              </w:rPr>
            </w:pPr>
            <w:r>
              <w:rPr>
                <w:rFonts w:ascii="Times New Roman" w:cs="Times New Roman" w:eastAsia="Times New Roman" w:hAnsi="Times New Roman"/>
                <w:sz w:val="21"/>
                <w:szCs w:val="21"/>
                <w:color w:val="auto"/>
              </w:rPr>
              <w:t>133</w:t>
            </w: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11.5</w:t>
            </w:r>
          </w:p>
        </w:tc>
        <w:tc>
          <w:tcPr>
            <w:tcW w:w="20" w:type="dxa"/>
            <w:vAlign w:val="bottom"/>
          </w:tcPr>
          <w:p>
            <w:pPr>
              <w:spacing w:after="0"/>
              <w:rPr>
                <w:sz w:val="24"/>
                <w:szCs w:val="24"/>
                <w:color w:val="auto"/>
              </w:rPr>
            </w:pPr>
          </w:p>
        </w:tc>
        <w:tc>
          <w:tcPr>
            <w:tcW w:w="2240" w:type="dxa"/>
            <w:vAlign w:val="bottom"/>
            <w:gridSpan w:val="5"/>
          </w:tcPr>
          <w:p>
            <w:pPr>
              <w:ind w:left="140"/>
              <w:spacing w:after="0"/>
              <w:rPr>
                <w:sz w:val="20"/>
                <w:szCs w:val="20"/>
                <w:color w:val="auto"/>
              </w:rPr>
            </w:pPr>
            <w:r>
              <w:rPr>
                <w:rFonts w:ascii="Times New Roman" w:cs="Times New Roman" w:eastAsia="Times New Roman" w:hAnsi="Times New Roman"/>
                <w:sz w:val="21"/>
                <w:szCs w:val="21"/>
                <w:color w:val="auto"/>
              </w:rPr>
              <w:t>Lender Credit Decision</w:t>
            </w:r>
          </w:p>
        </w:tc>
        <w:tc>
          <w:tcPr>
            <w:tcW w:w="5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133</w:t>
            </w: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62"/>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11.6</w:t>
            </w:r>
          </w:p>
        </w:tc>
        <w:tc>
          <w:tcPr>
            <w:tcW w:w="20" w:type="dxa"/>
            <w:vAlign w:val="bottom"/>
          </w:tcPr>
          <w:p>
            <w:pPr>
              <w:spacing w:after="0"/>
              <w:rPr>
                <w:sz w:val="24"/>
                <w:szCs w:val="24"/>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21"/>
                <w:szCs w:val="21"/>
                <w:color w:val="auto"/>
              </w:rPr>
              <w:t>Indemnification</w:t>
            </w:r>
          </w:p>
        </w:tc>
        <w:tc>
          <w:tcPr>
            <w:tcW w:w="700" w:type="dxa"/>
            <w:vAlign w:val="bottom"/>
            <w:gridSpan w:val="2"/>
          </w:tcPr>
          <w:p>
            <w:pPr>
              <w:jc w:val="right"/>
              <w:ind w:right="93"/>
              <w:spacing w:after="0"/>
              <w:rPr>
                <w:sz w:val="20"/>
                <w:szCs w:val="20"/>
                <w:color w:val="auto"/>
              </w:rPr>
            </w:pPr>
            <w:r>
              <w:rPr>
                <w:rFonts w:ascii="Times New Roman" w:cs="Times New Roman" w:eastAsia="Times New Roman" w:hAnsi="Times New Roman"/>
                <w:sz w:val="21"/>
                <w:szCs w:val="21"/>
                <w:color w:val="auto"/>
              </w:rPr>
              <w:t>133</w:t>
            </w: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375"/>
        </w:trPr>
        <w:tc>
          <w:tcPr>
            <w:tcW w:w="108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11.7</w:t>
            </w:r>
          </w:p>
        </w:tc>
        <w:tc>
          <w:tcPr>
            <w:tcW w:w="20" w:type="dxa"/>
            <w:vAlign w:val="bottom"/>
          </w:tcPr>
          <w:p>
            <w:pPr>
              <w:spacing w:after="0"/>
              <w:rPr>
                <w:sz w:val="24"/>
                <w:szCs w:val="24"/>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21"/>
                <w:szCs w:val="21"/>
                <w:color w:val="auto"/>
              </w:rPr>
              <w:t>Failure to Act</w:t>
            </w:r>
          </w:p>
        </w:tc>
        <w:tc>
          <w:tcPr>
            <w:tcW w:w="440" w:type="dxa"/>
            <w:vAlign w:val="bottom"/>
          </w:tcPr>
          <w:p>
            <w:pPr>
              <w:jc w:val="right"/>
              <w:ind w:right="13"/>
              <w:spacing w:after="0"/>
              <w:rPr>
                <w:sz w:val="20"/>
                <w:szCs w:val="20"/>
                <w:color w:val="auto"/>
              </w:rPr>
            </w:pPr>
            <w:r>
              <w:rPr>
                <w:rFonts w:ascii="Times New Roman" w:cs="Times New Roman" w:eastAsia="Times New Roman" w:hAnsi="Times New Roman"/>
                <w:sz w:val="21"/>
                <w:szCs w:val="21"/>
                <w:color w:val="auto"/>
                <w:w w:val="95"/>
              </w:rPr>
              <w:t>134</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139"/>
          </w:cols>
          <w:pgMar w:left="320" w:top="1412" w:right="1440" w:bottom="1440" w:gutter="0" w:footer="0" w:header="0"/>
        </w:sect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0139"/>
          </w:cols>
          <w:pgMar w:left="320" w:top="1412" w:right="1440"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79"/>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11.8</w:t>
            </w:r>
          </w:p>
        </w:tc>
        <w:tc>
          <w:tcPr>
            <w:tcW w:w="7080" w:type="dxa"/>
            <w:vAlign w:val="bottom"/>
            <w:gridSpan w:val="9"/>
          </w:tcPr>
          <w:p>
            <w:pPr>
              <w:ind w:left="40"/>
              <w:spacing w:after="0"/>
              <w:rPr>
                <w:sz w:val="20"/>
                <w:szCs w:val="20"/>
                <w:color w:val="auto"/>
              </w:rPr>
            </w:pPr>
            <w:r>
              <w:rPr>
                <w:rFonts w:ascii="Times New Roman" w:cs="Times New Roman" w:eastAsia="Times New Roman" w:hAnsi="Times New Roman"/>
                <w:sz w:val="21"/>
                <w:szCs w:val="21"/>
                <w:color w:val="auto"/>
              </w:rPr>
              <w:t>Concerning the Collateral and the Related Financing Agreements  134</w:t>
            </w: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11.9</w:t>
            </w:r>
          </w:p>
        </w:tc>
        <w:tc>
          <w:tcPr>
            <w:tcW w:w="4820" w:type="dxa"/>
            <w:vAlign w:val="bottom"/>
            <w:gridSpan w:val="8"/>
          </w:tcPr>
          <w:p>
            <w:pPr>
              <w:ind w:left="40"/>
              <w:spacing w:after="0"/>
              <w:rPr>
                <w:sz w:val="20"/>
                <w:szCs w:val="20"/>
                <w:color w:val="auto"/>
              </w:rPr>
            </w:pPr>
            <w:r>
              <w:rPr>
                <w:rFonts w:ascii="Times New Roman" w:cs="Times New Roman" w:eastAsia="Times New Roman" w:hAnsi="Times New Roman"/>
                <w:sz w:val="21"/>
                <w:szCs w:val="21"/>
                <w:color w:val="auto"/>
              </w:rPr>
              <w:t>Reports and other Information; Disclaimer by Lenders</w:t>
            </w:r>
          </w:p>
        </w:tc>
        <w:tc>
          <w:tcPr>
            <w:tcW w:w="2260" w:type="dxa"/>
            <w:vAlign w:val="bottom"/>
          </w:tcPr>
          <w:p>
            <w:pPr>
              <w:jc w:val="right"/>
              <w:ind w:right="1733"/>
              <w:spacing w:after="0"/>
              <w:rPr>
                <w:sz w:val="20"/>
                <w:szCs w:val="20"/>
                <w:color w:val="auto"/>
              </w:rPr>
            </w:pPr>
            <w:r>
              <w:rPr>
                <w:rFonts w:ascii="Times New Roman" w:cs="Times New Roman" w:eastAsia="Times New Roman" w:hAnsi="Times New Roman"/>
                <w:sz w:val="21"/>
                <w:szCs w:val="21"/>
                <w:color w:val="auto"/>
              </w:rPr>
              <w:t>134</w:t>
            </w: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11.10</w:t>
            </w:r>
          </w:p>
        </w:tc>
        <w:tc>
          <w:tcPr>
            <w:tcW w:w="1760" w:type="dxa"/>
            <w:vAlign w:val="bottom"/>
            <w:gridSpan w:val="4"/>
          </w:tcPr>
          <w:p>
            <w:pPr>
              <w:ind w:left="140"/>
              <w:spacing w:after="0"/>
              <w:rPr>
                <w:sz w:val="20"/>
                <w:szCs w:val="20"/>
                <w:color w:val="auto"/>
              </w:rPr>
            </w:pPr>
            <w:r>
              <w:rPr>
                <w:rFonts w:ascii="Times New Roman" w:cs="Times New Roman" w:eastAsia="Times New Roman" w:hAnsi="Times New Roman"/>
                <w:sz w:val="21"/>
                <w:szCs w:val="21"/>
                <w:color w:val="auto"/>
              </w:rPr>
              <w:t>Collateral Matters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135</w:t>
            </w: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75"/>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11.11</w:t>
            </w:r>
          </w:p>
        </w:tc>
        <w:tc>
          <w:tcPr>
            <w:tcW w:w="4820" w:type="dxa"/>
            <w:vAlign w:val="bottom"/>
            <w:gridSpan w:val="8"/>
          </w:tcPr>
          <w:p>
            <w:pPr>
              <w:ind w:left="140"/>
              <w:spacing w:after="0"/>
              <w:rPr>
                <w:sz w:val="20"/>
                <w:szCs w:val="20"/>
                <w:color w:val="auto"/>
              </w:rPr>
            </w:pPr>
            <w:r>
              <w:rPr>
                <w:rFonts w:ascii="Times New Roman" w:cs="Times New Roman" w:eastAsia="Times New Roman" w:hAnsi="Times New Roman"/>
                <w:sz w:val="21"/>
                <w:szCs w:val="21"/>
                <w:color w:val="auto"/>
              </w:rPr>
              <w:t>Successor Agent and Resignation of Swingline Lender</w:t>
            </w:r>
          </w:p>
        </w:tc>
        <w:tc>
          <w:tcPr>
            <w:tcW w:w="2260" w:type="dxa"/>
            <w:vAlign w:val="bottom"/>
          </w:tcPr>
          <w:p>
            <w:pPr>
              <w:jc w:val="right"/>
              <w:ind w:right="1613"/>
              <w:spacing w:after="0"/>
              <w:rPr>
                <w:sz w:val="20"/>
                <w:szCs w:val="20"/>
                <w:color w:val="auto"/>
              </w:rPr>
            </w:pPr>
            <w:r>
              <w:rPr>
                <w:rFonts w:ascii="Times New Roman" w:cs="Times New Roman" w:eastAsia="Times New Roman" w:hAnsi="Times New Roman"/>
                <w:sz w:val="21"/>
                <w:szCs w:val="21"/>
                <w:color w:val="auto"/>
              </w:rPr>
              <w:t>137</w:t>
            </w: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11.12</w:t>
            </w:r>
          </w:p>
        </w:tc>
        <w:tc>
          <w:tcPr>
            <w:tcW w:w="3020" w:type="dxa"/>
            <w:vAlign w:val="bottom"/>
            <w:gridSpan w:val="7"/>
          </w:tcPr>
          <w:p>
            <w:pPr>
              <w:ind w:left="140"/>
              <w:spacing w:after="0"/>
              <w:rPr>
                <w:sz w:val="20"/>
                <w:szCs w:val="20"/>
                <w:color w:val="auto"/>
              </w:rPr>
            </w:pPr>
            <w:r>
              <w:rPr>
                <w:rFonts w:ascii="Times New Roman" w:cs="Times New Roman" w:eastAsia="Times New Roman" w:hAnsi="Times New Roman"/>
                <w:sz w:val="21"/>
                <w:szCs w:val="21"/>
                <w:color w:val="auto"/>
              </w:rPr>
              <w:t>Setoff and Sharing of Payments</w:t>
            </w:r>
          </w:p>
        </w:tc>
        <w:tc>
          <w:tcPr>
            <w:tcW w:w="1800" w:type="dxa"/>
            <w:vAlign w:val="bottom"/>
          </w:tcPr>
          <w:p>
            <w:pPr>
              <w:jc w:val="right"/>
              <w:ind w:right="1313"/>
              <w:spacing w:after="0"/>
              <w:rPr>
                <w:sz w:val="20"/>
                <w:szCs w:val="20"/>
                <w:color w:val="auto"/>
              </w:rPr>
            </w:pPr>
            <w:r>
              <w:rPr>
                <w:rFonts w:ascii="Times New Roman" w:cs="Times New Roman" w:eastAsia="Times New Roman" w:hAnsi="Times New Roman"/>
                <w:sz w:val="21"/>
                <w:szCs w:val="21"/>
                <w:color w:val="auto"/>
              </w:rPr>
              <w:t>138</w:t>
            </w:r>
          </w:p>
        </w:tc>
        <w:tc>
          <w:tcPr>
            <w:tcW w:w="2260" w:type="dxa"/>
            <w:vAlign w:val="bottom"/>
          </w:tcPr>
          <w:p>
            <w:pPr>
              <w:spacing w:after="0"/>
              <w:rPr>
                <w:sz w:val="24"/>
                <w:szCs w:val="24"/>
                <w:color w:val="auto"/>
              </w:rPr>
            </w:pP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11.13</w:t>
            </w:r>
          </w:p>
        </w:tc>
        <w:tc>
          <w:tcPr>
            <w:tcW w:w="4820" w:type="dxa"/>
            <w:vAlign w:val="bottom"/>
            <w:gridSpan w:val="8"/>
          </w:tcPr>
          <w:p>
            <w:pPr>
              <w:ind w:left="120"/>
              <w:spacing w:after="0"/>
              <w:rPr>
                <w:sz w:val="20"/>
                <w:szCs w:val="20"/>
                <w:color w:val="auto"/>
              </w:rPr>
            </w:pPr>
            <w:r>
              <w:rPr>
                <w:rFonts w:ascii="Times New Roman" w:cs="Times New Roman" w:eastAsia="Times New Roman" w:hAnsi="Times New Roman"/>
                <w:sz w:val="21"/>
                <w:szCs w:val="21"/>
                <w:color w:val="auto"/>
              </w:rPr>
              <w:t>Advances; Payments; Information; Actions in Concert</w:t>
            </w:r>
          </w:p>
        </w:tc>
        <w:tc>
          <w:tcPr>
            <w:tcW w:w="2260" w:type="dxa"/>
            <w:vAlign w:val="bottom"/>
          </w:tcPr>
          <w:p>
            <w:pPr>
              <w:jc w:val="right"/>
              <w:ind w:right="1653"/>
              <w:spacing w:after="0"/>
              <w:rPr>
                <w:sz w:val="20"/>
                <w:szCs w:val="20"/>
                <w:color w:val="auto"/>
              </w:rPr>
            </w:pPr>
            <w:r>
              <w:rPr>
                <w:rFonts w:ascii="Times New Roman" w:cs="Times New Roman" w:eastAsia="Times New Roman" w:hAnsi="Times New Roman"/>
                <w:sz w:val="21"/>
                <w:szCs w:val="21"/>
                <w:color w:val="auto"/>
              </w:rPr>
              <w:t>138</w:t>
            </w: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11.14</w:t>
            </w:r>
          </w:p>
        </w:tc>
        <w:tc>
          <w:tcPr>
            <w:tcW w:w="3020" w:type="dxa"/>
            <w:vAlign w:val="bottom"/>
            <w:gridSpan w:val="7"/>
          </w:tcPr>
          <w:p>
            <w:pPr>
              <w:ind w:left="120"/>
              <w:spacing w:after="0"/>
              <w:rPr>
                <w:sz w:val="20"/>
                <w:szCs w:val="20"/>
                <w:color w:val="auto"/>
              </w:rPr>
            </w:pPr>
            <w:r>
              <w:rPr>
                <w:rFonts w:ascii="Times New Roman" w:cs="Times New Roman" w:eastAsia="Times New Roman" w:hAnsi="Times New Roman"/>
                <w:sz w:val="21"/>
                <w:szCs w:val="21"/>
                <w:color w:val="auto"/>
              </w:rPr>
              <w:t>Approval of Lenders and Agent</w:t>
            </w:r>
          </w:p>
        </w:tc>
        <w:tc>
          <w:tcPr>
            <w:tcW w:w="1800" w:type="dxa"/>
            <w:vAlign w:val="bottom"/>
          </w:tcPr>
          <w:p>
            <w:pPr>
              <w:jc w:val="right"/>
              <w:ind w:right="1313"/>
              <w:spacing w:after="0"/>
              <w:rPr>
                <w:sz w:val="20"/>
                <w:szCs w:val="20"/>
                <w:color w:val="auto"/>
              </w:rPr>
            </w:pPr>
            <w:r>
              <w:rPr>
                <w:rFonts w:ascii="Times New Roman" w:cs="Times New Roman" w:eastAsia="Times New Roman" w:hAnsi="Times New Roman"/>
                <w:sz w:val="21"/>
                <w:szCs w:val="21"/>
                <w:color w:val="auto"/>
              </w:rPr>
              <w:t>141</w:t>
            </w:r>
          </w:p>
        </w:tc>
        <w:tc>
          <w:tcPr>
            <w:tcW w:w="2260" w:type="dxa"/>
            <w:vAlign w:val="bottom"/>
          </w:tcPr>
          <w:p>
            <w:pPr>
              <w:spacing w:after="0"/>
              <w:rPr>
                <w:sz w:val="24"/>
                <w:szCs w:val="24"/>
                <w:color w:val="auto"/>
              </w:rPr>
            </w:pP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11.15</w:t>
            </w:r>
          </w:p>
        </w:tc>
        <w:tc>
          <w:tcPr>
            <w:tcW w:w="2120" w:type="dxa"/>
            <w:vAlign w:val="bottom"/>
            <w:gridSpan w:val="5"/>
          </w:tcPr>
          <w:p>
            <w:pPr>
              <w:ind w:left="140"/>
              <w:spacing w:after="0"/>
              <w:rPr>
                <w:sz w:val="20"/>
                <w:szCs w:val="20"/>
                <w:color w:val="auto"/>
              </w:rPr>
            </w:pPr>
            <w:r>
              <w:rPr>
                <w:rFonts w:ascii="Times New Roman" w:cs="Times New Roman" w:eastAsia="Times New Roman" w:hAnsi="Times New Roman"/>
                <w:sz w:val="21"/>
                <w:szCs w:val="21"/>
                <w:color w:val="auto"/>
              </w:rPr>
              <w:t>Erroneous Payments</w:t>
            </w:r>
          </w:p>
        </w:tc>
        <w:tc>
          <w:tcPr>
            <w:tcW w:w="900" w:type="dxa"/>
            <w:vAlign w:val="bottom"/>
            <w:gridSpan w:val="2"/>
          </w:tcPr>
          <w:p>
            <w:pPr>
              <w:jc w:val="right"/>
              <w:ind w:right="473"/>
              <w:spacing w:after="0"/>
              <w:rPr>
                <w:sz w:val="20"/>
                <w:szCs w:val="20"/>
                <w:color w:val="auto"/>
              </w:rPr>
            </w:pPr>
            <w:r>
              <w:rPr>
                <w:rFonts w:ascii="Times New Roman" w:cs="Times New Roman" w:eastAsia="Times New Roman" w:hAnsi="Times New Roman"/>
                <w:sz w:val="21"/>
                <w:szCs w:val="21"/>
                <w:color w:val="auto"/>
                <w:w w:val="95"/>
              </w:rPr>
              <w:t>142</w:t>
            </w: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75"/>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11.16</w:t>
            </w:r>
          </w:p>
        </w:tc>
        <w:tc>
          <w:tcPr>
            <w:tcW w:w="720" w:type="dxa"/>
            <w:vAlign w:val="bottom"/>
          </w:tcPr>
          <w:p>
            <w:pPr>
              <w:ind w:left="140"/>
              <w:spacing w:after="0"/>
              <w:rPr>
                <w:sz w:val="20"/>
                <w:szCs w:val="20"/>
                <w:color w:val="auto"/>
              </w:rPr>
            </w:pPr>
            <w:r>
              <w:rPr>
                <w:rFonts w:ascii="Times New Roman" w:cs="Times New Roman" w:eastAsia="Times New Roman" w:hAnsi="Times New Roman"/>
                <w:sz w:val="21"/>
                <w:szCs w:val="21"/>
                <w:color w:val="auto"/>
              </w:rPr>
              <w:t>Rates</w:t>
            </w:r>
          </w:p>
        </w:tc>
        <w:tc>
          <w:tcPr>
            <w:tcW w:w="900" w:type="dxa"/>
            <w:vAlign w:val="bottom"/>
            <w:gridSpan w:val="2"/>
          </w:tcPr>
          <w:p>
            <w:pPr>
              <w:jc w:val="right"/>
              <w:ind w:right="353"/>
              <w:spacing w:after="0"/>
              <w:rPr>
                <w:sz w:val="20"/>
                <w:szCs w:val="20"/>
                <w:color w:val="auto"/>
              </w:rPr>
            </w:pPr>
            <w:r>
              <w:rPr>
                <w:rFonts w:ascii="Times New Roman" w:cs="Times New Roman" w:eastAsia="Times New Roman" w:hAnsi="Times New Roman"/>
                <w:sz w:val="21"/>
                <w:szCs w:val="21"/>
                <w:color w:val="auto"/>
              </w:rPr>
              <w:t>144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11.17</w:t>
            </w:r>
          </w:p>
        </w:tc>
        <w:tc>
          <w:tcPr>
            <w:tcW w:w="4820" w:type="dxa"/>
            <w:vAlign w:val="bottom"/>
            <w:gridSpan w:val="8"/>
          </w:tcPr>
          <w:p>
            <w:pPr>
              <w:ind w:left="140"/>
              <w:spacing w:after="0"/>
              <w:rPr>
                <w:sz w:val="20"/>
                <w:szCs w:val="20"/>
                <w:color w:val="auto"/>
              </w:rPr>
            </w:pPr>
            <w:r>
              <w:rPr>
                <w:rFonts w:ascii="Times New Roman" w:cs="Times New Roman" w:eastAsia="Times New Roman" w:hAnsi="Times New Roman"/>
                <w:sz w:val="21"/>
                <w:szCs w:val="21"/>
                <w:color w:val="auto"/>
              </w:rPr>
              <w:t>Exchange Rates; Currency Equivalents  144</w:t>
            </w:r>
          </w:p>
        </w:tc>
        <w:tc>
          <w:tcPr>
            <w:tcW w:w="2260" w:type="dxa"/>
            <w:vAlign w:val="bottom"/>
          </w:tcPr>
          <w:p>
            <w:pPr>
              <w:spacing w:after="0"/>
              <w:rPr>
                <w:sz w:val="24"/>
                <w:szCs w:val="24"/>
                <w:color w:val="auto"/>
              </w:rPr>
            </w:pPr>
          </w:p>
        </w:tc>
      </w:tr>
      <w:tr>
        <w:trPr>
          <w:trHeight w:val="362"/>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ARTICLE 12</w:t>
            </w:r>
          </w:p>
        </w:tc>
        <w:tc>
          <w:tcPr>
            <w:tcW w:w="4820" w:type="dxa"/>
            <w:vAlign w:val="bottom"/>
            <w:gridSpan w:val="8"/>
          </w:tcPr>
          <w:p>
            <w:pPr>
              <w:ind w:left="180"/>
              <w:spacing w:after="0"/>
              <w:rPr>
                <w:sz w:val="20"/>
                <w:szCs w:val="20"/>
                <w:color w:val="auto"/>
              </w:rPr>
            </w:pPr>
            <w:r>
              <w:rPr>
                <w:rFonts w:ascii="Times New Roman" w:cs="Times New Roman" w:eastAsia="Times New Roman" w:hAnsi="Times New Roman"/>
                <w:sz w:val="21"/>
                <w:szCs w:val="21"/>
                <w:color w:val="auto"/>
              </w:rPr>
              <w:t>GOVERNING LAW; JURISDICTION, ETC  145</w:t>
            </w:r>
          </w:p>
        </w:tc>
        <w:tc>
          <w:tcPr>
            <w:tcW w:w="2260" w:type="dxa"/>
            <w:vAlign w:val="bottom"/>
          </w:tcPr>
          <w:p>
            <w:pPr>
              <w:spacing w:after="0"/>
              <w:rPr>
                <w:sz w:val="24"/>
                <w:szCs w:val="24"/>
                <w:color w:val="auto"/>
              </w:rPr>
            </w:pP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12.1</w:t>
            </w:r>
          </w:p>
        </w:tc>
        <w:tc>
          <w:tcPr>
            <w:tcW w:w="3020" w:type="dxa"/>
            <w:vAlign w:val="bottom"/>
            <w:gridSpan w:val="7"/>
          </w:tcPr>
          <w:p>
            <w:pPr>
              <w:ind w:left="40"/>
              <w:spacing w:after="0"/>
              <w:rPr>
                <w:sz w:val="20"/>
                <w:szCs w:val="20"/>
                <w:color w:val="auto"/>
              </w:rPr>
            </w:pPr>
            <w:r>
              <w:rPr>
                <w:rFonts w:ascii="Times New Roman" w:cs="Times New Roman" w:eastAsia="Times New Roman" w:hAnsi="Times New Roman"/>
                <w:sz w:val="21"/>
                <w:szCs w:val="21"/>
                <w:color w:val="auto"/>
              </w:rPr>
              <w:t>Governing Law; Jurisdiction, Etc.</w:t>
            </w:r>
          </w:p>
        </w:tc>
        <w:tc>
          <w:tcPr>
            <w:tcW w:w="1800" w:type="dxa"/>
            <w:vAlign w:val="bottom"/>
          </w:tcPr>
          <w:p>
            <w:pPr>
              <w:jc w:val="right"/>
              <w:ind w:right="1233"/>
              <w:spacing w:after="0"/>
              <w:rPr>
                <w:sz w:val="20"/>
                <w:szCs w:val="20"/>
                <w:color w:val="auto"/>
              </w:rPr>
            </w:pPr>
            <w:r>
              <w:rPr>
                <w:rFonts w:ascii="Times New Roman" w:cs="Times New Roman" w:eastAsia="Times New Roman" w:hAnsi="Times New Roman"/>
                <w:sz w:val="21"/>
                <w:szCs w:val="21"/>
                <w:color w:val="auto"/>
              </w:rPr>
              <w:t>145</w:t>
            </w:r>
          </w:p>
        </w:tc>
        <w:tc>
          <w:tcPr>
            <w:tcW w:w="2260" w:type="dxa"/>
            <w:vAlign w:val="bottom"/>
          </w:tcPr>
          <w:p>
            <w:pPr>
              <w:spacing w:after="0"/>
              <w:rPr>
                <w:sz w:val="24"/>
                <w:szCs w:val="24"/>
                <w:color w:val="auto"/>
              </w:rPr>
            </w:pP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12.2</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Waiver of Notices</w:t>
            </w:r>
          </w:p>
        </w:tc>
        <w:tc>
          <w:tcPr>
            <w:tcW w:w="140" w:type="dxa"/>
            <w:vAlign w:val="bottom"/>
          </w:tcPr>
          <w:p>
            <w:pPr>
              <w:spacing w:after="0"/>
              <w:rPr>
                <w:sz w:val="24"/>
                <w:szCs w:val="24"/>
                <w:color w:val="auto"/>
              </w:rPr>
            </w:pPr>
          </w:p>
        </w:tc>
        <w:tc>
          <w:tcPr>
            <w:tcW w:w="540" w:type="dxa"/>
            <w:vAlign w:val="bottom"/>
            <w:gridSpan w:val="2"/>
          </w:tcPr>
          <w:p>
            <w:pPr>
              <w:jc w:val="right"/>
              <w:ind w:right="73"/>
              <w:spacing w:after="0"/>
              <w:rPr>
                <w:sz w:val="20"/>
                <w:szCs w:val="20"/>
                <w:color w:val="auto"/>
              </w:rPr>
            </w:pPr>
            <w:r>
              <w:rPr>
                <w:rFonts w:ascii="Times New Roman" w:cs="Times New Roman" w:eastAsia="Times New Roman" w:hAnsi="Times New Roman"/>
                <w:sz w:val="21"/>
                <w:szCs w:val="21"/>
                <w:color w:val="auto"/>
              </w:rPr>
              <w:t>147</w:t>
            </w: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12.3</w:t>
            </w:r>
          </w:p>
        </w:tc>
        <w:tc>
          <w:tcPr>
            <w:tcW w:w="2300" w:type="dxa"/>
            <w:vAlign w:val="bottom"/>
            <w:gridSpan w:val="6"/>
          </w:tcPr>
          <w:p>
            <w:pPr>
              <w:ind w:left="20"/>
              <w:spacing w:after="0"/>
              <w:rPr>
                <w:sz w:val="20"/>
                <w:szCs w:val="20"/>
                <w:color w:val="auto"/>
              </w:rPr>
            </w:pPr>
            <w:r>
              <w:rPr>
                <w:rFonts w:ascii="Times New Roman" w:cs="Times New Roman" w:eastAsia="Times New Roman" w:hAnsi="Times New Roman"/>
                <w:sz w:val="21"/>
                <w:szCs w:val="21"/>
                <w:color w:val="auto"/>
              </w:rPr>
              <w:t>Amendments and Waivers</w:t>
            </w:r>
          </w:p>
        </w:tc>
        <w:tc>
          <w:tcPr>
            <w:tcW w:w="720" w:type="dxa"/>
            <w:vAlign w:val="bottom"/>
          </w:tcPr>
          <w:p>
            <w:pPr>
              <w:jc w:val="right"/>
              <w:ind w:right="93"/>
              <w:spacing w:after="0"/>
              <w:rPr>
                <w:sz w:val="20"/>
                <w:szCs w:val="20"/>
                <w:color w:val="auto"/>
              </w:rPr>
            </w:pPr>
            <w:r>
              <w:rPr>
                <w:rFonts w:ascii="Times New Roman" w:cs="Times New Roman" w:eastAsia="Times New Roman" w:hAnsi="Times New Roman"/>
                <w:sz w:val="21"/>
                <w:szCs w:val="21"/>
                <w:color w:val="auto"/>
              </w:rPr>
              <w:t>147</w:t>
            </w: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75"/>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12.4</w:t>
            </w:r>
          </w:p>
        </w:tc>
        <w:tc>
          <w:tcPr>
            <w:tcW w:w="2120" w:type="dxa"/>
            <w:vAlign w:val="bottom"/>
            <w:gridSpan w:val="5"/>
          </w:tcPr>
          <w:p>
            <w:pPr>
              <w:ind w:left="40"/>
              <w:spacing w:after="0"/>
              <w:rPr>
                <w:sz w:val="20"/>
                <w:szCs w:val="20"/>
                <w:color w:val="auto"/>
              </w:rPr>
            </w:pPr>
            <w:r>
              <w:rPr>
                <w:rFonts w:ascii="Times New Roman" w:cs="Times New Roman" w:eastAsia="Times New Roman" w:hAnsi="Times New Roman"/>
                <w:sz w:val="21"/>
                <w:szCs w:val="21"/>
                <w:color w:val="auto"/>
              </w:rPr>
              <w:t>Waiver of Counterclaim</w:t>
            </w:r>
          </w:p>
        </w:tc>
        <w:tc>
          <w:tcPr>
            <w:tcW w:w="180" w:type="dxa"/>
            <w:vAlign w:val="bottom"/>
          </w:tcPr>
          <w:p>
            <w:pPr>
              <w:spacing w:after="0"/>
              <w:rPr>
                <w:sz w:val="24"/>
                <w:szCs w:val="24"/>
                <w:color w:val="auto"/>
              </w:rPr>
            </w:pPr>
          </w:p>
        </w:tc>
        <w:tc>
          <w:tcPr>
            <w:tcW w:w="720" w:type="dxa"/>
            <w:vAlign w:val="bottom"/>
          </w:tcPr>
          <w:p>
            <w:pPr>
              <w:jc w:val="right"/>
              <w:ind w:right="273"/>
              <w:spacing w:after="0"/>
              <w:rPr>
                <w:sz w:val="20"/>
                <w:szCs w:val="20"/>
                <w:color w:val="auto"/>
              </w:rPr>
            </w:pPr>
            <w:r>
              <w:rPr>
                <w:rFonts w:ascii="Times New Roman" w:cs="Times New Roman" w:eastAsia="Times New Roman" w:hAnsi="Times New Roman"/>
                <w:sz w:val="21"/>
                <w:szCs w:val="21"/>
                <w:color w:val="auto"/>
              </w:rPr>
              <w:t>147</w:t>
            </w: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12.5</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Indemnification</w:t>
            </w:r>
          </w:p>
        </w:tc>
        <w:tc>
          <w:tcPr>
            <w:tcW w:w="500" w:type="dxa"/>
            <w:vAlign w:val="bottom"/>
            <w:gridSpan w:val="2"/>
          </w:tcPr>
          <w:p>
            <w:pPr>
              <w:jc w:val="right"/>
              <w:ind w:right="73"/>
              <w:spacing w:after="0"/>
              <w:rPr>
                <w:sz w:val="20"/>
                <w:szCs w:val="20"/>
                <w:color w:val="auto"/>
              </w:rPr>
            </w:pPr>
            <w:r>
              <w:rPr>
                <w:rFonts w:ascii="Times New Roman" w:cs="Times New Roman" w:eastAsia="Times New Roman" w:hAnsi="Times New Roman"/>
                <w:sz w:val="21"/>
                <w:szCs w:val="21"/>
                <w:color w:val="auto"/>
                <w:w w:val="95"/>
              </w:rPr>
              <w:t>147</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12.6</w:t>
            </w: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21"/>
                <w:szCs w:val="21"/>
                <w:color w:val="auto"/>
              </w:rPr>
              <w:t>Costs and Expenses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148</w:t>
            </w: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12.7</w:t>
            </w: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21"/>
                <w:szCs w:val="21"/>
                <w:color w:val="auto"/>
              </w:rPr>
              <w:t>Further Assurances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149</w:t>
            </w: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2"/>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ARTICLE 13</w:t>
            </w:r>
          </w:p>
        </w:tc>
        <w:tc>
          <w:tcPr>
            <w:tcW w:w="2120" w:type="dxa"/>
            <w:vAlign w:val="bottom"/>
            <w:gridSpan w:val="5"/>
          </w:tcPr>
          <w:p>
            <w:pPr>
              <w:ind w:left="180"/>
              <w:spacing w:after="0"/>
              <w:rPr>
                <w:sz w:val="20"/>
                <w:szCs w:val="20"/>
                <w:color w:val="auto"/>
              </w:rPr>
            </w:pPr>
            <w:r>
              <w:rPr>
                <w:rFonts w:ascii="Times New Roman" w:cs="Times New Roman" w:eastAsia="Times New Roman" w:hAnsi="Times New Roman"/>
                <w:sz w:val="21"/>
                <w:szCs w:val="21"/>
                <w:color w:val="auto"/>
              </w:rPr>
              <w:t>MISCELLANEOUS</w:t>
            </w:r>
          </w:p>
        </w:tc>
        <w:tc>
          <w:tcPr>
            <w:tcW w:w="900" w:type="dxa"/>
            <w:vAlign w:val="bottom"/>
            <w:gridSpan w:val="2"/>
          </w:tcPr>
          <w:p>
            <w:pPr>
              <w:jc w:val="right"/>
              <w:ind w:right="413"/>
              <w:spacing w:after="0"/>
              <w:rPr>
                <w:sz w:val="20"/>
                <w:szCs w:val="20"/>
                <w:color w:val="auto"/>
              </w:rPr>
            </w:pPr>
            <w:r>
              <w:rPr>
                <w:rFonts w:ascii="Times New Roman" w:cs="Times New Roman" w:eastAsia="Times New Roman" w:hAnsi="Times New Roman"/>
                <w:sz w:val="21"/>
                <w:szCs w:val="21"/>
                <w:color w:val="auto"/>
              </w:rPr>
              <w:t>149</w:t>
            </w: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75"/>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13.1</w:t>
            </w:r>
          </w:p>
        </w:tc>
        <w:tc>
          <w:tcPr>
            <w:tcW w:w="72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Notice</w:t>
            </w:r>
          </w:p>
        </w:tc>
        <w:tc>
          <w:tcPr>
            <w:tcW w:w="900" w:type="dxa"/>
            <w:vAlign w:val="bottom"/>
            <w:gridSpan w:val="2"/>
          </w:tcPr>
          <w:p>
            <w:pPr>
              <w:jc w:val="right"/>
              <w:ind w:right="373"/>
              <w:spacing w:after="0"/>
              <w:rPr>
                <w:sz w:val="20"/>
                <w:szCs w:val="20"/>
                <w:color w:val="auto"/>
              </w:rPr>
            </w:pPr>
            <w:r>
              <w:rPr>
                <w:rFonts w:ascii="Times New Roman" w:cs="Times New Roman" w:eastAsia="Times New Roman" w:hAnsi="Times New Roman"/>
                <w:sz w:val="21"/>
                <w:szCs w:val="21"/>
                <w:color w:val="auto"/>
              </w:rPr>
              <w:t>149</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13.2</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Partial Invalidity</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150</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13.3</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Successors</w:t>
            </w:r>
          </w:p>
        </w:tc>
        <w:tc>
          <w:tcPr>
            <w:tcW w:w="6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150</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13.4</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Entire Agreement</w:t>
            </w:r>
          </w:p>
        </w:tc>
        <w:tc>
          <w:tcPr>
            <w:tcW w:w="1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151</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13.5</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21"/>
                <w:szCs w:val="21"/>
                <w:color w:val="auto"/>
              </w:rPr>
              <w:t>Headings</w:t>
            </w: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21"/>
                <w:szCs w:val="21"/>
                <w:color w:val="auto"/>
              </w:rPr>
              <w:t>151</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75"/>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13.6</w:t>
            </w:r>
          </w:p>
        </w:tc>
        <w:tc>
          <w:tcPr>
            <w:tcW w:w="1760" w:type="dxa"/>
            <w:vAlign w:val="bottom"/>
            <w:gridSpan w:val="4"/>
          </w:tcPr>
          <w:p>
            <w:pPr>
              <w:ind w:left="40"/>
              <w:spacing w:after="0"/>
              <w:rPr>
                <w:sz w:val="20"/>
                <w:szCs w:val="20"/>
                <w:color w:val="auto"/>
              </w:rPr>
            </w:pPr>
            <w:r>
              <w:rPr>
                <w:rFonts w:ascii="Times New Roman" w:cs="Times New Roman" w:eastAsia="Times New Roman" w:hAnsi="Times New Roman"/>
                <w:sz w:val="21"/>
                <w:szCs w:val="21"/>
                <w:color w:val="auto"/>
              </w:rPr>
              <w:t>Judgment Currency</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151</w:t>
            </w: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13.7</w:t>
            </w:r>
          </w:p>
        </w:tc>
        <w:tc>
          <w:tcPr>
            <w:tcW w:w="7080" w:type="dxa"/>
            <w:vAlign w:val="bottom"/>
            <w:gridSpan w:val="9"/>
          </w:tcPr>
          <w:p>
            <w:pPr>
              <w:ind w:left="40"/>
              <w:spacing w:after="0"/>
              <w:rPr>
                <w:sz w:val="20"/>
                <w:szCs w:val="20"/>
                <w:color w:val="auto"/>
              </w:rPr>
            </w:pPr>
            <w:r>
              <w:rPr>
                <w:rFonts w:ascii="Times New Roman" w:cs="Times New Roman" w:eastAsia="Times New Roman" w:hAnsi="Times New Roman"/>
                <w:sz w:val="21"/>
                <w:szCs w:val="21"/>
                <w:color w:val="auto"/>
              </w:rPr>
              <w:t>Counterparts and Facsimile; Electronic Execution  151</w:t>
            </w: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13.8</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21"/>
                <w:szCs w:val="21"/>
                <w:color w:val="auto"/>
              </w:rPr>
              <w:t>Patriot Act Notice</w:t>
            </w:r>
          </w:p>
        </w:tc>
        <w:tc>
          <w:tcPr>
            <w:tcW w:w="140" w:type="dxa"/>
            <w:vAlign w:val="bottom"/>
          </w:tcPr>
          <w:p>
            <w:pPr>
              <w:spacing w:after="0"/>
              <w:rPr>
                <w:sz w:val="24"/>
                <w:szCs w:val="24"/>
                <w:color w:val="auto"/>
              </w:rPr>
            </w:pPr>
          </w:p>
        </w:tc>
        <w:tc>
          <w:tcPr>
            <w:tcW w:w="540" w:type="dxa"/>
            <w:vAlign w:val="bottom"/>
            <w:gridSpan w:val="2"/>
          </w:tcPr>
          <w:p>
            <w:pPr>
              <w:jc w:val="right"/>
              <w:ind w:right="53"/>
              <w:spacing w:after="0"/>
              <w:rPr>
                <w:sz w:val="20"/>
                <w:szCs w:val="20"/>
                <w:color w:val="auto"/>
              </w:rPr>
            </w:pPr>
            <w:r>
              <w:rPr>
                <w:rFonts w:ascii="Times New Roman" w:cs="Times New Roman" w:eastAsia="Times New Roman" w:hAnsi="Times New Roman"/>
                <w:sz w:val="21"/>
                <w:szCs w:val="21"/>
                <w:color w:val="auto"/>
              </w:rPr>
              <w:t>152</w:t>
            </w: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13.9</w:t>
            </w:r>
          </w:p>
        </w:tc>
        <w:tc>
          <w:tcPr>
            <w:tcW w:w="7080" w:type="dxa"/>
            <w:vAlign w:val="bottom"/>
            <w:gridSpan w:val="9"/>
          </w:tcPr>
          <w:p>
            <w:pPr>
              <w:ind w:left="20"/>
              <w:spacing w:after="0"/>
              <w:rPr>
                <w:sz w:val="20"/>
                <w:szCs w:val="20"/>
                <w:color w:val="auto"/>
              </w:rPr>
            </w:pPr>
            <w:r>
              <w:rPr>
                <w:rFonts w:ascii="Times New Roman" w:cs="Times New Roman" w:eastAsia="Times New Roman" w:hAnsi="Times New Roman"/>
                <w:sz w:val="21"/>
                <w:szCs w:val="21"/>
                <w:color w:val="auto"/>
              </w:rPr>
              <w:t>Acknowledgement and Consent to Bail-In of Affected Financial Institutions  152</w:t>
            </w: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13.10</w:t>
            </w:r>
          </w:p>
        </w:tc>
        <w:tc>
          <w:tcPr>
            <w:tcW w:w="4820" w:type="dxa"/>
            <w:vAlign w:val="bottom"/>
            <w:gridSpan w:val="8"/>
          </w:tcPr>
          <w:p>
            <w:pPr>
              <w:ind w:left="140"/>
              <w:spacing w:after="0"/>
              <w:rPr>
                <w:sz w:val="20"/>
                <w:szCs w:val="20"/>
                <w:color w:val="auto"/>
              </w:rPr>
            </w:pPr>
            <w:r>
              <w:rPr>
                <w:rFonts w:ascii="Times New Roman" w:cs="Times New Roman" w:eastAsia="Times New Roman" w:hAnsi="Times New Roman"/>
                <w:sz w:val="21"/>
                <w:szCs w:val="21"/>
                <w:color w:val="auto"/>
              </w:rPr>
              <w:t>Acknowledgement Regarding Any Supported QFCs</w:t>
            </w:r>
          </w:p>
        </w:tc>
        <w:tc>
          <w:tcPr>
            <w:tcW w:w="2260" w:type="dxa"/>
            <w:vAlign w:val="bottom"/>
          </w:tcPr>
          <w:p>
            <w:pPr>
              <w:jc w:val="right"/>
              <w:ind w:right="1813"/>
              <w:spacing w:after="0"/>
              <w:rPr>
                <w:sz w:val="20"/>
                <w:szCs w:val="20"/>
                <w:color w:val="auto"/>
              </w:rPr>
            </w:pPr>
            <w:r>
              <w:rPr>
                <w:rFonts w:ascii="Times New Roman" w:cs="Times New Roman" w:eastAsia="Times New Roman" w:hAnsi="Times New Roman"/>
                <w:sz w:val="21"/>
                <w:szCs w:val="21"/>
                <w:color w:val="auto"/>
              </w:rPr>
              <w:t>153</w:t>
            </w: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13.11</w:t>
            </w: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rPr>
              <w:t>Divisions</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21"/>
                <w:szCs w:val="21"/>
                <w:color w:val="auto"/>
              </w:rPr>
              <w:t>154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375"/>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13.12</w:t>
            </w:r>
          </w:p>
        </w:tc>
        <w:tc>
          <w:tcPr>
            <w:tcW w:w="2300" w:type="dxa"/>
            <w:vAlign w:val="bottom"/>
            <w:gridSpan w:val="6"/>
          </w:tcPr>
          <w:p>
            <w:pPr>
              <w:ind w:left="140"/>
              <w:spacing w:after="0"/>
              <w:rPr>
                <w:sz w:val="20"/>
                <w:szCs w:val="20"/>
                <w:color w:val="auto"/>
              </w:rPr>
            </w:pPr>
            <w:r>
              <w:rPr>
                <w:rFonts w:ascii="Times New Roman" w:cs="Times New Roman" w:eastAsia="Times New Roman" w:hAnsi="Times New Roman"/>
                <w:sz w:val="21"/>
                <w:szCs w:val="21"/>
                <w:color w:val="auto"/>
              </w:rPr>
              <w:t>Certain ERISA Matters</w:t>
            </w:r>
          </w:p>
        </w:tc>
        <w:tc>
          <w:tcPr>
            <w:tcW w:w="720" w:type="dxa"/>
            <w:vAlign w:val="bottom"/>
          </w:tcPr>
          <w:p>
            <w:pPr>
              <w:jc w:val="right"/>
              <w:ind w:right="213"/>
              <w:spacing w:after="0"/>
              <w:rPr>
                <w:sz w:val="20"/>
                <w:szCs w:val="20"/>
                <w:color w:val="auto"/>
              </w:rPr>
            </w:pPr>
            <w:r>
              <w:rPr>
                <w:rFonts w:ascii="Times New Roman" w:cs="Times New Roman" w:eastAsia="Times New Roman" w:hAnsi="Times New Roman"/>
                <w:sz w:val="21"/>
                <w:szCs w:val="21"/>
                <w:color w:val="auto"/>
              </w:rPr>
              <w:t>154</w:t>
            </w:r>
          </w:p>
        </w:tc>
        <w:tc>
          <w:tcPr>
            <w:tcW w:w="18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139"/>
          </w:cols>
          <w:pgMar w:left="320" w:top="1412" w:right="1440" w:bottom="1440" w:gutter="0" w:footer="0" w:header="0"/>
        </w:sect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0139"/>
          </w:cols>
          <w:pgMar w:left="320" w:top="1412" w:right="1440"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79"/>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13.13</w:t>
            </w:r>
          </w:p>
        </w:tc>
        <w:tc>
          <w:tcPr>
            <w:tcW w:w="4920" w:type="dxa"/>
            <w:vAlign w:val="bottom"/>
            <w:gridSpan w:val="2"/>
          </w:tcPr>
          <w:p>
            <w:pPr>
              <w:ind w:left="140"/>
              <w:spacing w:after="0"/>
              <w:rPr>
                <w:sz w:val="20"/>
                <w:szCs w:val="20"/>
                <w:color w:val="auto"/>
              </w:rPr>
            </w:pPr>
            <w:r>
              <w:rPr>
                <w:rFonts w:ascii="Times New Roman" w:cs="Times New Roman" w:eastAsia="Times New Roman" w:hAnsi="Times New Roman"/>
                <w:sz w:val="21"/>
                <w:szCs w:val="21"/>
                <w:color w:val="auto"/>
              </w:rPr>
              <w:t>Limited Condition Acquisitions  156</w:t>
            </w:r>
          </w:p>
        </w:tc>
      </w:tr>
      <w:tr>
        <w:trPr>
          <w:trHeight w:val="362"/>
        </w:trPr>
        <w:tc>
          <w:tcPr>
            <w:tcW w:w="1200" w:type="dxa"/>
            <w:vAlign w:val="bottom"/>
          </w:tcPr>
          <w:p>
            <w:pPr>
              <w:spacing w:after="0"/>
              <w:rPr>
                <w:sz w:val="20"/>
                <w:szCs w:val="20"/>
                <w:color w:val="auto"/>
              </w:rPr>
            </w:pPr>
            <w:r>
              <w:rPr>
                <w:rFonts w:ascii="Times New Roman" w:cs="Times New Roman" w:eastAsia="Times New Roman" w:hAnsi="Times New Roman"/>
                <w:sz w:val="21"/>
                <w:szCs w:val="21"/>
                <w:color w:val="auto"/>
              </w:rPr>
              <w:t>ARTICLE 14</w:t>
            </w:r>
          </w:p>
        </w:tc>
        <w:tc>
          <w:tcPr>
            <w:tcW w:w="492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ACKNOWLEDGMENT AND RESTATEMENT  158</w:t>
            </w: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14.1</w:t>
            </w:r>
          </w:p>
        </w:tc>
        <w:tc>
          <w:tcPr>
            <w:tcW w:w="114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[Reserved]</w:t>
            </w:r>
          </w:p>
        </w:tc>
        <w:tc>
          <w:tcPr>
            <w:tcW w:w="3780" w:type="dxa"/>
            <w:vAlign w:val="bottom"/>
          </w:tcPr>
          <w:p>
            <w:pPr>
              <w:jc w:val="right"/>
              <w:ind w:right="3293"/>
              <w:spacing w:after="0"/>
              <w:rPr>
                <w:sz w:val="20"/>
                <w:szCs w:val="20"/>
                <w:color w:val="auto"/>
              </w:rPr>
            </w:pPr>
            <w:r>
              <w:rPr>
                <w:rFonts w:ascii="Times New Roman" w:cs="Times New Roman" w:eastAsia="Times New Roman" w:hAnsi="Times New Roman"/>
                <w:sz w:val="21"/>
                <w:szCs w:val="21"/>
                <w:color w:val="auto"/>
              </w:rPr>
              <w:t>158</w:t>
            </w:r>
          </w:p>
        </w:tc>
      </w:tr>
      <w:tr>
        <w:trPr>
          <w:trHeight w:val="375"/>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14.2</w:t>
            </w:r>
          </w:p>
        </w:tc>
        <w:tc>
          <w:tcPr>
            <w:tcW w:w="492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Acknowledgment of Security Interests  158</w:t>
            </w: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14.3</w:t>
            </w:r>
          </w:p>
        </w:tc>
        <w:tc>
          <w:tcPr>
            <w:tcW w:w="114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[Reserved]</w:t>
            </w:r>
          </w:p>
        </w:tc>
        <w:tc>
          <w:tcPr>
            <w:tcW w:w="3780" w:type="dxa"/>
            <w:vAlign w:val="bottom"/>
          </w:tcPr>
          <w:p>
            <w:pPr>
              <w:jc w:val="right"/>
              <w:ind w:right="3293"/>
              <w:spacing w:after="0"/>
              <w:rPr>
                <w:sz w:val="20"/>
                <w:szCs w:val="20"/>
                <w:color w:val="auto"/>
              </w:rPr>
            </w:pPr>
            <w:r>
              <w:rPr>
                <w:rFonts w:ascii="Times New Roman" w:cs="Times New Roman" w:eastAsia="Times New Roman" w:hAnsi="Times New Roman"/>
                <w:sz w:val="21"/>
                <w:szCs w:val="21"/>
                <w:color w:val="auto"/>
              </w:rPr>
              <w:t>158</w:t>
            </w:r>
          </w:p>
        </w:tc>
      </w:tr>
      <w:tr>
        <w:trPr>
          <w:trHeight w:val="362"/>
        </w:trPr>
        <w:tc>
          <w:tcPr>
            <w:tcW w:w="1200" w:type="dxa"/>
            <w:vAlign w:val="bottom"/>
          </w:tcPr>
          <w:p>
            <w:pPr>
              <w:ind w:left="660"/>
              <w:spacing w:after="0"/>
              <w:rPr>
                <w:sz w:val="20"/>
                <w:szCs w:val="20"/>
                <w:color w:val="auto"/>
              </w:rPr>
            </w:pPr>
            <w:r>
              <w:rPr>
                <w:rFonts w:ascii="Times New Roman" w:cs="Times New Roman" w:eastAsia="Times New Roman" w:hAnsi="Times New Roman"/>
                <w:sz w:val="21"/>
                <w:szCs w:val="21"/>
                <w:color w:val="auto"/>
              </w:rPr>
              <w:t>14.4</w:t>
            </w:r>
          </w:p>
        </w:tc>
        <w:tc>
          <w:tcPr>
            <w:tcW w:w="1140" w:type="dxa"/>
            <w:vAlign w:val="bottom"/>
          </w:tcPr>
          <w:p>
            <w:pPr>
              <w:ind w:left="40"/>
              <w:spacing w:after="0"/>
              <w:rPr>
                <w:sz w:val="20"/>
                <w:szCs w:val="20"/>
                <w:color w:val="auto"/>
              </w:rPr>
            </w:pPr>
            <w:r>
              <w:rPr>
                <w:rFonts w:ascii="Times New Roman" w:cs="Times New Roman" w:eastAsia="Times New Roman" w:hAnsi="Times New Roman"/>
                <w:sz w:val="21"/>
                <w:szCs w:val="21"/>
                <w:color w:val="auto"/>
              </w:rPr>
              <w:t>Restatement</w:t>
            </w:r>
          </w:p>
        </w:tc>
        <w:tc>
          <w:tcPr>
            <w:tcW w:w="3780" w:type="dxa"/>
            <w:vAlign w:val="bottom"/>
          </w:tcPr>
          <w:p>
            <w:pPr>
              <w:jc w:val="right"/>
              <w:ind w:right="3173"/>
              <w:spacing w:after="0"/>
              <w:rPr>
                <w:sz w:val="20"/>
                <w:szCs w:val="20"/>
                <w:color w:val="auto"/>
              </w:rPr>
            </w:pPr>
            <w:r>
              <w:rPr>
                <w:rFonts w:ascii="Times New Roman" w:cs="Times New Roman" w:eastAsia="Times New Roman" w:hAnsi="Times New Roman"/>
                <w:sz w:val="21"/>
                <w:szCs w:val="21"/>
                <w:color w:val="auto"/>
              </w:rPr>
              <w:t>158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0139"/>
          </w:cols>
          <w:pgMar w:left="320" w:top="1412" w:right="1440" w:bottom="1440" w:gutter="0" w:footer="0" w:header="0"/>
        </w:sectPr>
      </w:pPr>
    </w:p>
    <w:bookmarkStart w:id="78" w:name="page79"/>
    <w:bookmarkEnd w:id="78"/>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INDEX TO</w:t>
      </w:r>
    </w:p>
    <w:p>
      <w:pPr>
        <w:spacing w:after="0" w:line="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EXHIBITS AND SCHEDULES</w:t>
      </w:r>
    </w:p>
    <w:p>
      <w:pPr>
        <w:sectPr>
          <w:pgSz w:w="11900" w:h="16838" w:orient="portrait"/>
          <w:cols w:equalWidth="0" w:num="1">
            <w:col w:w="10139"/>
          </w:cols>
          <w:pgMar w:left="320" w:top="140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Exhibit A</w:t>
      </w:r>
    </w:p>
    <w:p>
      <w:pPr>
        <w:spacing w:after="0" w:line="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Exhibit B</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Exhibit C</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Exhibit D</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Exhibit E</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Exhibit F</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Exhibit G</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Schedule 6.1</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Schedule 7.16</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Schedule 8.2</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Schedule 8.3(d)</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Schedule 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Assignment and Assumption Agreement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Compliance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Omnibus Information Certificate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Notice of Borrowing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Notice of Conversion/Continuation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Form of Notice of Prepayment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Revolving Loan Commitments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Corporate Structure Chart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Post-Closing Matters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Existing Liens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Existing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Existing Loans and Advances</w:t>
      </w:r>
    </w:p>
    <w:p>
      <w:pPr>
        <w:spacing w:after="0" w:line="200" w:lineRule="exact"/>
        <w:rPr>
          <w:sz w:val="20"/>
          <w:szCs w:val="20"/>
          <w:color w:val="auto"/>
        </w:rPr>
      </w:pPr>
    </w:p>
    <w:p>
      <w:pPr>
        <w:sectPr>
          <w:pgSz w:w="11900" w:h="16838" w:orient="portrait"/>
          <w:cols w:equalWidth="0" w:num="2">
            <w:col w:w="3060" w:space="720"/>
            <w:col w:w="6359"/>
          </w:cols>
          <w:pgMar w:left="320" w:top="140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vi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0139"/>
          </w:cols>
          <w:pgMar w:left="320" w:top="1408" w:right="1440" w:bottom="144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21"/>
          <w:szCs w:val="21"/>
          <w:b w:val="1"/>
          <w:bCs w:val="1"/>
          <w:color w:val="auto"/>
        </w:rPr>
        <w:t>SEVENTH AMENDED AND RESTATED CREDIT AGREEMENT</w:t>
      </w:r>
    </w:p>
    <w:p>
      <w:pPr>
        <w:spacing w:after="0" w:line="23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This Seventh Amended and Restated Credit Agreement dated July 14, 2025 (as amended, restated, supplemented, extended or otherwise modified,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is entered into by and among IMAX Corporation, a corporation incorporated pursuant to the laws of Canada, as Borrower (as defined below), the guarantors who are a party to this Agreement and who may become a party hereto pursuant to the terms hereof, as Guarantors (as defined below), the lenders who are a party to this Agreement and who may become a party hereto pursuant to the terms hereof, as Lenders (as defined below), and Wells Fargo Bank, National Association, a national banking association, as Agent (as defined below) for the Secured Parties (as defined below).</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 I T N E S S E T H:</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Borrower and Congress Financial Corporation (Canada) (“</w:t>
      </w:r>
      <w:r>
        <w:rPr>
          <w:rFonts w:ascii="Times New Roman" w:cs="Times New Roman" w:eastAsia="Times New Roman" w:hAnsi="Times New Roman"/>
          <w:sz w:val="21"/>
          <w:szCs w:val="21"/>
          <w:b w:val="1"/>
          <w:bCs w:val="1"/>
          <w:color w:val="auto"/>
        </w:rPr>
        <w:t>Original Lender</w:t>
      </w:r>
      <w:r>
        <w:rPr>
          <w:rFonts w:ascii="Times New Roman" w:cs="Times New Roman" w:eastAsia="Times New Roman" w:hAnsi="Times New Roman"/>
          <w:sz w:val="21"/>
          <w:szCs w:val="21"/>
          <w:color w:val="auto"/>
        </w:rPr>
        <w:t>”) entered into a loan agreement dated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February 6, 2004 which was amended pursuant to:</w:t>
      </w:r>
    </w:p>
    <w:p>
      <w:pPr>
        <w:spacing w:after="0" w:line="177" w:lineRule="exact"/>
        <w:rPr>
          <w:sz w:val="20"/>
          <w:szCs w:val="20"/>
          <w:color w:val="auto"/>
        </w:rPr>
      </w:pPr>
    </w:p>
    <w:p>
      <w:pPr>
        <w:ind w:left="1300" w:hanging="649"/>
        <w:spacing w:after="0"/>
        <w:tabs>
          <w:tab w:leader="none" w:pos="13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first amendment to the loan agreement dated June 30, 2005;</w:t>
      </w:r>
    </w:p>
    <w:p>
      <w:pPr>
        <w:spacing w:after="0" w:line="187"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second amendment to the loan agreement dated May 16, 2006;</w:t>
      </w:r>
    </w:p>
    <w:p>
      <w:pPr>
        <w:spacing w:after="0" w:line="187" w:lineRule="exact"/>
        <w:rPr>
          <w:rFonts w:ascii="Times New Roman" w:cs="Times New Roman" w:eastAsia="Times New Roman" w:hAnsi="Times New Roman"/>
          <w:sz w:val="21"/>
          <w:szCs w:val="21"/>
          <w:color w:val="auto"/>
        </w:rPr>
      </w:pPr>
    </w:p>
    <w:p>
      <w:pPr>
        <w:ind w:left="1300" w:hanging="649"/>
        <w:spacing w:after="0" w:line="250" w:lineRule="auto"/>
        <w:tabs>
          <w:tab w:leader="none" w:pos="1297"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second amendment to the loan agreement dated May 16, 2006 (which amended, restated and replaced in its entirety the second amendment to the loan agreement referred to in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above);</w:t>
      </w:r>
    </w:p>
    <w:p>
      <w:pPr>
        <w:spacing w:after="0" w:line="140"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third amendment to the loan agreement dated September 30, 2007;</w:t>
      </w:r>
    </w:p>
    <w:p>
      <w:pPr>
        <w:spacing w:after="0" w:line="187"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fourth amendment to the loan agreement dated December 5, 2007; and</w:t>
      </w:r>
    </w:p>
    <w:p>
      <w:pPr>
        <w:spacing w:after="0" w:line="187"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fifth amendment to the loan agreement dated May 5, 2008,</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(collectively, the “</w:t>
      </w:r>
      <w:r>
        <w:rPr>
          <w:rFonts w:ascii="Times New Roman" w:cs="Times New Roman" w:eastAsia="Times New Roman" w:hAnsi="Times New Roman"/>
          <w:sz w:val="21"/>
          <w:szCs w:val="21"/>
          <w:b w:val="1"/>
          <w:bCs w:val="1"/>
          <w:color w:val="auto"/>
        </w:rPr>
        <w:t>Original Loan Agreement</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Wachovia Capital Finance Corporation (Canada) (formerly known as Congress Financial Corporation (Canada))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agent (the “</w:t>
      </w:r>
      <w:r>
        <w:rPr>
          <w:rFonts w:ascii="Times New Roman" w:cs="Times New Roman" w:eastAsia="Times New Roman" w:hAnsi="Times New Roman"/>
          <w:sz w:val="21"/>
          <w:szCs w:val="21"/>
          <w:b w:val="1"/>
          <w:bCs w:val="1"/>
          <w:color w:val="auto"/>
        </w:rPr>
        <w:t>Original Agent</w:t>
      </w:r>
      <w:r>
        <w:rPr>
          <w:rFonts w:ascii="Times New Roman" w:cs="Times New Roman" w:eastAsia="Times New Roman" w:hAnsi="Times New Roman"/>
          <w:sz w:val="21"/>
          <w:szCs w:val="21"/>
          <w:color w:val="auto"/>
        </w:rPr>
        <w:t>”) and lender, Borrower and Export Development Canada (“</w:t>
      </w:r>
      <w:r>
        <w:rPr>
          <w:rFonts w:ascii="Times New Roman" w:cs="Times New Roman" w:eastAsia="Times New Roman" w:hAnsi="Times New Roman"/>
          <w:sz w:val="21"/>
          <w:szCs w:val="21"/>
          <w:b w:val="1"/>
          <w:bCs w:val="1"/>
          <w:color w:val="auto"/>
        </w:rPr>
        <w:t>EDC</w:t>
      </w:r>
      <w:r>
        <w:rPr>
          <w:rFonts w:ascii="Times New Roman" w:cs="Times New Roman" w:eastAsia="Times New Roman" w:hAnsi="Times New Roman"/>
          <w:sz w:val="21"/>
          <w:szCs w:val="21"/>
          <w:color w:val="auto"/>
        </w:rPr>
        <w:t>”), as lender, amended and restated the Original Loan Agreement pursuant to an amended and restated credit agreement dated November 16, 2009 as amended by a first amendment to the amended and restated credit agreement dated January 21, 2011 (as amended, modified, supplemented, extended, renewed, restated or replaced from time to time, the “</w:t>
      </w:r>
      <w:r>
        <w:rPr>
          <w:rFonts w:ascii="Times New Roman" w:cs="Times New Roman" w:eastAsia="Times New Roman" w:hAnsi="Times New Roman"/>
          <w:sz w:val="21"/>
          <w:szCs w:val="21"/>
          <w:b w:val="1"/>
          <w:bCs w:val="1"/>
          <w:color w:val="auto"/>
        </w:rPr>
        <w:t>First Amended and Restated Credit Agreement</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Wells Fargo Capital Finance Corporation Canada (formerly known as Wachovia Capital Finance Corporation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(Canada)), as Original Agent and lender, Borrower and EDC, as lender, amended and restated the First Amended and Restated Credit Agreement pursuant to a second amended and restated credit agreement dated June 2, 2011 (as amended, modified, supplemented, extended, renewed, restated or replaced from time to time, the “</w:t>
      </w:r>
      <w:r>
        <w:rPr>
          <w:rFonts w:ascii="Times New Roman" w:cs="Times New Roman" w:eastAsia="Times New Roman" w:hAnsi="Times New Roman"/>
          <w:sz w:val="21"/>
          <w:szCs w:val="21"/>
          <w:b w:val="1"/>
          <w:bCs w:val="1"/>
          <w:color w:val="auto"/>
        </w:rPr>
        <w:t>Second Amended and Restated 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8" w:right="339" w:bottom="1440" w:gutter="0" w:footer="0" w:header="0"/>
        </w:sectPr>
      </w:pPr>
    </w:p>
    <w:bookmarkStart w:id="80" w:name="page81"/>
    <w:bookmarkEnd w:id="80"/>
    <w:p>
      <w:pPr>
        <w:jc w:val="both"/>
        <w:spacing w:after="0" w:line="271"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Agent (as successor agent to the Original Agent), Borrower and the lenders party thereto amended and restated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Second Amended and Restated Credit Agreement pursuant to a third amended and restated credit agreement dated February 7, 2013 (as amended, modified, supplemented, extended, renewed, restated or replaced from time to time, the “</w:t>
      </w:r>
      <w:r>
        <w:rPr>
          <w:rFonts w:ascii="Times New Roman" w:cs="Times New Roman" w:eastAsia="Times New Roman" w:hAnsi="Times New Roman"/>
          <w:sz w:val="21"/>
          <w:szCs w:val="21"/>
          <w:b w:val="1"/>
          <w:bCs w:val="1"/>
          <w:color w:val="auto"/>
        </w:rPr>
        <w:t>Third Amended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Restated Credit Agreement</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Agent, Borrower and the lenders party thereto amended and restated the Third Amended and Restated Credit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pursuant to a fourth amended and restated credit agreement dated March 3, 2015 (as amended February 22, 2016 and as further amended, modified, supplemented, extended, renewed, restated or replaced from time to time, the “</w:t>
      </w:r>
      <w:r>
        <w:rPr>
          <w:rFonts w:ascii="Times New Roman" w:cs="Times New Roman" w:eastAsia="Times New Roman" w:hAnsi="Times New Roman"/>
          <w:sz w:val="21"/>
          <w:szCs w:val="21"/>
          <w:b w:val="1"/>
          <w:bCs w:val="1"/>
          <w:color w:val="auto"/>
        </w:rPr>
        <w:t>Fourth Amended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and Restated Credit Agreement</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Agent, Borrower and the lenders party thereto amended and restated the Fourth Amended and Restated Credit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pursuant to a fifth amended and restated credit agreement dated June 28, 2018 (as amended, modified, supplemented, extended, renewed, restated or replaced from time to time, including pursuant to the First Amendment to Fifth Amended and Restated Credit Agreement entered into on June 10, 2020, the Second Amendment to the Fifth Amended and Restated Credit Agreement entered into on March 15, 2021, the Third Amendment to Fifth Amended and Restated Credit Agreement entered into on July 28, 2021 and the Fourth Amendment to Fifth Amended and Restated Credit Agreement entered into on December 13, 2021, the “</w:t>
      </w:r>
      <w:r>
        <w:rPr>
          <w:rFonts w:ascii="Times New Roman" w:cs="Times New Roman" w:eastAsia="Times New Roman" w:hAnsi="Times New Roman"/>
          <w:sz w:val="21"/>
          <w:szCs w:val="21"/>
          <w:b w:val="1"/>
          <w:bCs w:val="1"/>
          <w:color w:val="auto"/>
        </w:rPr>
        <w:t>Fifth Amended and Restated Credit Agreement</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Agent, Borrower and the lenders party thereto amended and restated the Fifth Amended and Restated Credit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pursuant to a sixth amended and restated credit agreement dated March 25, 2022 (as amended, modified, supplemented, extended, renewed, restated or replaced from time to time, including pursuant to the First Amendment to Sixth Amended and Restated Credit Agreement entered into on June 21, 2024, the “</w:t>
      </w:r>
      <w:r>
        <w:rPr>
          <w:rFonts w:ascii="Times New Roman" w:cs="Times New Roman" w:eastAsia="Times New Roman" w:hAnsi="Times New Roman"/>
          <w:sz w:val="21"/>
          <w:szCs w:val="21"/>
          <w:b w:val="1"/>
          <w:bCs w:val="1"/>
          <w:color w:val="auto"/>
        </w:rPr>
        <w:t>Sixth Amended and Restated Credit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on the Restatement Effective Date (as defined below), the Agent, Borrower and Lenders desire to amend and restate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Sixth Amended and Restated Credit Agreement as set forth herein; and</w:t>
      </w:r>
    </w:p>
    <w:p>
      <w:pPr>
        <w:spacing w:after="0" w:line="13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21"/>
          <w:szCs w:val="21"/>
          <w:color w:val="auto"/>
        </w:rPr>
        <w:t>each Lender is willing to (severally and not jointly) make loans and provide such financial accommodations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Borrower according to its Pro Rata Share (as defined below) on the terms and conditions set forth herein and Agent is willing to act as agent for Secured Parties on the terms and conditions set forth herein and the other Financing Agreements (as defined below);</w:t>
      </w:r>
    </w:p>
    <w:p>
      <w:pPr>
        <w:spacing w:after="0" w:line="200" w:lineRule="exact"/>
        <w:rPr>
          <w:sz w:val="20"/>
          <w:szCs w:val="20"/>
          <w:color w:val="auto"/>
        </w:rPr>
      </w:pPr>
    </w:p>
    <w:p>
      <w:pPr>
        <w:spacing w:after="0" w:line="2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b w:val="1"/>
          <w:bCs w:val="1"/>
          <w:color w:val="auto"/>
        </w:rPr>
        <w:t>NOW, THEREFORE</w:t>
      </w:r>
      <w:r>
        <w:rPr>
          <w:rFonts w:ascii="Times New Roman" w:cs="Times New Roman" w:eastAsia="Times New Roman" w:hAnsi="Times New Roman"/>
          <w:sz w:val="21"/>
          <w:szCs w:val="21"/>
          <w:color w:val="auto"/>
        </w:rPr>
        <w:t>, in consideration of the mutual conditions and agreements set forth herein, and for other good and valuable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consideration, the receipt and sufficiency of which is hereby acknowledged, the parties hereto agree as follows: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8" w:right="339" w:bottom="1440" w:gutter="0" w:footer="0" w:header="0"/>
        </w:sectPr>
      </w:pPr>
    </w:p>
    <w:bookmarkStart w:id="81" w:name="page82"/>
    <w:bookmarkEnd w:id="81"/>
    <w:p>
      <w:pPr>
        <w:spacing w:after="0" w:line="15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1</w:t>
      </w:r>
    </w:p>
    <w:p>
      <w:pPr>
        <w:spacing w:after="0" w:line="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b w:val="1"/>
          <w:bCs w:val="1"/>
          <w:u w:val="single" w:color="auto"/>
          <w:color w:val="auto"/>
        </w:rPr>
        <w:t>DEFINITIONS</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All references to the plural herein shall also mean the singular and to the singular shall also mean the plural unless the context otherwise requires. All references to Borrower, Credit Parties (as defined below), Guarantors, Lenders, Issuing Lender (as defined below) and Agent pursuant to the definitions set forth in the recitals hereto, or to any other person herein, shall include their respective successors and permitted assigns. The words “</w:t>
      </w:r>
      <w:r>
        <w:rPr>
          <w:rFonts w:ascii="Times New Roman" w:cs="Times New Roman" w:eastAsia="Times New Roman" w:hAnsi="Times New Roman"/>
          <w:sz w:val="21"/>
          <w:szCs w:val="21"/>
          <w:b w:val="1"/>
          <w:bCs w:val="1"/>
          <w:color w:val="auto"/>
        </w:rPr>
        <w:t>hereof</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herein</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hereunder</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this Agreement</w:t>
      </w:r>
      <w:r>
        <w:rPr>
          <w:rFonts w:ascii="Times New Roman" w:cs="Times New Roman" w:eastAsia="Times New Roman" w:hAnsi="Times New Roman"/>
          <w:sz w:val="21"/>
          <w:szCs w:val="21"/>
          <w:color w:val="auto"/>
        </w:rPr>
        <w:t>” and words of similar import when used in this Agreement shall refer to this Agreement as a whole and not any particular provision of this Agreement and as this Agreement now exists or may hereafter be amended, modified, supplemented, extended, renewed, restated or replaced. The word “</w:t>
      </w:r>
      <w:r>
        <w:rPr>
          <w:rFonts w:ascii="Times New Roman" w:cs="Times New Roman" w:eastAsia="Times New Roman" w:hAnsi="Times New Roman"/>
          <w:sz w:val="21"/>
          <w:szCs w:val="21"/>
          <w:b w:val="1"/>
          <w:bCs w:val="1"/>
          <w:color w:val="auto"/>
        </w:rPr>
        <w:t>including</w:t>
      </w:r>
      <w:r>
        <w:rPr>
          <w:rFonts w:ascii="Times New Roman" w:cs="Times New Roman" w:eastAsia="Times New Roman" w:hAnsi="Times New Roman"/>
          <w:sz w:val="21"/>
          <w:szCs w:val="21"/>
          <w:color w:val="auto"/>
        </w:rPr>
        <w:t>” when used in this Agreement shall mean “</w:t>
      </w:r>
      <w:r>
        <w:rPr>
          <w:rFonts w:ascii="Times New Roman" w:cs="Times New Roman" w:eastAsia="Times New Roman" w:hAnsi="Times New Roman"/>
          <w:sz w:val="21"/>
          <w:szCs w:val="21"/>
          <w:b w:val="1"/>
          <w:bCs w:val="1"/>
          <w:color w:val="auto"/>
        </w:rPr>
        <w:t>including, without limitation</w:t>
      </w:r>
      <w:r>
        <w:rPr>
          <w:rFonts w:ascii="Times New Roman" w:cs="Times New Roman" w:eastAsia="Times New Roman" w:hAnsi="Times New Roman"/>
          <w:sz w:val="21"/>
          <w:szCs w:val="21"/>
          <w:color w:val="auto"/>
        </w:rPr>
        <w:t xml:space="preserve">”. Unless otherwise expressly provided herein, any definition or reference to formation documents, governing documents, agreements (including the Financing Agreements) and other contractual documents or instruments shall be deemed to include all subsequent amendments, restatements, extensions, supplements and other modifications thereto, but only to the extent that such amendments, restatements, extensions, supplements and other modifications are not prohibited by any Financing Agreement. References herein to any statute or any provision thereof include such statute or provision as amended, revised, re-enacted, and/or consolidated from time to time and any successor statute thereto. An Event of Default (as defined below) shall continue or be continuing until such Event of Default is waived in accordance with </w:t>
      </w:r>
      <w:r>
        <w:rPr>
          <w:rFonts w:ascii="Times New Roman" w:cs="Times New Roman" w:eastAsia="Times New Roman" w:hAnsi="Times New Roman"/>
          <w:sz w:val="21"/>
          <w:szCs w:val="21"/>
          <w:u w:val="single" w:color="auto"/>
          <w:color w:val="auto"/>
        </w:rPr>
        <w:t>Section 12.3</w:t>
      </w:r>
      <w:r>
        <w:rPr>
          <w:rFonts w:ascii="Times New Roman" w:cs="Times New Roman" w:eastAsia="Times New Roman" w:hAnsi="Times New Roman"/>
          <w:sz w:val="21"/>
          <w:szCs w:val="21"/>
          <w:color w:val="auto"/>
        </w:rPr>
        <w:t xml:space="preserve"> or, without derogating from the cure rights, if any, provided to Credit Parties in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hereof, is cured, if such Event of Default is capable of being cured. Any accounting term used herein unless otherwise defined in this Agreement shall have the meanings customarily given to such term in accordance with GAAP (as defined below). If, after the Fifth A&amp;R Closing Date (as defined below), there shall be any change in the application of the accounting principles used in preparation of Borrower’s financial statements as a result of any changes in GAAP including International Financial Reporting Standards becoming applicable to Borrower, which changes (a) result in a change in the method of calculation of, or (b) impact on, the financial covenant or other covenants applicable to Borrower found in this Agreement or the other Financing Agreements, and either the Borrower or the Required Lenders (as defined below) shall so request, Borrower and Agent shall promptly enter into negotiations in good faith in order to amend the financial covenant or other covenants so as to reflect equitably such changes with the desired result that the evaluations of Borrower’s financial condition shall be the same after such changes as if such changes had not been made. Notwithstanding the foregoing, for purposes of determining compliance with any covenant (including the computation of any financial covenant) contained herein, the effects of Accounting Standards Codification of the Financial Accounting Standards Board (“</w:t>
      </w:r>
      <w:r>
        <w:rPr>
          <w:rFonts w:ascii="Times New Roman" w:cs="Times New Roman" w:eastAsia="Times New Roman" w:hAnsi="Times New Roman"/>
          <w:sz w:val="21"/>
          <w:szCs w:val="21"/>
          <w:b w:val="1"/>
          <w:bCs w:val="1"/>
          <w:color w:val="auto"/>
        </w:rPr>
        <w:t>FASB ASC</w:t>
      </w:r>
      <w:r>
        <w:rPr>
          <w:rFonts w:ascii="Times New Roman" w:cs="Times New Roman" w:eastAsia="Times New Roman" w:hAnsi="Times New Roman"/>
          <w:sz w:val="21"/>
          <w:szCs w:val="21"/>
          <w:color w:val="auto"/>
        </w:rPr>
        <w:t>”) 825 and FASB ASC 470-20 (or any similar accounting principle permitting a Person (as defined below) to value its financial liabilities or Debt (as defined below) at the fair value thereof) on financial liabilities shall be disregarded. For the avoidance of doubt, and without limitation of the foregoing, for any purposes under this Agreement and any other Financing Agreements, Permitted Convertible Debt (as defined below) shall at all times prior to the repurchase, conversion or payment thereof be valued at the full stated principal amount thereof and shall not include any reduction or appreciation in value of the shares and/or cash deliverable upon conversion thereof. “</w:t>
      </w:r>
      <w:r>
        <w:rPr>
          <w:rFonts w:ascii="Times New Roman" w:cs="Times New Roman" w:eastAsia="Times New Roman" w:hAnsi="Times New Roman"/>
          <w:sz w:val="21"/>
          <w:szCs w:val="21"/>
          <w:b w:val="1"/>
          <w:bCs w:val="1"/>
          <w:color w:val="auto"/>
        </w:rPr>
        <w:t>Canadian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40" w:right="339" w:bottom="1440" w:gutter="0" w:footer="0" w:header="0"/>
        </w:sectPr>
      </w:pPr>
    </w:p>
    <w:bookmarkStart w:id="82" w:name="page83"/>
    <w:bookmarkEnd w:id="82"/>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Dollars</w:t>
      </w:r>
      <w:r>
        <w:rPr>
          <w:rFonts w:ascii="Times New Roman" w:cs="Times New Roman" w:eastAsia="Times New Roman" w:hAnsi="Times New Roman"/>
          <w:sz w:val="21"/>
          <w:szCs w:val="21"/>
          <w:color w:val="auto"/>
        </w:rPr>
        <w:t>” and the sign “</w:t>
      </w:r>
      <w:r>
        <w:rPr>
          <w:rFonts w:ascii="Times New Roman" w:cs="Times New Roman" w:eastAsia="Times New Roman" w:hAnsi="Times New Roman"/>
          <w:sz w:val="21"/>
          <w:szCs w:val="21"/>
          <w:b w:val="1"/>
          <w:bCs w:val="1"/>
          <w:color w:val="auto"/>
        </w:rPr>
        <w:t>CDN$</w:t>
      </w:r>
      <w:r>
        <w:rPr>
          <w:rFonts w:ascii="Times New Roman" w:cs="Times New Roman" w:eastAsia="Times New Roman" w:hAnsi="Times New Roman"/>
          <w:sz w:val="21"/>
          <w:szCs w:val="21"/>
          <w:color w:val="auto"/>
        </w:rPr>
        <w:t>” mean lawful money of Canada. “</w:t>
      </w:r>
      <w:r>
        <w:rPr>
          <w:rFonts w:ascii="Times New Roman" w:cs="Times New Roman" w:eastAsia="Times New Roman" w:hAnsi="Times New Roman"/>
          <w:sz w:val="21"/>
          <w:szCs w:val="21"/>
          <w:b w:val="1"/>
          <w:bCs w:val="1"/>
          <w:color w:val="auto"/>
        </w:rPr>
        <w:t>U.S. Dollars</w:t>
      </w:r>
      <w:r>
        <w:rPr>
          <w:rFonts w:ascii="Times New Roman" w:cs="Times New Roman" w:eastAsia="Times New Roman" w:hAnsi="Times New Roman"/>
          <w:sz w:val="21"/>
          <w:szCs w:val="21"/>
          <w:color w:val="auto"/>
        </w:rPr>
        <w:t>” and the sign “</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mean lawful money of the United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States of America. All monetary amounts referred to in this Agreement are in U.S. Dollars unless otherwise stated. The words “</w:t>
      </w:r>
      <w:r>
        <w:rPr>
          <w:rFonts w:ascii="Times New Roman" w:cs="Times New Roman" w:eastAsia="Times New Roman" w:hAnsi="Times New Roman"/>
          <w:sz w:val="21"/>
          <w:szCs w:val="21"/>
          <w:b w:val="1"/>
          <w:bCs w:val="1"/>
          <w:color w:val="auto"/>
        </w:rPr>
        <w:t>asset</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property</w:t>
      </w:r>
      <w:r>
        <w:rPr>
          <w:rFonts w:ascii="Times New Roman" w:cs="Times New Roman" w:eastAsia="Times New Roman" w:hAnsi="Times New Roman"/>
          <w:sz w:val="21"/>
          <w:szCs w:val="21"/>
          <w:color w:val="auto"/>
        </w:rPr>
        <w:t>” shall be construed to have the same meaning and effect and to refer to any and all tangible and intangible assets and properties (both real and personal property), including cash, securities, accounts and contract rights. For purposes of this Agreement, the following terms shall have the respective meanings given to them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2026 Notes</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8.3(h)</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Accounts</w:t>
      </w:r>
      <w:r>
        <w:rPr>
          <w:rFonts w:ascii="Times New Roman" w:cs="Times New Roman" w:eastAsia="Times New Roman" w:hAnsi="Times New Roman"/>
          <w:sz w:val="21"/>
          <w:szCs w:val="21"/>
          <w:color w:val="auto"/>
        </w:rPr>
        <w:t>” as defined in the UCC as in effect in the State of New York.</w:t>
      </w:r>
    </w:p>
    <w:p>
      <w:pPr>
        <w:spacing w:after="0" w:line="2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Acquired EBITDA</w:t>
      </w:r>
      <w:r>
        <w:rPr>
          <w:rFonts w:ascii="Times New Roman" w:cs="Times New Roman" w:eastAsia="Times New Roman" w:hAnsi="Times New Roman"/>
          <w:sz w:val="21"/>
          <w:szCs w:val="21"/>
          <w:color w:val="auto"/>
        </w:rPr>
        <w:t xml:space="preserve">” means, with respect to any Person or business acquired pursuant to an Acquisition for any period, the amount for such period of EBITDA of any such Person or business so acquired (determined using such definitions as if references to the Borrower and its Subsidiaries therein were to such Person or business), as calculated by the Borrower in good faith and which shall be factually supported by historical financial statements;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notwithstanding the foregoing, in determining Acquired EBITDA for any Person or business that does not have historical financial accounting periods which coincide with that of the financial accounting periods of the Borrower and its Subsidiaries (a) references to applicable measurement period in any applicable definitions shall be deemed to mean the same relevant period as the applicable period of determination for the Borrower and its Subsidiaries and (b) to the extent the commencement of any such measurement period shall occur during a fiscal quarter of such acquired Person or business (such that only a portion of such fiscal quarter shall be included in such period), Acquired EBITDA for the portion of such fiscal quarter so included in such period shall be deemed to be an amount equal to (x) Acquired EBITDA otherwise attributable to the entire fiscal quarter (determined in a manner consistent with the terms set forth above) multiplied by (y) a fraction, the numerator of which shall be the number of months of such fiscal quarter included in the relevant period and the denominator of which shall be actual months in such fiscal quarter.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Acquisition</w:t>
      </w:r>
      <w:r>
        <w:rPr>
          <w:rFonts w:ascii="Times New Roman" w:cs="Times New Roman" w:eastAsia="Times New Roman" w:hAnsi="Times New Roman"/>
          <w:sz w:val="21"/>
          <w:szCs w:val="21"/>
          <w:color w:val="auto"/>
        </w:rPr>
        <w:t>” is defined in the definition of “Material Acquisition”.</w:t>
      </w:r>
    </w:p>
    <w:p>
      <w:pPr>
        <w:spacing w:after="0" w:line="22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Adjusted Eurocurrency Rate</w:t>
      </w:r>
      <w:r>
        <w:rPr>
          <w:rFonts w:ascii="Times New Roman" w:cs="Times New Roman" w:eastAsia="Times New Roman" w:hAnsi="Times New Roman"/>
          <w:sz w:val="21"/>
          <w:szCs w:val="21"/>
          <w:color w:val="auto"/>
        </w:rPr>
        <w:t>” means, for any Interest Period, a rate per annum determined by the Agent pursuant to the following formula:</w:t>
      </w:r>
    </w:p>
    <w:p>
      <w:pPr>
        <w:spacing w:after="0" w:line="163" w:lineRule="exact"/>
        <w:rPr>
          <w:sz w:val="20"/>
          <w:szCs w:val="20"/>
          <w:color w:val="auto"/>
        </w:rPr>
      </w:pPr>
    </w:p>
    <w:tbl>
      <w:tblPr>
        <w:tblLayout w:type="fixed"/>
        <w:tblInd w:w="660" w:type="dxa"/>
        <w:tblCellMar>
          <w:top w:w="0" w:type="dxa"/>
          <w:left w:w="0" w:type="dxa"/>
          <w:bottom w:w="0" w:type="dxa"/>
          <w:right w:w="0" w:type="dxa"/>
        </w:tblCellMar>
      </w:tblPr>
      <w:tr>
        <w:trPr>
          <w:trHeight w:val="281"/>
        </w:trPr>
        <w:tc>
          <w:tcPr>
            <w:tcW w:w="302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Adjusted Eurocurrency Rate =</w:t>
            </w:r>
          </w:p>
        </w:tc>
        <w:tc>
          <w:tcPr>
            <w:tcW w:w="5860" w:type="dxa"/>
            <w:vAlign w:val="bottom"/>
          </w:tcPr>
          <w:p>
            <w:pPr>
              <w:ind w:left="420"/>
              <w:spacing w:after="0"/>
              <w:rPr>
                <w:sz w:val="20"/>
                <w:szCs w:val="20"/>
                <w:color w:val="auto"/>
              </w:rPr>
            </w:pPr>
            <w:r>
              <w:rPr>
                <w:rFonts w:ascii="Times New Roman" w:cs="Times New Roman" w:eastAsia="Times New Roman" w:hAnsi="Times New Roman"/>
                <w:sz w:val="21"/>
                <w:szCs w:val="21"/>
                <w:color w:val="auto"/>
              </w:rPr>
              <w:t>Eurocurrency Rate for such Currency for such Interest Period</w:t>
            </w:r>
          </w:p>
        </w:tc>
      </w:tr>
      <w:tr>
        <w:trPr>
          <w:trHeight w:val="274"/>
        </w:trPr>
        <w:tc>
          <w:tcPr>
            <w:tcW w:w="2280" w:type="dxa"/>
            <w:vAlign w:val="bottom"/>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586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21"/>
                <w:szCs w:val="21"/>
                <w:color w:val="auto"/>
              </w:rPr>
              <w:t>1.00-Eurocurrency Reserve Percentage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Affected Financial Institution</w:t>
      </w:r>
      <w:r>
        <w:rPr>
          <w:rFonts w:ascii="Times New Roman" w:cs="Times New Roman" w:eastAsia="Times New Roman" w:hAnsi="Times New Roman"/>
          <w:sz w:val="21"/>
          <w:szCs w:val="21"/>
          <w:color w:val="auto"/>
        </w:rPr>
        <w:t>” means (a) any EEA Financial Institution or (b) any UK Financial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8" w:right="339" w:bottom="1440" w:gutter="0" w:footer="0" w:header="0"/>
        </w:sectPr>
      </w:pPr>
    </w:p>
    <w:bookmarkStart w:id="83" w:name="page84"/>
    <w:bookmarkEnd w:id="83"/>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Affiliate</w:t>
      </w:r>
      <w:r>
        <w:rPr>
          <w:rFonts w:ascii="Times New Roman" w:cs="Times New Roman" w:eastAsia="Times New Roman" w:hAnsi="Times New Roman"/>
          <w:sz w:val="21"/>
          <w:szCs w:val="21"/>
          <w:color w:val="auto"/>
        </w:rPr>
        <w:t>” means, with respect to a specified Person, another Person that directly, or indirectly through one or more intermediaries, Controls or is Controlled by or is under common Control with the Person specified.</w:t>
      </w:r>
    </w:p>
    <w:p>
      <w:pPr>
        <w:spacing w:after="0" w:line="13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Agent</w:t>
      </w:r>
      <w:r>
        <w:rPr>
          <w:rFonts w:ascii="Times New Roman" w:cs="Times New Roman" w:eastAsia="Times New Roman" w:hAnsi="Times New Roman"/>
          <w:sz w:val="21"/>
          <w:szCs w:val="21"/>
          <w:color w:val="auto"/>
        </w:rPr>
        <w:t xml:space="preserve">” means Wells Fargo (or any of its branch offices or Affiliates), in its capacity as administrative and collateral agent hereunder, and any successor thereto appointed pursuant to </w:t>
      </w:r>
      <w:r>
        <w:rPr>
          <w:rFonts w:ascii="Times New Roman" w:cs="Times New Roman" w:eastAsia="Times New Roman" w:hAnsi="Times New Roman"/>
          <w:sz w:val="21"/>
          <w:szCs w:val="21"/>
          <w:u w:val="single" w:color="auto"/>
          <w:color w:val="auto"/>
        </w:rPr>
        <w:t>Section 11.11</w:t>
      </w:r>
      <w:r>
        <w:rPr>
          <w:rFonts w:ascii="Times New Roman" w:cs="Times New Roman" w:eastAsia="Times New Roman" w:hAnsi="Times New Roman"/>
          <w:sz w:val="21"/>
          <w:szCs w:val="21"/>
          <w:color w:val="auto"/>
        </w:rPr>
        <w:t>.</w:t>
      </w:r>
    </w:p>
    <w:p>
      <w:pPr>
        <w:spacing w:after="0" w:line="11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Agent’s Office</w:t>
      </w:r>
      <w:r>
        <w:rPr>
          <w:rFonts w:ascii="Times New Roman" w:cs="Times New Roman" w:eastAsia="Times New Roman" w:hAnsi="Times New Roman"/>
          <w:sz w:val="21"/>
          <w:szCs w:val="21"/>
          <w:color w:val="auto"/>
        </w:rPr>
        <w:t xml:space="preserve">” means, with respect to any Currency, the office of the Agent specified in or determined in accordance with the provisions of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 xml:space="preserve"> with respect to such Currency.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Agreed Currency</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13.6</w:t>
      </w:r>
      <w:r>
        <w:rPr>
          <w:rFonts w:ascii="Times New Roman" w:cs="Times New Roman" w:eastAsia="Times New Roman" w:hAnsi="Times New Roman"/>
          <w:sz w:val="21"/>
          <w:szCs w:val="21"/>
          <w:color w:val="auto"/>
        </w:rPr>
        <w:t xml:space="preserve"> hereof.</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Alternate Currency</w:t>
      </w:r>
      <w:r>
        <w:rPr>
          <w:rFonts w:ascii="Times New Roman" w:cs="Times New Roman" w:eastAsia="Times New Roman" w:hAnsi="Times New Roman"/>
          <w:sz w:val="21"/>
          <w:szCs w:val="21"/>
          <w:color w:val="auto"/>
        </w:rPr>
        <w:t>” means each Currency other than U.S. Dollars.</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Alternate Currency Equivalent</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11.17</w:t>
      </w:r>
      <w:r>
        <w:rPr>
          <w:rFonts w:ascii="Times New Roman" w:cs="Times New Roman" w:eastAsia="Times New Roman" w:hAnsi="Times New Roman"/>
          <w:sz w:val="21"/>
          <w:szCs w:val="21"/>
          <w:color w:val="auto"/>
        </w:rPr>
        <w:t>, for any amount, at the time of determination thereof, with respect to any amount expressed in U.S. Dollars, the equivalent of such amount thereof in the applicable Alternate Currency as determined by Agent in its sole discretion by reference to the most recent Spot Rate (as determined as of the most recent Revaluation Date) for the purchase of such Alternate Currency with U.S. Dollars.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Alternate Currency Loan</w:t>
      </w:r>
      <w:r>
        <w:rPr>
          <w:rFonts w:ascii="Times New Roman" w:cs="Times New Roman" w:eastAsia="Times New Roman" w:hAnsi="Times New Roman"/>
          <w:sz w:val="21"/>
          <w:szCs w:val="21"/>
          <w:color w:val="auto"/>
        </w:rPr>
        <w:t>” means each Revolving Loan denominated in an Alternate Currency.</w:t>
      </w:r>
    </w:p>
    <w:p>
      <w:pPr>
        <w:spacing w:after="0" w:line="22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Alternate Currency Revolving Loan Sublimit</w:t>
      </w:r>
      <w:r>
        <w:rPr>
          <w:rFonts w:ascii="Times New Roman" w:cs="Times New Roman" w:eastAsia="Times New Roman" w:hAnsi="Times New Roman"/>
          <w:sz w:val="21"/>
          <w:szCs w:val="21"/>
          <w:color w:val="auto"/>
        </w:rPr>
        <w:t>” means an amount equal to the lesser of (a) $100,000,000 and (b) the aggregate amount of the Revolving Loan Commitment as then in effect. The Alternate Currency Revolving Loan Sublimit is part of, and not in addition to, the Revolving Loan Commitment.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AM Calculation Date</w:t>
      </w:r>
      <w:r>
        <w:rPr>
          <w:rFonts w:ascii="Times New Roman" w:cs="Times New Roman" w:eastAsia="Times New Roman" w:hAnsi="Times New Roman"/>
          <w:sz w:val="21"/>
          <w:szCs w:val="21"/>
          <w:color w:val="auto"/>
        </w:rPr>
        <w:t>” has the meaning set forth in the definition of “Applicable Margin.”</w:t>
      </w:r>
    </w:p>
    <w:p>
      <w:pPr>
        <w:spacing w:after="0" w:line="2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Anti-Money Laundering Laws</w:t>
      </w:r>
      <w:r>
        <w:rPr>
          <w:rFonts w:ascii="Times New Roman" w:cs="Times New Roman" w:eastAsia="Times New Roman" w:hAnsi="Times New Roman"/>
          <w:sz w:val="21"/>
          <w:szCs w:val="21"/>
          <w:color w:val="auto"/>
        </w:rPr>
        <w:t xml:space="preserve">” means any and all laws, statutes, regulations or obligatory government orders, decrees, ordinances or rules related to terrorism financing or money laundering, including any applicable provision of the </w:t>
      </w:r>
      <w:r>
        <w:rPr>
          <w:rFonts w:ascii="Times New Roman" w:cs="Times New Roman" w:eastAsia="Times New Roman" w:hAnsi="Times New Roman"/>
          <w:sz w:val="21"/>
          <w:szCs w:val="21"/>
          <w:i w:val="1"/>
          <w:iCs w:val="1"/>
          <w:color w:val="auto"/>
        </w:rPr>
        <w:t>Patriot Act</w:t>
      </w:r>
      <w:r>
        <w:rPr>
          <w:rFonts w:ascii="Times New Roman" w:cs="Times New Roman" w:eastAsia="Times New Roman" w:hAnsi="Times New Roman"/>
          <w:sz w:val="21"/>
          <w:szCs w:val="21"/>
          <w:color w:val="auto"/>
        </w:rPr>
        <w:t xml:space="preserve"> and The Currency and Foreign Transactions Reporting Act (also known as the “Bank Secrecy Act,” 31 U.S.C. §§ 5311-5330 and 12 U.S.C. §§ 1818(s), 1820(b) and 1951-1959).</w:t>
      </w:r>
    </w:p>
    <w:p>
      <w:pPr>
        <w:spacing w:after="0" w:line="1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Law</w:t>
      </w:r>
      <w:r>
        <w:rPr>
          <w:rFonts w:ascii="Times New Roman" w:cs="Times New Roman" w:eastAsia="Times New Roman" w:hAnsi="Times New Roman"/>
          <w:sz w:val="21"/>
          <w:szCs w:val="21"/>
          <w:color w:val="auto"/>
        </w:rPr>
        <w:t>” means all applicable provisions of constitutions, laws, statutes, ordinances, rules, treaties, regulations and orders of Governmental Authorities and all orders and decrees of all courts and arbitrators.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Applicable Margin</w:t>
      </w:r>
      <w:r>
        <w:rPr>
          <w:rFonts w:ascii="Times New Roman" w:cs="Times New Roman" w:eastAsia="Times New Roman" w:hAnsi="Times New Roman"/>
          <w:sz w:val="21"/>
          <w:szCs w:val="21"/>
          <w:color w:val="auto"/>
        </w:rPr>
        <w:t xml:space="preserve">” means the corresponding percentages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as set forth below based on the Total Leverage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8" w:right="339" w:bottom="1440" w:gutter="0" w:footer="0" w:header="0"/>
        </w:sectPr>
      </w:pPr>
    </w:p>
    <w:bookmarkStart w:id="84" w:name="page85"/>
    <w:bookmarkEnd w:id="84"/>
    <w:tbl>
      <w:tblPr>
        <w:tblLayout w:type="fixed"/>
        <w:tblInd w:w="10" w:type="dxa"/>
        <w:tblCellMar>
          <w:top w:w="0" w:type="dxa"/>
          <w:left w:w="0" w:type="dxa"/>
          <w:bottom w:w="0" w:type="dxa"/>
          <w:right w:w="0" w:type="dxa"/>
        </w:tblCellMar>
      </w:tblPr>
      <w:tr>
        <w:trPr>
          <w:trHeight w:val="273"/>
        </w:trPr>
        <w:tc>
          <w:tcPr>
            <w:tcW w:w="80" w:type="dxa"/>
            <w:vAlign w:val="bottom"/>
            <w:tcBorders>
              <w:top w:val="single" w:sz="8" w:color="auto"/>
              <w:left w:val="single" w:sz="8" w:color="auto"/>
              <w:bottom w:val="single" w:sz="8" w:color="BFBFBF"/>
            </w:tcBorders>
            <w:shd w:val="clear" w:color="auto" w:fill="BFBFBF"/>
          </w:tcPr>
          <w:p>
            <w:pPr>
              <w:spacing w:after="0"/>
              <w:rPr>
                <w:sz w:val="23"/>
                <w:szCs w:val="23"/>
                <w:color w:val="auto"/>
              </w:rPr>
            </w:pPr>
          </w:p>
        </w:tc>
        <w:tc>
          <w:tcPr>
            <w:tcW w:w="680" w:type="dxa"/>
            <w:vAlign w:val="bottom"/>
            <w:tcBorders>
              <w:top w:val="single" w:sz="8" w:color="auto"/>
              <w:bottom w:val="single" w:sz="8" w:color="auto"/>
            </w:tcBorders>
            <w:gridSpan w:val="3"/>
            <w:shd w:val="clear" w:color="auto" w:fill="BFBFBF"/>
          </w:tcPr>
          <w:p>
            <w:pPr>
              <w:spacing w:after="0" w:line="215" w:lineRule="exact"/>
              <w:rPr>
                <w:sz w:val="20"/>
                <w:szCs w:val="20"/>
                <w:color w:val="auto"/>
              </w:rPr>
            </w:pPr>
            <w:r>
              <w:rPr>
                <w:rFonts w:ascii="Times New Roman" w:cs="Times New Roman" w:eastAsia="Times New Roman" w:hAnsi="Times New Roman"/>
                <w:sz w:val="21"/>
                <w:szCs w:val="21"/>
                <w:b w:val="1"/>
                <w:bCs w:val="1"/>
                <w:color w:val="auto"/>
              </w:rPr>
              <w:t>Pricing</w:t>
            </w:r>
          </w:p>
        </w:tc>
        <w:tc>
          <w:tcPr>
            <w:tcW w:w="400" w:type="dxa"/>
            <w:vAlign w:val="bottom"/>
            <w:tcBorders>
              <w:top w:val="single" w:sz="8" w:color="auto"/>
              <w:bottom w:val="single" w:sz="8" w:color="auto"/>
              <w:right w:val="single" w:sz="8" w:color="auto"/>
            </w:tcBorders>
            <w:shd w:val="clear" w:color="auto" w:fill="BFBFBF"/>
          </w:tcPr>
          <w:p>
            <w:pPr>
              <w:spacing w:after="0"/>
              <w:rPr>
                <w:sz w:val="23"/>
                <w:szCs w:val="23"/>
                <w:color w:val="auto"/>
              </w:rPr>
            </w:pPr>
          </w:p>
        </w:tc>
        <w:tc>
          <w:tcPr>
            <w:tcW w:w="60" w:type="dxa"/>
            <w:vAlign w:val="bottom"/>
            <w:tcBorders>
              <w:top w:val="single" w:sz="8" w:color="auto"/>
              <w:bottom w:val="single" w:sz="8" w:color="auto"/>
            </w:tcBorders>
            <w:shd w:val="clear" w:color="auto" w:fill="BFBFBF"/>
          </w:tcPr>
          <w:p>
            <w:pPr>
              <w:spacing w:after="0"/>
              <w:rPr>
                <w:sz w:val="23"/>
                <w:szCs w:val="23"/>
                <w:color w:val="auto"/>
              </w:rPr>
            </w:pPr>
          </w:p>
        </w:tc>
        <w:tc>
          <w:tcPr>
            <w:tcW w:w="1920" w:type="dxa"/>
            <w:vAlign w:val="bottom"/>
            <w:tcBorders>
              <w:top w:val="single" w:sz="8" w:color="auto"/>
              <w:bottom w:val="single" w:sz="8" w:color="auto"/>
            </w:tcBorders>
            <w:shd w:val="clear" w:color="auto" w:fill="BFBFBF"/>
          </w:tcPr>
          <w:p>
            <w:pPr>
              <w:spacing w:after="0" w:line="215" w:lineRule="exact"/>
              <w:rPr>
                <w:sz w:val="20"/>
                <w:szCs w:val="20"/>
                <w:color w:val="auto"/>
              </w:rPr>
            </w:pPr>
            <w:r>
              <w:rPr>
                <w:rFonts w:ascii="Times New Roman" w:cs="Times New Roman" w:eastAsia="Times New Roman" w:hAnsi="Times New Roman"/>
                <w:sz w:val="21"/>
                <w:szCs w:val="21"/>
                <w:b w:val="1"/>
                <w:bCs w:val="1"/>
                <w:color w:val="auto"/>
                <w:w w:val="99"/>
              </w:rPr>
              <w:t>Total Leverage Ratio</w:t>
            </w:r>
          </w:p>
        </w:tc>
        <w:tc>
          <w:tcPr>
            <w:tcW w:w="1060" w:type="dxa"/>
            <w:vAlign w:val="bottom"/>
            <w:tcBorders>
              <w:top w:val="single" w:sz="8" w:color="auto"/>
              <w:bottom w:val="single" w:sz="8" w:color="auto"/>
              <w:right w:val="single" w:sz="8" w:color="auto"/>
            </w:tcBorders>
            <w:shd w:val="clear" w:color="auto" w:fill="BFBFBF"/>
          </w:tcPr>
          <w:p>
            <w:pPr>
              <w:spacing w:after="0"/>
              <w:rPr>
                <w:sz w:val="23"/>
                <w:szCs w:val="23"/>
                <w:color w:val="auto"/>
              </w:rPr>
            </w:pPr>
          </w:p>
        </w:tc>
        <w:tc>
          <w:tcPr>
            <w:tcW w:w="80" w:type="dxa"/>
            <w:vAlign w:val="bottom"/>
            <w:tcBorders>
              <w:top w:val="single" w:sz="8" w:color="auto"/>
              <w:bottom w:val="single" w:sz="8" w:color="auto"/>
              <w:right w:val="single" w:sz="8" w:color="BFBFBF"/>
            </w:tcBorders>
            <w:shd w:val="clear" w:color="auto" w:fill="BFBFBF"/>
          </w:tcPr>
          <w:p>
            <w:pPr>
              <w:spacing w:after="0"/>
              <w:rPr>
                <w:sz w:val="23"/>
                <w:szCs w:val="23"/>
                <w:color w:val="auto"/>
              </w:rPr>
            </w:pPr>
          </w:p>
        </w:tc>
        <w:tc>
          <w:tcPr>
            <w:tcW w:w="2580" w:type="dxa"/>
            <w:vAlign w:val="bottom"/>
            <w:tcBorders>
              <w:top w:val="single" w:sz="8" w:color="auto"/>
              <w:bottom w:val="single" w:sz="8" w:color="auto"/>
            </w:tcBorders>
            <w:gridSpan w:val="3"/>
            <w:shd w:val="clear" w:color="auto" w:fill="BFBFBF"/>
          </w:tcPr>
          <w:p>
            <w:pPr>
              <w:spacing w:after="0" w:line="215" w:lineRule="exact"/>
              <w:rPr>
                <w:sz w:val="20"/>
                <w:szCs w:val="20"/>
                <w:color w:val="auto"/>
              </w:rPr>
            </w:pPr>
            <w:r>
              <w:rPr>
                <w:rFonts w:ascii="Times New Roman" w:cs="Times New Roman" w:eastAsia="Times New Roman" w:hAnsi="Times New Roman"/>
                <w:sz w:val="21"/>
                <w:szCs w:val="21"/>
                <w:b w:val="1"/>
                <w:bCs w:val="1"/>
                <w:color w:val="auto"/>
                <w:w w:val="99"/>
              </w:rPr>
              <w:t>Applicable Margin for Term</w:t>
            </w:r>
          </w:p>
        </w:tc>
        <w:tc>
          <w:tcPr>
            <w:tcW w:w="20" w:type="dxa"/>
            <w:vAlign w:val="bottom"/>
            <w:tcBorders>
              <w:top w:val="single" w:sz="8" w:color="auto"/>
              <w:bottom w:val="single" w:sz="8" w:color="auto"/>
            </w:tcBorders>
            <w:shd w:val="clear" w:color="auto" w:fill="BFBFBF"/>
          </w:tcPr>
          <w:p>
            <w:pPr>
              <w:spacing w:after="0"/>
              <w:rPr>
                <w:sz w:val="23"/>
                <w:szCs w:val="23"/>
                <w:color w:val="auto"/>
              </w:rPr>
            </w:pPr>
          </w:p>
        </w:tc>
        <w:tc>
          <w:tcPr>
            <w:tcW w:w="440" w:type="dxa"/>
            <w:vAlign w:val="bottom"/>
            <w:tcBorders>
              <w:top w:val="single" w:sz="8" w:color="auto"/>
              <w:bottom w:val="single" w:sz="8" w:color="auto"/>
              <w:right w:val="single" w:sz="8" w:color="auto"/>
            </w:tcBorders>
            <w:shd w:val="clear" w:color="auto" w:fill="BFBFBF"/>
          </w:tcPr>
          <w:p>
            <w:pPr>
              <w:spacing w:after="0"/>
              <w:rPr>
                <w:sz w:val="23"/>
                <w:szCs w:val="23"/>
                <w:color w:val="auto"/>
              </w:rPr>
            </w:pPr>
          </w:p>
        </w:tc>
        <w:tc>
          <w:tcPr>
            <w:tcW w:w="2200" w:type="dxa"/>
            <w:vAlign w:val="bottom"/>
            <w:tcBorders>
              <w:top w:val="single" w:sz="8" w:color="auto"/>
              <w:bottom w:val="single" w:sz="8" w:color="auto"/>
              <w:right w:val="single" w:sz="8" w:color="auto"/>
            </w:tcBorders>
            <w:gridSpan w:val="6"/>
            <w:shd w:val="clear" w:color="auto" w:fill="BFBFBF"/>
          </w:tcPr>
          <w:p>
            <w:pPr>
              <w:ind w:left="60"/>
              <w:spacing w:after="0" w:line="228" w:lineRule="exact"/>
              <w:rPr>
                <w:sz w:val="20"/>
                <w:szCs w:val="20"/>
                <w:color w:val="auto"/>
              </w:rPr>
            </w:pPr>
            <w:r>
              <w:rPr>
                <w:rFonts w:ascii="Times New Roman" w:cs="Times New Roman" w:eastAsia="Times New Roman" w:hAnsi="Times New Roman"/>
                <w:sz w:val="21"/>
                <w:szCs w:val="21"/>
                <w:b w:val="1"/>
                <w:bCs w:val="1"/>
                <w:color w:val="auto"/>
              </w:rPr>
              <w:t>Applicable Margin</w:t>
            </w:r>
          </w:p>
        </w:tc>
        <w:tc>
          <w:tcPr>
            <w:tcW w:w="1000" w:type="dxa"/>
            <w:vAlign w:val="bottom"/>
            <w:tcBorders>
              <w:top w:val="single" w:sz="8" w:color="auto"/>
              <w:bottom w:val="single" w:sz="8" w:color="auto"/>
            </w:tcBorders>
            <w:shd w:val="clear" w:color="auto" w:fill="BFBFBF"/>
          </w:tcPr>
          <w:p>
            <w:pPr>
              <w:spacing w:after="0" w:line="215" w:lineRule="exact"/>
              <w:rPr>
                <w:sz w:val="20"/>
                <w:szCs w:val="20"/>
                <w:color w:val="auto"/>
              </w:rPr>
            </w:pPr>
            <w:r>
              <w:rPr>
                <w:rFonts w:ascii="Times New Roman" w:cs="Times New Roman" w:eastAsia="Times New Roman" w:hAnsi="Times New Roman"/>
                <w:sz w:val="21"/>
                <w:szCs w:val="21"/>
                <w:b w:val="1"/>
                <w:bCs w:val="1"/>
                <w:color w:val="auto"/>
              </w:rPr>
              <w:t>Applicable</w:t>
            </w:r>
          </w:p>
        </w:tc>
        <w:tc>
          <w:tcPr>
            <w:tcW w:w="20" w:type="dxa"/>
            <w:vAlign w:val="bottom"/>
            <w:tcBorders>
              <w:top w:val="single" w:sz="8" w:color="auto"/>
              <w:bottom w:val="single" w:sz="8" w:color="auto"/>
            </w:tcBorders>
            <w:shd w:val="clear" w:color="auto" w:fill="BFBFBF"/>
          </w:tcPr>
          <w:p>
            <w:pPr>
              <w:spacing w:after="0"/>
              <w:rPr>
                <w:sz w:val="23"/>
                <w:szCs w:val="23"/>
                <w:color w:val="auto"/>
              </w:rPr>
            </w:pPr>
          </w:p>
        </w:tc>
        <w:tc>
          <w:tcPr>
            <w:tcW w:w="720" w:type="dxa"/>
            <w:vAlign w:val="bottom"/>
            <w:tcBorders>
              <w:top w:val="single" w:sz="8" w:color="auto"/>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54"/>
        </w:trPr>
        <w:tc>
          <w:tcPr>
            <w:tcW w:w="80" w:type="dxa"/>
            <w:vAlign w:val="bottom"/>
            <w:tcBorders>
              <w:top w:val="single" w:sz="8" w:color="BFBFBF"/>
              <w:left w:val="single" w:sz="8" w:color="auto"/>
              <w:bottom w:val="single" w:sz="8" w:color="BFBFBF"/>
            </w:tcBorders>
            <w:shd w:val="clear" w:color="auto" w:fill="BFBFBF"/>
          </w:tcPr>
          <w:p>
            <w:pPr>
              <w:spacing w:after="0"/>
              <w:rPr>
                <w:sz w:val="13"/>
                <w:szCs w:val="13"/>
                <w:color w:val="auto"/>
              </w:rPr>
            </w:pPr>
          </w:p>
        </w:tc>
        <w:tc>
          <w:tcPr>
            <w:tcW w:w="20" w:type="dxa"/>
            <w:vAlign w:val="bottom"/>
            <w:tcBorders>
              <w:top w:val="single" w:sz="8" w:color="BFBFBF"/>
              <w:bottom w:val="single" w:sz="8" w:color="BFBFBF"/>
            </w:tcBorders>
            <w:vMerge w:val="restart"/>
            <w:shd w:val="clear" w:color="auto" w:fill="BFBFBF"/>
          </w:tcPr>
          <w:p>
            <w:pPr>
              <w:spacing w:after="0"/>
              <w:rPr>
                <w:sz w:val="13"/>
                <w:szCs w:val="13"/>
                <w:color w:val="auto"/>
              </w:rPr>
            </w:pPr>
          </w:p>
        </w:tc>
        <w:tc>
          <w:tcPr>
            <w:tcW w:w="480" w:type="dxa"/>
            <w:vAlign w:val="bottom"/>
            <w:tcBorders>
              <w:top w:val="single" w:sz="8" w:color="BFBFBF"/>
              <w:bottom w:val="single" w:sz="8" w:color="auto"/>
            </w:tcBorders>
            <w:shd w:val="clear" w:color="auto" w:fill="BFBFB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Level</w:t>
            </w:r>
          </w:p>
        </w:tc>
        <w:tc>
          <w:tcPr>
            <w:tcW w:w="580" w:type="dxa"/>
            <w:vAlign w:val="bottom"/>
            <w:tcBorders>
              <w:top w:val="single" w:sz="8" w:color="BFBFBF"/>
              <w:bottom w:val="single" w:sz="8" w:color="BFBFBF"/>
              <w:right w:val="single" w:sz="8" w:color="auto"/>
            </w:tcBorders>
            <w:gridSpan w:val="2"/>
            <w:vMerge w:val="restart"/>
            <w:shd w:val="clear" w:color="auto" w:fill="BFBFBF"/>
          </w:tcPr>
          <w:p>
            <w:pPr>
              <w:spacing w:after="0"/>
              <w:rPr>
                <w:sz w:val="13"/>
                <w:szCs w:val="13"/>
                <w:color w:val="auto"/>
              </w:rPr>
            </w:pPr>
          </w:p>
        </w:tc>
        <w:tc>
          <w:tcPr>
            <w:tcW w:w="60" w:type="dxa"/>
            <w:vAlign w:val="bottom"/>
            <w:tcBorders>
              <w:top w:val="single" w:sz="8" w:color="BFBFBF"/>
              <w:bottom w:val="single" w:sz="8" w:color="BFBFBF"/>
            </w:tcBorders>
            <w:shd w:val="clear" w:color="auto" w:fill="BFBFBF"/>
          </w:tcPr>
          <w:p>
            <w:pPr>
              <w:spacing w:after="0"/>
              <w:rPr>
                <w:sz w:val="13"/>
                <w:szCs w:val="13"/>
                <w:color w:val="auto"/>
              </w:rPr>
            </w:pPr>
          </w:p>
        </w:tc>
        <w:tc>
          <w:tcPr>
            <w:tcW w:w="1920" w:type="dxa"/>
            <w:vAlign w:val="bottom"/>
            <w:tcBorders>
              <w:top w:val="single" w:sz="8" w:color="BFBFBF"/>
              <w:bottom w:val="single" w:sz="8" w:color="BFBFBF"/>
            </w:tcBorders>
            <w:shd w:val="clear" w:color="auto" w:fill="BFBFBF"/>
          </w:tcPr>
          <w:p>
            <w:pPr>
              <w:spacing w:after="0"/>
              <w:rPr>
                <w:sz w:val="13"/>
                <w:szCs w:val="13"/>
                <w:color w:val="auto"/>
              </w:rPr>
            </w:pPr>
          </w:p>
        </w:tc>
        <w:tc>
          <w:tcPr>
            <w:tcW w:w="1060" w:type="dxa"/>
            <w:vAlign w:val="bottom"/>
            <w:tcBorders>
              <w:top w:val="single" w:sz="8" w:color="BFBFBF"/>
              <w:bottom w:val="single" w:sz="8" w:color="BFBFBF"/>
              <w:right w:val="single" w:sz="8" w:color="auto"/>
            </w:tcBorders>
            <w:shd w:val="clear" w:color="auto" w:fill="BFBFBF"/>
          </w:tcPr>
          <w:p>
            <w:pPr>
              <w:spacing w:after="0"/>
              <w:rPr>
                <w:sz w:val="13"/>
                <w:szCs w:val="13"/>
                <w:color w:val="auto"/>
              </w:rPr>
            </w:pPr>
          </w:p>
        </w:tc>
        <w:tc>
          <w:tcPr>
            <w:tcW w:w="80" w:type="dxa"/>
            <w:vAlign w:val="bottom"/>
            <w:tcBorders>
              <w:top w:val="single" w:sz="8" w:color="BFBFBF"/>
              <w:bottom w:val="single" w:sz="8" w:color="BFBFBF"/>
              <w:right w:val="single" w:sz="8" w:color="BFBFBF"/>
            </w:tcBorders>
            <w:vMerge w:val="restart"/>
            <w:shd w:val="clear" w:color="auto" w:fill="BFBFBF"/>
          </w:tcPr>
          <w:p>
            <w:pPr>
              <w:spacing w:after="0"/>
              <w:rPr>
                <w:sz w:val="13"/>
                <w:szCs w:val="13"/>
                <w:color w:val="auto"/>
              </w:rPr>
            </w:pPr>
          </w:p>
        </w:tc>
        <w:tc>
          <w:tcPr>
            <w:tcW w:w="2600" w:type="dxa"/>
            <w:vAlign w:val="bottom"/>
            <w:tcBorders>
              <w:top w:val="single" w:sz="8" w:color="BFBFBF"/>
              <w:bottom w:val="single" w:sz="8" w:color="auto"/>
            </w:tcBorders>
            <w:gridSpan w:val="4"/>
            <w:shd w:val="clear" w:color="auto" w:fill="BFBFB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SOFR Loans, Term CORRA</w:t>
            </w:r>
          </w:p>
        </w:tc>
        <w:tc>
          <w:tcPr>
            <w:tcW w:w="440" w:type="dxa"/>
            <w:vAlign w:val="bottom"/>
            <w:tcBorders>
              <w:top w:val="single" w:sz="8" w:color="BFBFBF"/>
              <w:bottom w:val="single" w:sz="8" w:color="BFBFBF"/>
              <w:right w:val="single" w:sz="8" w:color="auto"/>
            </w:tcBorders>
            <w:shd w:val="clear" w:color="auto" w:fill="BFBFBF"/>
          </w:tcPr>
          <w:p>
            <w:pPr>
              <w:spacing w:after="0"/>
              <w:rPr>
                <w:sz w:val="13"/>
                <w:szCs w:val="13"/>
                <w:color w:val="auto"/>
              </w:rPr>
            </w:pPr>
          </w:p>
        </w:tc>
        <w:tc>
          <w:tcPr>
            <w:tcW w:w="60" w:type="dxa"/>
            <w:vAlign w:val="bottom"/>
            <w:tcBorders>
              <w:top w:val="single" w:sz="8" w:color="BFBFBF"/>
              <w:bottom w:val="single" w:sz="8" w:color="BFBFBF"/>
            </w:tcBorders>
            <w:vMerge w:val="restart"/>
            <w:shd w:val="clear" w:color="auto" w:fill="BFBFBF"/>
          </w:tcPr>
          <w:p>
            <w:pPr>
              <w:spacing w:after="0"/>
              <w:rPr>
                <w:sz w:val="13"/>
                <w:szCs w:val="13"/>
                <w:color w:val="auto"/>
              </w:rPr>
            </w:pPr>
          </w:p>
        </w:tc>
        <w:tc>
          <w:tcPr>
            <w:tcW w:w="1680" w:type="dxa"/>
            <w:vAlign w:val="bottom"/>
            <w:tcBorders>
              <w:top w:val="single" w:sz="8" w:color="auto"/>
              <w:bottom w:val="single" w:sz="8" w:color="auto"/>
            </w:tcBorders>
            <w:gridSpan w:val="2"/>
            <w:vMerge w:val="restart"/>
            <w:shd w:val="clear" w:color="auto" w:fill="BFBFBF"/>
          </w:tcPr>
          <w:p>
            <w:pPr>
              <w:spacing w:after="0" w:line="222" w:lineRule="exact"/>
              <w:rPr>
                <w:sz w:val="20"/>
                <w:szCs w:val="20"/>
                <w:color w:val="auto"/>
              </w:rPr>
            </w:pPr>
            <w:r>
              <w:rPr>
                <w:rFonts w:ascii="Times New Roman" w:cs="Times New Roman" w:eastAsia="Times New Roman" w:hAnsi="Times New Roman"/>
                <w:sz w:val="21"/>
                <w:szCs w:val="21"/>
                <w:b w:val="1"/>
                <w:bCs w:val="1"/>
                <w:color w:val="auto"/>
              </w:rPr>
              <w:t>for U.S. Base Rate</w:t>
            </w:r>
          </w:p>
        </w:tc>
        <w:tc>
          <w:tcPr>
            <w:tcW w:w="60" w:type="dxa"/>
            <w:vAlign w:val="bottom"/>
            <w:tcBorders>
              <w:top w:val="single" w:sz="8" w:color="auto"/>
              <w:bottom w:val="single" w:sz="8" w:color="auto"/>
            </w:tcBorders>
            <w:vMerge w:val="restart"/>
            <w:shd w:val="clear" w:color="auto" w:fill="BFBFBF"/>
          </w:tcPr>
          <w:p>
            <w:pPr>
              <w:spacing w:after="0"/>
              <w:rPr>
                <w:sz w:val="13"/>
                <w:szCs w:val="13"/>
                <w:color w:val="auto"/>
              </w:rPr>
            </w:pPr>
          </w:p>
        </w:tc>
        <w:tc>
          <w:tcPr>
            <w:tcW w:w="400" w:type="dxa"/>
            <w:vAlign w:val="bottom"/>
            <w:tcBorders>
              <w:top w:val="single" w:sz="8" w:color="BFBFBF"/>
              <w:bottom w:val="single" w:sz="8" w:color="BFBFBF"/>
              <w:right w:val="single" w:sz="8" w:color="auto"/>
            </w:tcBorders>
            <w:gridSpan w:val="2"/>
            <w:vMerge w:val="restart"/>
            <w:shd w:val="clear" w:color="auto" w:fill="BFBFBF"/>
          </w:tcPr>
          <w:p>
            <w:pPr>
              <w:spacing w:after="0"/>
              <w:rPr>
                <w:sz w:val="13"/>
                <w:szCs w:val="13"/>
                <w:color w:val="auto"/>
              </w:rPr>
            </w:pPr>
          </w:p>
        </w:tc>
        <w:tc>
          <w:tcPr>
            <w:tcW w:w="1020" w:type="dxa"/>
            <w:vAlign w:val="bottom"/>
            <w:tcBorders>
              <w:top w:val="single" w:sz="8" w:color="BFBFBF"/>
              <w:bottom w:val="single" w:sz="8" w:color="auto"/>
            </w:tcBorders>
            <w:gridSpan w:val="2"/>
            <w:shd w:val="clear" w:color="auto" w:fill="BFBFBF"/>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Margin for</w:t>
            </w:r>
          </w:p>
        </w:tc>
        <w:tc>
          <w:tcPr>
            <w:tcW w:w="720" w:type="dxa"/>
            <w:vAlign w:val="bottom"/>
            <w:tcBorders>
              <w:top w:val="single" w:sz="8" w:color="BFBFBF"/>
              <w:bottom w:val="single" w:sz="8" w:color="BFBFBF"/>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80" w:type="dxa"/>
            <w:vAlign w:val="bottom"/>
            <w:tcBorders>
              <w:left w:val="single" w:sz="8" w:color="auto"/>
              <w:bottom w:val="single" w:sz="8" w:color="BFBFBF"/>
            </w:tcBorders>
            <w:shd w:val="clear" w:color="auto" w:fill="BFBFBF"/>
          </w:tcPr>
          <w:p>
            <w:pPr>
              <w:spacing w:after="0"/>
              <w:rPr>
                <w:sz w:val="4"/>
                <w:szCs w:val="4"/>
                <w:color w:val="auto"/>
              </w:rPr>
            </w:pPr>
          </w:p>
        </w:tc>
        <w:tc>
          <w:tcPr>
            <w:tcW w:w="20" w:type="dxa"/>
            <w:vAlign w:val="bottom"/>
            <w:tcBorders>
              <w:bottom w:val="single" w:sz="8" w:color="BFBFBF"/>
            </w:tcBorders>
            <w:vMerge w:val="continue"/>
            <w:shd w:val="clear" w:color="auto" w:fill="BFBFBF"/>
          </w:tcPr>
          <w:p>
            <w:pPr>
              <w:spacing w:after="0"/>
              <w:rPr>
                <w:sz w:val="4"/>
                <w:szCs w:val="4"/>
                <w:color w:val="auto"/>
              </w:rPr>
            </w:pPr>
          </w:p>
        </w:tc>
        <w:tc>
          <w:tcPr>
            <w:tcW w:w="480" w:type="dxa"/>
            <w:vAlign w:val="bottom"/>
            <w:tcBorders>
              <w:bottom w:val="single" w:sz="8" w:color="BFBFBF"/>
            </w:tcBorders>
            <w:shd w:val="clear" w:color="auto" w:fill="BFBFBF"/>
          </w:tcPr>
          <w:p>
            <w:pPr>
              <w:spacing w:after="0"/>
              <w:rPr>
                <w:sz w:val="4"/>
                <w:szCs w:val="4"/>
                <w:color w:val="auto"/>
              </w:rPr>
            </w:pPr>
          </w:p>
        </w:tc>
        <w:tc>
          <w:tcPr>
            <w:tcW w:w="580" w:type="dxa"/>
            <w:vAlign w:val="bottom"/>
            <w:tcBorders>
              <w:bottom w:val="single" w:sz="8" w:color="BFBFBF"/>
              <w:right w:val="single" w:sz="8" w:color="auto"/>
            </w:tcBorders>
            <w:gridSpan w:val="2"/>
            <w:vMerge w:val="continue"/>
            <w:shd w:val="clear" w:color="auto" w:fill="BFBFBF"/>
          </w:tcPr>
          <w:p>
            <w:pPr>
              <w:spacing w:after="0"/>
              <w:rPr>
                <w:sz w:val="4"/>
                <w:szCs w:val="4"/>
                <w:color w:val="auto"/>
              </w:rPr>
            </w:pPr>
          </w:p>
        </w:tc>
        <w:tc>
          <w:tcPr>
            <w:tcW w:w="60" w:type="dxa"/>
            <w:vAlign w:val="bottom"/>
            <w:tcBorders>
              <w:bottom w:val="single" w:sz="8" w:color="BFBFBF"/>
            </w:tcBorders>
            <w:shd w:val="clear" w:color="auto" w:fill="BFBFBF"/>
          </w:tcPr>
          <w:p>
            <w:pPr>
              <w:spacing w:after="0"/>
              <w:rPr>
                <w:sz w:val="4"/>
                <w:szCs w:val="4"/>
                <w:color w:val="auto"/>
              </w:rPr>
            </w:pPr>
          </w:p>
        </w:tc>
        <w:tc>
          <w:tcPr>
            <w:tcW w:w="1920" w:type="dxa"/>
            <w:vAlign w:val="bottom"/>
            <w:tcBorders>
              <w:bottom w:val="single" w:sz="8" w:color="BFBFBF"/>
            </w:tcBorders>
            <w:shd w:val="clear" w:color="auto" w:fill="BFBFBF"/>
          </w:tcPr>
          <w:p>
            <w:pPr>
              <w:spacing w:after="0"/>
              <w:rPr>
                <w:sz w:val="4"/>
                <w:szCs w:val="4"/>
                <w:color w:val="auto"/>
              </w:rPr>
            </w:pPr>
          </w:p>
        </w:tc>
        <w:tc>
          <w:tcPr>
            <w:tcW w:w="1060" w:type="dxa"/>
            <w:vAlign w:val="bottom"/>
            <w:tcBorders>
              <w:bottom w:val="single" w:sz="8" w:color="BFBFBF"/>
              <w:right w:val="single" w:sz="8" w:color="auto"/>
            </w:tcBorders>
            <w:shd w:val="clear" w:color="auto" w:fill="BFBFBF"/>
          </w:tcPr>
          <w:p>
            <w:pPr>
              <w:spacing w:after="0"/>
              <w:rPr>
                <w:sz w:val="4"/>
                <w:szCs w:val="4"/>
                <w:color w:val="auto"/>
              </w:rPr>
            </w:pPr>
          </w:p>
        </w:tc>
        <w:tc>
          <w:tcPr>
            <w:tcW w:w="80" w:type="dxa"/>
            <w:vAlign w:val="bottom"/>
            <w:tcBorders>
              <w:bottom w:val="single" w:sz="8" w:color="BFBFBF"/>
              <w:right w:val="single" w:sz="8" w:color="BFBFBF"/>
            </w:tcBorders>
            <w:vMerge w:val="continue"/>
            <w:shd w:val="clear" w:color="auto" w:fill="BFBFBF"/>
          </w:tcPr>
          <w:p>
            <w:pPr>
              <w:spacing w:after="0"/>
              <w:rPr>
                <w:sz w:val="4"/>
                <w:szCs w:val="4"/>
                <w:color w:val="auto"/>
              </w:rPr>
            </w:pPr>
          </w:p>
        </w:tc>
        <w:tc>
          <w:tcPr>
            <w:tcW w:w="3040" w:type="dxa"/>
            <w:vAlign w:val="bottom"/>
            <w:tcBorders>
              <w:bottom w:val="single" w:sz="8" w:color="BFBFBF"/>
              <w:right w:val="single" w:sz="8" w:color="auto"/>
            </w:tcBorders>
            <w:gridSpan w:val="5"/>
            <w:vMerge w:val="restart"/>
            <w:shd w:val="clear" w:color="auto" w:fill="BFBFBF"/>
          </w:tcPr>
          <w:p>
            <w:pPr>
              <w:spacing w:after="0" w:line="195" w:lineRule="exact"/>
              <w:rPr>
                <w:sz w:val="20"/>
                <w:szCs w:val="20"/>
                <w:color w:val="auto"/>
              </w:rPr>
            </w:pPr>
            <w:r>
              <w:rPr>
                <w:rFonts w:ascii="Times New Roman" w:cs="Times New Roman" w:eastAsia="Times New Roman" w:hAnsi="Times New Roman"/>
                <w:sz w:val="21"/>
                <w:szCs w:val="21"/>
                <w:b w:val="1"/>
                <w:bCs w:val="1"/>
                <w:color w:val="auto"/>
              </w:rPr>
              <w:t>Loans, Eurocurrency Rate</w:t>
            </w:r>
          </w:p>
        </w:tc>
        <w:tc>
          <w:tcPr>
            <w:tcW w:w="60" w:type="dxa"/>
            <w:vAlign w:val="bottom"/>
            <w:tcBorders>
              <w:bottom w:val="single" w:sz="8" w:color="BFBFBF"/>
            </w:tcBorders>
            <w:vMerge w:val="continue"/>
            <w:shd w:val="clear" w:color="auto" w:fill="BFBFBF"/>
          </w:tcPr>
          <w:p>
            <w:pPr>
              <w:spacing w:after="0"/>
              <w:rPr>
                <w:sz w:val="4"/>
                <w:szCs w:val="4"/>
                <w:color w:val="auto"/>
              </w:rPr>
            </w:pPr>
          </w:p>
        </w:tc>
        <w:tc>
          <w:tcPr>
            <w:tcW w:w="1680" w:type="dxa"/>
            <w:vAlign w:val="bottom"/>
            <w:tcBorders>
              <w:bottom w:val="single" w:sz="8" w:color="auto"/>
            </w:tcBorders>
            <w:gridSpan w:val="2"/>
            <w:vMerge w:val="continue"/>
            <w:shd w:val="clear" w:color="auto" w:fill="BFBFBF"/>
          </w:tcPr>
          <w:p>
            <w:pPr>
              <w:spacing w:after="0"/>
              <w:rPr>
                <w:sz w:val="4"/>
                <w:szCs w:val="4"/>
                <w:color w:val="auto"/>
              </w:rPr>
            </w:pPr>
          </w:p>
        </w:tc>
        <w:tc>
          <w:tcPr>
            <w:tcW w:w="60" w:type="dxa"/>
            <w:vAlign w:val="bottom"/>
            <w:tcBorders>
              <w:bottom w:val="single" w:sz="8" w:color="BFBFBF"/>
            </w:tcBorders>
            <w:vMerge w:val="continue"/>
            <w:shd w:val="clear" w:color="auto" w:fill="BFBFBF"/>
          </w:tcPr>
          <w:p>
            <w:pPr>
              <w:spacing w:after="0"/>
              <w:rPr>
                <w:sz w:val="4"/>
                <w:szCs w:val="4"/>
                <w:color w:val="auto"/>
              </w:rPr>
            </w:pPr>
          </w:p>
        </w:tc>
        <w:tc>
          <w:tcPr>
            <w:tcW w:w="400" w:type="dxa"/>
            <w:vAlign w:val="bottom"/>
            <w:tcBorders>
              <w:bottom w:val="single" w:sz="8" w:color="BFBFBF"/>
              <w:right w:val="single" w:sz="8" w:color="auto"/>
            </w:tcBorders>
            <w:gridSpan w:val="2"/>
            <w:vMerge w:val="continue"/>
            <w:shd w:val="clear" w:color="auto" w:fill="BFBFBF"/>
          </w:tcPr>
          <w:p>
            <w:pPr>
              <w:spacing w:after="0"/>
              <w:rPr>
                <w:sz w:val="4"/>
                <w:szCs w:val="4"/>
                <w:color w:val="auto"/>
              </w:rPr>
            </w:pPr>
          </w:p>
        </w:tc>
        <w:tc>
          <w:tcPr>
            <w:tcW w:w="1740" w:type="dxa"/>
            <w:vAlign w:val="bottom"/>
            <w:tcBorders>
              <w:bottom w:val="single" w:sz="8" w:color="BFBFBF"/>
              <w:right w:val="single" w:sz="8" w:color="auto"/>
            </w:tcBorders>
            <w:gridSpan w:val="3"/>
            <w:vMerge w:val="restart"/>
            <w:shd w:val="clear" w:color="auto" w:fill="BFBFBF"/>
          </w:tcPr>
          <w:p>
            <w:pPr>
              <w:spacing w:after="0" w:line="195" w:lineRule="exact"/>
              <w:rPr>
                <w:sz w:val="20"/>
                <w:szCs w:val="20"/>
                <w:color w:val="auto"/>
              </w:rPr>
            </w:pPr>
            <w:r>
              <w:rPr>
                <w:rFonts w:ascii="Times New Roman" w:cs="Times New Roman" w:eastAsia="Times New Roman" w:hAnsi="Times New Roman"/>
                <w:sz w:val="21"/>
                <w:szCs w:val="21"/>
                <w:b w:val="1"/>
                <w:bCs w:val="1"/>
                <w:color w:val="auto"/>
              </w:rPr>
              <w:t>Commitment Fees</w:t>
            </w:r>
          </w:p>
        </w:tc>
        <w:tc>
          <w:tcPr>
            <w:tcW w:w="0" w:type="dxa"/>
            <w:vAlign w:val="bottom"/>
          </w:tcPr>
          <w:p>
            <w:pPr>
              <w:spacing w:after="0"/>
              <w:rPr>
                <w:sz w:val="1"/>
                <w:szCs w:val="1"/>
                <w:color w:val="auto"/>
              </w:rPr>
            </w:pPr>
          </w:p>
        </w:tc>
      </w:tr>
      <w:tr>
        <w:trPr>
          <w:trHeight w:val="127"/>
        </w:trPr>
        <w:tc>
          <w:tcPr>
            <w:tcW w:w="80" w:type="dxa"/>
            <w:vAlign w:val="bottom"/>
            <w:tcBorders>
              <w:left w:val="single" w:sz="8" w:color="auto"/>
            </w:tcBorders>
            <w:shd w:val="clear" w:color="auto" w:fill="BFBFBF"/>
          </w:tcPr>
          <w:p>
            <w:pPr>
              <w:spacing w:after="0"/>
              <w:rPr>
                <w:sz w:val="11"/>
                <w:szCs w:val="11"/>
                <w:color w:val="auto"/>
              </w:rPr>
            </w:pPr>
          </w:p>
        </w:tc>
        <w:tc>
          <w:tcPr>
            <w:tcW w:w="20" w:type="dxa"/>
            <w:vAlign w:val="bottom"/>
            <w:shd w:val="clear" w:color="auto" w:fill="BFBFBF"/>
          </w:tcPr>
          <w:p>
            <w:pPr>
              <w:spacing w:after="0"/>
              <w:rPr>
                <w:sz w:val="11"/>
                <w:szCs w:val="11"/>
                <w:color w:val="auto"/>
              </w:rPr>
            </w:pPr>
          </w:p>
        </w:tc>
        <w:tc>
          <w:tcPr>
            <w:tcW w:w="480" w:type="dxa"/>
            <w:vAlign w:val="bottom"/>
            <w:shd w:val="clear" w:color="auto" w:fill="BFBFBF"/>
          </w:tcPr>
          <w:p>
            <w:pPr>
              <w:spacing w:after="0"/>
              <w:rPr>
                <w:sz w:val="11"/>
                <w:szCs w:val="11"/>
                <w:color w:val="auto"/>
              </w:rPr>
            </w:pPr>
          </w:p>
        </w:tc>
        <w:tc>
          <w:tcPr>
            <w:tcW w:w="180" w:type="dxa"/>
            <w:vAlign w:val="bottom"/>
            <w:shd w:val="clear" w:color="auto" w:fill="BFBFBF"/>
          </w:tcPr>
          <w:p>
            <w:pPr>
              <w:spacing w:after="0"/>
              <w:rPr>
                <w:sz w:val="11"/>
                <w:szCs w:val="11"/>
                <w:color w:val="auto"/>
              </w:rPr>
            </w:pPr>
          </w:p>
        </w:tc>
        <w:tc>
          <w:tcPr>
            <w:tcW w:w="400" w:type="dxa"/>
            <w:vAlign w:val="bottom"/>
            <w:tcBorders>
              <w:right w:val="single" w:sz="8" w:color="auto"/>
            </w:tcBorders>
            <w:shd w:val="clear" w:color="auto" w:fill="BFBFBF"/>
          </w:tcPr>
          <w:p>
            <w:pPr>
              <w:spacing w:after="0"/>
              <w:rPr>
                <w:sz w:val="11"/>
                <w:szCs w:val="11"/>
                <w:color w:val="auto"/>
              </w:rPr>
            </w:pPr>
          </w:p>
        </w:tc>
        <w:tc>
          <w:tcPr>
            <w:tcW w:w="60" w:type="dxa"/>
            <w:vAlign w:val="bottom"/>
            <w:shd w:val="clear" w:color="auto" w:fill="BFBFBF"/>
          </w:tcPr>
          <w:p>
            <w:pPr>
              <w:spacing w:after="0"/>
              <w:rPr>
                <w:sz w:val="11"/>
                <w:szCs w:val="11"/>
                <w:color w:val="auto"/>
              </w:rPr>
            </w:pPr>
          </w:p>
        </w:tc>
        <w:tc>
          <w:tcPr>
            <w:tcW w:w="1920" w:type="dxa"/>
            <w:vAlign w:val="bottom"/>
            <w:shd w:val="clear" w:color="auto" w:fill="BFBFBF"/>
          </w:tcPr>
          <w:p>
            <w:pPr>
              <w:spacing w:after="0"/>
              <w:rPr>
                <w:sz w:val="11"/>
                <w:szCs w:val="11"/>
                <w:color w:val="auto"/>
              </w:rPr>
            </w:pPr>
          </w:p>
        </w:tc>
        <w:tc>
          <w:tcPr>
            <w:tcW w:w="1060" w:type="dxa"/>
            <w:vAlign w:val="bottom"/>
            <w:tcBorders>
              <w:right w:val="single" w:sz="8" w:color="auto"/>
            </w:tcBorders>
            <w:shd w:val="clear" w:color="auto" w:fill="BFBFBF"/>
          </w:tcPr>
          <w:p>
            <w:pPr>
              <w:spacing w:after="0"/>
              <w:rPr>
                <w:sz w:val="11"/>
                <w:szCs w:val="11"/>
                <w:color w:val="auto"/>
              </w:rPr>
            </w:pPr>
          </w:p>
        </w:tc>
        <w:tc>
          <w:tcPr>
            <w:tcW w:w="80" w:type="dxa"/>
            <w:vAlign w:val="bottom"/>
            <w:tcBorders>
              <w:right w:val="single" w:sz="8" w:color="BFBFBF"/>
            </w:tcBorders>
            <w:shd w:val="clear" w:color="auto" w:fill="BFBFBF"/>
          </w:tcPr>
          <w:p>
            <w:pPr>
              <w:spacing w:after="0"/>
              <w:rPr>
                <w:sz w:val="11"/>
                <w:szCs w:val="11"/>
                <w:color w:val="auto"/>
              </w:rPr>
            </w:pPr>
          </w:p>
        </w:tc>
        <w:tc>
          <w:tcPr>
            <w:tcW w:w="3040" w:type="dxa"/>
            <w:vAlign w:val="bottom"/>
            <w:tcBorders>
              <w:right w:val="single" w:sz="8" w:color="auto"/>
            </w:tcBorders>
            <w:gridSpan w:val="5"/>
            <w:vMerge w:val="continue"/>
            <w:shd w:val="clear" w:color="auto" w:fill="BFBFBF"/>
          </w:tcPr>
          <w:p>
            <w:pPr>
              <w:spacing w:after="0"/>
              <w:rPr>
                <w:sz w:val="11"/>
                <w:szCs w:val="11"/>
                <w:color w:val="auto"/>
              </w:rPr>
            </w:pPr>
          </w:p>
        </w:tc>
        <w:tc>
          <w:tcPr>
            <w:tcW w:w="2200" w:type="dxa"/>
            <w:vAlign w:val="bottom"/>
            <w:tcBorders>
              <w:right w:val="single" w:sz="8" w:color="auto"/>
            </w:tcBorders>
            <w:gridSpan w:val="6"/>
            <w:vMerge w:val="restart"/>
            <w:shd w:val="clear" w:color="auto" w:fill="BFBFBF"/>
          </w:tcPr>
          <w:p>
            <w:pPr>
              <w:ind w:left="60"/>
              <w:spacing w:after="0" w:line="235" w:lineRule="exact"/>
              <w:rPr>
                <w:sz w:val="20"/>
                <w:szCs w:val="20"/>
                <w:color w:val="auto"/>
              </w:rPr>
            </w:pPr>
            <w:r>
              <w:rPr>
                <w:rFonts w:ascii="Times New Roman" w:cs="Times New Roman" w:eastAsia="Times New Roman" w:hAnsi="Times New Roman"/>
                <w:sz w:val="21"/>
                <w:szCs w:val="21"/>
                <w:b w:val="1"/>
                <w:bCs w:val="1"/>
                <w:color w:val="auto"/>
              </w:rPr>
              <w:t>Loans and Canadian</w:t>
            </w:r>
          </w:p>
        </w:tc>
        <w:tc>
          <w:tcPr>
            <w:tcW w:w="1740" w:type="dxa"/>
            <w:vAlign w:val="bottom"/>
            <w:tcBorders>
              <w:right w:val="single" w:sz="8" w:color="auto"/>
            </w:tcBorders>
            <w:gridSpan w:val="3"/>
            <w:vMerge w:val="continue"/>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shd w:val="clear" w:color="auto" w:fill="BFBFBF"/>
          </w:tcPr>
          <w:p>
            <w:pPr>
              <w:spacing w:after="0" w:line="20" w:lineRule="exact"/>
              <w:rPr>
                <w:sz w:val="1"/>
                <w:szCs w:val="1"/>
                <w:color w:val="auto"/>
              </w:rPr>
            </w:pPr>
          </w:p>
        </w:tc>
        <w:tc>
          <w:tcPr>
            <w:tcW w:w="20" w:type="dxa"/>
            <w:vAlign w:val="bottom"/>
            <w:shd w:val="clear" w:color="auto" w:fill="BFBFBF"/>
          </w:tcPr>
          <w:p>
            <w:pPr>
              <w:spacing w:after="0" w:line="20" w:lineRule="exact"/>
              <w:rPr>
                <w:sz w:val="1"/>
                <w:szCs w:val="1"/>
                <w:color w:val="auto"/>
              </w:rPr>
            </w:pPr>
          </w:p>
        </w:tc>
        <w:tc>
          <w:tcPr>
            <w:tcW w:w="480" w:type="dxa"/>
            <w:vAlign w:val="bottom"/>
            <w:shd w:val="clear" w:color="auto" w:fill="BFBFBF"/>
          </w:tcPr>
          <w:p>
            <w:pPr>
              <w:spacing w:after="0" w:line="20" w:lineRule="exact"/>
              <w:rPr>
                <w:sz w:val="1"/>
                <w:szCs w:val="1"/>
                <w:color w:val="auto"/>
              </w:rPr>
            </w:pPr>
          </w:p>
        </w:tc>
        <w:tc>
          <w:tcPr>
            <w:tcW w:w="180" w:type="dxa"/>
            <w:vAlign w:val="bottom"/>
            <w:shd w:val="clear" w:color="auto" w:fill="BFBFBF"/>
          </w:tcPr>
          <w:p>
            <w:pPr>
              <w:spacing w:after="0" w:line="20" w:lineRule="exact"/>
              <w:rPr>
                <w:sz w:val="1"/>
                <w:szCs w:val="1"/>
                <w:color w:val="auto"/>
              </w:rPr>
            </w:pPr>
          </w:p>
        </w:tc>
        <w:tc>
          <w:tcPr>
            <w:tcW w:w="400" w:type="dxa"/>
            <w:vAlign w:val="bottom"/>
            <w:tcBorders>
              <w:right w:val="single" w:sz="8" w:color="auto"/>
            </w:tcBorders>
            <w:shd w:val="clear" w:color="auto" w:fill="BFBFBF"/>
          </w:tcPr>
          <w:p>
            <w:pPr>
              <w:spacing w:after="0" w:line="20" w:lineRule="exact"/>
              <w:rPr>
                <w:sz w:val="1"/>
                <w:szCs w:val="1"/>
                <w:color w:val="auto"/>
              </w:rPr>
            </w:pPr>
          </w:p>
        </w:tc>
        <w:tc>
          <w:tcPr>
            <w:tcW w:w="60" w:type="dxa"/>
            <w:vAlign w:val="bottom"/>
            <w:shd w:val="clear" w:color="auto" w:fill="BFBFBF"/>
          </w:tcPr>
          <w:p>
            <w:pPr>
              <w:spacing w:after="0" w:line="20" w:lineRule="exact"/>
              <w:rPr>
                <w:sz w:val="1"/>
                <w:szCs w:val="1"/>
                <w:color w:val="auto"/>
              </w:rPr>
            </w:pPr>
          </w:p>
        </w:tc>
        <w:tc>
          <w:tcPr>
            <w:tcW w:w="1920" w:type="dxa"/>
            <w:vAlign w:val="bottom"/>
            <w:shd w:val="clear" w:color="auto" w:fill="BFBFBF"/>
          </w:tcPr>
          <w:p>
            <w:pPr>
              <w:spacing w:after="0" w:line="20" w:lineRule="exact"/>
              <w:rPr>
                <w:sz w:val="1"/>
                <w:szCs w:val="1"/>
                <w:color w:val="auto"/>
              </w:rPr>
            </w:pPr>
          </w:p>
        </w:tc>
        <w:tc>
          <w:tcPr>
            <w:tcW w:w="1060" w:type="dxa"/>
            <w:vAlign w:val="bottom"/>
            <w:tcBorders>
              <w:right w:val="single" w:sz="8" w:color="auto"/>
            </w:tcBorders>
            <w:shd w:val="clear" w:color="auto" w:fill="BFBFBF"/>
          </w:tcPr>
          <w:p>
            <w:pPr>
              <w:spacing w:after="0" w:line="20" w:lineRule="exact"/>
              <w:rPr>
                <w:sz w:val="1"/>
                <w:szCs w:val="1"/>
                <w:color w:val="auto"/>
              </w:rPr>
            </w:pPr>
          </w:p>
        </w:tc>
        <w:tc>
          <w:tcPr>
            <w:tcW w:w="80" w:type="dxa"/>
            <w:vAlign w:val="bottom"/>
            <w:tcBorders>
              <w:right w:val="single" w:sz="8" w:color="BFBFBF"/>
            </w:tcBorders>
            <w:shd w:val="clear" w:color="auto" w:fill="BFBFB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80" w:type="dxa"/>
            <w:vAlign w:val="bottom"/>
            <w:tcBorders>
              <w:right w:val="single" w:sz="8" w:color="BFBFBF"/>
            </w:tcBorders>
            <w:shd w:val="clear" w:color="auto" w:fill="000000"/>
          </w:tcPr>
          <w:p>
            <w:pPr>
              <w:spacing w:after="0" w:line="20" w:lineRule="exact"/>
              <w:rPr>
                <w:sz w:val="1"/>
                <w:szCs w:val="1"/>
                <w:color w:val="auto"/>
              </w:rPr>
            </w:pPr>
          </w:p>
        </w:tc>
        <w:tc>
          <w:tcPr>
            <w:tcW w:w="140" w:type="dxa"/>
            <w:vAlign w:val="bottom"/>
            <w:shd w:val="clear" w:color="auto" w:fill="BFBFBF"/>
          </w:tcPr>
          <w:p>
            <w:pPr>
              <w:spacing w:after="0" w:line="20" w:lineRule="exact"/>
              <w:rPr>
                <w:sz w:val="1"/>
                <w:szCs w:val="1"/>
                <w:color w:val="auto"/>
              </w:rPr>
            </w:pPr>
          </w:p>
        </w:tc>
        <w:tc>
          <w:tcPr>
            <w:tcW w:w="20" w:type="dxa"/>
            <w:vAlign w:val="bottom"/>
            <w:shd w:val="clear" w:color="auto" w:fill="BFBFBF"/>
          </w:tcPr>
          <w:p>
            <w:pPr>
              <w:spacing w:after="0" w:line="20" w:lineRule="exact"/>
              <w:rPr>
                <w:sz w:val="1"/>
                <w:szCs w:val="1"/>
                <w:color w:val="auto"/>
              </w:rPr>
            </w:pPr>
          </w:p>
        </w:tc>
        <w:tc>
          <w:tcPr>
            <w:tcW w:w="440" w:type="dxa"/>
            <w:vAlign w:val="bottom"/>
            <w:tcBorders>
              <w:right w:val="single" w:sz="8" w:color="auto"/>
            </w:tcBorders>
            <w:shd w:val="clear" w:color="auto" w:fill="BFBFBF"/>
          </w:tcPr>
          <w:p>
            <w:pPr>
              <w:spacing w:after="0" w:line="20" w:lineRule="exact"/>
              <w:rPr>
                <w:sz w:val="1"/>
                <w:szCs w:val="1"/>
                <w:color w:val="auto"/>
              </w:rPr>
            </w:pPr>
          </w:p>
        </w:tc>
        <w:tc>
          <w:tcPr>
            <w:tcW w:w="2200" w:type="dxa"/>
            <w:vAlign w:val="bottom"/>
            <w:tcBorders>
              <w:right w:val="single" w:sz="8" w:color="auto"/>
            </w:tcBorders>
            <w:gridSpan w:val="6"/>
            <w:vMerge w:val="continue"/>
            <w:shd w:val="clear" w:color="auto" w:fill="BFBFB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80" w:type="dxa"/>
            <w:vAlign w:val="bottom"/>
            <w:tcBorders>
              <w:left w:val="single" w:sz="8" w:color="auto"/>
            </w:tcBorders>
            <w:shd w:val="clear" w:color="auto" w:fill="BFBFBF"/>
          </w:tcPr>
          <w:p>
            <w:pPr>
              <w:spacing w:after="0"/>
              <w:rPr>
                <w:sz w:val="7"/>
                <w:szCs w:val="7"/>
                <w:color w:val="auto"/>
              </w:rPr>
            </w:pPr>
          </w:p>
        </w:tc>
        <w:tc>
          <w:tcPr>
            <w:tcW w:w="20" w:type="dxa"/>
            <w:vAlign w:val="bottom"/>
            <w:shd w:val="clear" w:color="auto" w:fill="BFBFBF"/>
          </w:tcPr>
          <w:p>
            <w:pPr>
              <w:spacing w:after="0"/>
              <w:rPr>
                <w:sz w:val="7"/>
                <w:szCs w:val="7"/>
                <w:color w:val="auto"/>
              </w:rPr>
            </w:pPr>
          </w:p>
        </w:tc>
        <w:tc>
          <w:tcPr>
            <w:tcW w:w="480" w:type="dxa"/>
            <w:vAlign w:val="bottom"/>
            <w:shd w:val="clear" w:color="auto" w:fill="BFBFBF"/>
          </w:tcPr>
          <w:p>
            <w:pPr>
              <w:spacing w:after="0"/>
              <w:rPr>
                <w:sz w:val="7"/>
                <w:szCs w:val="7"/>
                <w:color w:val="auto"/>
              </w:rPr>
            </w:pPr>
          </w:p>
        </w:tc>
        <w:tc>
          <w:tcPr>
            <w:tcW w:w="180" w:type="dxa"/>
            <w:vAlign w:val="bottom"/>
            <w:shd w:val="clear" w:color="auto" w:fill="BFBFBF"/>
          </w:tcPr>
          <w:p>
            <w:pPr>
              <w:spacing w:after="0"/>
              <w:rPr>
                <w:sz w:val="7"/>
                <w:szCs w:val="7"/>
                <w:color w:val="auto"/>
              </w:rPr>
            </w:pPr>
          </w:p>
        </w:tc>
        <w:tc>
          <w:tcPr>
            <w:tcW w:w="400" w:type="dxa"/>
            <w:vAlign w:val="bottom"/>
            <w:tcBorders>
              <w:right w:val="single" w:sz="8" w:color="auto"/>
            </w:tcBorders>
            <w:shd w:val="clear" w:color="auto" w:fill="BFBFBF"/>
          </w:tcPr>
          <w:p>
            <w:pPr>
              <w:spacing w:after="0"/>
              <w:rPr>
                <w:sz w:val="7"/>
                <w:szCs w:val="7"/>
                <w:color w:val="auto"/>
              </w:rPr>
            </w:pPr>
          </w:p>
        </w:tc>
        <w:tc>
          <w:tcPr>
            <w:tcW w:w="60" w:type="dxa"/>
            <w:vAlign w:val="bottom"/>
            <w:shd w:val="clear" w:color="auto" w:fill="BFBFBF"/>
          </w:tcPr>
          <w:p>
            <w:pPr>
              <w:spacing w:after="0"/>
              <w:rPr>
                <w:sz w:val="7"/>
                <w:szCs w:val="7"/>
                <w:color w:val="auto"/>
              </w:rPr>
            </w:pPr>
          </w:p>
        </w:tc>
        <w:tc>
          <w:tcPr>
            <w:tcW w:w="1920" w:type="dxa"/>
            <w:vAlign w:val="bottom"/>
            <w:shd w:val="clear" w:color="auto" w:fill="BFBFBF"/>
          </w:tcPr>
          <w:p>
            <w:pPr>
              <w:spacing w:after="0"/>
              <w:rPr>
                <w:sz w:val="7"/>
                <w:szCs w:val="7"/>
                <w:color w:val="auto"/>
              </w:rPr>
            </w:pPr>
          </w:p>
        </w:tc>
        <w:tc>
          <w:tcPr>
            <w:tcW w:w="1060" w:type="dxa"/>
            <w:vAlign w:val="bottom"/>
            <w:tcBorders>
              <w:right w:val="single" w:sz="8" w:color="auto"/>
            </w:tcBorders>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3040" w:type="dxa"/>
            <w:vAlign w:val="bottom"/>
            <w:tcBorders>
              <w:right w:val="single" w:sz="8" w:color="auto"/>
            </w:tcBorders>
            <w:gridSpan w:val="5"/>
            <w:vMerge w:val="restart"/>
            <w:shd w:val="clear" w:color="auto" w:fill="BFBFBF"/>
          </w:tcPr>
          <w:p>
            <w:pPr>
              <w:spacing w:after="0" w:line="195" w:lineRule="exact"/>
              <w:rPr>
                <w:sz w:val="20"/>
                <w:szCs w:val="20"/>
                <w:color w:val="auto"/>
              </w:rPr>
            </w:pPr>
            <w:r>
              <w:rPr>
                <w:rFonts w:ascii="Times New Roman" w:cs="Times New Roman" w:eastAsia="Times New Roman" w:hAnsi="Times New Roman"/>
                <w:sz w:val="21"/>
                <w:szCs w:val="21"/>
                <w:b w:val="1"/>
                <w:bCs w:val="1"/>
                <w:color w:val="auto"/>
              </w:rPr>
              <w:t>Loans and Letter of Credit</w:t>
            </w:r>
          </w:p>
        </w:tc>
        <w:tc>
          <w:tcPr>
            <w:tcW w:w="2200" w:type="dxa"/>
            <w:vAlign w:val="bottom"/>
            <w:tcBorders>
              <w:right w:val="single" w:sz="8" w:color="auto"/>
            </w:tcBorders>
            <w:gridSpan w:val="6"/>
            <w:vMerge w:val="continue"/>
            <w:shd w:val="clear" w:color="auto" w:fill="BFBFBF"/>
          </w:tcPr>
          <w:p>
            <w:pPr>
              <w:spacing w:after="0"/>
              <w:rPr>
                <w:sz w:val="7"/>
                <w:szCs w:val="7"/>
                <w:color w:val="auto"/>
              </w:rPr>
            </w:pPr>
          </w:p>
        </w:tc>
        <w:tc>
          <w:tcPr>
            <w:tcW w:w="1000" w:type="dxa"/>
            <w:vAlign w:val="bottom"/>
            <w:shd w:val="clear" w:color="auto" w:fill="BFBFBF"/>
          </w:tcPr>
          <w:p>
            <w:pPr>
              <w:spacing w:after="0"/>
              <w:rPr>
                <w:sz w:val="7"/>
                <w:szCs w:val="7"/>
                <w:color w:val="auto"/>
              </w:rPr>
            </w:pPr>
          </w:p>
        </w:tc>
        <w:tc>
          <w:tcPr>
            <w:tcW w:w="20" w:type="dxa"/>
            <w:vAlign w:val="bottom"/>
            <w:shd w:val="clear" w:color="auto" w:fill="BFBFBF"/>
          </w:tcPr>
          <w:p>
            <w:pPr>
              <w:spacing w:after="0"/>
              <w:rPr>
                <w:sz w:val="7"/>
                <w:szCs w:val="7"/>
                <w:color w:val="auto"/>
              </w:rPr>
            </w:pPr>
          </w:p>
        </w:tc>
        <w:tc>
          <w:tcPr>
            <w:tcW w:w="720" w:type="dxa"/>
            <w:vAlign w:val="bottom"/>
            <w:tcBorders>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80" w:type="dxa"/>
            <w:vAlign w:val="bottom"/>
            <w:tcBorders>
              <w:top w:val="single" w:sz="8" w:color="BFBFBF"/>
              <w:left w:val="single" w:sz="8" w:color="auto"/>
            </w:tcBorders>
            <w:shd w:val="clear" w:color="auto" w:fill="BFBFBF"/>
          </w:tcPr>
          <w:p>
            <w:pPr>
              <w:spacing w:after="0"/>
              <w:rPr>
                <w:sz w:val="7"/>
                <w:szCs w:val="7"/>
                <w:color w:val="auto"/>
              </w:rPr>
            </w:pPr>
          </w:p>
        </w:tc>
        <w:tc>
          <w:tcPr>
            <w:tcW w:w="20" w:type="dxa"/>
            <w:vAlign w:val="bottom"/>
            <w:tcBorders>
              <w:top w:val="single" w:sz="8" w:color="BFBFBF"/>
            </w:tcBorders>
            <w:shd w:val="clear" w:color="auto" w:fill="BFBFBF"/>
          </w:tcPr>
          <w:p>
            <w:pPr>
              <w:spacing w:after="0"/>
              <w:rPr>
                <w:sz w:val="7"/>
                <w:szCs w:val="7"/>
                <w:color w:val="auto"/>
              </w:rPr>
            </w:pPr>
          </w:p>
        </w:tc>
        <w:tc>
          <w:tcPr>
            <w:tcW w:w="480" w:type="dxa"/>
            <w:vAlign w:val="bottom"/>
            <w:tcBorders>
              <w:top w:val="single" w:sz="8" w:color="BFBFBF"/>
            </w:tcBorders>
            <w:shd w:val="clear" w:color="auto" w:fill="BFBFBF"/>
          </w:tcPr>
          <w:p>
            <w:pPr>
              <w:spacing w:after="0"/>
              <w:rPr>
                <w:sz w:val="7"/>
                <w:szCs w:val="7"/>
                <w:color w:val="auto"/>
              </w:rPr>
            </w:pPr>
          </w:p>
        </w:tc>
        <w:tc>
          <w:tcPr>
            <w:tcW w:w="180" w:type="dxa"/>
            <w:vAlign w:val="bottom"/>
            <w:tcBorders>
              <w:top w:val="single" w:sz="8" w:color="BFBFBF"/>
            </w:tcBorders>
            <w:shd w:val="clear" w:color="auto" w:fill="BFBFBF"/>
          </w:tcPr>
          <w:p>
            <w:pPr>
              <w:spacing w:after="0"/>
              <w:rPr>
                <w:sz w:val="7"/>
                <w:szCs w:val="7"/>
                <w:color w:val="auto"/>
              </w:rPr>
            </w:pPr>
          </w:p>
        </w:tc>
        <w:tc>
          <w:tcPr>
            <w:tcW w:w="400" w:type="dxa"/>
            <w:vAlign w:val="bottom"/>
            <w:tcBorders>
              <w:top w:val="single" w:sz="8" w:color="BFBFBF"/>
              <w:right w:val="single" w:sz="8" w:color="auto"/>
            </w:tcBorders>
            <w:shd w:val="clear" w:color="auto" w:fill="BFBFBF"/>
          </w:tcPr>
          <w:p>
            <w:pPr>
              <w:spacing w:after="0"/>
              <w:rPr>
                <w:sz w:val="7"/>
                <w:szCs w:val="7"/>
                <w:color w:val="auto"/>
              </w:rPr>
            </w:pPr>
          </w:p>
        </w:tc>
        <w:tc>
          <w:tcPr>
            <w:tcW w:w="60" w:type="dxa"/>
            <w:vAlign w:val="bottom"/>
            <w:tcBorders>
              <w:top w:val="single" w:sz="8" w:color="BFBFBF"/>
            </w:tcBorders>
            <w:shd w:val="clear" w:color="auto" w:fill="BFBFBF"/>
          </w:tcPr>
          <w:p>
            <w:pPr>
              <w:spacing w:after="0"/>
              <w:rPr>
                <w:sz w:val="7"/>
                <w:szCs w:val="7"/>
                <w:color w:val="auto"/>
              </w:rPr>
            </w:pPr>
          </w:p>
        </w:tc>
        <w:tc>
          <w:tcPr>
            <w:tcW w:w="1920" w:type="dxa"/>
            <w:vAlign w:val="bottom"/>
            <w:tcBorders>
              <w:top w:val="single" w:sz="8" w:color="BFBFBF"/>
            </w:tcBorders>
            <w:shd w:val="clear" w:color="auto" w:fill="BFBFBF"/>
          </w:tcPr>
          <w:p>
            <w:pPr>
              <w:spacing w:after="0"/>
              <w:rPr>
                <w:sz w:val="7"/>
                <w:szCs w:val="7"/>
                <w:color w:val="auto"/>
              </w:rPr>
            </w:pPr>
          </w:p>
        </w:tc>
        <w:tc>
          <w:tcPr>
            <w:tcW w:w="1060" w:type="dxa"/>
            <w:vAlign w:val="bottom"/>
            <w:tcBorders>
              <w:top w:val="single" w:sz="8" w:color="BFBFBF"/>
              <w:right w:val="single" w:sz="8" w:color="auto"/>
            </w:tcBorders>
            <w:shd w:val="clear" w:color="auto" w:fill="BFBFBF"/>
          </w:tcPr>
          <w:p>
            <w:pPr>
              <w:spacing w:after="0"/>
              <w:rPr>
                <w:sz w:val="7"/>
                <w:szCs w:val="7"/>
                <w:color w:val="auto"/>
              </w:rPr>
            </w:pPr>
          </w:p>
        </w:tc>
        <w:tc>
          <w:tcPr>
            <w:tcW w:w="80" w:type="dxa"/>
            <w:vAlign w:val="bottom"/>
            <w:tcBorders>
              <w:top w:val="single" w:sz="8" w:color="BFBFBF"/>
              <w:right w:val="single" w:sz="8" w:color="BFBFBF"/>
            </w:tcBorders>
            <w:shd w:val="clear" w:color="auto" w:fill="BFBFBF"/>
          </w:tcPr>
          <w:p>
            <w:pPr>
              <w:spacing w:after="0"/>
              <w:rPr>
                <w:sz w:val="7"/>
                <w:szCs w:val="7"/>
                <w:color w:val="auto"/>
              </w:rPr>
            </w:pPr>
          </w:p>
        </w:tc>
        <w:tc>
          <w:tcPr>
            <w:tcW w:w="3040" w:type="dxa"/>
            <w:vAlign w:val="bottom"/>
            <w:tcBorders>
              <w:top w:val="single" w:sz="8" w:color="BFBFBF"/>
              <w:right w:val="single" w:sz="8" w:color="auto"/>
            </w:tcBorders>
            <w:gridSpan w:val="5"/>
            <w:vMerge w:val="continue"/>
            <w:shd w:val="clear" w:color="auto" w:fill="BFBFBF"/>
          </w:tcPr>
          <w:p>
            <w:pPr>
              <w:spacing w:after="0"/>
              <w:rPr>
                <w:sz w:val="7"/>
                <w:szCs w:val="7"/>
                <w:color w:val="auto"/>
              </w:rPr>
            </w:pPr>
          </w:p>
        </w:tc>
        <w:tc>
          <w:tcPr>
            <w:tcW w:w="60" w:type="dxa"/>
            <w:vAlign w:val="bottom"/>
            <w:tcBorders>
              <w:top w:val="single" w:sz="8" w:color="BFBFBF"/>
            </w:tcBorders>
            <w:shd w:val="clear" w:color="auto" w:fill="BFBFBF"/>
          </w:tcPr>
          <w:p>
            <w:pPr>
              <w:spacing w:after="0"/>
              <w:rPr>
                <w:sz w:val="7"/>
                <w:szCs w:val="7"/>
                <w:color w:val="auto"/>
              </w:rPr>
            </w:pPr>
          </w:p>
        </w:tc>
        <w:tc>
          <w:tcPr>
            <w:tcW w:w="1660" w:type="dxa"/>
            <w:vAlign w:val="bottom"/>
            <w:tcBorders>
              <w:top w:val="single" w:sz="8" w:color="auto"/>
            </w:tcBorders>
            <w:vMerge w:val="restart"/>
            <w:shd w:val="clear" w:color="auto" w:fill="BFBFBF"/>
          </w:tcPr>
          <w:p>
            <w:pPr>
              <w:spacing w:after="0" w:line="235" w:lineRule="exact"/>
              <w:rPr>
                <w:sz w:val="20"/>
                <w:szCs w:val="20"/>
                <w:color w:val="auto"/>
              </w:rPr>
            </w:pPr>
            <w:r>
              <w:rPr>
                <w:rFonts w:ascii="Times New Roman" w:cs="Times New Roman" w:eastAsia="Times New Roman" w:hAnsi="Times New Roman"/>
                <w:sz w:val="21"/>
                <w:szCs w:val="21"/>
                <w:b w:val="1"/>
                <w:bCs w:val="1"/>
                <w:color w:val="auto"/>
              </w:rPr>
              <w:t>Prime Rate Loans</w:t>
            </w:r>
          </w:p>
        </w:tc>
        <w:tc>
          <w:tcPr>
            <w:tcW w:w="20" w:type="dxa"/>
            <w:vAlign w:val="bottom"/>
            <w:tcBorders>
              <w:top w:val="single" w:sz="8" w:color="auto"/>
            </w:tcBorders>
            <w:shd w:val="clear" w:color="auto" w:fill="BFBFBF"/>
          </w:tcPr>
          <w:p>
            <w:pPr>
              <w:spacing w:after="0"/>
              <w:rPr>
                <w:sz w:val="7"/>
                <w:szCs w:val="7"/>
                <w:color w:val="auto"/>
              </w:rPr>
            </w:pPr>
          </w:p>
        </w:tc>
        <w:tc>
          <w:tcPr>
            <w:tcW w:w="60" w:type="dxa"/>
            <w:vAlign w:val="bottom"/>
            <w:tcBorders>
              <w:top w:val="single" w:sz="8" w:color="auto"/>
            </w:tcBorders>
            <w:shd w:val="clear" w:color="auto" w:fill="BFBFBF"/>
          </w:tcPr>
          <w:p>
            <w:pPr>
              <w:spacing w:after="0"/>
              <w:rPr>
                <w:sz w:val="7"/>
                <w:szCs w:val="7"/>
                <w:color w:val="auto"/>
              </w:rPr>
            </w:pPr>
          </w:p>
        </w:tc>
        <w:tc>
          <w:tcPr>
            <w:tcW w:w="160" w:type="dxa"/>
            <w:vAlign w:val="bottom"/>
            <w:tcBorders>
              <w:top w:val="single" w:sz="8" w:color="auto"/>
            </w:tcBorders>
            <w:shd w:val="clear" w:color="auto" w:fill="BFBFBF"/>
          </w:tcPr>
          <w:p>
            <w:pPr>
              <w:spacing w:after="0"/>
              <w:rPr>
                <w:sz w:val="7"/>
                <w:szCs w:val="7"/>
                <w:color w:val="auto"/>
              </w:rPr>
            </w:pPr>
          </w:p>
        </w:tc>
        <w:tc>
          <w:tcPr>
            <w:tcW w:w="240" w:type="dxa"/>
            <w:vAlign w:val="bottom"/>
            <w:tcBorders>
              <w:top w:val="single" w:sz="8" w:color="BFBFBF"/>
              <w:right w:val="single" w:sz="8" w:color="auto"/>
            </w:tcBorders>
            <w:shd w:val="clear" w:color="auto" w:fill="BFBFBF"/>
          </w:tcPr>
          <w:p>
            <w:pPr>
              <w:spacing w:after="0"/>
              <w:rPr>
                <w:sz w:val="7"/>
                <w:szCs w:val="7"/>
                <w:color w:val="auto"/>
              </w:rPr>
            </w:pPr>
          </w:p>
        </w:tc>
        <w:tc>
          <w:tcPr>
            <w:tcW w:w="1000" w:type="dxa"/>
            <w:vAlign w:val="bottom"/>
            <w:tcBorders>
              <w:top w:val="single" w:sz="8" w:color="BFBFBF"/>
            </w:tcBorders>
            <w:shd w:val="clear" w:color="auto" w:fill="BFBFBF"/>
          </w:tcPr>
          <w:p>
            <w:pPr>
              <w:spacing w:after="0"/>
              <w:rPr>
                <w:sz w:val="7"/>
                <w:szCs w:val="7"/>
                <w:color w:val="auto"/>
              </w:rPr>
            </w:pPr>
          </w:p>
        </w:tc>
        <w:tc>
          <w:tcPr>
            <w:tcW w:w="20" w:type="dxa"/>
            <w:vAlign w:val="bottom"/>
            <w:tcBorders>
              <w:top w:val="single" w:sz="8" w:color="BFBFBF"/>
            </w:tcBorders>
            <w:shd w:val="clear" w:color="auto" w:fill="BFBFBF"/>
          </w:tcPr>
          <w:p>
            <w:pPr>
              <w:spacing w:after="0"/>
              <w:rPr>
                <w:sz w:val="7"/>
                <w:szCs w:val="7"/>
                <w:color w:val="auto"/>
              </w:rPr>
            </w:pPr>
          </w:p>
        </w:tc>
        <w:tc>
          <w:tcPr>
            <w:tcW w:w="720" w:type="dxa"/>
            <w:vAlign w:val="bottom"/>
            <w:tcBorders>
              <w:top w:val="single" w:sz="8" w:color="BFBFBF"/>
              <w:right w:val="single" w:sz="8" w:color="auto"/>
            </w:tcBorders>
            <w:shd w:val="clear" w:color="auto" w:fill="BFBFBF"/>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80" w:type="dxa"/>
            <w:vAlign w:val="bottom"/>
            <w:tcBorders>
              <w:top w:val="single" w:sz="8" w:color="BFBFBF"/>
              <w:left w:val="single" w:sz="8" w:color="auto"/>
              <w:bottom w:val="single" w:sz="8" w:color="BFBFBF"/>
            </w:tcBorders>
            <w:shd w:val="clear" w:color="auto" w:fill="BFBFBF"/>
          </w:tcPr>
          <w:p>
            <w:pPr>
              <w:spacing w:after="0"/>
              <w:rPr>
                <w:sz w:val="12"/>
                <w:szCs w:val="12"/>
                <w:color w:val="auto"/>
              </w:rPr>
            </w:pPr>
          </w:p>
        </w:tc>
        <w:tc>
          <w:tcPr>
            <w:tcW w:w="20" w:type="dxa"/>
            <w:vAlign w:val="bottom"/>
            <w:tcBorders>
              <w:top w:val="single" w:sz="8" w:color="BFBFBF"/>
              <w:bottom w:val="single" w:sz="8" w:color="BFBFBF"/>
            </w:tcBorders>
            <w:shd w:val="clear" w:color="auto" w:fill="BFBFBF"/>
          </w:tcPr>
          <w:p>
            <w:pPr>
              <w:spacing w:after="0"/>
              <w:rPr>
                <w:sz w:val="12"/>
                <w:szCs w:val="12"/>
                <w:color w:val="auto"/>
              </w:rPr>
            </w:pPr>
          </w:p>
        </w:tc>
        <w:tc>
          <w:tcPr>
            <w:tcW w:w="480" w:type="dxa"/>
            <w:vAlign w:val="bottom"/>
            <w:tcBorders>
              <w:top w:val="single" w:sz="8" w:color="BFBFBF"/>
              <w:bottom w:val="single" w:sz="8" w:color="BFBFBF"/>
            </w:tcBorders>
            <w:shd w:val="clear" w:color="auto" w:fill="BFBFBF"/>
          </w:tcPr>
          <w:p>
            <w:pPr>
              <w:spacing w:after="0"/>
              <w:rPr>
                <w:sz w:val="12"/>
                <w:szCs w:val="12"/>
                <w:color w:val="auto"/>
              </w:rPr>
            </w:pPr>
          </w:p>
        </w:tc>
        <w:tc>
          <w:tcPr>
            <w:tcW w:w="180" w:type="dxa"/>
            <w:vAlign w:val="bottom"/>
            <w:tcBorders>
              <w:top w:val="single" w:sz="8" w:color="BFBFBF"/>
              <w:bottom w:val="single" w:sz="8" w:color="BFBFBF"/>
            </w:tcBorders>
            <w:shd w:val="clear" w:color="auto" w:fill="BFBFBF"/>
          </w:tcPr>
          <w:p>
            <w:pPr>
              <w:spacing w:after="0"/>
              <w:rPr>
                <w:sz w:val="12"/>
                <w:szCs w:val="12"/>
                <w:color w:val="auto"/>
              </w:rPr>
            </w:pPr>
          </w:p>
        </w:tc>
        <w:tc>
          <w:tcPr>
            <w:tcW w:w="400" w:type="dxa"/>
            <w:vAlign w:val="bottom"/>
            <w:tcBorders>
              <w:top w:val="single" w:sz="8" w:color="BFBFBF"/>
              <w:bottom w:val="single" w:sz="8" w:color="BFBFBF"/>
              <w:right w:val="single" w:sz="8" w:color="auto"/>
            </w:tcBorders>
            <w:shd w:val="clear" w:color="auto" w:fill="BFBFBF"/>
          </w:tcPr>
          <w:p>
            <w:pPr>
              <w:spacing w:after="0"/>
              <w:rPr>
                <w:sz w:val="12"/>
                <w:szCs w:val="12"/>
                <w:color w:val="auto"/>
              </w:rPr>
            </w:pPr>
          </w:p>
        </w:tc>
        <w:tc>
          <w:tcPr>
            <w:tcW w:w="60" w:type="dxa"/>
            <w:vAlign w:val="bottom"/>
            <w:tcBorders>
              <w:top w:val="single" w:sz="8" w:color="BFBFBF"/>
              <w:bottom w:val="single" w:sz="8" w:color="BFBFBF"/>
            </w:tcBorders>
            <w:shd w:val="clear" w:color="auto" w:fill="BFBFBF"/>
          </w:tcPr>
          <w:p>
            <w:pPr>
              <w:spacing w:after="0"/>
              <w:rPr>
                <w:sz w:val="12"/>
                <w:szCs w:val="12"/>
                <w:color w:val="auto"/>
              </w:rPr>
            </w:pPr>
          </w:p>
        </w:tc>
        <w:tc>
          <w:tcPr>
            <w:tcW w:w="1920" w:type="dxa"/>
            <w:vAlign w:val="bottom"/>
            <w:tcBorders>
              <w:top w:val="single" w:sz="8" w:color="BFBFBF"/>
              <w:bottom w:val="single" w:sz="8" w:color="BFBFBF"/>
            </w:tcBorders>
            <w:shd w:val="clear" w:color="auto" w:fill="BFBFBF"/>
          </w:tcPr>
          <w:p>
            <w:pPr>
              <w:spacing w:after="0"/>
              <w:rPr>
                <w:sz w:val="12"/>
                <w:szCs w:val="12"/>
                <w:color w:val="auto"/>
              </w:rPr>
            </w:pPr>
          </w:p>
        </w:tc>
        <w:tc>
          <w:tcPr>
            <w:tcW w:w="1060" w:type="dxa"/>
            <w:vAlign w:val="bottom"/>
            <w:tcBorders>
              <w:top w:val="single" w:sz="8" w:color="BFBFBF"/>
              <w:bottom w:val="single" w:sz="8" w:color="BFBFBF"/>
              <w:right w:val="single" w:sz="8" w:color="auto"/>
            </w:tcBorders>
            <w:shd w:val="clear" w:color="auto" w:fill="BFBFBF"/>
          </w:tcPr>
          <w:p>
            <w:pPr>
              <w:spacing w:after="0"/>
              <w:rPr>
                <w:sz w:val="12"/>
                <w:szCs w:val="12"/>
                <w:color w:val="auto"/>
              </w:rPr>
            </w:pPr>
          </w:p>
        </w:tc>
        <w:tc>
          <w:tcPr>
            <w:tcW w:w="80" w:type="dxa"/>
            <w:vAlign w:val="bottom"/>
            <w:tcBorders>
              <w:top w:val="single" w:sz="8" w:color="BFBFBF"/>
              <w:bottom w:val="single" w:sz="8" w:color="BFBFBF"/>
              <w:right w:val="single" w:sz="8" w:color="BFBFBF"/>
            </w:tcBorders>
            <w:shd w:val="clear" w:color="auto" w:fill="BFBFBF"/>
          </w:tcPr>
          <w:p>
            <w:pPr>
              <w:spacing w:after="0"/>
              <w:rPr>
                <w:sz w:val="12"/>
                <w:szCs w:val="12"/>
                <w:color w:val="auto"/>
              </w:rPr>
            </w:pPr>
          </w:p>
        </w:tc>
        <w:tc>
          <w:tcPr>
            <w:tcW w:w="2440" w:type="dxa"/>
            <w:vAlign w:val="bottom"/>
            <w:tcBorders>
              <w:top w:val="single" w:sz="8" w:color="auto"/>
              <w:bottom w:val="single" w:sz="8" w:color="auto"/>
              <w:right w:val="single" w:sz="8" w:color="BFBFBF"/>
            </w:tcBorders>
            <w:gridSpan w:val="2"/>
            <w:vMerge w:val="restart"/>
            <w:shd w:val="clear" w:color="auto" w:fill="BFBFBF"/>
          </w:tcPr>
          <w:p>
            <w:pPr>
              <w:spacing w:after="0" w:line="195" w:lineRule="exact"/>
              <w:rPr>
                <w:sz w:val="20"/>
                <w:szCs w:val="20"/>
                <w:color w:val="auto"/>
              </w:rPr>
            </w:pPr>
            <w:r>
              <w:rPr>
                <w:rFonts w:ascii="Times New Roman" w:cs="Times New Roman" w:eastAsia="Times New Roman" w:hAnsi="Times New Roman"/>
                <w:sz w:val="21"/>
                <w:szCs w:val="21"/>
                <w:b w:val="1"/>
                <w:bCs w:val="1"/>
                <w:color w:val="auto"/>
              </w:rPr>
              <w:t>Accommodations</w:t>
            </w:r>
          </w:p>
        </w:tc>
        <w:tc>
          <w:tcPr>
            <w:tcW w:w="600" w:type="dxa"/>
            <w:vAlign w:val="bottom"/>
            <w:tcBorders>
              <w:top w:val="single" w:sz="8" w:color="BFBFBF"/>
              <w:bottom w:val="single" w:sz="8" w:color="BFBFBF"/>
              <w:right w:val="single" w:sz="8" w:color="auto"/>
            </w:tcBorders>
            <w:gridSpan w:val="3"/>
            <w:shd w:val="clear" w:color="auto" w:fill="BFBFBF"/>
          </w:tcPr>
          <w:p>
            <w:pPr>
              <w:spacing w:after="0"/>
              <w:rPr>
                <w:sz w:val="12"/>
                <w:szCs w:val="12"/>
                <w:color w:val="auto"/>
              </w:rPr>
            </w:pPr>
          </w:p>
        </w:tc>
        <w:tc>
          <w:tcPr>
            <w:tcW w:w="60" w:type="dxa"/>
            <w:vAlign w:val="bottom"/>
            <w:tcBorders>
              <w:top w:val="single" w:sz="8" w:color="BFBFBF"/>
              <w:bottom w:val="single" w:sz="8" w:color="BFBFBF"/>
            </w:tcBorders>
            <w:vMerge w:val="restart"/>
            <w:shd w:val="clear" w:color="auto" w:fill="BFBFBF"/>
          </w:tcPr>
          <w:p>
            <w:pPr>
              <w:spacing w:after="0"/>
              <w:rPr>
                <w:sz w:val="12"/>
                <w:szCs w:val="12"/>
                <w:color w:val="auto"/>
              </w:rPr>
            </w:pPr>
          </w:p>
        </w:tc>
        <w:tc>
          <w:tcPr>
            <w:tcW w:w="1660" w:type="dxa"/>
            <w:vAlign w:val="bottom"/>
            <w:tcBorders>
              <w:top w:val="single" w:sz="8" w:color="auto"/>
              <w:bottom w:val="single" w:sz="8" w:color="auto"/>
            </w:tcBorders>
            <w:vMerge w:val="continue"/>
            <w:shd w:val="clear" w:color="auto" w:fill="BFBFBF"/>
          </w:tcPr>
          <w:p>
            <w:pPr>
              <w:spacing w:after="0"/>
              <w:rPr>
                <w:sz w:val="12"/>
                <w:szCs w:val="12"/>
                <w:color w:val="auto"/>
              </w:rPr>
            </w:pPr>
          </w:p>
        </w:tc>
        <w:tc>
          <w:tcPr>
            <w:tcW w:w="480" w:type="dxa"/>
            <w:vAlign w:val="bottom"/>
            <w:tcBorders>
              <w:top w:val="single" w:sz="8" w:color="BFBFBF"/>
              <w:bottom w:val="single" w:sz="8" w:color="BFBFBF"/>
              <w:right w:val="single" w:sz="8" w:color="auto"/>
            </w:tcBorders>
            <w:gridSpan w:val="4"/>
            <w:vMerge w:val="restart"/>
            <w:shd w:val="clear" w:color="auto" w:fill="BFBFBF"/>
          </w:tcPr>
          <w:p>
            <w:pPr>
              <w:spacing w:after="0"/>
              <w:rPr>
                <w:sz w:val="12"/>
                <w:szCs w:val="12"/>
                <w:color w:val="auto"/>
              </w:rPr>
            </w:pPr>
          </w:p>
        </w:tc>
        <w:tc>
          <w:tcPr>
            <w:tcW w:w="1000" w:type="dxa"/>
            <w:vAlign w:val="bottom"/>
            <w:tcBorders>
              <w:top w:val="single" w:sz="8" w:color="BFBFBF"/>
              <w:bottom w:val="single" w:sz="8" w:color="BFBFBF"/>
            </w:tcBorders>
            <w:shd w:val="clear" w:color="auto" w:fill="BFBFBF"/>
          </w:tcPr>
          <w:p>
            <w:pPr>
              <w:spacing w:after="0"/>
              <w:rPr>
                <w:sz w:val="12"/>
                <w:szCs w:val="12"/>
                <w:color w:val="auto"/>
              </w:rPr>
            </w:pPr>
          </w:p>
        </w:tc>
        <w:tc>
          <w:tcPr>
            <w:tcW w:w="20" w:type="dxa"/>
            <w:vAlign w:val="bottom"/>
            <w:tcBorders>
              <w:top w:val="single" w:sz="8" w:color="BFBFBF"/>
              <w:bottom w:val="single" w:sz="8" w:color="BFBFBF"/>
            </w:tcBorders>
            <w:shd w:val="clear" w:color="auto" w:fill="BFBFBF"/>
          </w:tcPr>
          <w:p>
            <w:pPr>
              <w:spacing w:after="0"/>
              <w:rPr>
                <w:sz w:val="12"/>
                <w:szCs w:val="12"/>
                <w:color w:val="auto"/>
              </w:rPr>
            </w:pPr>
          </w:p>
        </w:tc>
        <w:tc>
          <w:tcPr>
            <w:tcW w:w="720" w:type="dxa"/>
            <w:vAlign w:val="bottom"/>
            <w:tcBorders>
              <w:top w:val="single" w:sz="8" w:color="BFBFBF"/>
              <w:bottom w:val="single" w:sz="8" w:color="BFBFBF"/>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 w:type="dxa"/>
            <w:vAlign w:val="bottom"/>
            <w:tcBorders>
              <w:left w:val="single" w:sz="8" w:color="auto"/>
            </w:tcBorders>
            <w:shd w:val="clear" w:color="auto" w:fill="BFBFBF"/>
          </w:tcPr>
          <w:p>
            <w:pPr>
              <w:spacing w:after="0"/>
              <w:rPr>
                <w:sz w:val="2"/>
                <w:szCs w:val="2"/>
                <w:color w:val="auto"/>
              </w:rPr>
            </w:pPr>
          </w:p>
        </w:tc>
        <w:tc>
          <w:tcPr>
            <w:tcW w:w="20" w:type="dxa"/>
            <w:vAlign w:val="bottom"/>
            <w:shd w:val="clear" w:color="auto" w:fill="BFBFBF"/>
          </w:tcPr>
          <w:p>
            <w:pPr>
              <w:spacing w:after="0"/>
              <w:rPr>
                <w:sz w:val="2"/>
                <w:szCs w:val="2"/>
                <w:color w:val="auto"/>
              </w:rPr>
            </w:pPr>
          </w:p>
        </w:tc>
        <w:tc>
          <w:tcPr>
            <w:tcW w:w="480" w:type="dxa"/>
            <w:vAlign w:val="bottom"/>
            <w:shd w:val="clear" w:color="auto" w:fill="BFBFBF"/>
          </w:tcPr>
          <w:p>
            <w:pPr>
              <w:spacing w:after="0"/>
              <w:rPr>
                <w:sz w:val="2"/>
                <w:szCs w:val="2"/>
                <w:color w:val="auto"/>
              </w:rPr>
            </w:pPr>
          </w:p>
        </w:tc>
        <w:tc>
          <w:tcPr>
            <w:tcW w:w="180" w:type="dxa"/>
            <w:vAlign w:val="bottom"/>
            <w:shd w:val="clear" w:color="auto" w:fill="BFBFBF"/>
          </w:tcPr>
          <w:p>
            <w:pPr>
              <w:spacing w:after="0"/>
              <w:rPr>
                <w:sz w:val="2"/>
                <w:szCs w:val="2"/>
                <w:color w:val="auto"/>
              </w:rPr>
            </w:pPr>
          </w:p>
        </w:tc>
        <w:tc>
          <w:tcPr>
            <w:tcW w:w="400" w:type="dxa"/>
            <w:vAlign w:val="bottom"/>
            <w:tcBorders>
              <w:right w:val="single" w:sz="8" w:color="auto"/>
            </w:tcBorders>
            <w:shd w:val="clear" w:color="auto" w:fill="BFBFBF"/>
          </w:tcPr>
          <w:p>
            <w:pPr>
              <w:spacing w:after="0"/>
              <w:rPr>
                <w:sz w:val="2"/>
                <w:szCs w:val="2"/>
                <w:color w:val="auto"/>
              </w:rPr>
            </w:pPr>
          </w:p>
        </w:tc>
        <w:tc>
          <w:tcPr>
            <w:tcW w:w="60" w:type="dxa"/>
            <w:vAlign w:val="bottom"/>
            <w:shd w:val="clear" w:color="auto" w:fill="BFBFBF"/>
          </w:tcPr>
          <w:p>
            <w:pPr>
              <w:spacing w:after="0"/>
              <w:rPr>
                <w:sz w:val="2"/>
                <w:szCs w:val="2"/>
                <w:color w:val="auto"/>
              </w:rPr>
            </w:pPr>
          </w:p>
        </w:tc>
        <w:tc>
          <w:tcPr>
            <w:tcW w:w="1920" w:type="dxa"/>
            <w:vAlign w:val="bottom"/>
            <w:shd w:val="clear" w:color="auto" w:fill="BFBFBF"/>
          </w:tcPr>
          <w:p>
            <w:pPr>
              <w:spacing w:after="0"/>
              <w:rPr>
                <w:sz w:val="2"/>
                <w:szCs w:val="2"/>
                <w:color w:val="auto"/>
              </w:rPr>
            </w:pPr>
          </w:p>
        </w:tc>
        <w:tc>
          <w:tcPr>
            <w:tcW w:w="1060" w:type="dxa"/>
            <w:vAlign w:val="bottom"/>
            <w:tcBorders>
              <w:right w:val="single" w:sz="8" w:color="auto"/>
            </w:tcBorders>
            <w:shd w:val="clear" w:color="auto" w:fill="BFBFBF"/>
          </w:tcPr>
          <w:p>
            <w:pPr>
              <w:spacing w:after="0"/>
              <w:rPr>
                <w:sz w:val="2"/>
                <w:szCs w:val="2"/>
                <w:color w:val="auto"/>
              </w:rPr>
            </w:pPr>
          </w:p>
        </w:tc>
        <w:tc>
          <w:tcPr>
            <w:tcW w:w="80" w:type="dxa"/>
            <w:vAlign w:val="bottom"/>
            <w:tcBorders>
              <w:right w:val="single" w:sz="8" w:color="BFBFBF"/>
            </w:tcBorders>
            <w:shd w:val="clear" w:color="auto" w:fill="BFBFBF"/>
          </w:tcPr>
          <w:p>
            <w:pPr>
              <w:spacing w:after="0"/>
              <w:rPr>
                <w:sz w:val="2"/>
                <w:szCs w:val="2"/>
                <w:color w:val="auto"/>
              </w:rPr>
            </w:pPr>
          </w:p>
        </w:tc>
        <w:tc>
          <w:tcPr>
            <w:tcW w:w="2440" w:type="dxa"/>
            <w:vAlign w:val="bottom"/>
            <w:tcBorders>
              <w:right w:val="single" w:sz="8" w:color="BFBFBF"/>
            </w:tcBorders>
            <w:gridSpan w:val="2"/>
            <w:vMerge w:val="continue"/>
            <w:shd w:val="clear" w:color="auto" w:fill="BFBFBF"/>
          </w:tcPr>
          <w:p>
            <w:pPr>
              <w:spacing w:after="0"/>
              <w:rPr>
                <w:sz w:val="2"/>
                <w:szCs w:val="2"/>
                <w:color w:val="auto"/>
              </w:rPr>
            </w:pPr>
          </w:p>
        </w:tc>
        <w:tc>
          <w:tcPr>
            <w:tcW w:w="140" w:type="dxa"/>
            <w:vAlign w:val="bottom"/>
            <w:shd w:val="clear" w:color="auto" w:fill="BFBFBF"/>
          </w:tcPr>
          <w:p>
            <w:pPr>
              <w:spacing w:after="0"/>
              <w:rPr>
                <w:sz w:val="2"/>
                <w:szCs w:val="2"/>
                <w:color w:val="auto"/>
              </w:rPr>
            </w:pPr>
          </w:p>
        </w:tc>
        <w:tc>
          <w:tcPr>
            <w:tcW w:w="20" w:type="dxa"/>
            <w:vAlign w:val="bottom"/>
            <w:shd w:val="clear" w:color="auto" w:fill="BFBFBF"/>
          </w:tcPr>
          <w:p>
            <w:pPr>
              <w:spacing w:after="0"/>
              <w:rPr>
                <w:sz w:val="2"/>
                <w:szCs w:val="2"/>
                <w:color w:val="auto"/>
              </w:rPr>
            </w:pPr>
          </w:p>
        </w:tc>
        <w:tc>
          <w:tcPr>
            <w:tcW w:w="440" w:type="dxa"/>
            <w:vAlign w:val="bottom"/>
            <w:tcBorders>
              <w:right w:val="single" w:sz="8" w:color="auto"/>
            </w:tcBorders>
            <w:shd w:val="clear" w:color="auto" w:fill="BFBFBF"/>
          </w:tcPr>
          <w:p>
            <w:pPr>
              <w:spacing w:after="0"/>
              <w:rPr>
                <w:sz w:val="2"/>
                <w:szCs w:val="2"/>
                <w:color w:val="auto"/>
              </w:rPr>
            </w:pPr>
          </w:p>
        </w:tc>
        <w:tc>
          <w:tcPr>
            <w:tcW w:w="60" w:type="dxa"/>
            <w:vAlign w:val="bottom"/>
            <w:vMerge w:val="continue"/>
            <w:shd w:val="clear" w:color="auto" w:fill="BFBFBF"/>
          </w:tcPr>
          <w:p>
            <w:pPr>
              <w:spacing w:after="0"/>
              <w:rPr>
                <w:sz w:val="2"/>
                <w:szCs w:val="2"/>
                <w:color w:val="auto"/>
              </w:rPr>
            </w:pPr>
          </w:p>
        </w:tc>
        <w:tc>
          <w:tcPr>
            <w:tcW w:w="1660" w:type="dxa"/>
            <w:vAlign w:val="bottom"/>
            <w:shd w:val="clear" w:color="auto" w:fill="BFBFBF"/>
          </w:tcPr>
          <w:p>
            <w:pPr>
              <w:spacing w:after="0"/>
              <w:rPr>
                <w:sz w:val="2"/>
                <w:szCs w:val="2"/>
                <w:color w:val="auto"/>
              </w:rPr>
            </w:pPr>
          </w:p>
        </w:tc>
        <w:tc>
          <w:tcPr>
            <w:tcW w:w="480" w:type="dxa"/>
            <w:vAlign w:val="bottom"/>
            <w:tcBorders>
              <w:right w:val="single" w:sz="8" w:color="auto"/>
            </w:tcBorders>
            <w:gridSpan w:val="4"/>
            <w:vMerge w:val="continue"/>
            <w:shd w:val="clear" w:color="auto" w:fill="BFBFBF"/>
          </w:tcPr>
          <w:p>
            <w:pPr>
              <w:spacing w:after="0"/>
              <w:rPr>
                <w:sz w:val="2"/>
                <w:szCs w:val="2"/>
                <w:color w:val="auto"/>
              </w:rPr>
            </w:pPr>
          </w:p>
        </w:tc>
        <w:tc>
          <w:tcPr>
            <w:tcW w:w="1000" w:type="dxa"/>
            <w:vAlign w:val="bottom"/>
            <w:shd w:val="clear" w:color="auto" w:fill="BFBFBF"/>
          </w:tcPr>
          <w:p>
            <w:pPr>
              <w:spacing w:after="0"/>
              <w:rPr>
                <w:sz w:val="2"/>
                <w:szCs w:val="2"/>
                <w:color w:val="auto"/>
              </w:rPr>
            </w:pPr>
          </w:p>
        </w:tc>
        <w:tc>
          <w:tcPr>
            <w:tcW w:w="20" w:type="dxa"/>
            <w:vAlign w:val="bottom"/>
            <w:shd w:val="clear" w:color="auto" w:fill="BFBFBF"/>
          </w:tcPr>
          <w:p>
            <w:pPr>
              <w:spacing w:after="0"/>
              <w:rPr>
                <w:sz w:val="2"/>
                <w:szCs w:val="2"/>
                <w:color w:val="auto"/>
              </w:rPr>
            </w:pPr>
          </w:p>
        </w:tc>
        <w:tc>
          <w:tcPr>
            <w:tcW w:w="720" w:type="dxa"/>
            <w:vAlign w:val="bottom"/>
            <w:tcBorders>
              <w:right w:val="single" w:sz="8" w:color="auto"/>
            </w:tcBorders>
            <w:shd w:val="clear" w:color="auto" w:fill="BFBFBF"/>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80" w:type="dxa"/>
            <w:vAlign w:val="bottom"/>
            <w:tcBorders>
              <w:top w:val="single" w:sz="8" w:color="BFBFBF"/>
              <w:left w:val="single" w:sz="8" w:color="auto"/>
              <w:bottom w:val="single" w:sz="8" w:color="auto"/>
            </w:tcBorders>
            <w:shd w:val="clear" w:color="auto" w:fill="BFBFBF"/>
          </w:tcPr>
          <w:p>
            <w:pPr>
              <w:spacing w:after="0"/>
              <w:rPr>
                <w:sz w:val="18"/>
                <w:szCs w:val="18"/>
                <w:color w:val="auto"/>
              </w:rPr>
            </w:pPr>
          </w:p>
        </w:tc>
        <w:tc>
          <w:tcPr>
            <w:tcW w:w="20" w:type="dxa"/>
            <w:vAlign w:val="bottom"/>
            <w:tcBorders>
              <w:top w:val="single" w:sz="8" w:color="BFBFBF"/>
              <w:bottom w:val="single" w:sz="8" w:color="auto"/>
            </w:tcBorders>
            <w:shd w:val="clear" w:color="auto" w:fill="BFBFBF"/>
          </w:tcPr>
          <w:p>
            <w:pPr>
              <w:spacing w:after="0"/>
              <w:rPr>
                <w:sz w:val="18"/>
                <w:szCs w:val="18"/>
                <w:color w:val="auto"/>
              </w:rPr>
            </w:pPr>
          </w:p>
        </w:tc>
        <w:tc>
          <w:tcPr>
            <w:tcW w:w="480" w:type="dxa"/>
            <w:vAlign w:val="bottom"/>
            <w:tcBorders>
              <w:top w:val="single" w:sz="8" w:color="BFBFBF"/>
              <w:bottom w:val="single" w:sz="8" w:color="auto"/>
            </w:tcBorders>
            <w:shd w:val="clear" w:color="auto" w:fill="BFBFBF"/>
          </w:tcPr>
          <w:p>
            <w:pPr>
              <w:spacing w:after="0"/>
              <w:rPr>
                <w:sz w:val="18"/>
                <w:szCs w:val="18"/>
                <w:color w:val="auto"/>
              </w:rPr>
            </w:pPr>
          </w:p>
        </w:tc>
        <w:tc>
          <w:tcPr>
            <w:tcW w:w="180" w:type="dxa"/>
            <w:vAlign w:val="bottom"/>
            <w:tcBorders>
              <w:top w:val="single" w:sz="8" w:color="BFBFBF"/>
              <w:bottom w:val="single" w:sz="8" w:color="auto"/>
            </w:tcBorders>
            <w:shd w:val="clear" w:color="auto" w:fill="BFBFBF"/>
          </w:tcPr>
          <w:p>
            <w:pPr>
              <w:spacing w:after="0"/>
              <w:rPr>
                <w:sz w:val="18"/>
                <w:szCs w:val="18"/>
                <w:color w:val="auto"/>
              </w:rPr>
            </w:pPr>
          </w:p>
        </w:tc>
        <w:tc>
          <w:tcPr>
            <w:tcW w:w="400" w:type="dxa"/>
            <w:vAlign w:val="bottom"/>
            <w:tcBorders>
              <w:top w:val="single" w:sz="8" w:color="BFBFBF"/>
              <w:bottom w:val="single" w:sz="8" w:color="auto"/>
              <w:right w:val="single" w:sz="8" w:color="auto"/>
            </w:tcBorders>
            <w:shd w:val="clear" w:color="auto" w:fill="BFBFBF"/>
          </w:tcPr>
          <w:p>
            <w:pPr>
              <w:spacing w:after="0"/>
              <w:rPr>
                <w:sz w:val="18"/>
                <w:szCs w:val="18"/>
                <w:color w:val="auto"/>
              </w:rPr>
            </w:pPr>
          </w:p>
        </w:tc>
        <w:tc>
          <w:tcPr>
            <w:tcW w:w="60" w:type="dxa"/>
            <w:vAlign w:val="bottom"/>
            <w:tcBorders>
              <w:top w:val="single" w:sz="8" w:color="BFBFBF"/>
              <w:bottom w:val="single" w:sz="8" w:color="auto"/>
            </w:tcBorders>
            <w:shd w:val="clear" w:color="auto" w:fill="BFBFBF"/>
          </w:tcPr>
          <w:p>
            <w:pPr>
              <w:spacing w:after="0"/>
              <w:rPr>
                <w:sz w:val="18"/>
                <w:szCs w:val="18"/>
                <w:color w:val="auto"/>
              </w:rPr>
            </w:pPr>
          </w:p>
        </w:tc>
        <w:tc>
          <w:tcPr>
            <w:tcW w:w="1920" w:type="dxa"/>
            <w:vAlign w:val="bottom"/>
            <w:tcBorders>
              <w:top w:val="single" w:sz="8" w:color="BFBFBF"/>
              <w:bottom w:val="single" w:sz="8" w:color="auto"/>
            </w:tcBorders>
            <w:shd w:val="clear" w:color="auto" w:fill="BFBFBF"/>
          </w:tcPr>
          <w:p>
            <w:pPr>
              <w:spacing w:after="0"/>
              <w:rPr>
                <w:sz w:val="18"/>
                <w:szCs w:val="18"/>
                <w:color w:val="auto"/>
              </w:rPr>
            </w:pPr>
          </w:p>
        </w:tc>
        <w:tc>
          <w:tcPr>
            <w:tcW w:w="1060" w:type="dxa"/>
            <w:vAlign w:val="bottom"/>
            <w:tcBorders>
              <w:top w:val="single" w:sz="8" w:color="BFBFBF"/>
              <w:bottom w:val="single" w:sz="8" w:color="auto"/>
              <w:right w:val="single" w:sz="8" w:color="auto"/>
            </w:tcBorders>
            <w:shd w:val="clear" w:color="auto" w:fill="BFBFBF"/>
          </w:tcPr>
          <w:p>
            <w:pPr>
              <w:spacing w:after="0"/>
              <w:rPr>
                <w:sz w:val="18"/>
                <w:szCs w:val="18"/>
                <w:color w:val="auto"/>
              </w:rPr>
            </w:pPr>
          </w:p>
        </w:tc>
        <w:tc>
          <w:tcPr>
            <w:tcW w:w="80" w:type="dxa"/>
            <w:vAlign w:val="bottom"/>
            <w:tcBorders>
              <w:top w:val="single" w:sz="8" w:color="BFBFBF"/>
              <w:bottom w:val="single" w:sz="8" w:color="auto"/>
              <w:right w:val="single" w:sz="8" w:color="BFBFBF"/>
            </w:tcBorders>
            <w:shd w:val="clear" w:color="auto" w:fill="BFBFBF"/>
          </w:tcPr>
          <w:p>
            <w:pPr>
              <w:spacing w:after="0"/>
              <w:rPr>
                <w:sz w:val="18"/>
                <w:szCs w:val="18"/>
                <w:color w:val="auto"/>
              </w:rPr>
            </w:pPr>
          </w:p>
        </w:tc>
        <w:tc>
          <w:tcPr>
            <w:tcW w:w="1560" w:type="dxa"/>
            <w:vAlign w:val="bottom"/>
            <w:tcBorders>
              <w:top w:val="single" w:sz="8" w:color="auto"/>
              <w:bottom w:val="single" w:sz="8" w:color="auto"/>
            </w:tcBorders>
            <w:shd w:val="clear" w:color="auto" w:fill="BFBFBF"/>
          </w:tcPr>
          <w:p>
            <w:pPr>
              <w:spacing w:after="0"/>
              <w:rPr>
                <w:sz w:val="18"/>
                <w:szCs w:val="18"/>
                <w:color w:val="auto"/>
              </w:rPr>
            </w:pPr>
          </w:p>
        </w:tc>
        <w:tc>
          <w:tcPr>
            <w:tcW w:w="880" w:type="dxa"/>
            <w:vAlign w:val="bottom"/>
            <w:tcBorders>
              <w:top w:val="single" w:sz="8" w:color="BFBFBF"/>
              <w:bottom w:val="single" w:sz="8" w:color="auto"/>
              <w:right w:val="single" w:sz="8" w:color="BFBFBF"/>
            </w:tcBorders>
            <w:shd w:val="clear" w:color="auto" w:fill="BFBFBF"/>
          </w:tcPr>
          <w:p>
            <w:pPr>
              <w:spacing w:after="0"/>
              <w:rPr>
                <w:sz w:val="18"/>
                <w:szCs w:val="18"/>
                <w:color w:val="auto"/>
              </w:rPr>
            </w:pPr>
          </w:p>
        </w:tc>
        <w:tc>
          <w:tcPr>
            <w:tcW w:w="140" w:type="dxa"/>
            <w:vAlign w:val="bottom"/>
            <w:tcBorders>
              <w:top w:val="single" w:sz="8" w:color="BFBFBF"/>
              <w:bottom w:val="single" w:sz="8" w:color="auto"/>
            </w:tcBorders>
            <w:shd w:val="clear" w:color="auto" w:fill="BFBFBF"/>
          </w:tcPr>
          <w:p>
            <w:pPr>
              <w:spacing w:after="0"/>
              <w:rPr>
                <w:sz w:val="18"/>
                <w:szCs w:val="18"/>
                <w:color w:val="auto"/>
              </w:rPr>
            </w:pPr>
          </w:p>
        </w:tc>
        <w:tc>
          <w:tcPr>
            <w:tcW w:w="20" w:type="dxa"/>
            <w:vAlign w:val="bottom"/>
            <w:tcBorders>
              <w:top w:val="single" w:sz="8" w:color="BFBFBF"/>
              <w:bottom w:val="single" w:sz="8" w:color="auto"/>
            </w:tcBorders>
            <w:shd w:val="clear" w:color="auto" w:fill="BFBFBF"/>
          </w:tcPr>
          <w:p>
            <w:pPr>
              <w:spacing w:after="0"/>
              <w:rPr>
                <w:sz w:val="18"/>
                <w:szCs w:val="18"/>
                <w:color w:val="auto"/>
              </w:rPr>
            </w:pPr>
          </w:p>
        </w:tc>
        <w:tc>
          <w:tcPr>
            <w:tcW w:w="440" w:type="dxa"/>
            <w:vAlign w:val="bottom"/>
            <w:tcBorders>
              <w:top w:val="single" w:sz="8" w:color="BFBFBF"/>
              <w:bottom w:val="single" w:sz="8" w:color="auto"/>
              <w:right w:val="single" w:sz="8" w:color="auto"/>
            </w:tcBorders>
            <w:shd w:val="clear" w:color="auto" w:fill="BFBFBF"/>
          </w:tcPr>
          <w:p>
            <w:pPr>
              <w:spacing w:after="0"/>
              <w:rPr>
                <w:sz w:val="18"/>
                <w:szCs w:val="18"/>
                <w:color w:val="auto"/>
              </w:rPr>
            </w:pPr>
          </w:p>
        </w:tc>
        <w:tc>
          <w:tcPr>
            <w:tcW w:w="60" w:type="dxa"/>
            <w:vAlign w:val="bottom"/>
            <w:tcBorders>
              <w:top w:val="single" w:sz="8" w:color="BFBFBF"/>
              <w:bottom w:val="single" w:sz="8" w:color="auto"/>
            </w:tcBorders>
            <w:shd w:val="clear" w:color="auto" w:fill="BFBFBF"/>
          </w:tcPr>
          <w:p>
            <w:pPr>
              <w:spacing w:after="0"/>
              <w:rPr>
                <w:sz w:val="18"/>
                <w:szCs w:val="18"/>
                <w:color w:val="auto"/>
              </w:rPr>
            </w:pPr>
          </w:p>
        </w:tc>
        <w:tc>
          <w:tcPr>
            <w:tcW w:w="1660" w:type="dxa"/>
            <w:vAlign w:val="bottom"/>
            <w:tcBorders>
              <w:top w:val="single" w:sz="8" w:color="BFBFBF"/>
              <w:bottom w:val="single" w:sz="8" w:color="auto"/>
            </w:tcBorders>
            <w:shd w:val="clear" w:color="auto" w:fill="BFBFBF"/>
          </w:tcPr>
          <w:p>
            <w:pPr>
              <w:spacing w:after="0"/>
              <w:rPr>
                <w:sz w:val="18"/>
                <w:szCs w:val="18"/>
                <w:color w:val="auto"/>
              </w:rPr>
            </w:pPr>
          </w:p>
        </w:tc>
        <w:tc>
          <w:tcPr>
            <w:tcW w:w="20" w:type="dxa"/>
            <w:vAlign w:val="bottom"/>
            <w:tcBorders>
              <w:top w:val="single" w:sz="8" w:color="BFBFBF"/>
              <w:bottom w:val="single" w:sz="8" w:color="auto"/>
            </w:tcBorders>
            <w:shd w:val="clear" w:color="auto" w:fill="BFBFBF"/>
          </w:tcPr>
          <w:p>
            <w:pPr>
              <w:spacing w:after="0"/>
              <w:rPr>
                <w:sz w:val="18"/>
                <w:szCs w:val="18"/>
                <w:color w:val="auto"/>
              </w:rPr>
            </w:pPr>
          </w:p>
        </w:tc>
        <w:tc>
          <w:tcPr>
            <w:tcW w:w="60" w:type="dxa"/>
            <w:vAlign w:val="bottom"/>
            <w:tcBorders>
              <w:top w:val="single" w:sz="8" w:color="BFBFBF"/>
              <w:bottom w:val="single" w:sz="8" w:color="auto"/>
            </w:tcBorders>
            <w:shd w:val="clear" w:color="auto" w:fill="BFBFBF"/>
          </w:tcPr>
          <w:p>
            <w:pPr>
              <w:spacing w:after="0"/>
              <w:rPr>
                <w:sz w:val="18"/>
                <w:szCs w:val="18"/>
                <w:color w:val="auto"/>
              </w:rPr>
            </w:pPr>
          </w:p>
        </w:tc>
        <w:tc>
          <w:tcPr>
            <w:tcW w:w="160" w:type="dxa"/>
            <w:vAlign w:val="bottom"/>
            <w:tcBorders>
              <w:top w:val="single" w:sz="8" w:color="BFBFBF"/>
              <w:bottom w:val="single" w:sz="8" w:color="auto"/>
            </w:tcBorders>
            <w:shd w:val="clear" w:color="auto" w:fill="BFBFBF"/>
          </w:tcPr>
          <w:p>
            <w:pPr>
              <w:spacing w:after="0"/>
              <w:rPr>
                <w:sz w:val="18"/>
                <w:szCs w:val="18"/>
                <w:color w:val="auto"/>
              </w:rPr>
            </w:pPr>
          </w:p>
        </w:tc>
        <w:tc>
          <w:tcPr>
            <w:tcW w:w="240" w:type="dxa"/>
            <w:vAlign w:val="bottom"/>
            <w:tcBorders>
              <w:top w:val="single" w:sz="8" w:color="BFBFBF"/>
              <w:bottom w:val="single" w:sz="8" w:color="auto"/>
              <w:right w:val="single" w:sz="8" w:color="auto"/>
            </w:tcBorders>
            <w:shd w:val="clear" w:color="auto" w:fill="BFBFBF"/>
          </w:tcPr>
          <w:p>
            <w:pPr>
              <w:spacing w:after="0"/>
              <w:rPr>
                <w:sz w:val="18"/>
                <w:szCs w:val="18"/>
                <w:color w:val="auto"/>
              </w:rPr>
            </w:pPr>
          </w:p>
        </w:tc>
        <w:tc>
          <w:tcPr>
            <w:tcW w:w="1000" w:type="dxa"/>
            <w:vAlign w:val="bottom"/>
            <w:tcBorders>
              <w:top w:val="single" w:sz="8" w:color="BFBFBF"/>
              <w:bottom w:val="single" w:sz="8" w:color="auto"/>
            </w:tcBorders>
            <w:shd w:val="clear" w:color="auto" w:fill="BFBFBF"/>
          </w:tcPr>
          <w:p>
            <w:pPr>
              <w:spacing w:after="0"/>
              <w:rPr>
                <w:sz w:val="18"/>
                <w:szCs w:val="18"/>
                <w:color w:val="auto"/>
              </w:rPr>
            </w:pPr>
          </w:p>
        </w:tc>
        <w:tc>
          <w:tcPr>
            <w:tcW w:w="20" w:type="dxa"/>
            <w:vAlign w:val="bottom"/>
            <w:tcBorders>
              <w:top w:val="single" w:sz="8" w:color="BFBFBF"/>
              <w:bottom w:val="single" w:sz="8" w:color="auto"/>
            </w:tcBorders>
            <w:shd w:val="clear" w:color="auto" w:fill="BFBFBF"/>
          </w:tcPr>
          <w:p>
            <w:pPr>
              <w:spacing w:after="0"/>
              <w:rPr>
                <w:sz w:val="18"/>
                <w:szCs w:val="18"/>
                <w:color w:val="auto"/>
              </w:rPr>
            </w:pPr>
          </w:p>
        </w:tc>
        <w:tc>
          <w:tcPr>
            <w:tcW w:w="720" w:type="dxa"/>
            <w:vAlign w:val="bottom"/>
            <w:tcBorders>
              <w:top w:val="single" w:sz="8" w:color="BFBFBF"/>
              <w:bottom w:val="single" w:sz="8" w:color="auto"/>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80" w:type="dxa"/>
            <w:vAlign w:val="bottom"/>
            <w:tcBorders>
              <w:left w:val="single" w:sz="8" w:color="auto"/>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I</w:t>
            </w:r>
          </w:p>
        </w:tc>
        <w:tc>
          <w:tcPr>
            <w:tcW w:w="60" w:type="dxa"/>
            <w:vAlign w:val="bottom"/>
            <w:tcBorders>
              <w:bottom w:val="single" w:sz="8" w:color="auto"/>
            </w:tcBorders>
          </w:tcPr>
          <w:p>
            <w:pPr>
              <w:spacing w:after="0"/>
              <w:rPr>
                <w:sz w:val="22"/>
                <w:szCs w:val="22"/>
                <w:color w:val="auto"/>
              </w:rPr>
            </w:pPr>
          </w:p>
        </w:tc>
        <w:tc>
          <w:tcPr>
            <w:tcW w:w="29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Less than 1.00:1.00</w:t>
            </w:r>
          </w:p>
        </w:tc>
        <w:tc>
          <w:tcPr>
            <w:tcW w:w="1640" w:type="dxa"/>
            <w:vAlign w:val="bottom"/>
            <w:tcBorders>
              <w:bottom w:val="single" w:sz="8" w:color="auto"/>
            </w:tcBorders>
            <w:gridSpan w:val="2"/>
          </w:tcPr>
          <w:p>
            <w:pPr>
              <w:jc w:val="right"/>
              <w:ind w:right="978"/>
              <w:spacing w:after="0"/>
              <w:rPr>
                <w:sz w:val="20"/>
                <w:szCs w:val="20"/>
                <w:color w:val="auto"/>
              </w:rPr>
            </w:pPr>
            <w:r>
              <w:rPr>
                <w:rFonts w:ascii="Times New Roman" w:cs="Times New Roman" w:eastAsia="Times New Roman" w:hAnsi="Times New Roman"/>
                <w:sz w:val="21"/>
                <w:szCs w:val="21"/>
                <w:color w:val="auto"/>
                <w:w w:val="99"/>
              </w:rPr>
              <w:t>1.00%</w:t>
            </w:r>
          </w:p>
        </w:tc>
        <w:tc>
          <w:tcPr>
            <w:tcW w:w="8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tcBorders>
            <w:gridSpan w:val="2"/>
          </w:tcPr>
          <w:p>
            <w:pPr>
              <w:jc w:val="right"/>
              <w:ind w:right="1053"/>
              <w:spacing w:after="0"/>
              <w:rPr>
                <w:sz w:val="20"/>
                <w:szCs w:val="20"/>
                <w:color w:val="auto"/>
              </w:rPr>
            </w:pPr>
            <w:r>
              <w:rPr>
                <w:rFonts w:ascii="Times New Roman" w:cs="Times New Roman" w:eastAsia="Times New Roman" w:hAnsi="Times New Roman"/>
                <w:sz w:val="21"/>
                <w:szCs w:val="21"/>
                <w:color w:val="auto"/>
                <w:w w:val="99"/>
              </w:rPr>
              <w:t>0.25%</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0.25%</w:t>
            </w: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80" w:type="dxa"/>
            <w:vAlign w:val="bottom"/>
            <w:tcBorders>
              <w:left w:val="single" w:sz="8" w:color="auto"/>
            </w:tcBorders>
          </w:tcPr>
          <w:p>
            <w:pPr>
              <w:spacing w:after="0"/>
              <w:rPr>
                <w:sz w:val="16"/>
                <w:szCs w:val="16"/>
                <w:color w:val="auto"/>
              </w:rPr>
            </w:pPr>
          </w:p>
        </w:tc>
        <w:tc>
          <w:tcPr>
            <w:tcW w:w="1080" w:type="dxa"/>
            <w:vAlign w:val="bottom"/>
            <w:tcBorders>
              <w:right w:val="single" w:sz="8" w:color="auto"/>
            </w:tcBorders>
            <w:gridSpan w:val="4"/>
          </w:tcPr>
          <w:p>
            <w:pPr>
              <w:spacing w:after="0" w:line="195" w:lineRule="exact"/>
              <w:rPr>
                <w:sz w:val="20"/>
                <w:szCs w:val="20"/>
                <w:color w:val="auto"/>
              </w:rPr>
            </w:pPr>
            <w:r>
              <w:rPr>
                <w:rFonts w:ascii="Times New Roman" w:cs="Times New Roman" w:eastAsia="Times New Roman" w:hAnsi="Times New Roman"/>
                <w:sz w:val="21"/>
                <w:szCs w:val="21"/>
                <w:color w:val="auto"/>
              </w:rPr>
              <w:t>II</w:t>
            </w:r>
          </w:p>
        </w:tc>
        <w:tc>
          <w:tcPr>
            <w:tcW w:w="60" w:type="dxa"/>
            <w:vAlign w:val="bottom"/>
          </w:tcPr>
          <w:p>
            <w:pPr>
              <w:spacing w:after="0"/>
              <w:rPr>
                <w:sz w:val="16"/>
                <w:szCs w:val="16"/>
                <w:color w:val="auto"/>
              </w:rPr>
            </w:pPr>
          </w:p>
        </w:tc>
        <w:tc>
          <w:tcPr>
            <w:tcW w:w="2980" w:type="dxa"/>
            <w:vAlign w:val="bottom"/>
            <w:tcBorders>
              <w:right w:val="single" w:sz="8" w:color="auto"/>
            </w:tcBorders>
            <w:gridSpan w:val="2"/>
          </w:tcPr>
          <w:p>
            <w:pPr>
              <w:spacing w:after="0" w:line="195" w:lineRule="exact"/>
              <w:rPr>
                <w:sz w:val="20"/>
                <w:szCs w:val="20"/>
                <w:color w:val="auto"/>
              </w:rPr>
            </w:pPr>
            <w:r>
              <w:rPr>
                <w:rFonts w:ascii="Times New Roman" w:cs="Times New Roman" w:eastAsia="Times New Roman" w:hAnsi="Times New Roman"/>
                <w:sz w:val="21"/>
                <w:szCs w:val="21"/>
                <w:color w:val="auto"/>
              </w:rPr>
              <w:t>Greater than or equal to 1.00:1.00</w:t>
            </w:r>
          </w:p>
        </w:tc>
        <w:tc>
          <w:tcPr>
            <w:tcW w:w="1640" w:type="dxa"/>
            <w:vAlign w:val="bottom"/>
            <w:gridSpan w:val="2"/>
          </w:tcPr>
          <w:p>
            <w:pPr>
              <w:jc w:val="right"/>
              <w:ind w:right="978"/>
              <w:spacing w:after="0" w:line="195" w:lineRule="exact"/>
              <w:rPr>
                <w:sz w:val="20"/>
                <w:szCs w:val="20"/>
                <w:color w:val="auto"/>
              </w:rPr>
            </w:pPr>
            <w:r>
              <w:rPr>
                <w:rFonts w:ascii="Times New Roman" w:cs="Times New Roman" w:eastAsia="Times New Roman" w:hAnsi="Times New Roman"/>
                <w:sz w:val="21"/>
                <w:szCs w:val="21"/>
                <w:color w:val="auto"/>
                <w:w w:val="99"/>
              </w:rPr>
              <w:t>1.25%</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1720" w:type="dxa"/>
            <w:vAlign w:val="bottom"/>
            <w:gridSpan w:val="2"/>
          </w:tcPr>
          <w:p>
            <w:pPr>
              <w:jc w:val="right"/>
              <w:ind w:right="1053"/>
              <w:spacing w:after="0" w:line="195" w:lineRule="exact"/>
              <w:rPr>
                <w:sz w:val="20"/>
                <w:szCs w:val="20"/>
                <w:color w:val="auto"/>
              </w:rPr>
            </w:pPr>
            <w:r>
              <w:rPr>
                <w:rFonts w:ascii="Times New Roman" w:cs="Times New Roman" w:eastAsia="Times New Roman" w:hAnsi="Times New Roman"/>
                <w:sz w:val="21"/>
                <w:szCs w:val="21"/>
                <w:color w:val="auto"/>
                <w:w w:val="99"/>
              </w:rPr>
              <w:t>0.50%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000" w:type="dxa"/>
            <w:vAlign w:val="bottom"/>
          </w:tcPr>
          <w:p>
            <w:pPr>
              <w:spacing w:after="0" w:line="195" w:lineRule="exact"/>
              <w:rPr>
                <w:sz w:val="20"/>
                <w:szCs w:val="20"/>
                <w:color w:val="auto"/>
              </w:rPr>
            </w:pPr>
            <w:r>
              <w:rPr>
                <w:rFonts w:ascii="Times New Roman" w:cs="Times New Roman" w:eastAsia="Times New Roman" w:hAnsi="Times New Roman"/>
                <w:sz w:val="21"/>
                <w:szCs w:val="21"/>
                <w:color w:val="auto"/>
              </w:rPr>
              <w:t>0.30%</w:t>
            </w:r>
          </w:p>
        </w:tc>
        <w:tc>
          <w:tcPr>
            <w:tcW w:w="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80" w:type="dxa"/>
            <w:vAlign w:val="bottom"/>
            <w:tcBorders>
              <w:left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but less than 1.50:1.00</w:t>
            </w: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Borders>
              <w:left w:val="single" w:sz="8" w:color="auto"/>
            </w:tcBorders>
          </w:tcPr>
          <w:p>
            <w:pPr>
              <w:spacing w:after="0"/>
              <w:rPr>
                <w:sz w:val="17"/>
                <w:szCs w:val="17"/>
                <w:color w:val="auto"/>
              </w:rPr>
            </w:pPr>
          </w:p>
        </w:tc>
        <w:tc>
          <w:tcPr>
            <w:tcW w:w="1080" w:type="dxa"/>
            <w:vAlign w:val="bottom"/>
            <w:tcBorders>
              <w:right w:val="single" w:sz="8" w:color="auto"/>
            </w:tcBorders>
            <w:gridSpan w:val="4"/>
          </w:tcPr>
          <w:p>
            <w:pPr>
              <w:spacing w:after="0" w:line="196" w:lineRule="exact"/>
              <w:rPr>
                <w:sz w:val="20"/>
                <w:szCs w:val="20"/>
                <w:color w:val="auto"/>
              </w:rPr>
            </w:pPr>
            <w:r>
              <w:rPr>
                <w:rFonts w:ascii="Times New Roman" w:cs="Times New Roman" w:eastAsia="Times New Roman" w:hAnsi="Times New Roman"/>
                <w:sz w:val="21"/>
                <w:szCs w:val="21"/>
                <w:color w:val="auto"/>
              </w:rPr>
              <w:t>III</w:t>
            </w:r>
          </w:p>
        </w:tc>
        <w:tc>
          <w:tcPr>
            <w:tcW w:w="60" w:type="dxa"/>
            <w:vAlign w:val="bottom"/>
          </w:tcPr>
          <w:p>
            <w:pPr>
              <w:spacing w:after="0"/>
              <w:rPr>
                <w:sz w:val="17"/>
                <w:szCs w:val="17"/>
                <w:color w:val="auto"/>
              </w:rPr>
            </w:pPr>
          </w:p>
        </w:tc>
        <w:tc>
          <w:tcPr>
            <w:tcW w:w="2980" w:type="dxa"/>
            <w:vAlign w:val="bottom"/>
            <w:tcBorders>
              <w:right w:val="single" w:sz="8" w:color="auto"/>
            </w:tcBorders>
            <w:gridSpan w:val="2"/>
          </w:tcPr>
          <w:p>
            <w:pPr>
              <w:spacing w:after="0" w:line="196" w:lineRule="exact"/>
              <w:rPr>
                <w:sz w:val="20"/>
                <w:szCs w:val="20"/>
                <w:color w:val="auto"/>
              </w:rPr>
            </w:pPr>
            <w:r>
              <w:rPr>
                <w:rFonts w:ascii="Times New Roman" w:cs="Times New Roman" w:eastAsia="Times New Roman" w:hAnsi="Times New Roman"/>
                <w:sz w:val="21"/>
                <w:szCs w:val="21"/>
                <w:color w:val="auto"/>
              </w:rPr>
              <w:t>Greater than or equal to 1.50:1.00</w:t>
            </w:r>
          </w:p>
        </w:tc>
        <w:tc>
          <w:tcPr>
            <w:tcW w:w="1640" w:type="dxa"/>
            <w:vAlign w:val="bottom"/>
            <w:gridSpan w:val="2"/>
          </w:tcPr>
          <w:p>
            <w:pPr>
              <w:jc w:val="right"/>
              <w:ind w:right="978"/>
              <w:spacing w:after="0" w:line="196" w:lineRule="exact"/>
              <w:rPr>
                <w:sz w:val="20"/>
                <w:szCs w:val="20"/>
                <w:color w:val="auto"/>
              </w:rPr>
            </w:pPr>
            <w:r>
              <w:rPr>
                <w:rFonts w:ascii="Times New Roman" w:cs="Times New Roman" w:eastAsia="Times New Roman" w:hAnsi="Times New Roman"/>
                <w:sz w:val="21"/>
                <w:szCs w:val="21"/>
                <w:color w:val="auto"/>
                <w:w w:val="99"/>
              </w:rPr>
              <w:t>1.50%</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right w:val="single" w:sz="8" w:color="auto"/>
            </w:tcBorders>
          </w:tcPr>
          <w:p>
            <w:pPr>
              <w:spacing w:after="0"/>
              <w:rPr>
                <w:sz w:val="17"/>
                <w:szCs w:val="17"/>
                <w:color w:val="auto"/>
              </w:rPr>
            </w:pPr>
          </w:p>
        </w:tc>
        <w:tc>
          <w:tcPr>
            <w:tcW w:w="1720" w:type="dxa"/>
            <w:vAlign w:val="bottom"/>
            <w:gridSpan w:val="2"/>
          </w:tcPr>
          <w:p>
            <w:pPr>
              <w:jc w:val="right"/>
              <w:ind w:right="1053"/>
              <w:spacing w:after="0" w:line="196" w:lineRule="exact"/>
              <w:rPr>
                <w:sz w:val="20"/>
                <w:szCs w:val="20"/>
                <w:color w:val="auto"/>
              </w:rPr>
            </w:pPr>
            <w:r>
              <w:rPr>
                <w:rFonts w:ascii="Times New Roman" w:cs="Times New Roman" w:eastAsia="Times New Roman" w:hAnsi="Times New Roman"/>
                <w:sz w:val="21"/>
                <w:szCs w:val="21"/>
                <w:color w:val="auto"/>
                <w:w w:val="99"/>
              </w:rPr>
              <w:t>0.75%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000" w:type="dxa"/>
            <w:vAlign w:val="bottom"/>
          </w:tcPr>
          <w:p>
            <w:pPr>
              <w:spacing w:after="0" w:line="196" w:lineRule="exact"/>
              <w:rPr>
                <w:sz w:val="20"/>
                <w:szCs w:val="20"/>
                <w:color w:val="auto"/>
              </w:rPr>
            </w:pPr>
            <w:r>
              <w:rPr>
                <w:rFonts w:ascii="Times New Roman" w:cs="Times New Roman" w:eastAsia="Times New Roman" w:hAnsi="Times New Roman"/>
                <w:sz w:val="21"/>
                <w:szCs w:val="21"/>
                <w:color w:val="auto"/>
              </w:rPr>
              <w:t>0.35%</w:t>
            </w:r>
          </w:p>
        </w:tc>
        <w:tc>
          <w:tcPr>
            <w:tcW w:w="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80" w:type="dxa"/>
            <w:vAlign w:val="bottom"/>
            <w:tcBorders>
              <w:left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but less than 2.00:1.00</w:t>
            </w: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0" w:type="dxa"/>
            <w:vAlign w:val="bottom"/>
            <w:tcBorders>
              <w:left w:val="single" w:sz="8" w:color="auto"/>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21"/>
                <w:szCs w:val="21"/>
                <w:color w:val="auto"/>
              </w:rPr>
              <w:t>IV</w:t>
            </w:r>
          </w:p>
        </w:tc>
        <w:tc>
          <w:tcPr>
            <w:tcW w:w="60" w:type="dxa"/>
            <w:vAlign w:val="bottom"/>
            <w:tcBorders>
              <w:bottom w:val="single" w:sz="8" w:color="auto"/>
            </w:tcBorders>
          </w:tcPr>
          <w:p>
            <w:pPr>
              <w:spacing w:after="0"/>
              <w:rPr>
                <w:sz w:val="22"/>
                <w:szCs w:val="22"/>
                <w:color w:val="auto"/>
              </w:rPr>
            </w:pPr>
          </w:p>
        </w:tc>
        <w:tc>
          <w:tcPr>
            <w:tcW w:w="29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21"/>
                <w:szCs w:val="21"/>
                <w:color w:val="auto"/>
              </w:rPr>
              <w:t>Greater than or equal to 2.00:1.00</w:t>
            </w:r>
          </w:p>
        </w:tc>
        <w:tc>
          <w:tcPr>
            <w:tcW w:w="1640" w:type="dxa"/>
            <w:vAlign w:val="bottom"/>
            <w:tcBorders>
              <w:bottom w:val="single" w:sz="8" w:color="auto"/>
            </w:tcBorders>
            <w:gridSpan w:val="2"/>
          </w:tcPr>
          <w:p>
            <w:pPr>
              <w:jc w:val="right"/>
              <w:ind w:right="978"/>
              <w:spacing w:after="0"/>
              <w:rPr>
                <w:sz w:val="20"/>
                <w:szCs w:val="20"/>
                <w:color w:val="auto"/>
              </w:rPr>
            </w:pPr>
            <w:r>
              <w:rPr>
                <w:rFonts w:ascii="Times New Roman" w:cs="Times New Roman" w:eastAsia="Times New Roman" w:hAnsi="Times New Roman"/>
                <w:sz w:val="21"/>
                <w:szCs w:val="21"/>
                <w:color w:val="auto"/>
                <w:w w:val="99"/>
              </w:rPr>
              <w:t>1.75%</w:t>
            </w:r>
          </w:p>
        </w:tc>
        <w:tc>
          <w:tcPr>
            <w:tcW w:w="8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40" w:type="dxa"/>
            <w:vAlign w:val="bottom"/>
            <w:tcBorders>
              <w:bottom w:val="single" w:sz="8" w:color="auto"/>
              <w:right w:val="single" w:sz="8" w:color="auto"/>
            </w:tcBorders>
          </w:tcPr>
          <w:p>
            <w:pPr>
              <w:spacing w:after="0"/>
              <w:rPr>
                <w:sz w:val="22"/>
                <w:szCs w:val="22"/>
                <w:color w:val="auto"/>
              </w:rPr>
            </w:pPr>
          </w:p>
        </w:tc>
        <w:tc>
          <w:tcPr>
            <w:tcW w:w="1720" w:type="dxa"/>
            <w:vAlign w:val="bottom"/>
            <w:tcBorders>
              <w:bottom w:val="single" w:sz="8" w:color="auto"/>
            </w:tcBorders>
            <w:gridSpan w:val="2"/>
          </w:tcPr>
          <w:p>
            <w:pPr>
              <w:jc w:val="right"/>
              <w:ind w:right="1053"/>
              <w:spacing w:after="0"/>
              <w:rPr>
                <w:sz w:val="20"/>
                <w:szCs w:val="20"/>
                <w:color w:val="auto"/>
              </w:rPr>
            </w:pPr>
            <w:r>
              <w:rPr>
                <w:rFonts w:ascii="Times New Roman" w:cs="Times New Roman" w:eastAsia="Times New Roman" w:hAnsi="Times New Roman"/>
                <w:sz w:val="21"/>
                <w:szCs w:val="21"/>
                <w:color w:val="auto"/>
                <w:w w:val="99"/>
              </w:rPr>
              <w:t>1.00%</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right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0.375%</w:t>
            </w: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1"/>
          <w:szCs w:val="21"/>
          <w:color w:val="auto"/>
        </w:rPr>
        <w:t>The Applicable Margin shall be determined and adjusted quarterly on the date (each an “</w:t>
      </w:r>
      <w:r>
        <w:rPr>
          <w:rFonts w:ascii="Times New Roman" w:cs="Times New Roman" w:eastAsia="Times New Roman" w:hAnsi="Times New Roman"/>
          <w:sz w:val="21"/>
          <w:szCs w:val="21"/>
          <w:b w:val="1"/>
          <w:bCs w:val="1"/>
          <w:color w:val="auto"/>
        </w:rPr>
        <w:t>AM Calculation Date</w:t>
      </w:r>
      <w:r>
        <w:rPr>
          <w:rFonts w:ascii="Times New Roman" w:cs="Times New Roman" w:eastAsia="Times New Roman" w:hAnsi="Times New Roman"/>
          <w:sz w:val="21"/>
          <w:szCs w:val="21"/>
          <w:color w:val="auto"/>
        </w:rPr>
        <w:t xml:space="preserve">”) ten (10) Business Days after the day by which Borrower is required to provide a Compliance Certificate pursuant to </w:t>
      </w:r>
      <w:r>
        <w:rPr>
          <w:rFonts w:ascii="Times New Roman" w:cs="Times New Roman" w:eastAsia="Times New Roman" w:hAnsi="Times New Roman"/>
          <w:sz w:val="21"/>
          <w:szCs w:val="21"/>
          <w:u w:val="single" w:color="auto"/>
          <w:color w:val="auto"/>
        </w:rPr>
        <w:t>Section 7.6(a)(iii)</w:t>
      </w:r>
      <w:r>
        <w:rPr>
          <w:rFonts w:ascii="Times New Roman" w:cs="Times New Roman" w:eastAsia="Times New Roman" w:hAnsi="Times New Roman"/>
          <w:sz w:val="21"/>
          <w:szCs w:val="21"/>
          <w:color w:val="auto"/>
        </w:rPr>
        <w:t xml:space="preserve"> for the most recently ended Fiscal Quarter;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(a) the Applicable Margin shall be based on Pricing Level IV until the first AM Calculation Date after the Restatement Effective Date and, thereafter the Pricing Level shall be determined by reference to the Total Leverage Ratio as of the last day of the most recently ended Fiscal Quarter preceding the applicable AM Calculation Date and (b) if Borrower fails to provide the Compliance Certificate as required by </w:t>
      </w:r>
      <w:r>
        <w:rPr>
          <w:rFonts w:ascii="Times New Roman" w:cs="Times New Roman" w:eastAsia="Times New Roman" w:hAnsi="Times New Roman"/>
          <w:sz w:val="21"/>
          <w:szCs w:val="21"/>
          <w:u w:val="single" w:color="auto"/>
          <w:color w:val="auto"/>
        </w:rPr>
        <w:t>Section 7.6(a)(iii)</w:t>
      </w:r>
      <w:r>
        <w:rPr>
          <w:rFonts w:ascii="Times New Roman" w:cs="Times New Roman" w:eastAsia="Times New Roman" w:hAnsi="Times New Roman"/>
          <w:sz w:val="21"/>
          <w:szCs w:val="21"/>
          <w:color w:val="auto"/>
        </w:rPr>
        <w:t xml:space="preserve"> for the most recently ended Fiscal Quarter preceding the applicable AM Calculation Date, the Applicable Margin from such AM Calculation Date shall be based on Pricing Level IV until such time as a Compliance Certificate is provided, at which time the Pricing Level shall be determined by reference to the Total Leverage Ratio as of the last day of the most recently ended Fiscal Quarter. The Applicable Margin shall be effective from one AM Calculation Date until the next AM Calculation Date. Any adjustment in the Applicable Margin shall be applicable to all Revolving Loans or Letter of Credit Accommodations then existing or subsequently made or issued.</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1"/>
          <w:szCs w:val="21"/>
          <w:color w:val="auto"/>
        </w:rPr>
        <w:t xml:space="preserve">Notwithstanding the foregoing, in the event that any financial statement or Compliance Certificate delivered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7.6(a)</w:t>
      </w:r>
      <w:r>
        <w:rPr>
          <w:rFonts w:ascii="Times New Roman" w:cs="Times New Roman" w:eastAsia="Times New Roman" w:hAnsi="Times New Roman"/>
          <w:sz w:val="21"/>
          <w:szCs w:val="21"/>
          <w:color w:val="auto"/>
        </w:rPr>
        <w:t xml:space="preserve"> is shown to be inaccurate (regardless of whether (i) this Agreement is in effect, (ii) the Revolving Loan Commitment is in effect, or (iii) any Loan or Letter of Credit Accommodation is outstanding when such inaccuracy is discovered or such financial statement or Compliance Certificate was delivered), and such inaccuracy, if corrected, would have led to the application of a higher Applicable Margin for any period (an “</w:t>
      </w:r>
      <w:r>
        <w:rPr>
          <w:rFonts w:ascii="Times New Roman" w:cs="Times New Roman" w:eastAsia="Times New Roman" w:hAnsi="Times New Roman"/>
          <w:sz w:val="21"/>
          <w:szCs w:val="21"/>
          <w:b w:val="1"/>
          <w:bCs w:val="1"/>
          <w:color w:val="auto"/>
        </w:rPr>
        <w:t>Applicable Period</w:t>
      </w:r>
      <w:r>
        <w:rPr>
          <w:rFonts w:ascii="Times New Roman" w:cs="Times New Roman" w:eastAsia="Times New Roman" w:hAnsi="Times New Roman"/>
          <w:sz w:val="21"/>
          <w:szCs w:val="21"/>
          <w:color w:val="auto"/>
        </w:rPr>
        <w:t>”) than the Applicable Margin applied for such Applicable Period, then (A) Borrower shall immediately deliver to Agent a corrected Compliance Certificate for such Applicable Period, (B) the Applicable Margin for such Applicable Period shall be determined as if the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60"/>
          </w:cols>
          <w:pgMar w:left="320" w:top="1433" w:right="319" w:bottom="1440" w:gutter="0" w:footer="0" w:header="0"/>
        </w:sectPr>
      </w:pPr>
    </w:p>
    <w:bookmarkStart w:id="85" w:name="page86"/>
    <w:bookmarkEnd w:id="85"/>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Leverage Ratio in the corrected Compliance Certificate were applicable for such Applicable Period, and (C) Borrower shall immediately and retroactively be obligated to pay to Agent the accrued additional interest and fees owing as a result of such increased Applicable Margin for such Applicable Period, which payment shall be promptly applied by Agent in accordance with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Borrower’s obligations under this paragraph shall survive the termination of the Revolving Loan Commitments and the repayment of all other Obligations hereunder.</w:t>
      </w:r>
    </w:p>
    <w:p>
      <w:pPr>
        <w:spacing w:after="0" w:line="16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Approved Fund</w:t>
      </w:r>
      <w:r>
        <w:rPr>
          <w:rFonts w:ascii="Times New Roman" w:cs="Times New Roman" w:eastAsia="Times New Roman" w:hAnsi="Times New Roman"/>
          <w:sz w:val="21"/>
          <w:szCs w:val="21"/>
          <w:color w:val="auto"/>
        </w:rPr>
        <w:t>” means any Fund that is administered or managed by (a) an existing Lender, (b) an Affiliate of an existing Lender or (c) an entity or an Affiliate of an entity that administers or manages an existing Lender.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Arranger</w:t>
      </w:r>
      <w:r>
        <w:rPr>
          <w:rFonts w:ascii="Times New Roman" w:cs="Times New Roman" w:eastAsia="Times New Roman" w:hAnsi="Times New Roman"/>
          <w:sz w:val="21"/>
          <w:szCs w:val="21"/>
          <w:color w:val="auto"/>
        </w:rPr>
        <w:t>” means Wells Fargo Securities, LLC, in its role hereunder as sole lead arranger and joint bookrunner.</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Asset Sale</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8.1(a)</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Assignment and Assumption Agreement</w:t>
      </w:r>
      <w:r>
        <w:rPr>
          <w:rFonts w:ascii="Times New Roman" w:cs="Times New Roman" w:eastAsia="Times New Roman" w:hAnsi="Times New Roman"/>
          <w:sz w:val="21"/>
          <w:szCs w:val="21"/>
          <w:color w:val="auto"/>
        </w:rPr>
        <w:t xml:space="preserve">” means an assignment and assumption agreement entered into by a Lender and an assignee (with the consent of any party whose consent is required by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and accepted by Agent, in substantially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or any other form approved by Agent.</w:t>
      </w:r>
    </w:p>
    <w:p>
      <w:pPr>
        <w:spacing w:after="0" w:line="1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Attributable Debt</w:t>
      </w:r>
      <w:r>
        <w:rPr>
          <w:rFonts w:ascii="Times New Roman" w:cs="Times New Roman" w:eastAsia="Times New Roman" w:hAnsi="Times New Roman"/>
          <w:sz w:val="21"/>
          <w:szCs w:val="21"/>
          <w:color w:val="auto"/>
        </w:rPr>
        <w:t>” means, on any date of determination, (a) in respect of any Capital Lease Obligation of any Person, the capitalized amount thereof that would appear on a balance sheet of such Person prepared as of such date in accordance with GAAP, and (b) in respect of any Synthetic Lease, the capitalized amount or principal amount of the remaining lease payments under the relevant lease that would appear on a balance sheet of such Person prepared as of such date in accordance with GAAP if such lease were accounted for as a Capital Lease Obligation.</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Available Tenor</w:t>
      </w:r>
      <w:r>
        <w:rPr>
          <w:rFonts w:ascii="Times New Roman" w:cs="Times New Roman" w:eastAsia="Times New Roman" w:hAnsi="Times New Roman"/>
          <w:sz w:val="21"/>
          <w:szCs w:val="21"/>
          <w:color w:val="auto"/>
        </w:rPr>
        <w:t xml:space="preserve">” means, as of any date of determination and with respect to any then-current Benchmark for any Currency,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1"/>
          <w:szCs w:val="21"/>
          <w:u w:val="single" w:color="auto"/>
          <w:color w:val="auto"/>
        </w:rPr>
        <w:t>Section 3.2(c)(iv)</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4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Bail-In Action</w:t>
      </w:r>
      <w:r>
        <w:rPr>
          <w:rFonts w:ascii="Times New Roman" w:cs="Times New Roman" w:eastAsia="Times New Roman" w:hAnsi="Times New Roman"/>
          <w:sz w:val="21"/>
          <w:szCs w:val="21"/>
          <w:color w:val="auto"/>
        </w:rPr>
        <w:t>” means the exercise of any Write-Down and Conversion Powers by the applicable Resolution Authority in respect of any liability of an Affected Financial Institution.</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Bail-In Legislation</w:t>
      </w:r>
      <w:r>
        <w:rPr>
          <w:rFonts w:ascii="Times New Roman" w:cs="Times New Roman" w:eastAsia="Times New Roman" w:hAnsi="Times New Roman"/>
          <w:sz w:val="21"/>
          <w:szCs w:val="21"/>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86" w:name="page87"/>
    <w:bookmarkEnd w:id="86"/>
    <w:p>
      <w:pPr>
        <w:jc w:val="both"/>
        <w:spacing w:after="0" w:line="271" w:lineRule="auto"/>
        <w:rPr>
          <w:sz w:val="20"/>
          <w:szCs w:val="20"/>
          <w:color w:val="auto"/>
        </w:rPr>
      </w:pPr>
      <w:r>
        <w:rPr>
          <w:rFonts w:ascii="Times New Roman" w:cs="Times New Roman" w:eastAsia="Times New Roman" w:hAnsi="Times New Roman"/>
          <w:sz w:val="21"/>
          <w:szCs w:val="21"/>
          <w:color w:val="auto"/>
        </w:rPr>
        <w:t>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Bankruptcy Code</w:t>
      </w:r>
      <w:r>
        <w:rPr>
          <w:rFonts w:ascii="Times New Roman" w:cs="Times New Roman" w:eastAsia="Times New Roman" w:hAnsi="Times New Roman"/>
          <w:sz w:val="21"/>
          <w:szCs w:val="21"/>
          <w:color w:val="auto"/>
        </w:rPr>
        <w:t>” means title 11 of the United Stated Code, as in effect from time to time.</w:t>
      </w:r>
    </w:p>
    <w:p>
      <w:pPr>
        <w:spacing w:after="0" w:line="2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w:t>
      </w:r>
      <w:r>
        <w:rPr>
          <w:rFonts w:ascii="Times New Roman" w:cs="Times New Roman" w:eastAsia="Times New Roman" w:hAnsi="Times New Roman"/>
          <w:sz w:val="21"/>
          <w:szCs w:val="21"/>
          <w:color w:val="auto"/>
        </w:rPr>
        <w:t xml:space="preserve">” means, initially, with respect to any (a) Obligations, interest, fees, commissions or other amounts denominated in, or calculated with respect to, U.S. Dollars, the Term SOFR Reference Rate;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Benchmark Transition Event has occurred with respect to the Term SOFR Reference Rate or the then-current Benchmark for U.S. Dollars,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21"/>
          <w:szCs w:val="21"/>
          <w:u w:val="single" w:color="auto"/>
          <w:color w:val="auto"/>
        </w:rPr>
        <w:t>Section 3.2(c)(i)</w:t>
      </w:r>
      <w:r>
        <w:rPr>
          <w:rFonts w:ascii="Times New Roman" w:cs="Times New Roman" w:eastAsia="Times New Roman" w:hAnsi="Times New Roman"/>
          <w:sz w:val="21"/>
          <w:szCs w:val="21"/>
          <w:color w:val="auto"/>
        </w:rPr>
        <w:t xml:space="preserve"> and (b) Obligations, interest, fees, commissions or other amounts denominated in, or calculated with respect to, Euros or Canadian Dollars, Euribor or the Term CORRA Reference Rate, respectively;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 Benchmark Transition Event has occurred with respect to Euribor or the Term CORRA Reference Rate, as applicable,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21"/>
          <w:szCs w:val="21"/>
          <w:u w:val="single" w:color="auto"/>
          <w:color w:val="auto"/>
        </w:rPr>
        <w:t>Section 3.2(c)(i)</w:t>
      </w:r>
      <w:r>
        <w:rPr>
          <w:rFonts w:ascii="Times New Roman" w:cs="Times New Roman" w:eastAsia="Times New Roman" w:hAnsi="Times New Roman"/>
          <w:sz w:val="21"/>
          <w:szCs w:val="21"/>
          <w:color w:val="auto"/>
        </w:rPr>
        <w:t>.</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Replacement”</w:t>
      </w:r>
      <w:r>
        <w:rPr>
          <w:rFonts w:ascii="Times New Roman" w:cs="Times New Roman" w:eastAsia="Times New Roman" w:hAnsi="Times New Roman"/>
          <w:sz w:val="21"/>
          <w:szCs w:val="21"/>
          <w:color w:val="auto"/>
        </w:rPr>
        <w:t xml:space="preserve"> means, with respect to any Benchmark Transition Event for any then-current Benchmark, the sum of: (a) the alternate benchmark rate that has been selected by the Agent and the Borrower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the applicable Currency at such time and (b) the related Benchmark Replacement Adjustment;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such Benchmark Replacement as so determined would be less than the Floor, such Benchmark Replacement will be deemed to be the Floor for the purposes of this Agreement and the other Financing Agreements.</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Replacement Adjustment</w:t>
      </w:r>
      <w:r>
        <w:rPr>
          <w:rFonts w:ascii="Times New Roman" w:cs="Times New Roman" w:eastAsia="Times New Roman" w:hAnsi="Times New Roman"/>
          <w:sz w:val="21"/>
          <w:szCs w:val="21"/>
          <w:color w:val="auto"/>
        </w:rPr>
        <w:t xml:space="preserve"> ”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87" w:name="page88"/>
    <w:bookmarkEnd w:id="87"/>
    <w:p>
      <w:pPr>
        <w:ind w:right="20"/>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Replacement Date”</w:t>
      </w:r>
      <w:r>
        <w:rPr>
          <w:rFonts w:ascii="Times New Roman" w:cs="Times New Roman" w:eastAsia="Times New Roman" w:hAnsi="Times New Roman"/>
          <w:sz w:val="21"/>
          <w:szCs w:val="21"/>
          <w:color w:val="auto"/>
        </w:rPr>
        <w:t xml:space="preserve"> means the earliest to occur of the following events with respect to the then-current Benchmark for any Currency:</w:t>
      </w:r>
    </w:p>
    <w:p>
      <w:pPr>
        <w:spacing w:after="0" w:line="136" w:lineRule="exact"/>
        <w:rPr>
          <w:sz w:val="20"/>
          <w:szCs w:val="20"/>
          <w:color w:val="auto"/>
        </w:rPr>
      </w:pPr>
    </w:p>
    <w:p>
      <w:pPr>
        <w:jc w:val="both"/>
        <w:ind w:firstLine="651"/>
        <w:spacing w:after="0" w:line="270" w:lineRule="auto"/>
        <w:tabs>
          <w:tab w:leader="none" w:pos="1102"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52" w:lineRule="exact"/>
        <w:rPr>
          <w:rFonts w:ascii="Times New Roman" w:cs="Times New Roman" w:eastAsia="Times New Roman" w:hAnsi="Times New Roman"/>
          <w:sz w:val="21"/>
          <w:szCs w:val="21"/>
          <w:color w:val="auto"/>
        </w:rPr>
      </w:pPr>
    </w:p>
    <w:p>
      <w:pPr>
        <w:jc w:val="both"/>
        <w:ind w:firstLine="651"/>
        <w:spacing w:after="0" w:line="265" w:lineRule="auto"/>
        <w:tabs>
          <w:tab w:leader="none" w:pos="1143"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61" w:lineRule="exact"/>
        <w:rPr>
          <w:sz w:val="20"/>
          <w:szCs w:val="20"/>
          <w:color w:val="auto"/>
        </w:rPr>
      </w:pPr>
    </w:p>
    <w:p>
      <w:pPr>
        <w:jc w:val="both"/>
        <w:ind w:firstLine="643"/>
        <w:spacing w:after="0" w:line="271" w:lineRule="auto"/>
        <w:rPr>
          <w:sz w:val="20"/>
          <w:szCs w:val="20"/>
          <w:color w:val="auto"/>
        </w:rPr>
      </w:pPr>
      <w:r>
        <w:rPr>
          <w:rFonts w:ascii="Times New Roman" w:cs="Times New Roman" w:eastAsia="Times New Roman" w:hAnsi="Times New Roman"/>
          <w:sz w:val="21"/>
          <w:szCs w:val="21"/>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Transition Event</w:t>
      </w:r>
      <w:r>
        <w:rPr>
          <w:rFonts w:ascii="Times New Roman" w:cs="Times New Roman" w:eastAsia="Times New Roman" w:hAnsi="Times New Roman"/>
          <w:sz w:val="21"/>
          <w:szCs w:val="21"/>
          <w:color w:val="auto"/>
        </w:rPr>
        <w:t>” means, with respect to the then-current Benchmark for any Currency, the occurrence of one or more of the following events with respect to such Benchmark:</w:t>
      </w:r>
    </w:p>
    <w:p>
      <w:pPr>
        <w:spacing w:after="0" w:line="136" w:lineRule="exact"/>
        <w:rPr>
          <w:sz w:val="20"/>
          <w:szCs w:val="20"/>
          <w:color w:val="auto"/>
        </w:rPr>
      </w:pPr>
    </w:p>
    <w:p>
      <w:pPr>
        <w:jc w:val="both"/>
        <w:ind w:firstLine="651"/>
        <w:spacing w:after="0" w:line="265" w:lineRule="auto"/>
        <w:tabs>
          <w:tab w:leader="none" w:pos="1201"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any Available Tenor of such Benchmark (or such component thereof);</w:t>
      </w:r>
    </w:p>
    <w:p>
      <w:pPr>
        <w:spacing w:after="0" w:line="60" w:lineRule="exact"/>
        <w:rPr>
          <w:rFonts w:ascii="Times New Roman" w:cs="Times New Roman" w:eastAsia="Times New Roman" w:hAnsi="Times New Roman"/>
          <w:sz w:val="21"/>
          <w:szCs w:val="21"/>
          <w:color w:val="auto"/>
        </w:rPr>
      </w:pPr>
    </w:p>
    <w:p>
      <w:pPr>
        <w:jc w:val="both"/>
        <w:ind w:firstLine="651"/>
        <w:spacing w:after="0" w:line="259" w:lineRule="auto"/>
        <w:tabs>
          <w:tab w:leader="none" w:pos="110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public statement or publication of information by the regulatory supervisor for the administrator of such Benchmark (or the published component used in the calculation thereof), the FRB,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the time of such statement or publication, there is no successor administrator that will continue to provide any Available Tenor of such Benchmark (or such component thereof); or</w:t>
      </w:r>
    </w:p>
    <w:p>
      <w:pPr>
        <w:spacing w:after="0" w:line="80" w:lineRule="exact"/>
        <w:rPr>
          <w:rFonts w:ascii="Times New Roman" w:cs="Times New Roman" w:eastAsia="Times New Roman" w:hAnsi="Times New Roman"/>
          <w:sz w:val="21"/>
          <w:szCs w:val="21"/>
          <w:color w:val="auto"/>
        </w:rPr>
      </w:pPr>
    </w:p>
    <w:p>
      <w:pPr>
        <w:ind w:firstLine="651"/>
        <w:spacing w:after="0" w:line="290" w:lineRule="auto"/>
        <w:tabs>
          <w:tab w:leader="none" w:pos="1099"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public statement or publication of information by the regulatory supervisor for the administrator of such Benchmark (or the published component used in the calculation</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8" w:right="339" w:bottom="1440" w:gutter="0" w:footer="0" w:header="0"/>
        </w:sectPr>
      </w:pPr>
    </w:p>
    <w:bookmarkStart w:id="88" w:name="page89"/>
    <w:bookmarkEnd w:id="88"/>
    <w:p>
      <w:pPr>
        <w:jc w:val="both"/>
        <w:spacing w:after="0" w:line="290" w:lineRule="auto"/>
        <w:rPr>
          <w:sz w:val="20"/>
          <w:szCs w:val="20"/>
          <w:color w:val="auto"/>
        </w:rPr>
      </w:pPr>
      <w:r>
        <w:rPr>
          <w:rFonts w:ascii="Times New Roman" w:cs="Times New Roman" w:eastAsia="Times New Roman" w:hAnsi="Times New Roman"/>
          <w:sz w:val="21"/>
          <w:szCs w:val="21"/>
          <w:color w:val="auto"/>
        </w:rPr>
        <w:t>thereof) announcing that all Available Tenors of such Benchmark (or such component thereof) are not, or as of a specified future date will not be, representative.</w:t>
      </w:r>
    </w:p>
    <w:p>
      <w:pPr>
        <w:spacing w:after="0" w:line="3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1"/>
          <w:szCs w:val="21"/>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Transition Start Date</w:t>
      </w:r>
      <w:r>
        <w:rPr>
          <w:rFonts w:ascii="Times New Roman" w:cs="Times New Roman" w:eastAsia="Times New Roman" w:hAnsi="Times New Roman"/>
          <w:sz w:val="21"/>
          <w:szCs w:val="21"/>
          <w:color w:val="auto"/>
        </w:rPr>
        <w:t>” means, with respect to any Benchmark for any Currency, in the case of a Benchmark Transition Event, the earlier of (a) the applicable Benchmark Replacement Date and (b) if such Benchmark Transition Event is a public statement or publication of information of a prospective event, the 90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Benchmark Unavailability Period</w:t>
      </w:r>
      <w:r>
        <w:rPr>
          <w:rFonts w:ascii="Times New Roman" w:cs="Times New Roman" w:eastAsia="Times New Roman" w:hAnsi="Times New Roman"/>
          <w:sz w:val="21"/>
          <w:szCs w:val="21"/>
          <w:color w:val="auto"/>
        </w:rPr>
        <w:t xml:space="preserve">” means, with respect to any then-current Benchmark for any Currency, the period (if any) (x) beginning at the time that a Benchmark Replacement Date with respect to such Benchmark pursuant to clauses (a) or (b) of that definition has occurred if, at such time, no Benchmark Replacement has replaced such Benchmark for all purposes hereunder and under any Financing Agreement in accordance with </w:t>
      </w:r>
      <w:r>
        <w:rPr>
          <w:rFonts w:ascii="Times New Roman" w:cs="Times New Roman" w:eastAsia="Times New Roman" w:hAnsi="Times New Roman"/>
          <w:sz w:val="21"/>
          <w:szCs w:val="21"/>
          <w:u w:val="single" w:color="auto"/>
          <w:color w:val="auto"/>
        </w:rPr>
        <w:t>Section 3.2(c)(i)</w:t>
      </w:r>
      <w:r>
        <w:rPr>
          <w:rFonts w:ascii="Times New Roman" w:cs="Times New Roman" w:eastAsia="Times New Roman" w:hAnsi="Times New Roman"/>
          <w:sz w:val="21"/>
          <w:szCs w:val="21"/>
          <w:color w:val="auto"/>
        </w:rPr>
        <w:t xml:space="preserve"> and (y) ending at the time that a Benchmark Replacement has replaced such Benchmark for all purposes hereunder and under any Financing Agreement in accordance with </w:t>
      </w:r>
      <w:r>
        <w:rPr>
          <w:rFonts w:ascii="Times New Roman" w:cs="Times New Roman" w:eastAsia="Times New Roman" w:hAnsi="Times New Roman"/>
          <w:sz w:val="21"/>
          <w:szCs w:val="21"/>
          <w:u w:val="single" w:color="auto"/>
          <w:color w:val="auto"/>
        </w:rPr>
        <w:t>Section 3.2(c)(i)</w:t>
      </w:r>
      <w:r>
        <w:rPr>
          <w:rFonts w:ascii="Times New Roman" w:cs="Times New Roman" w:eastAsia="Times New Roman" w:hAnsi="Times New Roman"/>
          <w:sz w:val="21"/>
          <w:szCs w:val="21"/>
          <w:color w:val="auto"/>
        </w:rPr>
        <w:t>.</w:t>
      </w:r>
    </w:p>
    <w:p>
      <w:pPr>
        <w:spacing w:after="0" w:line="1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Beneficial Ownership Certification</w:t>
      </w:r>
      <w:r>
        <w:rPr>
          <w:rFonts w:ascii="Times New Roman" w:cs="Times New Roman" w:eastAsia="Times New Roman" w:hAnsi="Times New Roman"/>
          <w:sz w:val="21"/>
          <w:szCs w:val="21"/>
          <w:color w:val="auto"/>
        </w:rPr>
        <w:t>” means a certification regarding beneficial ownership as required by the Beneficial Ownership Regulation.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Beneficial Ownership Regulation</w:t>
      </w:r>
      <w:r>
        <w:rPr>
          <w:rFonts w:ascii="Times New Roman" w:cs="Times New Roman" w:eastAsia="Times New Roman" w:hAnsi="Times New Roman"/>
          <w:sz w:val="21"/>
          <w:szCs w:val="21"/>
          <w:color w:val="auto"/>
        </w:rPr>
        <w:t>” means 31 CFR § 1010.230.</w:t>
      </w:r>
    </w:p>
    <w:p>
      <w:pPr>
        <w:spacing w:after="0" w:line="25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Benefit Plan</w:t>
      </w:r>
      <w:r>
        <w:rPr>
          <w:rFonts w:ascii="Times New Roman" w:cs="Times New Roman" w:eastAsia="Times New Roman" w:hAnsi="Times New Roman"/>
          <w:sz w:val="21"/>
          <w:szCs w:val="21"/>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BIA</w:t>
      </w:r>
      <w:r>
        <w:rPr>
          <w:rFonts w:ascii="Times New Roman" w:cs="Times New Roman" w:eastAsia="Times New Roman" w:hAnsi="Times New Roman"/>
          <w:sz w:val="21"/>
          <w:szCs w:val="21"/>
          <w:color w:val="auto"/>
        </w:rPr>
        <w:t xml:space="preserve">” means the </w:t>
      </w:r>
      <w:r>
        <w:rPr>
          <w:rFonts w:ascii="Times New Roman" w:cs="Times New Roman" w:eastAsia="Times New Roman" w:hAnsi="Times New Roman"/>
          <w:sz w:val="21"/>
          <w:szCs w:val="21"/>
          <w:i w:val="1"/>
          <w:iCs w:val="1"/>
          <w:color w:val="auto"/>
        </w:rPr>
        <w:t>Bankruptcy and Insolvency Act</w:t>
      </w:r>
      <w:r>
        <w:rPr>
          <w:rFonts w:ascii="Times New Roman" w:cs="Times New Roman" w:eastAsia="Times New Roman" w:hAnsi="Times New Roman"/>
          <w:sz w:val="21"/>
          <w:szCs w:val="21"/>
          <w:color w:val="auto"/>
        </w:rPr>
        <w:t xml:space="preserve"> (Canada).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BMO</w:t>
      </w:r>
      <w:r>
        <w:rPr>
          <w:rFonts w:ascii="Times New Roman" w:cs="Times New Roman" w:eastAsia="Times New Roman" w:hAnsi="Times New Roman"/>
          <w:sz w:val="21"/>
          <w:szCs w:val="21"/>
          <w:color w:val="auto"/>
        </w:rPr>
        <w:t>” means Bank of Montreal.</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BMO and National Bank Facilities</w:t>
      </w:r>
      <w:r>
        <w:rPr>
          <w:rFonts w:ascii="Times New Roman" w:cs="Times New Roman" w:eastAsia="Times New Roman" w:hAnsi="Times New Roman"/>
          <w:sz w:val="21"/>
          <w:szCs w:val="21"/>
          <w:color w:val="auto"/>
        </w:rPr>
        <w:t>” means the debt facilities with respect to the issuance of:</w:t>
      </w:r>
    </w:p>
    <w:p>
      <w:pPr>
        <w:spacing w:after="0" w:line="205" w:lineRule="exact"/>
        <w:rPr>
          <w:sz w:val="20"/>
          <w:szCs w:val="20"/>
          <w:color w:val="auto"/>
        </w:rPr>
      </w:pPr>
    </w:p>
    <w:p>
      <w:pPr>
        <w:ind w:left="1300" w:hanging="649"/>
        <w:spacing w:after="0" w:line="250" w:lineRule="auto"/>
        <w:tabs>
          <w:tab w:leader="none" w:pos="1297"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$5,000,000 Demand, Revolving Letter of Credit Facility by National Bank of Canada in favor of Borrower (the “</w:t>
      </w:r>
      <w:r>
        <w:rPr>
          <w:rFonts w:ascii="Times New Roman" w:cs="Times New Roman" w:eastAsia="Times New Roman" w:hAnsi="Times New Roman"/>
          <w:sz w:val="21"/>
          <w:szCs w:val="21"/>
          <w:b w:val="1"/>
          <w:bCs w:val="1"/>
          <w:color w:val="auto"/>
        </w:rPr>
        <w:t>LC Facility</w:t>
      </w:r>
      <w:r>
        <w:rPr>
          <w:rFonts w:ascii="Times New Roman" w:cs="Times New Roman" w:eastAsia="Times New Roman" w:hAnsi="Times New Roman"/>
          <w:sz w:val="21"/>
          <w:szCs w:val="21"/>
          <w:color w:val="auto"/>
        </w:rPr>
        <w:t>”); and</w:t>
      </w:r>
    </w:p>
    <w:p>
      <w:pPr>
        <w:spacing w:after="0" w:line="136"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CDN$175,000 Mastercard Businesscard Facility by BMO in favor of Borrower (the “</w:t>
      </w:r>
      <w:r>
        <w:rPr>
          <w:rFonts w:ascii="Times New Roman" w:cs="Times New Roman" w:eastAsia="Times New Roman" w:hAnsi="Times New Roman"/>
          <w:sz w:val="21"/>
          <w:szCs w:val="21"/>
          <w:b w:val="1"/>
          <w:bCs w:val="1"/>
          <w:color w:val="auto"/>
        </w:rPr>
        <w:t>Mastercard Facility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Borrower</w:t>
      </w:r>
      <w:r>
        <w:rPr>
          <w:rFonts w:ascii="Times New Roman" w:cs="Times New Roman" w:eastAsia="Times New Roman" w:hAnsi="Times New Roman"/>
          <w:sz w:val="21"/>
          <w:szCs w:val="21"/>
          <w:color w:val="auto"/>
        </w:rPr>
        <w:t>” means IMAX Corporation, a corporation incorporated pursuant to the laws of Canada.</w:t>
      </w:r>
    </w:p>
    <w:p>
      <w:pPr>
        <w:spacing w:after="0" w:line="22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Business Day</w:t>
      </w:r>
      <w:r>
        <w:rPr>
          <w:rFonts w:ascii="Times New Roman" w:cs="Times New Roman" w:eastAsia="Times New Roman" w:hAnsi="Times New Roman"/>
          <w:sz w:val="21"/>
          <w:szCs w:val="21"/>
          <w:color w:val="auto"/>
        </w:rPr>
        <w:t>” means any day that (a) is not a Saturday, Sunday or other day on which the Federal Reserve Bank of New York is closed and (b) is not a day on which commercial banks in Charlotte, North Carolina or Toronto, Ontario are closed.</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Canadian Prime Rate</w:t>
      </w:r>
      <w:r>
        <w:rPr>
          <w:rFonts w:ascii="Times New Roman" w:cs="Times New Roman" w:eastAsia="Times New Roman" w:hAnsi="Times New Roman"/>
          <w:sz w:val="21"/>
          <w:szCs w:val="21"/>
          <w:color w:val="auto"/>
        </w:rPr>
        <w:t xml:space="preserve">” means the greater of (a) the rate of interest publicly announced from time to time by the Canadian Reference Bank as its prime rate in effect for determining interest rates on Canadian Dollar denominated commercial loans in Canada (which such rate is not necessarily the most favored rate of such reference bank and such reference bank may lend to its customers at rates that are at, above or below such rate) and (b) the annual rate of interest equal to the sum of (i) Term CORRA for a one (1) month Interest Period at such time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(ii) 0.75%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Canadian Prime Rate Loans</w:t>
      </w:r>
      <w:r>
        <w:rPr>
          <w:rFonts w:ascii="Times New Roman" w:cs="Times New Roman" w:eastAsia="Times New Roman" w:hAnsi="Times New Roman"/>
          <w:sz w:val="21"/>
          <w:szCs w:val="21"/>
          <w:color w:val="auto"/>
        </w:rPr>
        <w:t>” means any Loans or portion thereof on which interest is payable based on the Canadian Prime Rate in accordance with the terms hereof.</w:t>
      </w:r>
    </w:p>
    <w:p>
      <w:pPr>
        <w:spacing w:after="0" w:line="13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Canadian Reference Bank</w:t>
      </w:r>
      <w:r>
        <w:rPr>
          <w:rFonts w:ascii="Times New Roman" w:cs="Times New Roman" w:eastAsia="Times New Roman" w:hAnsi="Times New Roman"/>
          <w:sz w:val="21"/>
          <w:szCs w:val="21"/>
          <w:color w:val="auto"/>
        </w:rPr>
        <w:t xml:space="preserve">” means a bank listed in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to the </w:t>
      </w:r>
      <w:r>
        <w:rPr>
          <w:rFonts w:ascii="Times New Roman" w:cs="Times New Roman" w:eastAsia="Times New Roman" w:hAnsi="Times New Roman"/>
          <w:sz w:val="21"/>
          <w:szCs w:val="21"/>
          <w:i w:val="1"/>
          <w:iCs w:val="1"/>
          <w:color w:val="auto"/>
        </w:rPr>
        <w:t>Bank Act</w:t>
      </w:r>
      <w:r>
        <w:rPr>
          <w:rFonts w:ascii="Times New Roman" w:cs="Times New Roman" w:eastAsia="Times New Roman" w:hAnsi="Times New Roman"/>
          <w:sz w:val="21"/>
          <w:szCs w:val="21"/>
          <w:color w:val="auto"/>
        </w:rPr>
        <w:t xml:space="preserve"> (Canada) as Agent may from time to time designate, in its discretion.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Canadian Revolving Loans</w:t>
      </w:r>
      <w:r>
        <w:rPr>
          <w:rFonts w:ascii="Times New Roman" w:cs="Times New Roman" w:eastAsia="Times New Roman" w:hAnsi="Times New Roman"/>
          <w:sz w:val="21"/>
          <w:szCs w:val="21"/>
          <w:color w:val="auto"/>
        </w:rPr>
        <w:t>” means Revolving Loans denominated in Canadian Dollars.</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Capital Lease Obligations</w:t>
      </w:r>
      <w:r>
        <w:rPr>
          <w:rFonts w:ascii="Times New Roman" w:cs="Times New Roman" w:eastAsia="Times New Roman" w:hAnsi="Times New Roman"/>
          <w:sz w:val="21"/>
          <w:szCs w:val="21"/>
          <w:color w:val="auto"/>
        </w:rPr>
        <w:t xml:space="preserve">” means all monetary obligations of Borrower and its consolidated Subsidiaries under a capital or finance lease and, for the purposes of this Agreement, the amount of such obligations shall be the capitalized amount thereof determined in accordance with GAAP;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obligations or liabilities of any Person to pay rent or other amounts under any lease of (or other arrangement conveying the right to use) real or personal property, or a combination thereof, which obligations would be required to be classified and accounted for as an operating lease under GAAP as existing on the Fifth A&amp;R Closing Date that are recharacterized as Capital Lease Obligations due to a change in GAAP after the Fifth A&amp;R Closing Date shall not be treated as Capital Lease Obligations for any purpose under this Agreement, but instead shall be accounted for as if they were operating leases for all purposes under this Agreement as determined under GAAP as in effect on the Fifth A&amp;R Closing Date.</w:t>
      </w:r>
    </w:p>
    <w:p>
      <w:pPr>
        <w:spacing w:after="0" w:line="200" w:lineRule="exact"/>
        <w:rPr>
          <w:sz w:val="20"/>
          <w:szCs w:val="20"/>
          <w:color w:val="auto"/>
        </w:rPr>
      </w:pP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Cash Equivalents</w:t>
      </w:r>
      <w:r>
        <w:rPr>
          <w:rFonts w:ascii="Times New Roman" w:cs="Times New Roman" w:eastAsia="Times New Roman" w:hAnsi="Times New Roman"/>
          <w:sz w:val="21"/>
          <w:szCs w:val="21"/>
          <w:color w:val="auto"/>
        </w:rPr>
        <w:t>” means (a) marketable direct obligations issued or unconditionally guaranteed by the government of Canada, the United States, the United Kingdom or any country that is a member of the European Union (as it is constituted on the Fifth A&amp;R Closing Date) or any agency or instrumentality of any of the foregoing; (b) domestic and euro dollar certificates of deposit and time deposits, bankers’ acceptances and floating rate certificates of deposit issued by any commercial bank organized under the laws of Canada or the United States, any province or state thereof, any foreign bank, or its branches or agencies, the long-term indebtedness of which institution at the time of acquisition is rated A- (or better) by Standard &amp; Poor’s Rating Services (“</w:t>
      </w:r>
      <w:r>
        <w:rPr>
          <w:rFonts w:ascii="Times New Roman" w:cs="Times New Roman" w:eastAsia="Times New Roman" w:hAnsi="Times New Roman"/>
          <w:sz w:val="21"/>
          <w:szCs w:val="21"/>
          <w:b w:val="1"/>
          <w:bCs w:val="1"/>
          <w:color w:val="auto"/>
        </w:rPr>
        <w:t>S&amp;P</w:t>
      </w:r>
      <w:r>
        <w:rPr>
          <w:rFonts w:ascii="Times New Roman" w:cs="Times New Roman" w:eastAsia="Times New Roman" w:hAnsi="Times New Roman"/>
          <w:sz w:val="21"/>
          <w:szCs w:val="21"/>
          <w:color w:val="auto"/>
        </w:rPr>
        <w:t>”) or A3 (or better) by Moody’s Investors Service, Inc. (“</w:t>
      </w:r>
      <w:r>
        <w:rPr>
          <w:rFonts w:ascii="Times New Roman" w:cs="Times New Roman" w:eastAsia="Times New Roman" w:hAnsi="Times New Roman"/>
          <w:sz w:val="21"/>
          <w:szCs w:val="21"/>
          <w:b w:val="1"/>
          <w:bCs w:val="1"/>
          <w:color w:val="auto"/>
        </w:rPr>
        <w:t>Moody’s</w:t>
      </w:r>
      <w:r>
        <w:rPr>
          <w:rFonts w:ascii="Times New Roman" w:cs="Times New Roman" w:eastAsia="Times New Roman" w:hAnsi="Times New Roman"/>
          <w:sz w:val="21"/>
          <w:szCs w:val="21"/>
          <w:color w:val="auto"/>
        </w:rPr>
        <w:t>”), and which deposits are fully protected against currency fluctuations for any such deposits with a term of more than 90 days; (c) shares of money market, mutual or similar funds having assets in excess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8" w:right="339" w:bottom="1440" w:gutter="0" w:footer="0" w:header="0"/>
        </w:sectPr>
      </w:pPr>
    </w:p>
    <w:bookmarkStart w:id="90" w:name="page91"/>
    <w:bookmarkEnd w:id="90"/>
    <w:p>
      <w:pPr>
        <w:jc w:val="both"/>
        <w:spacing w:after="0" w:line="261" w:lineRule="auto"/>
        <w:rPr>
          <w:sz w:val="20"/>
          <w:szCs w:val="20"/>
          <w:color w:val="auto"/>
        </w:rPr>
      </w:pPr>
      <w:r>
        <w:rPr>
          <w:rFonts w:ascii="Times New Roman" w:cs="Times New Roman" w:eastAsia="Times New Roman" w:hAnsi="Times New Roman"/>
          <w:sz w:val="21"/>
          <w:szCs w:val="21"/>
          <w:color w:val="auto"/>
        </w:rPr>
        <w:t>$100,000,000 and the investments of which are limited to (i) investment grade securities (i.e., securities rated at least BBB by S&amp;P or rated at least Baa by Moody’s) and (ii) commercial paper of Canadian, U.S. and foreign banks and bank holding companies and their subsidiaries and Canadian, U.S. and foreign finance, commercial industrial or utility companies which, at the time of acquisition, are rated A-1 (or better) by S&amp;P or P-1 (or better) by Moody’s (all such institutions being, “</w:t>
      </w:r>
      <w:r>
        <w:rPr>
          <w:rFonts w:ascii="Times New Roman" w:cs="Times New Roman" w:eastAsia="Times New Roman" w:hAnsi="Times New Roman"/>
          <w:sz w:val="21"/>
          <w:szCs w:val="21"/>
          <w:b w:val="1"/>
          <w:bCs w:val="1"/>
          <w:color w:val="auto"/>
        </w:rPr>
        <w:t>Qualified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Institutions</w:t>
      </w:r>
      <w:r>
        <w:rPr>
          <w:rFonts w:ascii="Times New Roman" w:cs="Times New Roman" w:eastAsia="Times New Roman" w:hAnsi="Times New Roman"/>
          <w:sz w:val="21"/>
          <w:szCs w:val="21"/>
          <w:color w:val="auto"/>
        </w:rPr>
        <w:t>”); (d) commercial paper of Qualified Institutions; (e) auction rate securities (long-term, variable rate bonds tied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short-term interest rates) that are rated AAA by S&amp;P and Aaa by Moody’s; and (f) in the case of any Subsidiary organized under the laws of a country other than the United States, investments of comparable tenor and credit quality to those described in the foregoing clauses customarily used in any country where such Subsidiary is organized or in which the investment is made;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maturities of such Cash Equivalents shall not exceed 365 days from the date of acquisition.</w:t>
      </w:r>
    </w:p>
    <w:p>
      <w:pPr>
        <w:spacing w:after="0" w:line="16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Cash Management Agreement</w:t>
      </w:r>
      <w:r>
        <w:rPr>
          <w:rFonts w:ascii="Times New Roman" w:cs="Times New Roman" w:eastAsia="Times New Roman" w:hAnsi="Times New Roman"/>
          <w:sz w:val="21"/>
          <w:szCs w:val="21"/>
          <w:color w:val="auto"/>
        </w:rPr>
        <w:t>” means any agreement to provide cash management services, including treasury, depository, overdraft, credit or debit card (including purchase cards), electronic funds transfer and other cash management arrangements.</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Cash Management Bank</w:t>
      </w:r>
      <w:r>
        <w:rPr>
          <w:rFonts w:ascii="Times New Roman" w:cs="Times New Roman" w:eastAsia="Times New Roman" w:hAnsi="Times New Roman"/>
          <w:sz w:val="21"/>
          <w:szCs w:val="21"/>
          <w:color w:val="auto"/>
        </w:rPr>
        <w:t>” means any Person that (a) at the time it enters into a Cash Management Agreement, is a Lender, an Affiliate of a Lender, Agent or an Affiliate of Agent, in its capacity as a party to such Cash Management Agreement or (b) within thirty days after the time such Person enters into the applicable Cash Management Agreement, becomes a Lender, an Affiliate of a Lender, Agent or an Affiliate of Agent.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CCAA</w:t>
      </w:r>
      <w:r>
        <w:rPr>
          <w:rFonts w:ascii="Times New Roman" w:cs="Times New Roman" w:eastAsia="Times New Roman" w:hAnsi="Times New Roman"/>
          <w:sz w:val="21"/>
          <w:szCs w:val="21"/>
          <w:color w:val="auto"/>
        </w:rPr>
        <w:t xml:space="preserve">” means the </w:t>
      </w:r>
      <w:r>
        <w:rPr>
          <w:rFonts w:ascii="Times New Roman" w:cs="Times New Roman" w:eastAsia="Times New Roman" w:hAnsi="Times New Roman"/>
          <w:sz w:val="21"/>
          <w:szCs w:val="21"/>
          <w:i w:val="1"/>
          <w:iCs w:val="1"/>
          <w:color w:val="auto"/>
        </w:rPr>
        <w:t>Companies’ Creditors Arrangement Act</w:t>
      </w:r>
      <w:r>
        <w:rPr>
          <w:rFonts w:ascii="Times New Roman" w:cs="Times New Roman" w:eastAsia="Times New Roman" w:hAnsi="Times New Roman"/>
          <w:sz w:val="21"/>
          <w:szCs w:val="21"/>
          <w:color w:val="auto"/>
        </w:rPr>
        <w:t xml:space="preserve"> (Canada).</w:t>
      </w: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in Law</w:t>
      </w:r>
      <w:r>
        <w:rPr>
          <w:rFonts w:ascii="Times New Roman" w:cs="Times New Roman" w:eastAsia="Times New Roman" w:hAnsi="Times New Roman"/>
          <w:sz w:val="21"/>
          <w:szCs w:val="21"/>
          <w:color w:val="auto"/>
        </w:rPr>
        <w:t xml:space="preserve">” means the occurrence, after the Restatement Effective Date, of any of the following: (a) the adoption or taking effect of any law, rule, regulation or treaty, (b) any change in any law, rule, regulation or treaty or in the administration, interpretation, implementation or application thereof by any Governmental Authority or (c) compliance by Agent, any Lender or the Issuing Lender with any request, rule, guideline or directive (whether or not having the force of law) by any Governmental Authority;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notwithstanding anything herein to the contrary, (i) the </w:t>
      </w:r>
      <w:r>
        <w:rPr>
          <w:rFonts w:ascii="Times New Roman" w:cs="Times New Roman" w:eastAsia="Times New Roman" w:hAnsi="Times New Roman"/>
          <w:sz w:val="21"/>
          <w:szCs w:val="21"/>
          <w:i w:val="1"/>
          <w:iCs w:val="1"/>
          <w:color w:val="auto"/>
        </w:rPr>
        <w:t>Dodd-Frank Wall Street Reform and Consumer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Protection Act </w:t>
      </w:r>
      <w:r>
        <w:rPr>
          <w:rFonts w:ascii="Times New Roman" w:cs="Times New Roman" w:eastAsia="Times New Roman" w:hAnsi="Times New Roman"/>
          <w:sz w:val="21"/>
          <w:szCs w:val="21"/>
          <w:color w:val="auto"/>
        </w:rPr>
        <w:t>and all requests, rules, guidelines or directives thereunder or issued in connection therewith and (ii) all requests,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implemented or issued.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Change of Control</w:t>
      </w:r>
      <w:r>
        <w:rPr>
          <w:rFonts w:ascii="Times New Roman" w:cs="Times New Roman" w:eastAsia="Times New Roman" w:hAnsi="Times New Roman"/>
          <w:sz w:val="21"/>
          <w:szCs w:val="21"/>
          <w:color w:val="auto"/>
        </w:rPr>
        <w:t>” means any of the following events:</w:t>
      </w:r>
    </w:p>
    <w:p>
      <w:pPr>
        <w:spacing w:after="0" w:line="232" w:lineRule="exact"/>
        <w:rPr>
          <w:sz w:val="20"/>
          <w:szCs w:val="20"/>
          <w:color w:val="auto"/>
        </w:rPr>
      </w:pPr>
    </w:p>
    <w:p>
      <w:pPr>
        <w:jc w:val="both"/>
        <w:ind w:firstLine="651"/>
        <w:spacing w:after="0" w:line="265" w:lineRule="auto"/>
        <w:tabs>
          <w:tab w:leader="none" w:pos="1146"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“person” or “group” (within the meaning of Section 13(d)(3) of the U.S. Securities Exchange Act of 1934), other than the Borrower or its wholly owned Subsidiaries, or their respective employee benefit plans, files any report with the Securities and Exchange Commission indicating that such person or group has become the direct or indirect “beneficial owner” (as defined below) of Equity Interests representing more than 50% of the voting power of all of the Borrower’s Equity Interests;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however, that no “person” or “group”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91" w:name="page92"/>
    <w:bookmarkEnd w:id="91"/>
    <w:p>
      <w:pPr>
        <w:spacing w:after="0" w:line="290" w:lineRule="auto"/>
        <w:rPr>
          <w:sz w:val="20"/>
          <w:szCs w:val="20"/>
          <w:color w:val="auto"/>
        </w:rPr>
      </w:pPr>
      <w:r>
        <w:rPr>
          <w:rFonts w:ascii="Times New Roman" w:cs="Times New Roman" w:eastAsia="Times New Roman" w:hAnsi="Times New Roman"/>
          <w:sz w:val="21"/>
          <w:szCs w:val="21"/>
          <w:color w:val="auto"/>
        </w:rPr>
        <w:t>deemed to be the beneficial owner of any securities tendered pursuant to a tender or exchange offer made by or on behalf of such “person” or “group” until such tendered securities are accepted for purchase or exchange under such offer; or</w:t>
      </w:r>
    </w:p>
    <w:p>
      <w:pPr>
        <w:spacing w:after="0" w:line="140" w:lineRule="exact"/>
        <w:rPr>
          <w:sz w:val="20"/>
          <w:szCs w:val="20"/>
          <w:color w:val="auto"/>
        </w:rPr>
      </w:pPr>
    </w:p>
    <w:p>
      <w:pPr>
        <w:jc w:val="both"/>
        <w:ind w:firstLine="651"/>
        <w:spacing w:after="0" w:line="259" w:lineRule="auto"/>
        <w:tabs>
          <w:tab w:leader="none" w:pos="1222"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consummation of (i) any sale, lease or other transfer, in one transaction or a series of transactions, of all or substantially all of the assets of the Borrower and its Subsidiaries, taken as a whole, to any Person, other than solely to one or more of the Borrower’s wholly owned Subsidiaries; or (ii) any transaction or series of related transactions in connection with which (whether by means of amalgamation, merger, arrangement, consolidation, share exchange, combination, reclassification, recapitalization, acquisition, liquidation or otherwise) all of the voting power of all of the Borrower’s Equity Interests are exchanged for, converted into, acquired for or constitute solely the right to receive, other securities, cash or other property (other than changes resulting solely from a subdivision or combination, or a change in par value, of such Equity Interests);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however, that any amalgamation, merger, arrangement, consolidation, share exchange or combination of the Borrower pursuant to which the Persons that directly or indirectly “beneficially owned” (as defined below) all classes of the Borrower’s Equity Interests entitled to vote immediately before such transaction directly or indirectly “beneficially own,” immediately after such transaction, more than 50% of all classes of common equity of the surviving, continuing or acquiring company or other transferee, as applicable, or the parent thereof, in substantially the same proportions vis-à-vis each other as immediately before such transaction will be deemed not to be a Change of Control pursuant to this </w:t>
      </w:r>
      <w:r>
        <w:rPr>
          <w:rFonts w:ascii="Times New Roman" w:cs="Times New Roman" w:eastAsia="Times New Roman" w:hAnsi="Times New Roman"/>
          <w:sz w:val="21"/>
          <w:szCs w:val="21"/>
          <w:b w:val="1"/>
          <w:bCs w:val="1"/>
          <w:color w:val="auto"/>
        </w:rPr>
        <w:t>clause (b)</w:t>
      </w:r>
      <w:r>
        <w:rPr>
          <w:rFonts w:ascii="Times New Roman" w:cs="Times New Roman" w:eastAsia="Times New Roman" w:hAnsi="Times New Roman"/>
          <w:sz w:val="21"/>
          <w:szCs w:val="21"/>
          <w:color w:val="auto"/>
        </w:rPr>
        <w:t>.</w:t>
      </w:r>
    </w:p>
    <w:p>
      <w:pPr>
        <w:spacing w:after="0" w:line="174" w:lineRule="exact"/>
        <w:rPr>
          <w:sz w:val="20"/>
          <w:szCs w:val="20"/>
          <w:color w:val="auto"/>
        </w:rPr>
      </w:pPr>
    </w:p>
    <w:p>
      <w:pPr>
        <w:jc w:val="both"/>
        <w:ind w:firstLine="643"/>
        <w:spacing w:after="0" w:line="285" w:lineRule="auto"/>
        <w:rPr>
          <w:sz w:val="20"/>
          <w:szCs w:val="20"/>
          <w:color w:val="auto"/>
        </w:rPr>
      </w:pPr>
      <w:r>
        <w:rPr>
          <w:rFonts w:ascii="Times New Roman" w:cs="Times New Roman" w:eastAsia="Times New Roman" w:hAnsi="Times New Roman"/>
          <w:sz w:val="21"/>
          <w:szCs w:val="21"/>
          <w:color w:val="auto"/>
        </w:rPr>
        <w:t>For the purposes of this definition, whether a Person is a “</w:t>
      </w:r>
      <w:r>
        <w:rPr>
          <w:rFonts w:ascii="Times New Roman" w:cs="Times New Roman" w:eastAsia="Times New Roman" w:hAnsi="Times New Roman"/>
          <w:sz w:val="21"/>
          <w:szCs w:val="21"/>
          <w:b w:val="1"/>
          <w:bCs w:val="1"/>
          <w:color w:val="auto"/>
        </w:rPr>
        <w:t>beneficial owner</w:t>
      </w:r>
      <w:r>
        <w:rPr>
          <w:rFonts w:ascii="Times New Roman" w:cs="Times New Roman" w:eastAsia="Times New Roman" w:hAnsi="Times New Roman"/>
          <w:sz w:val="21"/>
          <w:szCs w:val="21"/>
          <w:color w:val="auto"/>
        </w:rPr>
        <w:t>,” whether shares are “</w:t>
      </w:r>
      <w:r>
        <w:rPr>
          <w:rFonts w:ascii="Times New Roman" w:cs="Times New Roman" w:eastAsia="Times New Roman" w:hAnsi="Times New Roman"/>
          <w:sz w:val="21"/>
          <w:szCs w:val="21"/>
          <w:b w:val="1"/>
          <w:bCs w:val="1"/>
          <w:color w:val="auto"/>
        </w:rPr>
        <w:t>beneficially owned</w:t>
      </w:r>
      <w:r>
        <w:rPr>
          <w:rFonts w:ascii="Times New Roman" w:cs="Times New Roman" w:eastAsia="Times New Roman" w:hAnsi="Times New Roman"/>
          <w:sz w:val="21"/>
          <w:szCs w:val="21"/>
          <w:color w:val="auto"/>
        </w:rPr>
        <w:t>” and percentage beneficial ownership will be determined in accordance with Rule 13d-3 under the U.S. Securities Exchange Act of 1934.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United States Internal Revenue Code of 1986, as amended.</w:t>
      </w:r>
    </w:p>
    <w:p>
      <w:pPr>
        <w:spacing w:after="0" w:line="2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Collateral</w:t>
      </w:r>
      <w:r>
        <w:rPr>
          <w:rFonts w:ascii="Times New Roman" w:cs="Times New Roman" w:eastAsia="Times New Roman" w:hAnsi="Times New Roman"/>
          <w:sz w:val="21"/>
          <w:szCs w:val="21"/>
          <w:color w:val="auto"/>
        </w:rPr>
        <w:t xml:space="preserve">” means, collectively, all of the property and assets, real or personal, tangible or intangible, now existing or hereafter acquired by any Credit Party that may at any time be or become subject to a Lien in favor of Agent to secure any or all of the Obligations;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for greater certainty, any and all assets of IMAX China Multimedia and IMAX China Theatre, the Mississauga Property, the Playa Vista Property and any other property and assets expressly excluded from the “Collateral” pursuant to the terms of the applicable Financing Agreements shall be excluded from, and not form part of, the Collateral.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Commitments</w:t>
      </w:r>
      <w:r>
        <w:rPr>
          <w:rFonts w:ascii="Times New Roman" w:cs="Times New Roman" w:eastAsia="Times New Roman" w:hAnsi="Times New Roman"/>
          <w:sz w:val="21"/>
          <w:szCs w:val="21"/>
          <w:color w:val="auto"/>
        </w:rPr>
        <w:t>” means, collectively, the Revolving Loan Commitments and the Incremental Term Loan Commitments (if any).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Commodity Exchange Act</w:t>
      </w:r>
      <w:r>
        <w:rPr>
          <w:rFonts w:ascii="Times New Roman" w:cs="Times New Roman" w:eastAsia="Times New Roman" w:hAnsi="Times New Roman"/>
          <w:sz w:val="21"/>
          <w:szCs w:val="21"/>
          <w:color w:val="auto"/>
        </w:rPr>
        <w:t>” means the Commodity Exchange Act (7 U.S.C. § 1 et seq.).</w:t>
      </w:r>
    </w:p>
    <w:p>
      <w:pPr>
        <w:spacing w:after="0" w:line="22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Compliance Certificate</w:t>
      </w:r>
      <w:r>
        <w:rPr>
          <w:rFonts w:ascii="Times New Roman" w:cs="Times New Roman" w:eastAsia="Times New Roman" w:hAnsi="Times New Roman"/>
          <w:sz w:val="21"/>
          <w:szCs w:val="21"/>
          <w:color w:val="auto"/>
        </w:rPr>
        <w:t xml:space="preserve">” means the compliance certificate substantially in the form attached hereto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or such other form as may be reasonably approved by the Agent.</w:t>
      </w:r>
    </w:p>
    <w:p>
      <w:pPr>
        <w:spacing w:after="0" w:line="13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Conforming Changes</w:t>
      </w:r>
      <w:r>
        <w:rPr>
          <w:rFonts w:ascii="Times New Roman" w:cs="Times New Roman" w:eastAsia="Times New Roman" w:hAnsi="Times New Roman"/>
          <w:sz w:val="21"/>
          <w:szCs w:val="21"/>
          <w:color w:val="auto"/>
        </w:rPr>
        <w:t>” means, with respect to the use or administration of an initial Benchmark or the use, administration, adoption or implementation of any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92" w:name="page93"/>
    <w:bookmarkEnd w:id="92"/>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Replacement, any technical, administrative or operational changes (including changes to the definition of “U.S. Base Rate”, the definition of “Canadian Prime Rate”, the definition of “Term CORRA”, the definition of “CORRA”, the definition of “Business Day,” the definition of “CORRA Business Day,” the definition of “Eurocurrency Banking Day,” the definition of “SOFR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and other technical, administrative or operational matters) that the Agent decides may be appropriate to reflect the adoption and implementation of any such rate or to permit the use and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any such rate exists, in such other manner of administration as the Agent decides is reasonably necessary in connection with the administration of this Agreement and the other Financing Agreements).</w:t>
      </w:r>
    </w:p>
    <w:p>
      <w:pPr>
        <w:spacing w:after="0" w:line="200" w:lineRule="exact"/>
        <w:rPr>
          <w:sz w:val="20"/>
          <w:szCs w:val="20"/>
          <w:color w:val="auto"/>
        </w:rPr>
      </w:pPr>
    </w:p>
    <w:p>
      <w:pPr>
        <w:spacing w:after="0" w:line="227"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Connection Income Taxes</w:t>
      </w:r>
      <w:r>
        <w:rPr>
          <w:rFonts w:ascii="Times New Roman" w:cs="Times New Roman" w:eastAsia="Times New Roman" w:hAnsi="Times New Roman"/>
          <w:sz w:val="21"/>
          <w:szCs w:val="21"/>
          <w:color w:val="auto"/>
        </w:rPr>
        <w:t>” means Other Connection Taxes that are imposed on or measured by net income (however denominated) or that are franchise Taxes or branch profits Taxes.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Consolidated Total Assets</w:t>
      </w:r>
      <w:r>
        <w:rPr>
          <w:rFonts w:ascii="Times New Roman" w:cs="Times New Roman" w:eastAsia="Times New Roman" w:hAnsi="Times New Roman"/>
          <w:sz w:val="21"/>
          <w:szCs w:val="21"/>
          <w:color w:val="auto"/>
        </w:rPr>
        <w:t>” means, with respect to Borrower and its consolidated Subsidiaries as of any date, the amount which, in accordance with GAAP, would be set forth under the heading “Total Assets” (or any like heading) on a consolidated balance sheet of Borrower and its Subsidiaries, as of the end of the most recent consolidated balance sheet of Borrower and its Subsidiaries, determined on a Pro Forma Basis.</w:t>
      </w:r>
    </w:p>
    <w:p>
      <w:pPr>
        <w:spacing w:after="0" w:line="16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Control</w:t>
      </w:r>
      <w:r>
        <w:rPr>
          <w:rFonts w:ascii="Times New Roman" w:cs="Times New Roman" w:eastAsia="Times New Roman" w:hAnsi="Times New Roman"/>
          <w:sz w:val="21"/>
          <w:szCs w:val="21"/>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1"/>
          <w:szCs w:val="21"/>
          <w:b w:val="1"/>
          <w:bCs w:val="1"/>
          <w:color w:val="auto"/>
        </w:rPr>
        <w:t>Controlling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Controlled</w:t>
      </w:r>
      <w:r>
        <w:rPr>
          <w:rFonts w:ascii="Times New Roman" w:cs="Times New Roman" w:eastAsia="Times New Roman" w:hAnsi="Times New Roman"/>
          <w:sz w:val="21"/>
          <w:szCs w:val="21"/>
          <w:color w:val="auto"/>
        </w:rPr>
        <w:t>” have meanings correlative thereto.</w:t>
      </w:r>
    </w:p>
    <w:p>
      <w:pPr>
        <w:spacing w:after="0" w:line="1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CORRA</w:t>
      </w:r>
      <w:r>
        <w:rPr>
          <w:rFonts w:ascii="Times New Roman" w:cs="Times New Roman" w:eastAsia="Times New Roman" w:hAnsi="Times New Roman"/>
          <w:sz w:val="21"/>
          <w:szCs w:val="21"/>
          <w:color w:val="auto"/>
        </w:rPr>
        <w:t>” means a rate equal to the Canadian Overnight Repo Rate Average, as administered and published by the CORRA Administrator.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CORRA Administrator</w:t>
      </w:r>
      <w:r>
        <w:rPr>
          <w:rFonts w:ascii="Times New Roman" w:cs="Times New Roman" w:eastAsia="Times New Roman" w:hAnsi="Times New Roman"/>
          <w:sz w:val="21"/>
          <w:szCs w:val="21"/>
          <w:color w:val="auto"/>
        </w:rPr>
        <w:t>” means the Bank of Canada (or any successor administrator of the Term CORRA Reference Rate).</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CORRA Business Day</w:t>
      </w:r>
      <w:r>
        <w:rPr>
          <w:rFonts w:ascii="Times New Roman" w:cs="Times New Roman" w:eastAsia="Times New Roman" w:hAnsi="Times New Roman"/>
          <w:sz w:val="21"/>
          <w:szCs w:val="21"/>
          <w:color w:val="auto"/>
        </w:rPr>
        <w:t xml:space="preserve">” means, for any Obligations, interest, fees, commissions or other amounts denominated in, or calculated with respect to, Canadian Dollars, any day except for (a) a Saturday, (b) a Sunday or (c) a day on which commercial banks in Toronto, Ontario are closed;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notice requirements in </w:t>
      </w:r>
      <w:r>
        <w:rPr>
          <w:rFonts w:ascii="Times New Roman" w:cs="Times New Roman" w:eastAsia="Times New Roman" w:hAnsi="Times New Roman"/>
          <w:sz w:val="21"/>
          <w:szCs w:val="21"/>
          <w:u w:val="single" w:color="auto"/>
          <w:color w:val="auto"/>
        </w:rPr>
        <w:t>Sections 2.4(c)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3.1(g)</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3.1(h)</w:t>
      </w:r>
      <w:r>
        <w:rPr>
          <w:rFonts w:ascii="Times New Roman" w:cs="Times New Roman" w:eastAsia="Times New Roman" w:hAnsi="Times New Roman"/>
          <w:sz w:val="21"/>
          <w:szCs w:val="21"/>
          <w:color w:val="auto"/>
        </w:rPr>
        <w:t>, in each case, such day is also a Business Day.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Credit Parties</w:t>
      </w:r>
      <w:r>
        <w:rPr>
          <w:rFonts w:ascii="Times New Roman" w:cs="Times New Roman" w:eastAsia="Times New Roman" w:hAnsi="Times New Roman"/>
          <w:sz w:val="21"/>
          <w:szCs w:val="21"/>
          <w:color w:val="auto"/>
        </w:rPr>
        <w:t>” means, collectively, Borrower and Guarantors.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93" w:name="page94"/>
    <w:bookmarkEnd w:id="93"/>
    <w:p>
      <w:pPr>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Currency</w:t>
      </w:r>
      <w:r>
        <w:rPr>
          <w:rFonts w:ascii="Times New Roman" w:cs="Times New Roman" w:eastAsia="Times New Roman" w:hAnsi="Times New Roman"/>
          <w:sz w:val="21"/>
          <w:szCs w:val="21"/>
          <w:color w:val="auto"/>
        </w:rPr>
        <w:t>” means Canadian Dollars, Euros and U.S. Dollars and any other freely transferable currency to the extent that such currency is approved by Agent and each Revolving Lender providing the Revolving Loan in such currency.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Debt</w:t>
      </w:r>
      <w:r>
        <w:rPr>
          <w:rFonts w:ascii="Times New Roman" w:cs="Times New Roman" w:eastAsia="Times New Roman" w:hAnsi="Times New Roman"/>
          <w:sz w:val="21"/>
          <w:szCs w:val="21"/>
          <w:color w:val="auto"/>
        </w:rPr>
        <w:t>” means, with respect to any Person at any time and without duplication:</w:t>
      </w:r>
    </w:p>
    <w:p>
      <w:pPr>
        <w:spacing w:after="0" w:line="218" w:lineRule="exact"/>
        <w:rPr>
          <w:sz w:val="20"/>
          <w:szCs w:val="20"/>
          <w:color w:val="auto"/>
        </w:rPr>
      </w:pPr>
    </w:p>
    <w:p>
      <w:pPr>
        <w:jc w:val="both"/>
        <w:ind w:left="1300" w:hanging="649"/>
        <w:spacing w:after="0"/>
        <w:tabs>
          <w:tab w:leader="none" w:pos="1297"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for the deferred purchase price of property or services (other than (x) current trade payables incurred in the ordinary course of business, (y) any earn-out obligations until such obligation becomes a liability on the balance sheet of such Person in accordance with GAAP and (z) expenses accrued in the ordinary course of business);</w:t>
      </w:r>
    </w:p>
    <w:p>
      <w:pPr>
        <w:spacing w:after="0" w:line="347"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liabilities and indebtedness evidenced by notes, bonds, debentures or similar instruments;</w:t>
      </w:r>
    </w:p>
    <w:p>
      <w:pPr>
        <w:spacing w:after="0" w:line="187"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Attributable Debt of such Person with respect to such Person’s Capital Lease Obligations and Synthetic Leases;</w:t>
      </w:r>
    </w:p>
    <w:p>
      <w:pPr>
        <w:spacing w:after="0" w:line="187"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drawn and unreimbursed amount of all issued letters of credit (including Letter of Credit Accommodations and letters of credit issued under the LC Facility);</w:t>
      </w:r>
    </w:p>
    <w:p>
      <w:pPr>
        <w:spacing w:after="0" w:line="140"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Lease Obligations;</w:t>
      </w:r>
    </w:p>
    <w:p>
      <w:pPr>
        <w:spacing w:after="0" w:line="187"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liabilities and indebtedness for borrowed money;</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such Person under conditional sale or other title retention agreements relating to property purchased by such Person to the extent of the value of such property (other than customary reservations or retentions of title under agreements with suppliers entered into in the ordinary course of business);</w:t>
      </w:r>
    </w:p>
    <w:p>
      <w:pPr>
        <w:spacing w:after="0" w:line="151"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indebtedness of any other Person secured by a Lien on any asset owned or being purchased by such Person, whether or not such indebtedness shall have been assumed by such Person or is limited in recourse;</w:t>
      </w:r>
    </w:p>
    <w:p>
      <w:pPr>
        <w:spacing w:after="0" w:line="140"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any such Person in respect of Disqualified Equity Interests;</w:t>
      </w:r>
    </w:p>
    <w:p>
      <w:pPr>
        <w:spacing w:after="0" w:line="187"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net obligations of such Person under any Hedge Agreements; and</w:t>
      </w:r>
    </w:p>
    <w:p>
      <w:pPr>
        <w:spacing w:after="0" w:line="187"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guarantees of items referenced in </w:t>
      </w:r>
      <w:r>
        <w:rPr>
          <w:rFonts w:ascii="Times New Roman" w:cs="Times New Roman" w:eastAsia="Times New Roman" w:hAnsi="Times New Roman"/>
          <w:sz w:val="21"/>
          <w:szCs w:val="21"/>
          <w:u w:val="single" w:color="auto"/>
          <w:color w:val="auto"/>
        </w:rPr>
        <w:t>subsections (a)</w:t>
      </w:r>
      <w:r>
        <w:rPr>
          <w:rFonts w:ascii="Times New Roman" w:cs="Times New Roman" w:eastAsia="Times New Roman" w:hAnsi="Times New Roman"/>
          <w:sz w:val="21"/>
          <w:szCs w:val="21"/>
          <w:color w:val="auto"/>
        </w:rPr>
        <w:t xml:space="preserve"> through to </w:t>
      </w:r>
      <w:r>
        <w:rPr>
          <w:rFonts w:ascii="Times New Roman" w:cs="Times New Roman" w:eastAsia="Times New Roman" w:hAnsi="Times New Roman"/>
          <w:sz w:val="21"/>
          <w:szCs w:val="21"/>
          <w:u w:val="single" w:color="auto"/>
          <w:color w:val="auto"/>
        </w:rPr>
        <w:t>(j)</w:t>
      </w:r>
      <w:r>
        <w:rPr>
          <w:rFonts w:ascii="Times New Roman" w:cs="Times New Roman" w:eastAsia="Times New Roman" w:hAnsi="Times New Roman"/>
          <w:sz w:val="21"/>
          <w:szCs w:val="21"/>
          <w:color w:val="auto"/>
        </w:rPr>
        <w:t xml:space="preserve"> of this definition.</w:t>
      </w:r>
    </w:p>
    <w:p>
      <w:pPr>
        <w:spacing w:after="0" w:line="21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For all purposes hereof, the Debt of any Person shall include the Debt of any partnership or joint venture (other than a joint venture that is itself a corporation or limited liability company) in which such Person is a general partner or a joint venturer, (i) unless such Debt is expressly made non-recourse to such Person or (ii) except to the extent such Person’s liability for such Debt is otherwise limited in recourse or amount, but only up to the amount of the value of the assets to which recourse is limited or the amount of such limit. In respect of Debt of another Person secured by a Lien on the assets of the specified Person, the amount of such Debt as of any date of determination will be the lesser of (x) the fair market value of such assets as of such date and (y) the amount of such Debt as of such date. The amount of any net obligation under any Hedge Agreement on any date shall be deemed to be the Hedge Termination Value thereof as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8" w:right="339" w:bottom="1440" w:gutter="0" w:footer="0" w:header="0"/>
        </w:sectPr>
      </w:pPr>
    </w:p>
    <w:bookmarkStart w:id="94" w:name="page95"/>
    <w:bookmarkEnd w:id="94"/>
    <w:p>
      <w:pPr>
        <w:jc w:val="both"/>
        <w:spacing w:after="0" w:line="261" w:lineRule="auto"/>
        <w:rPr>
          <w:sz w:val="20"/>
          <w:szCs w:val="20"/>
          <w:color w:val="auto"/>
        </w:rPr>
      </w:pPr>
      <w:r>
        <w:rPr>
          <w:rFonts w:ascii="Times New Roman" w:cs="Times New Roman" w:eastAsia="Times New Roman" w:hAnsi="Times New Roman"/>
          <w:sz w:val="21"/>
          <w:szCs w:val="21"/>
          <w:color w:val="auto"/>
        </w:rPr>
        <w:t>date. Debt shall not include, in the case of Borrower and its Subsidiaries, intercompany loans, intercompany advances, or intercompany Debt having a term not exceeding 364 days (inclusive of any roll-over or extensions of terms) and made in the ordinary course of business. Notwithstanding the foregoing, the obligations of the Borrower under any Permitted Warrant Transaction shall not constitute Debt so long as the terms of such Permitted Warrant Transaction provide for either “physical” or “net share settlement” (or substantially equivalent term) as the default “settlement method” (or substantially equivalent term) thereunder. For purposes hereof, the amount of any Permitted Convertible Debt shall be the aggregate stated principal amount thereof without giving effect to any obligation to pay cash or deliver shares with value in excess of such principal amount, and without giving effect to any integration thereof with any Permitted Bond Hedge Transaction pursuant to U.S. Treasury Regulation § 1.1275-6.</w:t>
      </w:r>
    </w:p>
    <w:p>
      <w:pPr>
        <w:spacing w:after="0" w:line="200" w:lineRule="exact"/>
        <w:rPr>
          <w:sz w:val="20"/>
          <w:szCs w:val="20"/>
          <w:color w:val="auto"/>
        </w:rPr>
      </w:pP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Debtor Relief Laws</w:t>
      </w:r>
      <w:r>
        <w:rPr>
          <w:rFonts w:ascii="Times New Roman" w:cs="Times New Roman" w:eastAsia="Times New Roman" w:hAnsi="Times New Roman"/>
          <w:sz w:val="21"/>
          <w:szCs w:val="21"/>
          <w:color w:val="auto"/>
        </w:rPr>
        <w:t>” 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w:t>
      </w:r>
      <w:r>
        <w:rPr>
          <w:rFonts w:ascii="Times New Roman" w:cs="Times New Roman" w:eastAsia="Times New Roman" w:hAnsi="Times New Roman"/>
          <w:sz w:val="21"/>
          <w:szCs w:val="21"/>
          <w:color w:val="auto"/>
        </w:rPr>
        <w:t>” means an event, circumstance or omission which, with any of the giving of notice or a lapse of time or both would constitute an Event of Default.</w:t>
      </w:r>
    </w:p>
    <w:p>
      <w:pPr>
        <w:spacing w:after="0" w:line="1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Defaulting Lender</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3.8(b)</w:t>
      </w:r>
      <w:r>
        <w:rPr>
          <w:rFonts w:ascii="Times New Roman" w:cs="Times New Roman" w:eastAsia="Times New Roman" w:hAnsi="Times New Roman"/>
          <w:sz w:val="21"/>
          <w:szCs w:val="21"/>
          <w:color w:val="auto"/>
        </w:rPr>
        <w:t>, any Lender that (a) is a Non-Funding Lender, (b) has notified the Borrower, the Agent, the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has failed, within three Business Days after written request by the Agent or the Borrower, to confirm in writing to the Agent and the Borrower that it will comply with its prospective funding obligations hereunder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Lender shall cease to be a Defaulting Lender pursuant to this clause (c) upon receipt of such written confirmation by the Agent and the Borrower), or (d) has, or has a direct or indirect parent company that has, (i) become the subject of a proceeding under any Insolvency Law, (ii) had appointed for it a receiver, custodian, conservator, trustee, administrator, assignee for the benefit of creditors or similar Person charged with reorganization or liquidation of its business or assets, including the FDIC or any other state or federal regulatory authority acting in such a capacity or (iii) become the subject of a Bail-In Action;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(except, in the case of immunity from attachment of assets, to the extent the liabilities of such Lender (including judgments against it) are otherwise paid out of, or payable from, a fund of a Governmental Authority which was created and is then maintained for such purpose and is funded in an amount at least sufficient to satisfy such liabilities) or permit such Lender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95" w:name="page96"/>
    <w:bookmarkEnd w:id="95"/>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Governmental Authority) to reject, repudiate, disavow or disaffirm any contracts or agreements made with such Lender. Any determination by the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21"/>
          <w:szCs w:val="21"/>
          <w:u w:val="single" w:color="auto"/>
          <w:color w:val="auto"/>
        </w:rPr>
        <w:t>Section 3.8(b)</w:t>
      </w:r>
      <w:r>
        <w:rPr>
          <w:rFonts w:ascii="Times New Roman" w:cs="Times New Roman" w:eastAsia="Times New Roman" w:hAnsi="Times New Roman"/>
          <w:sz w:val="21"/>
          <w:szCs w:val="21"/>
          <w:color w:val="auto"/>
        </w:rPr>
        <w:t>) upon delivery of written notice of such determination to the Borrower, the Issuing Lender, the Swingline Lender and each Lender.</w:t>
      </w:r>
    </w:p>
    <w:p>
      <w:pPr>
        <w:spacing w:after="0" w:line="200" w:lineRule="exact"/>
        <w:rPr>
          <w:sz w:val="20"/>
          <w:szCs w:val="20"/>
          <w:color w:val="auto"/>
        </w:rPr>
      </w:pP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Disposed EBITDA</w:t>
      </w:r>
      <w:r>
        <w:rPr>
          <w:rFonts w:ascii="Times New Roman" w:cs="Times New Roman" w:eastAsia="Times New Roman" w:hAnsi="Times New Roman"/>
          <w:sz w:val="21"/>
          <w:szCs w:val="21"/>
          <w:color w:val="auto"/>
        </w:rPr>
        <w:t>” means, with respect to any Person or business that is sold or disposed of in an Asset Sale during any period, the amount for such period of EBITDA of any such Person or business subject to such Asset Sale (determined using such definitions as if references to Borrower and its Subsidiaries therein were to such Person or business), as calculated by the Borrower in good faith.</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b w:val="1"/>
          <w:bCs w:val="1"/>
          <w:color w:val="auto"/>
        </w:rPr>
        <w:t>“Disqualified Equity Interests</w:t>
      </w:r>
      <w:r>
        <w:rPr>
          <w:rFonts w:ascii="Times New Roman" w:cs="Times New Roman" w:eastAsia="Times New Roman" w:hAnsi="Times New Roman"/>
          <w:sz w:val="21"/>
          <w:szCs w:val="21"/>
          <w:color w:val="auto"/>
        </w:rPr>
        <w:t>” means any Equity Interests that, by their terms (or by the terms of any security or other Equity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Interest into which they are convertible or for which they are exchangeable) or upon the happening of any event or condition, (a) mature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in whole or in part, (c) provide for the scheduled payment of dividends in cash or (d) are or become convertible into or exchangeable for Debt or any other Equity Interests that would constitute Disqualified Equity Interests, in each case, prior to the date that is 91 days after the Maturity Date.</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Disqualified Lender</w:t>
      </w:r>
      <w:r>
        <w:rPr>
          <w:rFonts w:ascii="Times New Roman" w:cs="Times New Roman" w:eastAsia="Times New Roman" w:hAnsi="Times New Roman"/>
          <w:sz w:val="21"/>
          <w:szCs w:val="21"/>
          <w:color w:val="auto"/>
        </w:rPr>
        <w:t xml:space="preserve">” means on any date (a) each bank, financial institution and other institutional lender or investor that has been separately identified by legal name in writing by the Borrower to the Arranger prior to June 8, 2025, (b) any competitors of the Borrower or its Subsidiaries that are separately identified by legal name in writing by the Borrower to the Agent from time to time, and (c) any of the Affiliates of any of the foregoing that are either (i) identified by legal name in writing by the Borrower to the Agent from time to time or (ii) clearly identifiable by the Agent as such on the basis of their legal names;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(x) “Disqualified Lenders” shall exclude any Person that the Borrower has designated as no longer being a “Disqualified Lender” by written notice delivered to the Agent and the Lenders from time to time and (y) any bona fide debt fund or investment vehicle that is engaged in making, purchasing, holding or otherwise investing in commercial loans and similar extensions of credit in the ordinary course of business which is managed, sponsored or advised by any Person Controlling, Controlled by or under common Control with a Person meeting the criteria in clauses (a), (b) or (c) above or its Controlling owner and for which no personnel involved with the competitive activities of such Person or Controlling owner (1) makes any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96" w:name="page97"/>
    <w:bookmarkEnd w:id="96"/>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decisions for such debt fund or (2) has access to any confidential information (other than publicly available information) relating to the Borrower and its Subsidiaries shall be deemed not to be a Disqualified Lender;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in each case, any supplement or additional written notice delivered to the Agent pursuant to the foregoing shall become effective five (5) Business Days after delivery thereof and shall not apply retroactively to disqualify any Person that has previously acquired an assignment, participation or other interest hereunder.</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Dollar Equivalent</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11.17</w:t>
      </w:r>
      <w:r>
        <w:rPr>
          <w:rFonts w:ascii="Times New Roman" w:cs="Times New Roman" w:eastAsia="Times New Roman" w:hAnsi="Times New Roman"/>
          <w:sz w:val="21"/>
          <w:szCs w:val="21"/>
          <w:color w:val="auto"/>
        </w:rPr>
        <w:t>, for any amount, at the time of determination thereof, (a) if such amount is expressed in U.S. Dollars, such amount and (b) if such amount is expressed in an Alternate Currency, the equivalent of such amount in U.S. Dollars as determined by Agent at such time in its sole discretion by reference to the most recent Spot Rate for such Alternate Currency (as determined as of the most recent Revaluation Date) for the purchase of U.S. Dollars with such Alternate Currency.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EBITDA</w:t>
      </w:r>
      <w:r>
        <w:rPr>
          <w:rFonts w:ascii="Times New Roman" w:cs="Times New Roman" w:eastAsia="Times New Roman" w:hAnsi="Times New Roman"/>
          <w:sz w:val="21"/>
          <w:szCs w:val="21"/>
          <w:color w:val="auto"/>
        </w:rPr>
        <w:t>” means, for any period with respect to Borrower and its consolidated Subsidiaries, an amount equal to:</w:t>
      </w:r>
    </w:p>
    <w:p>
      <w:pPr>
        <w:spacing w:after="0" w:line="232" w:lineRule="exact"/>
        <w:rPr>
          <w:sz w:val="20"/>
          <w:szCs w:val="20"/>
          <w:color w:val="auto"/>
        </w:rPr>
      </w:pPr>
    </w:p>
    <w:p>
      <w:pPr>
        <w:jc w:val="both"/>
        <w:ind w:firstLine="238"/>
        <w:spacing w:after="0" w:line="263" w:lineRule="auto"/>
        <w:tabs>
          <w:tab w:leader="none" w:pos="70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consolidated net income or net loss for such period as determined in accordance with GAAP;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calculating consolidated net income or net loss for such period, there shall be excluded the net income (or loss) of any Person that is not a Subsidiary, in which the Borrower or any of its Subsidiaries has a joint interest with a third party, except to the extent such net income is actually paid in cash to the Borrower or any of its Subsidiaries by dividend or other distribution during such period,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i w:val="1"/>
          <w:iCs w:val="1"/>
          <w:color w:val="auto"/>
        </w:rPr>
        <w:t>sum</w:t>
      </w:r>
      <w:r>
        <w:rPr>
          <w:rFonts w:ascii="Times New Roman" w:cs="Times New Roman" w:eastAsia="Times New Roman" w:hAnsi="Times New Roman"/>
          <w:sz w:val="21"/>
          <w:szCs w:val="21"/>
          <w:color w:val="auto"/>
        </w:rPr>
        <w:t>, without duplication, of the amounts for such period of the following (but in each case only to the extent deducted in determining consolidated net income or net loss for such period):</w:t>
      </w:r>
    </w:p>
    <w:p>
      <w:pPr>
        <w:spacing w:after="0" w:line="168" w:lineRule="exact"/>
        <w:rPr>
          <w:rFonts w:ascii="Times New Roman" w:cs="Times New Roman" w:eastAsia="Times New Roman" w:hAnsi="Times New Roman"/>
          <w:sz w:val="21"/>
          <w:szCs w:val="21"/>
          <w:color w:val="auto"/>
        </w:rPr>
      </w:pPr>
    </w:p>
    <w:p>
      <w:pPr>
        <w:jc w:val="both"/>
        <w:ind w:left="1940" w:hanging="646"/>
        <w:spacing w:after="0" w:line="270" w:lineRule="auto"/>
        <w:tabs>
          <w:tab w:leader="none" w:pos="1866"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loss from equity accounted investments and cash fees and expenses incurred in connection with Permitted Investments, recapitalization, the issuance of Equity Interests and the incurrence, repayment or exchange of Debt permitted to be incurred hereunder (including a refinancing thereof), in each case, whether or not successful;</w:t>
      </w:r>
    </w:p>
    <w:p>
      <w:pPr>
        <w:spacing w:after="0" w:line="160" w:lineRule="exact"/>
        <w:rPr>
          <w:rFonts w:ascii="Times New Roman" w:cs="Times New Roman" w:eastAsia="Times New Roman" w:hAnsi="Times New Roman"/>
          <w:sz w:val="21"/>
          <w:szCs w:val="21"/>
          <w:color w:val="auto"/>
        </w:rPr>
      </w:pPr>
    </w:p>
    <w:p>
      <w:pPr>
        <w:ind w:left="1780" w:hanging="486"/>
        <w:spacing w:after="0"/>
        <w:tabs>
          <w:tab w:leader="none" w:pos="178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provisions for Taxes based on income, profits or capital, including state, franchise and similar Taxes;</w:t>
      </w:r>
    </w:p>
    <w:p>
      <w:pPr>
        <w:spacing w:after="0" w:line="227" w:lineRule="exact"/>
        <w:rPr>
          <w:rFonts w:ascii="Times New Roman" w:cs="Times New Roman" w:eastAsia="Times New Roman" w:hAnsi="Times New Roman"/>
          <w:sz w:val="21"/>
          <w:szCs w:val="21"/>
          <w:color w:val="auto"/>
        </w:rPr>
      </w:pPr>
    </w:p>
    <w:p>
      <w:pPr>
        <w:ind w:left="1840" w:hanging="546"/>
        <w:spacing w:after="0"/>
        <w:tabs>
          <w:tab w:leader="none" w:pos="184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interest expense;</w:t>
      </w:r>
    </w:p>
    <w:p>
      <w:pPr>
        <w:spacing w:after="0" w:line="227" w:lineRule="exact"/>
        <w:rPr>
          <w:rFonts w:ascii="Times New Roman" w:cs="Times New Roman" w:eastAsia="Times New Roman" w:hAnsi="Times New Roman"/>
          <w:sz w:val="21"/>
          <w:szCs w:val="21"/>
          <w:color w:val="auto"/>
        </w:rPr>
      </w:pPr>
    </w:p>
    <w:p>
      <w:pPr>
        <w:ind w:left="1820" w:hanging="526"/>
        <w:spacing w:after="0"/>
        <w:tabs>
          <w:tab w:leader="none" w:pos="182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depreciation expense;</w:t>
      </w:r>
    </w:p>
    <w:p>
      <w:pPr>
        <w:spacing w:after="0" w:line="241" w:lineRule="exact"/>
        <w:rPr>
          <w:rFonts w:ascii="Times New Roman" w:cs="Times New Roman" w:eastAsia="Times New Roman" w:hAnsi="Times New Roman"/>
          <w:sz w:val="21"/>
          <w:szCs w:val="21"/>
          <w:color w:val="auto"/>
        </w:rPr>
      </w:pPr>
    </w:p>
    <w:p>
      <w:pPr>
        <w:ind w:left="1760" w:hanging="466"/>
        <w:spacing w:after="0"/>
        <w:tabs>
          <w:tab w:leader="none" w:pos="1760"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total amortization expense (including amortization or write-off of deferred financing fees);</w:t>
      </w:r>
    </w:p>
    <w:p>
      <w:pPr>
        <w:spacing w:after="0" w:line="227" w:lineRule="exact"/>
        <w:rPr>
          <w:rFonts w:ascii="Times New Roman" w:cs="Times New Roman" w:eastAsia="Times New Roman" w:hAnsi="Times New Roman"/>
          <w:sz w:val="21"/>
          <w:szCs w:val="21"/>
          <w:color w:val="auto"/>
        </w:rPr>
      </w:pPr>
    </w:p>
    <w:p>
      <w:pPr>
        <w:jc w:val="both"/>
        <w:ind w:left="1940" w:hanging="646"/>
        <w:spacing w:after="0" w:line="290" w:lineRule="auto"/>
        <w:tabs>
          <w:tab w:leader="none" w:pos="2096"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write-downs relating to inventories, financing receivables, accounts receivable, property, plant and equipment, joint revenue sharing arrangements, other intangible assets, other assets or investments and film</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97" w:name="page98"/>
    <w:bookmarkEnd w:id="97"/>
    <w:p>
      <w:pPr>
        <w:ind w:left="1940"/>
        <w:spacing w:after="0"/>
        <w:rPr>
          <w:sz w:val="20"/>
          <w:szCs w:val="20"/>
          <w:color w:val="auto"/>
        </w:rPr>
      </w:pPr>
      <w:r>
        <w:rPr>
          <w:rFonts w:ascii="Times New Roman" w:cs="Times New Roman" w:eastAsia="Times New Roman" w:hAnsi="Times New Roman"/>
          <w:sz w:val="21"/>
          <w:szCs w:val="21"/>
          <w:color w:val="auto"/>
        </w:rPr>
        <w:t>assets, as approved by Agent, acting consistent with past practice or as otherwise agreed by Agent;</w:t>
      </w:r>
    </w:p>
    <w:p>
      <w:pPr>
        <w:spacing w:after="0" w:line="228" w:lineRule="exact"/>
        <w:rPr>
          <w:sz w:val="20"/>
          <w:szCs w:val="20"/>
          <w:color w:val="auto"/>
        </w:rPr>
      </w:pPr>
    </w:p>
    <w:p>
      <w:pPr>
        <w:ind w:left="1940" w:hanging="646"/>
        <w:spacing w:after="0"/>
        <w:tabs>
          <w:tab w:leader="none" w:pos="19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stock option based compensation expenses and other non-cash equity-based compensation expenses;</w:t>
      </w:r>
    </w:p>
    <w:p>
      <w:pPr>
        <w:spacing w:after="0" w:line="227" w:lineRule="exact"/>
        <w:rPr>
          <w:rFonts w:ascii="Times New Roman" w:cs="Times New Roman" w:eastAsia="Times New Roman" w:hAnsi="Times New Roman"/>
          <w:sz w:val="21"/>
          <w:szCs w:val="21"/>
          <w:color w:val="auto"/>
        </w:rPr>
      </w:pPr>
    </w:p>
    <w:p>
      <w:pPr>
        <w:jc w:val="both"/>
        <w:ind w:left="1940" w:hanging="646"/>
        <w:spacing w:after="0" w:line="265" w:lineRule="auto"/>
        <w:tabs>
          <w:tab w:leader="none" w:pos="2084"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any restructuring charges or reserves (which, for the avoidance of doubt, shall include retention, severance, systems establishment cost, excess pension charges, contract termination costs, including future lease commitments, costs related to the start up, closure, relocation or consolidation of facilities and costs to relocate employees), as approved by Agent, acting consistent with past practice or as otherwise agreed by Agent;</w:t>
      </w:r>
    </w:p>
    <w:p>
      <w:pPr>
        <w:spacing w:after="0" w:line="168" w:lineRule="exact"/>
        <w:rPr>
          <w:rFonts w:ascii="Times New Roman" w:cs="Times New Roman" w:eastAsia="Times New Roman" w:hAnsi="Times New Roman"/>
          <w:sz w:val="21"/>
          <w:szCs w:val="21"/>
          <w:color w:val="auto"/>
        </w:rPr>
      </w:pPr>
    </w:p>
    <w:p>
      <w:pPr>
        <w:ind w:left="1820" w:hanging="526"/>
        <w:spacing w:after="0"/>
        <w:tabs>
          <w:tab w:leader="none" w:pos="182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curtailment of post-retirement benefits;</w:t>
      </w:r>
    </w:p>
    <w:p>
      <w:pPr>
        <w:spacing w:after="0" w:line="241" w:lineRule="exact"/>
        <w:rPr>
          <w:rFonts w:ascii="Times New Roman" w:cs="Times New Roman" w:eastAsia="Times New Roman" w:hAnsi="Times New Roman"/>
          <w:sz w:val="21"/>
          <w:szCs w:val="21"/>
          <w:color w:val="auto"/>
        </w:rPr>
      </w:pPr>
    </w:p>
    <w:p>
      <w:pPr>
        <w:ind w:left="1760" w:hanging="466"/>
        <w:spacing w:after="0"/>
        <w:tabs>
          <w:tab w:leader="none" w:pos="176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expenses during such period relating to pension payments;</w:t>
      </w:r>
    </w:p>
    <w:p>
      <w:pPr>
        <w:spacing w:after="0" w:line="227" w:lineRule="exact"/>
        <w:rPr>
          <w:rFonts w:ascii="Times New Roman" w:cs="Times New Roman" w:eastAsia="Times New Roman" w:hAnsi="Times New Roman"/>
          <w:sz w:val="21"/>
          <w:szCs w:val="21"/>
          <w:color w:val="auto"/>
        </w:rPr>
      </w:pPr>
    </w:p>
    <w:p>
      <w:pPr>
        <w:ind w:left="1940" w:right="20" w:hanging="646"/>
        <w:spacing w:after="0" w:line="290" w:lineRule="auto"/>
        <w:tabs>
          <w:tab w:leader="none" w:pos="182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any extraordinary, unusual or non-recurring charges, expenses or losses, as approved by Agent, acting consistent with past practice or as otherwise agreed by Agent;</w:t>
      </w:r>
    </w:p>
    <w:p>
      <w:pPr>
        <w:spacing w:after="0" w:line="140" w:lineRule="exact"/>
        <w:rPr>
          <w:rFonts w:ascii="Times New Roman" w:cs="Times New Roman" w:eastAsia="Times New Roman" w:hAnsi="Times New Roman"/>
          <w:sz w:val="21"/>
          <w:szCs w:val="21"/>
          <w:color w:val="auto"/>
        </w:rPr>
      </w:pPr>
    </w:p>
    <w:p>
      <w:pPr>
        <w:ind w:left="1940" w:hanging="646"/>
        <w:spacing w:after="0" w:line="290" w:lineRule="auto"/>
        <w:tabs>
          <w:tab w:leader="none" w:pos="1894"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non-cash charges, expenses and losses as approved by Agent, acting consistent with past practice or as otherwise agreed by Agent; and</w:t>
      </w:r>
    </w:p>
    <w:p>
      <w:pPr>
        <w:spacing w:after="0" w:line="140" w:lineRule="exact"/>
        <w:rPr>
          <w:rFonts w:ascii="Times New Roman" w:cs="Times New Roman" w:eastAsia="Times New Roman" w:hAnsi="Times New Roman"/>
          <w:sz w:val="21"/>
          <w:szCs w:val="21"/>
          <w:color w:val="auto"/>
        </w:rPr>
      </w:pPr>
    </w:p>
    <w:p>
      <w:pPr>
        <w:ind w:left="1940" w:hanging="646"/>
        <w:spacing w:after="0"/>
        <w:tabs>
          <w:tab w:leader="none" w:pos="194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transaction costs in connection with the Financing Agreements;</w:t>
      </w: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i w:val="1"/>
          <w:iCs w:val="1"/>
          <w:color w:val="auto"/>
        </w:rPr>
        <w:t>minus</w:t>
      </w:r>
    </w:p>
    <w:p>
      <w:pPr>
        <w:spacing w:after="0" w:line="228" w:lineRule="exact"/>
        <w:rPr>
          <w:sz w:val="20"/>
          <w:szCs w:val="20"/>
          <w:color w:val="auto"/>
        </w:rPr>
      </w:pPr>
    </w:p>
    <w:p>
      <w:pPr>
        <w:ind w:firstLine="365"/>
        <w:spacing w:after="0" w:line="294" w:lineRule="auto"/>
        <w:tabs>
          <w:tab w:leader="none" w:pos="965"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w:t>
      </w:r>
      <w:r>
        <w:rPr>
          <w:rFonts w:ascii="Times New Roman" w:cs="Times New Roman" w:eastAsia="Times New Roman" w:hAnsi="Times New Roman"/>
          <w:sz w:val="21"/>
          <w:szCs w:val="21"/>
          <w:i w:val="1"/>
          <w:iCs w:val="1"/>
          <w:color w:val="auto"/>
        </w:rPr>
        <w:t>sum</w:t>
      </w:r>
      <w:r>
        <w:rPr>
          <w:rFonts w:ascii="Times New Roman" w:cs="Times New Roman" w:eastAsia="Times New Roman" w:hAnsi="Times New Roman"/>
          <w:sz w:val="21"/>
          <w:szCs w:val="21"/>
          <w:color w:val="auto"/>
        </w:rPr>
        <w:t>, without duplication, of the amounts for such period of the following (but only to the extent included in determining consolidated net income or net loss for such period):</w:t>
      </w:r>
    </w:p>
    <w:p>
      <w:pPr>
        <w:spacing w:after="0" w:line="136" w:lineRule="exact"/>
        <w:rPr>
          <w:rFonts w:ascii="Times New Roman" w:cs="Times New Roman" w:eastAsia="Times New Roman" w:hAnsi="Times New Roman"/>
          <w:sz w:val="21"/>
          <w:szCs w:val="21"/>
          <w:color w:val="auto"/>
        </w:rPr>
      </w:pPr>
    </w:p>
    <w:p>
      <w:pPr>
        <w:ind w:left="1720" w:hanging="426"/>
        <w:spacing w:after="0"/>
        <w:tabs>
          <w:tab w:leader="none" w:pos="172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interest income;</w:t>
      </w:r>
    </w:p>
    <w:p>
      <w:pPr>
        <w:spacing w:after="0" w:line="227" w:lineRule="exact"/>
        <w:rPr>
          <w:rFonts w:ascii="Times New Roman" w:cs="Times New Roman" w:eastAsia="Times New Roman" w:hAnsi="Times New Roman"/>
          <w:sz w:val="21"/>
          <w:szCs w:val="21"/>
          <w:color w:val="auto"/>
        </w:rPr>
      </w:pPr>
    </w:p>
    <w:p>
      <w:pPr>
        <w:ind w:left="1780" w:hanging="486"/>
        <w:spacing w:after="0"/>
        <w:tabs>
          <w:tab w:leader="none" w:pos="178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credit for income tax;</w:t>
      </w:r>
    </w:p>
    <w:p>
      <w:pPr>
        <w:spacing w:after="0" w:line="241" w:lineRule="exact"/>
        <w:rPr>
          <w:rFonts w:ascii="Times New Roman" w:cs="Times New Roman" w:eastAsia="Times New Roman" w:hAnsi="Times New Roman"/>
          <w:sz w:val="21"/>
          <w:szCs w:val="21"/>
          <w:color w:val="auto"/>
        </w:rPr>
      </w:pPr>
    </w:p>
    <w:p>
      <w:pPr>
        <w:ind w:left="1840" w:hanging="546"/>
        <w:spacing w:after="0"/>
        <w:tabs>
          <w:tab w:leader="none" w:pos="184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gains from equity accounted investments;</w:t>
      </w:r>
    </w:p>
    <w:p>
      <w:pPr>
        <w:spacing w:after="0" w:line="227" w:lineRule="exact"/>
        <w:rPr>
          <w:rFonts w:ascii="Times New Roman" w:cs="Times New Roman" w:eastAsia="Times New Roman" w:hAnsi="Times New Roman"/>
          <w:sz w:val="21"/>
          <w:szCs w:val="21"/>
          <w:color w:val="auto"/>
        </w:rPr>
      </w:pPr>
    </w:p>
    <w:p>
      <w:pPr>
        <w:ind w:left="1820" w:hanging="526"/>
        <w:spacing w:after="0"/>
        <w:tabs>
          <w:tab w:leader="none" w:pos="182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any extraordinary, unusual or non-recurring gains; and</w:t>
      </w:r>
    </w:p>
    <w:p>
      <w:pPr>
        <w:spacing w:after="0" w:line="227" w:lineRule="exact"/>
        <w:rPr>
          <w:rFonts w:ascii="Times New Roman" w:cs="Times New Roman" w:eastAsia="Times New Roman" w:hAnsi="Times New Roman"/>
          <w:sz w:val="21"/>
          <w:szCs w:val="21"/>
          <w:color w:val="auto"/>
        </w:rPr>
      </w:pPr>
    </w:p>
    <w:p>
      <w:pPr>
        <w:ind w:left="1940" w:right="20" w:hanging="646"/>
        <w:spacing w:after="0" w:line="290" w:lineRule="auto"/>
        <w:tabs>
          <w:tab w:leader="none" w:pos="177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non-cash gains and the amount of any non-cash item that was added back in a prior period that becomes a cash item in such period.</w:t>
      </w:r>
    </w:p>
    <w:p>
      <w:pPr>
        <w:spacing w:after="0" w:line="14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1"/>
          <w:szCs w:val="21"/>
          <w:color w:val="auto"/>
        </w:rPr>
        <w:t xml:space="preserve">For purposes of calculating compliance with the financial covenant in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hereof and the Fixed Incremental Amount, EBITDA shall be calculated (a) without taking into account any contribution to consolidated net income or net loss with respect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any Future Permitted Transaction and (ii) non-cash equity income or loss from joint ventures and (b) to reflect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1"/>
          <w:szCs w:val="21"/>
          <w:color w:val="auto"/>
        </w:rPr>
        <w:t>reduction in EBITDA allocable to minority interests owned in any Subsidiary by arm’s length third Persons.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EBITDA shall be determined on a Pro Forma Basis.</w:t>
      </w:r>
    </w:p>
    <w:p>
      <w:pPr>
        <w:spacing w:after="0" w:line="224"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1"/>
          <w:szCs w:val="21"/>
          <w:b w:val="1"/>
          <w:bCs w:val="1"/>
          <w:color w:val="auto"/>
        </w:rPr>
        <w:t>“EDC Indemnity Agreement</w:t>
      </w:r>
      <w:r>
        <w:rPr>
          <w:rFonts w:ascii="Times New Roman" w:cs="Times New Roman" w:eastAsia="Times New Roman" w:hAnsi="Times New Roman"/>
          <w:sz w:val="21"/>
          <w:szCs w:val="21"/>
          <w:color w:val="auto"/>
        </w:rPr>
        <w:t>” means the indemnity agreement dated May 3, 2010 given by Borrower in favor of EDC,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amended, modified, supplemented, extended, renewed, restated or replaced from time to time.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EEA Financial Institution</w:t>
      </w:r>
      <w:r>
        <w:rPr>
          <w:rFonts w:ascii="Times New Roman" w:cs="Times New Roman" w:eastAsia="Times New Roman" w:hAnsi="Times New Roman"/>
          <w:sz w:val="21"/>
          <w:szCs w:val="21"/>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this definition and is subject to consolidated supervision with its parent.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EEA Member Country</w:t>
      </w:r>
      <w:r>
        <w:rPr>
          <w:rFonts w:ascii="Times New Roman" w:cs="Times New Roman" w:eastAsia="Times New Roman" w:hAnsi="Times New Roman"/>
          <w:sz w:val="21"/>
          <w:szCs w:val="21"/>
          <w:color w:val="auto"/>
        </w:rPr>
        <w:t>” means any of the member states of the European Union, Iceland, Liechtenstein, and Norway.</w:t>
      </w:r>
    </w:p>
    <w:p>
      <w:pPr>
        <w:spacing w:after="0" w:line="2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EEA Resolution Authority</w:t>
      </w:r>
      <w:r>
        <w:rPr>
          <w:rFonts w:ascii="Times New Roman" w:cs="Times New Roman" w:eastAsia="Times New Roman" w:hAnsi="Times New Roman"/>
          <w:sz w:val="21"/>
          <w:szCs w:val="21"/>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Electronic Record</w:t>
      </w:r>
      <w:r>
        <w:rPr>
          <w:rFonts w:ascii="Times New Roman" w:cs="Times New Roman" w:eastAsia="Times New Roman" w:hAnsi="Times New Roman"/>
          <w:sz w:val="21"/>
          <w:szCs w:val="21"/>
          <w:color w:val="auto"/>
        </w:rPr>
        <w:t>” has the meaning assigned to that term in, and shall be interpreted in accordance with, 15 U.S.C. 7006.</w:t>
      </w:r>
    </w:p>
    <w:p>
      <w:pPr>
        <w:spacing w:after="0" w:line="241" w:lineRule="exact"/>
        <w:rPr>
          <w:sz w:val="20"/>
          <w:szCs w:val="20"/>
          <w:color w:val="auto"/>
        </w:rPr>
      </w:pPr>
    </w:p>
    <w:p>
      <w:pPr>
        <w:ind w:right="380"/>
        <w:spacing w:after="0" w:line="45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Electronic Signature</w:t>
      </w:r>
      <w:r>
        <w:rPr>
          <w:rFonts w:ascii="Times New Roman" w:cs="Times New Roman" w:eastAsia="Times New Roman" w:hAnsi="Times New Roman"/>
          <w:sz w:val="21"/>
          <w:szCs w:val="21"/>
          <w:color w:val="auto"/>
        </w:rPr>
        <w:t>” has the meaning assigned to that term in, and shall be interpreted in accordance with, 15 U.S.C. 7006. “</w:t>
      </w:r>
      <w:r>
        <w:rPr>
          <w:rFonts w:ascii="Times New Roman" w:cs="Times New Roman" w:eastAsia="Times New Roman" w:hAnsi="Times New Roman"/>
          <w:sz w:val="21"/>
          <w:szCs w:val="21"/>
          <w:b w:val="1"/>
          <w:bCs w:val="1"/>
          <w:color w:val="auto"/>
        </w:rPr>
        <w:t>Eligible Transferee</w:t>
      </w:r>
      <w:r>
        <w:rPr>
          <w:rFonts w:ascii="Times New Roman" w:cs="Times New Roman" w:eastAsia="Times New Roman" w:hAnsi="Times New Roman"/>
          <w:sz w:val="21"/>
          <w:szCs w:val="21"/>
          <w:color w:val="auto"/>
        </w:rPr>
        <w:t>” means</w:t>
      </w:r>
    </w:p>
    <w:p>
      <w:pPr>
        <w:spacing w:after="0" w:line="2" w:lineRule="exact"/>
        <w:rPr>
          <w:sz w:val="20"/>
          <w:szCs w:val="20"/>
          <w:color w:val="auto"/>
        </w:rPr>
      </w:pPr>
    </w:p>
    <w:p>
      <w:pPr>
        <w:ind w:left="1300" w:hanging="649"/>
        <w:spacing w:after="0"/>
        <w:tabs>
          <w:tab w:leader="none" w:pos="130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w:t>
      </w:r>
    </w:p>
    <w:p>
      <w:pPr>
        <w:spacing w:after="0" w:line="187"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Affiliate of such Lender;</w:t>
      </w:r>
    </w:p>
    <w:p>
      <w:pPr>
        <w:spacing w:after="0" w:line="187"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Approved Fund; and</w:t>
      </w:r>
    </w:p>
    <w:p>
      <w:pPr>
        <w:spacing w:after="0" w:line="183" w:lineRule="exact"/>
        <w:rPr>
          <w:rFonts w:ascii="Times New Roman" w:cs="Times New Roman" w:eastAsia="Times New Roman" w:hAnsi="Times New Roman"/>
          <w:sz w:val="21"/>
          <w:szCs w:val="21"/>
          <w:color w:val="auto"/>
        </w:rPr>
      </w:pPr>
    </w:p>
    <w:p>
      <w:pPr>
        <w:jc w:val="both"/>
        <w:ind w:left="1300" w:hanging="649"/>
        <w:spacing w:after="0" w:line="235" w:lineRule="auto"/>
        <w:tabs>
          <w:tab w:leader="none" w:pos="129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commercial bank, financial institution or “</w:t>
      </w:r>
      <w:r>
        <w:rPr>
          <w:rFonts w:ascii="Times New Roman" w:cs="Times New Roman" w:eastAsia="Times New Roman" w:hAnsi="Times New Roman"/>
          <w:sz w:val="21"/>
          <w:szCs w:val="21"/>
          <w:b w:val="1"/>
          <w:bCs w:val="1"/>
          <w:color w:val="auto"/>
        </w:rPr>
        <w:t>accredited investor</w:t>
      </w:r>
      <w:r>
        <w:rPr>
          <w:rFonts w:ascii="Times New Roman" w:cs="Times New Roman" w:eastAsia="Times New Roman" w:hAnsi="Times New Roman"/>
          <w:sz w:val="21"/>
          <w:szCs w:val="21"/>
          <w:color w:val="auto"/>
        </w:rPr>
        <w:t>” (as defined under Ontario Securities Commission Rule 45-106) approved by Agent and, unless an Event of Default has occurred and is continuing, Borrower (each such approval not to be unreasonably withheld or delayed),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w:t>
      </w:r>
    </w:p>
    <w:p>
      <w:pPr>
        <w:spacing w:after="0" w:line="201" w:lineRule="exact"/>
        <w:rPr>
          <w:sz w:val="20"/>
          <w:szCs w:val="20"/>
          <w:color w:val="auto"/>
        </w:rPr>
      </w:pPr>
    </w:p>
    <w:p>
      <w:pPr>
        <w:ind w:left="1920" w:hanging="626"/>
        <w:spacing w:after="0"/>
        <w:tabs>
          <w:tab w:leader="none" w:pos="192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Borrower nor any Affiliate of Borrower;</w:t>
      </w:r>
    </w:p>
    <w:p>
      <w:pPr>
        <w:spacing w:after="0" w:line="187" w:lineRule="exact"/>
        <w:rPr>
          <w:rFonts w:ascii="Times New Roman" w:cs="Times New Roman" w:eastAsia="Times New Roman" w:hAnsi="Times New Roman"/>
          <w:sz w:val="21"/>
          <w:szCs w:val="21"/>
          <w:color w:val="auto"/>
        </w:rPr>
      </w:pPr>
    </w:p>
    <w:p>
      <w:pPr>
        <w:ind w:left="1940" w:hanging="646"/>
        <w:spacing w:after="0" w:line="250" w:lineRule="auto"/>
        <w:tabs>
          <w:tab w:leader="none" w:pos="1934"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nor any natural person (or a holding company, investment vehicle or trust for, or owned and operated for the primary benefit of, a natural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99" w:name="page100"/>
    <w:bookmarkEnd w:id="99"/>
    <w:p>
      <w:pPr>
        <w:ind w:left="1940" w:hanging="646"/>
        <w:spacing w:after="0"/>
        <w:tabs>
          <w:tab w:leader="none" w:pos="194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nor any Disqualified Lender;</w:t>
      </w:r>
    </w:p>
    <w:p>
      <w:pPr>
        <w:spacing w:after="0" w:line="187" w:lineRule="exact"/>
        <w:rPr>
          <w:rFonts w:ascii="Times New Roman" w:cs="Times New Roman" w:eastAsia="Times New Roman" w:hAnsi="Times New Roman"/>
          <w:sz w:val="21"/>
          <w:szCs w:val="21"/>
          <w:color w:val="auto"/>
        </w:rPr>
      </w:pPr>
    </w:p>
    <w:p>
      <w:pPr>
        <w:ind w:left="1920" w:hanging="626"/>
        <w:spacing w:after="0"/>
        <w:tabs>
          <w:tab w:leader="none" w:pos="1920"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nor any Defaulting Lender or any of its Subsidiaries;</w:t>
      </w:r>
    </w:p>
    <w:p>
      <w:pPr>
        <w:spacing w:after="0" w:line="21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 xml:space="preserve">in each case of the foregoing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shall qualify as an Eligible Transferee (each, a “</w:t>
      </w:r>
      <w:r>
        <w:rPr>
          <w:rFonts w:ascii="Times New Roman" w:cs="Times New Roman" w:eastAsia="Times New Roman" w:hAnsi="Times New Roman"/>
          <w:sz w:val="21"/>
          <w:szCs w:val="21"/>
          <w:b w:val="1"/>
          <w:bCs w:val="1"/>
          <w:color w:val="auto"/>
        </w:rPr>
        <w:t>Prohibited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Transferee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5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EMU Legislation</w:t>
      </w:r>
      <w:r>
        <w:rPr>
          <w:rFonts w:ascii="Times New Roman" w:cs="Times New Roman" w:eastAsia="Times New Roman" w:hAnsi="Times New Roman"/>
          <w:sz w:val="21"/>
          <w:szCs w:val="21"/>
          <w:color w:val="auto"/>
        </w:rPr>
        <w:t>” means the legislative measures of the European Council for the introduction of, changeover to or operation of a single or unified European currency.</w:t>
      </w:r>
    </w:p>
    <w:p>
      <w:pPr>
        <w:spacing w:after="0" w:line="11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Environment</w:t>
      </w:r>
      <w:r>
        <w:rPr>
          <w:rFonts w:ascii="Times New Roman" w:cs="Times New Roman" w:eastAsia="Times New Roman" w:hAnsi="Times New Roman"/>
          <w:sz w:val="21"/>
          <w:szCs w:val="21"/>
          <w:color w:val="auto"/>
        </w:rPr>
        <w:t>” means ambient air, indoor air, surface water, groundwater, drinking water, land surface and subsurface strata and natural resources such as wetlands, flora and fauna.</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Environmental Claim</w:t>
      </w:r>
      <w:r>
        <w:rPr>
          <w:rFonts w:ascii="Times New Roman" w:cs="Times New Roman" w:eastAsia="Times New Roman" w:hAnsi="Times New Roman"/>
          <w:sz w:val="21"/>
          <w:szCs w:val="21"/>
          <w:color w:val="auto"/>
        </w:rPr>
        <w:t>” means any investigation, notice, notice of violation or of potential responsibility,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(iii) in connection with any actual or alleged damage, injury, threat or harm to health, natural resources or the environment.</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Environmental Laws</w:t>
      </w:r>
      <w:r>
        <w:rPr>
          <w:rFonts w:ascii="Times New Roman" w:cs="Times New Roman" w:eastAsia="Times New Roman" w:hAnsi="Times New Roman"/>
          <w:sz w:val="21"/>
          <w:szCs w:val="21"/>
          <w:color w:val="auto"/>
        </w:rPr>
        <w:t>” means with respect to any Person, all Applicable Laws, permits, licenses and consent decrees imposed by a Governmental Authority relating to pollution or protection of the Environment or protection of human health (to the extent relating to exposure to Hazardous Materials), including laws relating to emissions, discharges, releases or threatened releases of Hazardous Materials into the Environment or otherwise relating to the generation, use, treatment, storage, transport or handling of Hazardous Materials.</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Environmental Liability</w:t>
      </w:r>
      <w:r>
        <w:rPr>
          <w:rFonts w:ascii="Times New Roman" w:cs="Times New Roman" w:eastAsia="Times New Roman" w:hAnsi="Times New Roman"/>
          <w:sz w:val="21"/>
          <w:szCs w:val="21"/>
          <w:color w:val="auto"/>
        </w:rPr>
        <w:t>” means any liability, contingent or otherwise (including any liability for damages, costs of remediation, fines, penalties or indemnities), of any Credit Party or any of their respective Subsidiaries directly or indirectly resulting from or based upon (a) violation of any Environmental Law, (b) the generation, use, handling, transportation, storage or treatment of any Hazardous Materials, (c) exposure to any Hazardous Materials, (d) the release or threatened release of any Hazardous Materials or (e) any contract, agreement or other binding consensual arrangement pursuant to which liability is assumed or imposed with respect to any of the foregoing.</w:t>
      </w:r>
    </w:p>
    <w:p>
      <w:pPr>
        <w:spacing w:after="0" w:line="1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Equity Interests</w:t>
      </w:r>
      <w:r>
        <w:rPr>
          <w:rFonts w:ascii="Times New Roman" w:cs="Times New Roman" w:eastAsia="Times New Roman" w:hAnsi="Times New Roman"/>
          <w:sz w:val="21"/>
          <w:szCs w:val="21"/>
          <w:color w:val="auto"/>
        </w:rPr>
        <w:t xml:space="preserve">” means (a) in the case of a corporation, capital stock or shares,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or participation that confers on a Person the right to receive a share of the profits and losses of, or distributions of assets of, the issuing Person and (f) any and all warrants, rights or options to purchase any of the foregoing;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Permitted Convertible Debt, or other debt securities that are or by their terms may be convertible or exchangeable into or for Qualified Equity Interests, or Permitted Bond Hedge Transactions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00" w:name="page101"/>
    <w:bookmarkEnd w:id="100"/>
    <w:p>
      <w:pPr>
        <w:spacing w:after="0" w:line="290" w:lineRule="auto"/>
        <w:rPr>
          <w:sz w:val="20"/>
          <w:szCs w:val="20"/>
          <w:color w:val="auto"/>
        </w:rPr>
      </w:pPr>
      <w:r>
        <w:rPr>
          <w:rFonts w:ascii="Times New Roman" w:cs="Times New Roman" w:eastAsia="Times New Roman" w:hAnsi="Times New Roman"/>
          <w:sz w:val="21"/>
          <w:szCs w:val="21"/>
          <w:color w:val="auto"/>
        </w:rPr>
        <w:t>Permitted Warrant Transactions, in each case, shall not constitute capital stock or other Equity Interests prior to settlement, conversion or exchange thereof.</w:t>
      </w:r>
    </w:p>
    <w:p>
      <w:pPr>
        <w:spacing w:after="0" w:line="136"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ERISA</w:t>
      </w:r>
      <w:r>
        <w:rPr>
          <w:rFonts w:ascii="Times New Roman" w:cs="Times New Roman" w:eastAsia="Times New Roman" w:hAnsi="Times New Roman"/>
          <w:sz w:val="21"/>
          <w:szCs w:val="21"/>
          <w:color w:val="auto"/>
        </w:rPr>
        <w:t xml:space="preserve">” means the </w:t>
      </w:r>
      <w:r>
        <w:rPr>
          <w:rFonts w:ascii="Times New Roman" w:cs="Times New Roman" w:eastAsia="Times New Roman" w:hAnsi="Times New Roman"/>
          <w:sz w:val="21"/>
          <w:szCs w:val="21"/>
          <w:i w:val="1"/>
          <w:iCs w:val="1"/>
          <w:color w:val="auto"/>
        </w:rPr>
        <w:t>Employee Retirement Income Security Act of 1974</w:t>
      </w:r>
      <w:r>
        <w:rPr>
          <w:rFonts w:ascii="Times New Roman" w:cs="Times New Roman" w:eastAsia="Times New Roman" w:hAnsi="Times New Roman"/>
          <w:sz w:val="21"/>
          <w:szCs w:val="21"/>
          <w:color w:val="auto"/>
        </w:rPr>
        <w:t>, together with all rules, regulations and interpretations thereunder or related thereto.</w:t>
      </w:r>
    </w:p>
    <w:p>
      <w:pPr>
        <w:spacing w:after="0" w:line="11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ERISA Affiliate</w:t>
      </w:r>
      <w:r>
        <w:rPr>
          <w:rFonts w:ascii="Times New Roman" w:cs="Times New Roman" w:eastAsia="Times New Roman" w:hAnsi="Times New Roman"/>
          <w:sz w:val="21"/>
          <w:szCs w:val="21"/>
          <w:color w:val="auto"/>
        </w:rPr>
        <w:t xml:space="preserve">” means any person required to be aggregated with any Credit Party or any of its Subsidiaries under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414(b)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414(c)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414(m)</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414(o)</w:t>
      </w:r>
      <w:r>
        <w:rPr>
          <w:rFonts w:ascii="Times New Roman" w:cs="Times New Roman" w:eastAsia="Times New Roman" w:hAnsi="Times New Roman"/>
          <w:sz w:val="21"/>
          <w:szCs w:val="21"/>
          <w:color w:val="auto"/>
        </w:rPr>
        <w:t xml:space="preserve"> of the Code.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ERISA Event</w:t>
      </w:r>
      <w:r>
        <w:rPr>
          <w:rFonts w:ascii="Times New Roman" w:cs="Times New Roman" w:eastAsia="Times New Roman" w:hAnsi="Times New Roman"/>
          <w:sz w:val="21"/>
          <w:szCs w:val="21"/>
          <w:color w:val="auto"/>
        </w:rPr>
        <w:t>” means</w:t>
      </w:r>
    </w:p>
    <w:p>
      <w:pPr>
        <w:spacing w:after="0" w:line="201" w:lineRule="exact"/>
        <w:rPr>
          <w:sz w:val="20"/>
          <w:szCs w:val="20"/>
          <w:color w:val="auto"/>
        </w:rPr>
      </w:pPr>
    </w:p>
    <w:p>
      <w:pPr>
        <w:jc w:val="both"/>
        <w:ind w:left="1300" w:hanging="649"/>
        <w:spacing w:after="0" w:line="235" w:lineRule="auto"/>
        <w:tabs>
          <w:tab w:leader="none" w:pos="1297"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w:t>
      </w:r>
      <w:r>
        <w:rPr>
          <w:rFonts w:ascii="Times New Roman" w:cs="Times New Roman" w:eastAsia="Times New Roman" w:hAnsi="Times New Roman"/>
          <w:sz w:val="21"/>
          <w:szCs w:val="21"/>
          <w:b w:val="1"/>
          <w:bCs w:val="1"/>
          <w:color w:val="auto"/>
        </w:rPr>
        <w:t>reportable event</w:t>
      </w:r>
      <w:r>
        <w:rPr>
          <w:rFonts w:ascii="Times New Roman" w:cs="Times New Roman" w:eastAsia="Times New Roman" w:hAnsi="Times New Roman"/>
          <w:sz w:val="21"/>
          <w:szCs w:val="21"/>
          <w:color w:val="auto"/>
        </w:rPr>
        <w:t xml:space="preserve">” as defined in </w:t>
      </w:r>
      <w:r>
        <w:rPr>
          <w:rFonts w:ascii="Times New Roman" w:cs="Times New Roman" w:eastAsia="Times New Roman" w:hAnsi="Times New Roman"/>
          <w:sz w:val="21"/>
          <w:szCs w:val="21"/>
          <w:u w:val="single" w:color="auto"/>
          <w:color w:val="auto"/>
        </w:rPr>
        <w:t>Section 4043(c)</w:t>
      </w:r>
      <w:r>
        <w:rPr>
          <w:rFonts w:ascii="Times New Roman" w:cs="Times New Roman" w:eastAsia="Times New Roman" w:hAnsi="Times New Roman"/>
          <w:sz w:val="21"/>
          <w:szCs w:val="21"/>
          <w:color w:val="auto"/>
        </w:rPr>
        <w:t xml:space="preserve"> of ERISA or the regulations issued thereunder, with respect to a U.S. Pension Plan, other than events as to which the requirement of notice has been waived in regulations by the Pension Benefit Guaranty Corporation;</w:t>
      </w:r>
    </w:p>
    <w:p>
      <w:pPr>
        <w:spacing w:after="0" w:line="152"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adoption of any amendment to a U.S. Pension Plan or Multiemployer Plan that would require the provision of security pursuant to the Code or ERISA;</w:t>
      </w:r>
    </w:p>
    <w:p>
      <w:pPr>
        <w:spacing w:after="0" w:line="140" w:lineRule="exact"/>
        <w:rPr>
          <w:rFonts w:ascii="Times New Roman" w:cs="Times New Roman" w:eastAsia="Times New Roman" w:hAnsi="Times New Roman"/>
          <w:sz w:val="21"/>
          <w:szCs w:val="21"/>
          <w:color w:val="auto"/>
        </w:rPr>
      </w:pPr>
    </w:p>
    <w:p>
      <w:pPr>
        <w:ind w:left="1300" w:right="20" w:hanging="649"/>
        <w:spacing w:after="0" w:line="250" w:lineRule="auto"/>
        <w:tabs>
          <w:tab w:leader="none" w:pos="1297"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complete or partial withdrawal by any Credit Party or any ERISA Affiliate from a Multiemployer Plan or a cessation of operations which is treated as such a withdrawal;</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filing of a notice of intent to terminate a U.S. Pension Plan or Multiemployer Plan under </w:t>
      </w:r>
      <w:r>
        <w:rPr>
          <w:rFonts w:ascii="Times New Roman" w:cs="Times New Roman" w:eastAsia="Times New Roman" w:hAnsi="Times New Roman"/>
          <w:sz w:val="21"/>
          <w:szCs w:val="21"/>
          <w:u w:val="single" w:color="auto"/>
          <w:color w:val="auto"/>
        </w:rPr>
        <w:t>Section 4041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4041A</w:t>
      </w:r>
      <w:r>
        <w:rPr>
          <w:rFonts w:ascii="Times New Roman" w:cs="Times New Roman" w:eastAsia="Times New Roman" w:hAnsi="Times New Roman"/>
          <w:sz w:val="21"/>
          <w:szCs w:val="21"/>
          <w:color w:val="auto"/>
        </w:rPr>
        <w:t xml:space="preserve"> of ERISA, or the commencement of proceedings by the Pension Benefit Guaranty Corporation to terminate a U.S. Pension Plan or Multiemployer Plan;</w:t>
      </w:r>
    </w:p>
    <w:p>
      <w:pPr>
        <w:spacing w:after="0" w:line="151" w:lineRule="exact"/>
        <w:rPr>
          <w:rFonts w:ascii="Times New Roman" w:cs="Times New Roman" w:eastAsia="Times New Roman" w:hAnsi="Times New Roman"/>
          <w:sz w:val="21"/>
          <w:szCs w:val="21"/>
          <w:color w:val="auto"/>
        </w:rPr>
      </w:pPr>
    </w:p>
    <w:p>
      <w:pPr>
        <w:ind w:left="1300" w:hanging="649"/>
        <w:spacing w:after="0" w:line="250" w:lineRule="auto"/>
        <w:tabs>
          <w:tab w:leader="none" w:pos="1297"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 event or condition which would reasonably be expected to constitute grounds under </w:t>
      </w:r>
      <w:r>
        <w:rPr>
          <w:rFonts w:ascii="Times New Roman" w:cs="Times New Roman" w:eastAsia="Times New Roman" w:hAnsi="Times New Roman"/>
          <w:sz w:val="21"/>
          <w:szCs w:val="21"/>
          <w:u w:val="single" w:color="auto"/>
          <w:color w:val="auto"/>
        </w:rPr>
        <w:t>Section 4042</w:t>
      </w:r>
      <w:r>
        <w:rPr>
          <w:rFonts w:ascii="Times New Roman" w:cs="Times New Roman" w:eastAsia="Times New Roman" w:hAnsi="Times New Roman"/>
          <w:sz w:val="21"/>
          <w:szCs w:val="21"/>
          <w:color w:val="auto"/>
        </w:rPr>
        <w:t xml:space="preserve"> of ERISA for the termination of, or the appointment of a trustee to administer, any Plan;</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300"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imposition of any liability under </w:t>
      </w:r>
      <w:r>
        <w:rPr>
          <w:rFonts w:ascii="Times New Roman" w:cs="Times New Roman" w:eastAsia="Times New Roman" w:hAnsi="Times New Roman"/>
          <w:sz w:val="21"/>
          <w:szCs w:val="21"/>
          <w:u w:val="single" w:color="auto"/>
          <w:color w:val="auto"/>
        </w:rPr>
        <w:t>Title IV</w:t>
      </w:r>
      <w:r>
        <w:rPr>
          <w:rFonts w:ascii="Times New Roman" w:cs="Times New Roman" w:eastAsia="Times New Roman" w:hAnsi="Times New Roman"/>
          <w:sz w:val="21"/>
          <w:szCs w:val="21"/>
          <w:color w:val="auto"/>
        </w:rPr>
        <w:t xml:space="preserve"> of ERISA, other than the Pension Benefit Guaranty Corporation premiums due but not delinquent under </w:t>
      </w:r>
      <w:r>
        <w:rPr>
          <w:rFonts w:ascii="Times New Roman" w:cs="Times New Roman" w:eastAsia="Times New Roman" w:hAnsi="Times New Roman"/>
          <w:sz w:val="21"/>
          <w:szCs w:val="21"/>
          <w:u w:val="single" w:color="auto"/>
          <w:color w:val="auto"/>
        </w:rPr>
        <w:t>Section 4007</w:t>
      </w:r>
      <w:r>
        <w:rPr>
          <w:rFonts w:ascii="Times New Roman" w:cs="Times New Roman" w:eastAsia="Times New Roman" w:hAnsi="Times New Roman"/>
          <w:sz w:val="21"/>
          <w:szCs w:val="21"/>
          <w:color w:val="auto"/>
        </w:rPr>
        <w:t xml:space="preserve"> of ERISA, upon any Credit Party or any ERISA Affiliate in excess of $1,000,000; and</w:t>
      </w:r>
    </w:p>
    <w:p>
      <w:pPr>
        <w:spacing w:after="0" w:line="151"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other event or condition with respect to any U.S. Pension Plan or Multiemployer Plan subject to </w:t>
      </w:r>
      <w:r>
        <w:rPr>
          <w:rFonts w:ascii="Times New Roman" w:cs="Times New Roman" w:eastAsia="Times New Roman" w:hAnsi="Times New Roman"/>
          <w:sz w:val="21"/>
          <w:szCs w:val="21"/>
          <w:u w:val="single" w:color="auto"/>
          <w:color w:val="auto"/>
        </w:rPr>
        <w:t>Title IV</w:t>
      </w:r>
      <w:r>
        <w:rPr>
          <w:rFonts w:ascii="Times New Roman" w:cs="Times New Roman" w:eastAsia="Times New Roman" w:hAnsi="Times New Roman"/>
          <w:sz w:val="21"/>
          <w:szCs w:val="21"/>
          <w:color w:val="auto"/>
        </w:rPr>
        <w:t xml:space="preserve"> of ERISA maintained, or contributed to, by any ERISA Affiliate in excess of $1,000,000.</w:t>
      </w:r>
    </w:p>
    <w:p>
      <w:pPr>
        <w:spacing w:after="0" w:line="163"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Erroneous Payment</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11.15(a)</w:t>
      </w:r>
      <w:r>
        <w:rPr>
          <w:rFonts w:ascii="Times New Roman" w:cs="Times New Roman" w:eastAsia="Times New Roman" w:hAnsi="Times New Roman"/>
          <w:sz w:val="21"/>
          <w:szCs w:val="21"/>
          <w:color w:val="auto"/>
        </w:rPr>
        <w:t>.</w:t>
      </w:r>
    </w:p>
    <w:p>
      <w:pPr>
        <w:spacing w:after="0" w:line="241" w:lineRule="exact"/>
        <w:rPr>
          <w:rFonts w:ascii="Times New Roman" w:cs="Times New Roman" w:eastAsia="Times New Roman" w:hAnsi="Times New Roman"/>
          <w:sz w:val="21"/>
          <w:szCs w:val="21"/>
          <w:color w:val="auto"/>
        </w:rPr>
      </w:pPr>
    </w:p>
    <w:p>
      <w:pPr>
        <w:ind w:left="640" w:hanging="633"/>
        <w:spacing w:after="0"/>
        <w:tabs>
          <w:tab w:leader="none" w:pos="640"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Erroneous Payment Notice</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11.15(b)</w:t>
      </w:r>
      <w:r>
        <w:rPr>
          <w:rFonts w:ascii="Times New Roman" w:cs="Times New Roman" w:eastAsia="Times New Roman" w:hAnsi="Times New Roman"/>
          <w:sz w:val="21"/>
          <w:szCs w:val="21"/>
          <w:color w:val="auto"/>
        </w:rPr>
        <w:t>.</w:t>
      </w:r>
    </w:p>
    <w:p>
      <w:pPr>
        <w:spacing w:after="0" w:line="227" w:lineRule="exact"/>
        <w:rPr>
          <w:rFonts w:ascii="Times New Roman" w:cs="Times New Roman" w:eastAsia="Times New Roman" w:hAnsi="Times New Roman"/>
          <w:sz w:val="21"/>
          <w:szCs w:val="21"/>
          <w:color w:val="auto"/>
        </w:rPr>
      </w:pPr>
    </w:p>
    <w:p>
      <w:pPr>
        <w:ind w:firstLine="7"/>
        <w:spacing w:after="0" w:line="294" w:lineRule="auto"/>
        <w:tabs>
          <w:tab w:leader="none" w:pos="631"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 Bail-In Legislation Schedule</w:t>
      </w:r>
      <w:r>
        <w:rPr>
          <w:rFonts w:ascii="Times New Roman" w:cs="Times New Roman" w:eastAsia="Times New Roman" w:hAnsi="Times New Roman"/>
          <w:sz w:val="21"/>
          <w:szCs w:val="21"/>
          <w:color w:val="auto"/>
        </w:rPr>
        <w:t>” means the EU Bail-In Legislation Schedule published by the Loan Market Association (or any successor thereto), as in effect from time to time.</w:t>
      </w:r>
    </w:p>
    <w:p>
      <w:pPr>
        <w:spacing w:after="0" w:line="13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Euribor</w:t>
      </w:r>
      <w:r>
        <w:rPr>
          <w:rFonts w:ascii="Times New Roman" w:cs="Times New Roman" w:eastAsia="Times New Roman" w:hAnsi="Times New Roman"/>
          <w:sz w:val="21"/>
          <w:szCs w:val="21"/>
          <w:color w:val="auto"/>
        </w:rPr>
        <w:t xml:space="preserve">” means the greater of (a) the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determined on the basis of the rate for deposits in Euros equal to the Euro Interbank Offered Rate as administered by the European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01" w:name="page102"/>
    <w:bookmarkEnd w:id="101"/>
    <w:p>
      <w:pPr>
        <w:jc w:val="both"/>
        <w:spacing w:after="0" w:line="290" w:lineRule="auto"/>
        <w:rPr>
          <w:sz w:val="20"/>
          <w:szCs w:val="20"/>
          <w:color w:val="auto"/>
        </w:rPr>
      </w:pPr>
      <w:r>
        <w:rPr>
          <w:rFonts w:ascii="Times New Roman" w:cs="Times New Roman" w:eastAsia="Times New Roman" w:hAnsi="Times New Roman"/>
          <w:sz w:val="21"/>
          <w:szCs w:val="21"/>
          <w:color w:val="auto"/>
        </w:rPr>
        <w:t>Money Markets Institute, or a comparable or successor administrator approved by the Agent, for a period comparable to the applicable Interest Period, at approximately 11:00 a.m. (Brussels time) on the Rate Determination Date and (b) the Floor.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Euro</w:t>
      </w:r>
      <w:r>
        <w:rPr>
          <w:rFonts w:ascii="Times New Roman" w:cs="Times New Roman" w:eastAsia="Times New Roman" w:hAnsi="Times New Roman"/>
          <w:sz w:val="21"/>
          <w:szCs w:val="21"/>
          <w:color w:val="auto"/>
        </w:rPr>
        <w:t>” means the single currency of the participating member states as described in any EMU Legislation.</w:t>
      </w:r>
    </w:p>
    <w:p>
      <w:pPr>
        <w:spacing w:after="0" w:line="24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Eurocurrency Banking Day</w:t>
      </w:r>
      <w:r>
        <w:rPr>
          <w:rFonts w:ascii="Times New Roman" w:cs="Times New Roman" w:eastAsia="Times New Roman" w:hAnsi="Times New Roman"/>
          <w:sz w:val="21"/>
          <w:szCs w:val="21"/>
          <w:color w:val="auto"/>
        </w:rPr>
        <w:t xml:space="preserve">” means, for Obligations, interest, fees, commissions or other amounts denominated in, or calculated with respect to, Euros, a TARGET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notice requirements in </w:t>
      </w:r>
      <w:r>
        <w:rPr>
          <w:rFonts w:ascii="Times New Roman" w:cs="Times New Roman" w:eastAsia="Times New Roman" w:hAnsi="Times New Roman"/>
          <w:sz w:val="21"/>
          <w:szCs w:val="21"/>
          <w:u w:val="single" w:color="auto"/>
          <w:color w:val="auto"/>
        </w:rPr>
        <w:t>Sections 2.4(c)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3.1(g)</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3.1(h)</w:t>
      </w:r>
      <w:r>
        <w:rPr>
          <w:rFonts w:ascii="Times New Roman" w:cs="Times New Roman" w:eastAsia="Times New Roman" w:hAnsi="Times New Roman"/>
          <w:sz w:val="21"/>
          <w:szCs w:val="21"/>
          <w:color w:val="auto"/>
        </w:rPr>
        <w:t>, in each case, such day is also a Business Day.</w:t>
      </w:r>
    </w:p>
    <w:p>
      <w:pPr>
        <w:spacing w:after="0" w:line="155"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Eurocurrency Rate</w:t>
      </w:r>
      <w:r>
        <w:rPr>
          <w:rFonts w:ascii="Times New Roman" w:cs="Times New Roman" w:eastAsia="Times New Roman" w:hAnsi="Times New Roman"/>
          <w:sz w:val="21"/>
          <w:szCs w:val="21"/>
          <w:color w:val="auto"/>
        </w:rPr>
        <w:t xml:space="preserve">” means, subject to the implementation of a Benchmark Replacement in accordance with </w:t>
      </w:r>
      <w:r>
        <w:rPr>
          <w:rFonts w:ascii="Times New Roman" w:cs="Times New Roman" w:eastAsia="Times New Roman" w:hAnsi="Times New Roman"/>
          <w:sz w:val="21"/>
          <w:szCs w:val="21"/>
          <w:u w:val="single" w:color="auto"/>
          <w:color w:val="auto"/>
        </w:rPr>
        <w:t>Section 3.2(c)</w:t>
      </w:r>
      <w:r>
        <w:rPr>
          <w:rFonts w:ascii="Times New Roman" w:cs="Times New Roman" w:eastAsia="Times New Roman" w:hAnsi="Times New Roman"/>
          <w:sz w:val="21"/>
          <w:szCs w:val="21"/>
          <w:color w:val="auto"/>
        </w:rPr>
        <w:t>, for any Eurocurrency Rate Loan for any Interest Period:</w:t>
      </w:r>
    </w:p>
    <w:p>
      <w:pPr>
        <w:spacing w:after="0" w:line="123" w:lineRule="exact"/>
        <w:rPr>
          <w:sz w:val="20"/>
          <w:szCs w:val="20"/>
          <w:color w:val="auto"/>
        </w:rPr>
      </w:pPr>
    </w:p>
    <w:p>
      <w:pPr>
        <w:ind w:left="1300" w:hanging="649"/>
        <w:spacing w:after="0"/>
        <w:tabs>
          <w:tab w:leader="none" w:pos="130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Revolving Loans denominated in Euros, Euribor; and</w:t>
      </w:r>
    </w:p>
    <w:p>
      <w:pPr>
        <w:spacing w:after="0" w:line="187"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any Revolving Loans denominated in an Alternate Currency (other than Canadian Dollars and Euros), such rate </w:t>
      </w:r>
      <w:r>
        <w:rPr>
          <w:rFonts w:ascii="Times New Roman" w:cs="Times New Roman" w:eastAsia="Times New Roman" w:hAnsi="Times New Roman"/>
          <w:sz w:val="21"/>
          <w:szCs w:val="21"/>
          <w:i w:val="1"/>
          <w:iCs w:val="1"/>
          <w:color w:val="auto"/>
        </w:rPr>
        <w:t xml:space="preserve">per annum </w:t>
      </w:r>
      <w:r>
        <w:rPr>
          <w:rFonts w:ascii="Times New Roman" w:cs="Times New Roman" w:eastAsia="Times New Roman" w:hAnsi="Times New Roman"/>
          <w:sz w:val="21"/>
          <w:szCs w:val="21"/>
          <w:color w:val="auto"/>
        </w:rPr>
        <w:t>as shall be agreed upon by Agent, Borrower and the Revolving Lenders.</w:t>
      </w:r>
    </w:p>
    <w:p>
      <w:pPr>
        <w:spacing w:after="0" w:line="1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Eurocurrency Rate Loans</w:t>
      </w:r>
      <w:r>
        <w:rPr>
          <w:rFonts w:ascii="Times New Roman" w:cs="Times New Roman" w:eastAsia="Times New Roman" w:hAnsi="Times New Roman"/>
          <w:sz w:val="21"/>
          <w:szCs w:val="21"/>
          <w:color w:val="auto"/>
        </w:rPr>
        <w:t>” means any Revolving Loans or portion thereof denominated in an Alternate Currency (other than Canadian Dollars) and on which interest is payable based on the Adjusted Eurocurrency Rate in accordance with the terms hereof.</w:t>
      </w:r>
    </w:p>
    <w:p>
      <w:pPr>
        <w:spacing w:after="0" w:line="1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Eurocurrency Reserve Percentage</w:t>
      </w:r>
      <w:r>
        <w:rPr>
          <w:rFonts w:ascii="Times New Roman" w:cs="Times New Roman" w:eastAsia="Times New Roman" w:hAnsi="Times New Roman"/>
          <w:sz w:val="21"/>
          <w:szCs w:val="21"/>
          <w:color w:val="auto"/>
        </w:rPr>
        <w:t>” means, for any day, the percentage which is in effect for such day as prescribed by the FRB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Loans. The Adjusted Eurocurrency Rate for each outstanding Loan shall be adjusted automatically as of the effective date of any change in the Eurocurrency Reserve Percentage.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Event of Default</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Accounts</w:t>
      </w:r>
      <w:r>
        <w:rPr>
          <w:rFonts w:ascii="Times New Roman" w:cs="Times New Roman" w:eastAsia="Times New Roman" w:hAnsi="Times New Roman"/>
          <w:sz w:val="21"/>
          <w:szCs w:val="21"/>
          <w:color w:val="auto"/>
        </w:rPr>
        <w:t>” means, collectively, (a) Deposit Accounts or Securities Accounts established solely for the purpose of funding payroll, payroll taxes and other compensation and benefits to employees, (b) Deposit Accounts established as withholding tax, trust, escrow or fiduciary accounts, (c) Deposit Accounts that are zero balance accounts that are swept daily into Deposit Accounts that are subject to Control Agreements or into other Excluded Accounts, (d) Deposit Accounts maintained at the Agent and (e) Deposit Accounts or Securities Accounts with amounts on deposit that, when aggregated with the amounts on deposit in all other Deposit Accounts or Securities Accounts for which Control Agreements have not been obtained (other than those specified in clauses (a), (b), (c) and (d)), do not exceed $3,000,000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02" w:name="page103"/>
    <w:bookmarkEnd w:id="102"/>
    <w:p>
      <w:pPr>
        <w:jc w:val="both"/>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Swap Obligation</w:t>
      </w:r>
      <w:r>
        <w:rPr>
          <w:rFonts w:ascii="Times New Roman" w:cs="Times New Roman" w:eastAsia="Times New Roman" w:hAnsi="Times New Roman"/>
          <w:sz w:val="21"/>
          <w:szCs w:val="21"/>
          <w:color w:val="auto"/>
        </w:rPr>
        <w:t>” means, with respect to any Credit Party, any Swap Obligation if, and to the extent that, all or a portion of the liability of such Credit Party for or the guarantee of such Credit Party of, or the grant by such Credit Party of a security interest to secure, such Swap Obligation (or any liability or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and the regulations thereunder at the time the liability for or the guarantee of such Credit Party or the grant of such security interest becomes effective with respect to such Swap Obligation (such determination being made after giving effect to any applicable keepwell, support or other agreement for the benefit of the applicable Credit Party, including under the keepwell provisions in the applicable Financing Agreement). If a Swap Obligation arises under a master agreement governing more than one swap, such exclusion shall apply only to the portion of such Swap Obligation that is attributable to swaps for which such guarantee or security interest is or becomes illegal for the reasons identified in the immediately preceding sentence of this definition.</w:t>
      </w:r>
    </w:p>
    <w:p>
      <w:pPr>
        <w:spacing w:after="0" w:line="200" w:lineRule="exact"/>
        <w:rPr>
          <w:sz w:val="20"/>
          <w:szCs w:val="20"/>
          <w:color w:val="auto"/>
        </w:rPr>
      </w:pPr>
    </w:p>
    <w:p>
      <w:pPr>
        <w:spacing w:after="0" w:line="23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Excluded Taxes</w:t>
      </w:r>
      <w:r>
        <w:rPr>
          <w:rFonts w:ascii="Times New Roman" w:cs="Times New Roman" w:eastAsia="Times New Roman" w:hAnsi="Times New Roman"/>
          <w:sz w:val="21"/>
          <w:szCs w:val="21"/>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United States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Borrower under </w:t>
      </w:r>
      <w:r>
        <w:rPr>
          <w:rFonts w:ascii="Times New Roman" w:cs="Times New Roman" w:eastAsia="Times New Roman" w:hAnsi="Times New Roman"/>
          <w:sz w:val="21"/>
          <w:szCs w:val="21"/>
          <w:u w:val="single" w:color="auto"/>
          <w:color w:val="auto"/>
        </w:rPr>
        <w:t>Section 3.6(b)</w:t>
      </w:r>
      <w:r>
        <w:rPr>
          <w:rFonts w:ascii="Times New Roman" w:cs="Times New Roman" w:eastAsia="Times New Roman" w:hAnsi="Times New Roman"/>
          <w:sz w:val="21"/>
          <w:szCs w:val="21"/>
          <w:color w:val="auto"/>
        </w:rPr>
        <w:t xml:space="preserve">) or (ii) such Lender changes its Lending Office, except in each case to the extent that, pursuant to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1"/>
          <w:szCs w:val="21"/>
          <w:u w:val="single" w:color="auto"/>
          <w:color w:val="auto"/>
        </w:rPr>
        <w:t>Section 3.5(g),</w:t>
      </w:r>
      <w:r>
        <w:rPr>
          <w:rFonts w:ascii="Times New Roman" w:cs="Times New Roman" w:eastAsia="Times New Roman" w:hAnsi="Times New Roman"/>
          <w:sz w:val="21"/>
          <w:szCs w:val="21"/>
          <w:color w:val="auto"/>
        </w:rPr>
        <w:t xml:space="preserve"> (d) any Taxes imposed under FATCA and (e) any Taxes that are required to be deducted or withheld under the ITA or in respect of any payment or deemed payment under the ITA, to or for the benefit of any Recipient (i) with which the payor does not deal at arm’s length for purposes of the ITA at the time of the making of the payment or deemed payment (except where such non-arm’s length relationship arises solely in connection with or as result of the Recipient having become party to, received or perfected a security interest under, or received or enforced any rights under, any Financing Agreement) or (ii) that is a “specified shareholder” (as defined in subsection 18(5) of the ITA) of the applicable Credit Party at any relevant time or does not deal at arm’s length for purposes of the ITA with a “specified shareholder” (as defined in subsection 18(5) of the ITA) of the applicable Credit Party at any relevant time (except where such status arises solely in connection with or as result of the Recipient having become party to, received or perfected a security interest under, or received or enforced any rights under, any Financing Agreement) or (iii) in respect of which the payer is a “specified entity” (as defined in subsection 18.41(l) of the ITA) (except where such status arises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8" w:right="339" w:bottom="1440" w:gutter="0" w:footer="0" w:header="0"/>
        </w:sectPr>
      </w:pPr>
    </w:p>
    <w:bookmarkStart w:id="103" w:name="page104"/>
    <w:bookmarkEnd w:id="103"/>
    <w:p>
      <w:pPr>
        <w:jc w:val="both"/>
        <w:spacing w:after="0" w:line="290" w:lineRule="auto"/>
        <w:rPr>
          <w:sz w:val="20"/>
          <w:szCs w:val="20"/>
          <w:color w:val="auto"/>
        </w:rPr>
      </w:pPr>
      <w:r>
        <w:rPr>
          <w:rFonts w:ascii="Times New Roman" w:cs="Times New Roman" w:eastAsia="Times New Roman" w:hAnsi="Times New Roman"/>
          <w:sz w:val="21"/>
          <w:szCs w:val="21"/>
          <w:color w:val="auto"/>
        </w:rPr>
        <w:t>solely in connection with or as a result of the Recipient having become party to, received or perfected a security interest under, or received or enforced any rights under, any Financing Agreement).</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FATCA</w:t>
      </w:r>
      <w:r>
        <w:rPr>
          <w:rFonts w:ascii="Times New Roman" w:cs="Times New Roman" w:eastAsia="Times New Roman" w:hAnsi="Times New Roman"/>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FDIC</w:t>
      </w:r>
      <w:r>
        <w:rPr>
          <w:rFonts w:ascii="Times New Roman" w:cs="Times New Roman" w:eastAsia="Times New Roman" w:hAnsi="Times New Roman"/>
          <w:sz w:val="21"/>
          <w:szCs w:val="21"/>
          <w:color w:val="auto"/>
        </w:rPr>
        <w:t>” means the Federal Deposit Insurance Corporation.</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Federal Funds Rate</w:t>
      </w:r>
      <w:r>
        <w:rPr>
          <w:rFonts w:ascii="Times New Roman" w:cs="Times New Roman" w:eastAsia="Times New Roman" w:hAnsi="Times New Roman"/>
          <w:sz w:val="21"/>
          <w:szCs w:val="21"/>
          <w:color w:val="auto"/>
        </w:rPr>
        <w:t xml:space="preserve">” means, for any day, the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if such rate is not so published for any day which is a Business Day, the Federal Funds Rate for such day shall be the average of the quotation for such day on such transactions received by Agent from three (3) federal funds brokers of recognized standing selected by Agent. Notwithstanding the foregoing, if the Federal Funds Rate shall be less than 0%, such rate shall be deemed to be 0% for purposes of this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Fee Letter</w:t>
      </w:r>
      <w:r>
        <w:rPr>
          <w:rFonts w:ascii="Times New Roman" w:cs="Times New Roman" w:eastAsia="Times New Roman" w:hAnsi="Times New Roman"/>
          <w:sz w:val="21"/>
          <w:szCs w:val="21"/>
          <w:color w:val="auto"/>
        </w:rPr>
        <w:t>” means that certain engagement letter dated as of June 8, 2025 among Borrower, Arranger and Wells Fargo.</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Fifth A&amp;R Closing Date</w:t>
      </w:r>
      <w:r>
        <w:rPr>
          <w:rFonts w:ascii="Times New Roman" w:cs="Times New Roman" w:eastAsia="Times New Roman" w:hAnsi="Times New Roman"/>
          <w:sz w:val="21"/>
          <w:szCs w:val="21"/>
          <w:color w:val="auto"/>
        </w:rPr>
        <w:t>” means June 28, 2018.</w:t>
      </w:r>
    </w:p>
    <w:p>
      <w:pPr>
        <w:spacing w:after="0" w:line="2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Financing Agreements</w:t>
      </w:r>
      <w:r>
        <w:rPr>
          <w:rFonts w:ascii="Times New Roman" w:cs="Times New Roman" w:eastAsia="Times New Roman" w:hAnsi="Times New Roman"/>
          <w:sz w:val="21"/>
          <w:szCs w:val="21"/>
          <w:color w:val="auto"/>
        </w:rPr>
        <w:t>” means, collectively, this Agreement, the Fee Letter and all notes, guarantees, security agreements and other agreements, documents and instruments previously, now or at any time hereafter executed and/or delivered by any Credit Party in connection with this Agreement, in each case, as the same now exist or may hereafter be amended, modified, supplemented, extended, renewed, restated or replaced, but excluding any Secured Hedge Agreement and Secured Cash Management Agreement.</w:t>
      </w:r>
    </w:p>
    <w:p>
      <w:pPr>
        <w:spacing w:after="0" w:line="200" w:lineRule="exact"/>
        <w:rPr>
          <w:sz w:val="20"/>
          <w:szCs w:val="20"/>
          <w:color w:val="auto"/>
        </w:rPr>
      </w:pPr>
    </w:p>
    <w:p>
      <w:pPr>
        <w:spacing w:after="0" w:line="22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Fiscal Quarter</w:t>
      </w:r>
      <w:r>
        <w:rPr>
          <w:rFonts w:ascii="Times New Roman" w:cs="Times New Roman" w:eastAsia="Times New Roman" w:hAnsi="Times New Roman"/>
          <w:sz w:val="21"/>
          <w:szCs w:val="21"/>
          <w:color w:val="auto"/>
        </w:rPr>
        <w:t>” means each of the following 3 month periods in any Fiscal Year of Borrower: January 1 to March 31, April 1 to June 30, July 1 to September 30 and October 1 to December 31.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Fiscal Year</w:t>
      </w:r>
      <w:r>
        <w:rPr>
          <w:rFonts w:ascii="Times New Roman" w:cs="Times New Roman" w:eastAsia="Times New Roman" w:hAnsi="Times New Roman"/>
          <w:sz w:val="21"/>
          <w:szCs w:val="21"/>
          <w:color w:val="auto"/>
        </w:rPr>
        <w:t>” means the fiscal year of Borrower being the twelve (12) month period of January 1 to December 31.</w:t>
      </w:r>
    </w:p>
    <w:p>
      <w:pPr>
        <w:spacing w:after="0" w:line="241"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Fixed Incremental Amount</w:t>
      </w:r>
      <w:r>
        <w:rPr>
          <w:rFonts w:ascii="Times New Roman" w:cs="Times New Roman" w:eastAsia="Times New Roman" w:hAnsi="Times New Roman"/>
          <w:sz w:val="21"/>
          <w:szCs w:val="21"/>
          <w:color w:val="auto"/>
        </w:rPr>
        <w:t xml:space="preserve">” means, at any time, (a) an amount equal to the greater of (i) $140,000,000 and (ii) the EBITDA of Borrower and its consolidated Subsidiaries for the four (4) Fiscal Quarter period most recently ended for which a Compliance Certificate has been executed and delivered by Borrower to Agent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xml:space="preserve"> (b) the aggregate principal amount of all Incremental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04" w:name="page105"/>
    <w:bookmarkEnd w:id="104"/>
    <w:p>
      <w:pPr>
        <w:jc w:val="both"/>
        <w:ind w:right="20"/>
        <w:spacing w:after="0" w:line="290" w:lineRule="auto"/>
        <w:rPr>
          <w:sz w:val="20"/>
          <w:szCs w:val="20"/>
          <w:color w:val="auto"/>
        </w:rPr>
      </w:pPr>
      <w:r>
        <w:rPr>
          <w:rFonts w:ascii="Times New Roman" w:cs="Times New Roman" w:eastAsia="Times New Roman" w:hAnsi="Times New Roman"/>
          <w:sz w:val="21"/>
          <w:szCs w:val="21"/>
          <w:color w:val="auto"/>
        </w:rPr>
        <w:t>Loans, Incremental Loan Commitments and Incremental Equivalent Debt incurred under the Fixed Incremental Amount prior to such time.</w:t>
      </w:r>
    </w:p>
    <w:p>
      <w:pPr>
        <w:spacing w:after="0" w:line="1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Flood Insurance Laws</w:t>
      </w:r>
      <w:r>
        <w:rPr>
          <w:rFonts w:ascii="Times New Roman" w:cs="Times New Roman" w:eastAsia="Times New Roman" w:hAnsi="Times New Roman"/>
          <w:sz w:val="21"/>
          <w:szCs w:val="21"/>
          <w:color w:val="auto"/>
        </w:rPr>
        <w:t>” means, collectively, (a) the National Flood Insurance Act of 1968, (b) the Flood Disaster Protection Act of 1973, (c) the National Flood Insurance Reform Act of 1994, (d) the Flood Insurance Reform Act of 2004 and (e) the Biggert-Waters Flood Insurance Reform Act of 2012, as each of the foregoing is now or hereafter in effect and any successor statute to any of the foregoing.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Floor</w:t>
      </w:r>
      <w:r>
        <w:rPr>
          <w:rFonts w:ascii="Times New Roman" w:cs="Times New Roman" w:eastAsia="Times New Roman" w:hAnsi="Times New Roman"/>
          <w:sz w:val="21"/>
          <w:szCs w:val="21"/>
          <w:color w:val="auto"/>
        </w:rPr>
        <w:t>” means a rate of interest equal to 0%.</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FRB</w:t>
      </w:r>
      <w:r>
        <w:rPr>
          <w:rFonts w:ascii="Times New Roman" w:cs="Times New Roman" w:eastAsia="Times New Roman" w:hAnsi="Times New Roman"/>
          <w:sz w:val="21"/>
          <w:szCs w:val="21"/>
          <w:color w:val="auto"/>
        </w:rPr>
        <w:t>” means the Board of Governors of the Federal Reserve System of the United States.</w:t>
      </w:r>
    </w:p>
    <w:p>
      <w:pPr>
        <w:spacing w:after="0" w:line="2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Fronting Exposure</w:t>
      </w:r>
      <w:r>
        <w:rPr>
          <w:rFonts w:ascii="Times New Roman" w:cs="Times New Roman" w:eastAsia="Times New Roman" w:hAnsi="Times New Roman"/>
          <w:sz w:val="21"/>
          <w:szCs w:val="21"/>
          <w:color w:val="auto"/>
        </w:rPr>
        <w:t>” means, at any time there is a Defaulting Lender, (a) with respect to any Issuing Lender, such Defaulting Lender’s Pro Rata Share of the outstanding obligations with respect to Letter of Credit Accommodations issued by such Issuing Lender, other than such obligations as to which such Defaulting Lender’s participation obligation has been reallocated to other Lenders or cash collateralized in accordance with the terms hereof and (b) with respect to the Swingline Lender, such Defaulting Lender’s Pro Rata Share of outstanding Swingline Loans other than Swingline Loans as to which such Defaulting Lender’s participation obligation has been reallocated to other Lenders or cash collateralized in accordance with the terms hereof.</w:t>
      </w:r>
    </w:p>
    <w:p>
      <w:pPr>
        <w:spacing w:after="0" w:line="18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Fund</w:t>
      </w:r>
      <w:r>
        <w:rPr>
          <w:rFonts w:ascii="Times New Roman" w:cs="Times New Roman" w:eastAsia="Times New Roman" w:hAnsi="Times New Roman"/>
          <w:sz w:val="21"/>
          <w:szCs w:val="21"/>
          <w:color w:val="auto"/>
        </w:rPr>
        <w:t>” means any Person (other than a natural Person) that is (or will be) engaged in making, purchasing, holding or otherwise investing in commercial loans, bonds and similar extensions of credit in the ordinary course of its activities.</w:t>
      </w:r>
    </w:p>
    <w:p>
      <w:pPr>
        <w:spacing w:after="0" w:line="13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Future Permitted Transaction</w:t>
      </w:r>
      <w:r>
        <w:rPr>
          <w:rFonts w:ascii="Times New Roman" w:cs="Times New Roman" w:eastAsia="Times New Roman" w:hAnsi="Times New Roman"/>
          <w:sz w:val="21"/>
          <w:szCs w:val="21"/>
          <w:color w:val="auto"/>
        </w:rPr>
        <w:t>” means any infrequent or unusual transaction requested by Borrower to be designated as such to the extent any such transaction has been pre-approved in writing by Agent and Required Lenders.</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means generally accepted accounting principles in the United States of America and as in effect from time to time (for all other purposes of the Agreement), including those forth in the opinions and pronouncements of the relevant U.S. public and private accounting boards and institutes which are applicable to the circumstances as of the date of determination consistently applied. If at any time any change in GAAP or the application thereof would affect the computation or interpretation of any financial ratio, basket, requirement or other provision set forth in any Financing Agreement, and either the Borrower or the Required Lenders shall so request, the Agent and the Borrower shall negotiate in good faith to amend such ratio, basket, requirement or other provision to preserve the original intent thereof in light of such change in GAAP or the application thereof (subject to the approval of the Required Lenders not to be unreasonably withheld, conditioned or delayed).</w:t>
      </w:r>
    </w:p>
    <w:p>
      <w:pPr>
        <w:spacing w:after="0" w:line="1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General Security Agreement</w:t>
      </w:r>
      <w:r>
        <w:rPr>
          <w:rFonts w:ascii="Times New Roman" w:cs="Times New Roman" w:eastAsia="Times New Roman" w:hAnsi="Times New Roman"/>
          <w:sz w:val="21"/>
          <w:szCs w:val="21"/>
          <w:color w:val="auto"/>
        </w:rPr>
        <w:t>” means the amended and restated general security agreement dated November 16, 2009 entered into by Borrower in favor of Agent, as the same now exists or may hereafter be amended, modified, supplemented, extended, renewed, restated or replaced.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05" w:name="page106"/>
    <w:bookmarkEnd w:id="105"/>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Governmental Authority</w:t>
      </w:r>
      <w:r>
        <w:rPr>
          <w:rFonts w:ascii="Times New Roman" w:cs="Times New Roman" w:eastAsia="Times New Roman" w:hAnsi="Times New Roman"/>
          <w:sz w:val="21"/>
          <w:szCs w:val="21"/>
          <w:color w:val="auto"/>
        </w:rPr>
        <w:t>” means any government, parliament, legislature, municipal or local government, or any regulatory authority, agency, commission or board of any government, parliament or legislature, or any court or (without limitation to the foregoing) any other law, regulation or rule-making entity (including any central bank, fiscal or monetary authority regulating banks), having or purporting to have jurisdiction in the relevant circumstances, or any Person acting or purporting to act under the authority of any of the foregoing (including any arbitrator).</w:t>
      </w:r>
    </w:p>
    <w:p>
      <w:pPr>
        <w:spacing w:after="0" w:line="1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Guarantors</w:t>
      </w:r>
      <w:r>
        <w:rPr>
          <w:rFonts w:ascii="Times New Roman" w:cs="Times New Roman" w:eastAsia="Times New Roman" w:hAnsi="Times New Roman"/>
          <w:sz w:val="21"/>
          <w:szCs w:val="21"/>
          <w:color w:val="auto"/>
        </w:rPr>
        <w:t>” means, other than Borrower, any guarantor, endorser, acceptor, surety or other person liable on or with respect to the Obligations or who is the owner of any property which is security for the Obligations, including:</w:t>
      </w:r>
    </w:p>
    <w:p>
      <w:pPr>
        <w:spacing w:after="0" w:line="109" w:lineRule="exact"/>
        <w:rPr>
          <w:sz w:val="20"/>
          <w:szCs w:val="20"/>
          <w:color w:val="auto"/>
        </w:rPr>
      </w:pPr>
    </w:p>
    <w:p>
      <w:pPr>
        <w:ind w:left="1300" w:hanging="649"/>
        <w:spacing w:after="0"/>
        <w:tabs>
          <w:tab w:leader="none" w:pos="130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IMAX U.S.A. Inc., a Delaware corporation;</w:t>
      </w:r>
    </w:p>
    <w:p>
      <w:pPr>
        <w:spacing w:after="0" w:line="187"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1329507 Ontario Inc., an Ontario corporation;</w:t>
      </w:r>
    </w:p>
    <w:p>
      <w:pPr>
        <w:spacing w:after="0" w:line="187"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IMAX II U.S.A. Inc., a Delaware corporation;</w:t>
      </w:r>
    </w:p>
    <w:p>
      <w:pPr>
        <w:spacing w:after="0" w:line="187"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IMAX Post/DKP Inc., a Delaware corporation;</w:t>
      </w:r>
    </w:p>
    <w:p>
      <w:pPr>
        <w:spacing w:after="0" w:line="187"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IMAX Barbados; and</w:t>
      </w:r>
    </w:p>
    <w:p>
      <w:pPr>
        <w:spacing w:after="0" w:line="187"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IMAX Ireland.</w:t>
      </w:r>
    </w:p>
    <w:p>
      <w:pPr>
        <w:spacing w:after="0" w:line="2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Hazardous Materials</w:t>
      </w:r>
      <w:r>
        <w:rPr>
          <w:rFonts w:ascii="Times New Roman" w:cs="Times New Roman" w:eastAsia="Times New Roman" w:hAnsi="Times New Roman"/>
          <w:sz w:val="21"/>
          <w:szCs w:val="21"/>
          <w:color w:val="auto"/>
        </w:rPr>
        <w:t>” means any chemical, material, substance, waste, pollutant or contaminant, or compound in any form of any nature, including petroleum and petroleum products, asbestos and asbestos-containing materials, regulated pursuant to any Environmental Law.</w:t>
      </w:r>
    </w:p>
    <w:p>
      <w:pPr>
        <w:spacing w:after="0" w:line="14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Hedge Agreement</w:t>
      </w:r>
      <w:r>
        <w:rPr>
          <w:rFonts w:ascii="Times New Roman" w:cs="Times New Roman" w:eastAsia="Times New Roman" w:hAnsi="Times New Roman"/>
          <w:sz w:val="21"/>
          <w:szCs w:val="21"/>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all as amended, modified, supplemented, extended, renewed, restated or replaced from time to time. For the avoidance of doubt, the term “Hedge Agreement” shall not include the agreements and arrangements entered into to effect a Permitted Bond Hedge Transaction or a Permitted Warrant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9" w:right="339" w:bottom="1440" w:gutter="0" w:footer="0" w:header="0"/>
        </w:sectPr>
      </w:pPr>
    </w:p>
    <w:bookmarkStart w:id="106" w:name="page107"/>
    <w:bookmarkEnd w:id="106"/>
    <w:p>
      <w:pPr>
        <w:jc w:val="both"/>
        <w:ind w:right="20"/>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Hedge Bank</w:t>
      </w:r>
      <w:r>
        <w:rPr>
          <w:rFonts w:ascii="Times New Roman" w:cs="Times New Roman" w:eastAsia="Times New Roman" w:hAnsi="Times New Roman"/>
          <w:sz w:val="21"/>
          <w:szCs w:val="21"/>
          <w:color w:val="auto"/>
        </w:rPr>
        <w:t>” means any Person that at the time it enters into a Hedge Agreement is a Lender, an Affiliate of a Lender, Agent or an Affiliate of Agent, in its capacity as a party to such Hedge Agreement.</w:t>
      </w:r>
    </w:p>
    <w:p>
      <w:pPr>
        <w:spacing w:after="0" w:line="1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Hedge Termination Value</w:t>
      </w:r>
      <w:r>
        <w:rPr>
          <w:rFonts w:ascii="Times New Roman" w:cs="Times New Roman" w:eastAsia="Times New Roman" w:hAnsi="Times New Roman"/>
          <w:sz w:val="21"/>
          <w:szCs w:val="21"/>
          <w:color w:val="auto"/>
        </w:rPr>
        <w:t xml:space="preserve">”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the amount(s) determined as the mark-to-market value(s) for such Hedge Agreements, as determined based upon one or more mid-market or other readily available quotations provided by any recognized dealer in such Hedge Agreements (which may include Agent, a Lender or any Affiliate thereof).</w:t>
      </w:r>
    </w:p>
    <w:p>
      <w:pPr>
        <w:spacing w:after="0" w:line="17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Hong Kong JV Guarantee</w:t>
      </w:r>
      <w:r>
        <w:rPr>
          <w:rFonts w:ascii="Times New Roman" w:cs="Times New Roman" w:eastAsia="Times New Roman" w:hAnsi="Times New Roman"/>
          <w:sz w:val="21"/>
          <w:szCs w:val="21"/>
          <w:color w:val="auto"/>
        </w:rPr>
        <w:t>” means the unsecured guarantee dated January 6, 2014 issued by Borrower to Sino Leader (Hong Kong) Limited.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IMAX Barbados</w:t>
      </w:r>
      <w:r>
        <w:rPr>
          <w:rFonts w:ascii="Times New Roman" w:cs="Times New Roman" w:eastAsia="Times New Roman" w:hAnsi="Times New Roman"/>
          <w:sz w:val="21"/>
          <w:szCs w:val="21"/>
          <w:color w:val="auto"/>
        </w:rPr>
        <w:t>” means IMAX (Barbados) Holding, Inc., a Barbados corporation.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IMAX Cayman</w:t>
      </w:r>
      <w:r>
        <w:rPr>
          <w:rFonts w:ascii="Times New Roman" w:cs="Times New Roman" w:eastAsia="Times New Roman" w:hAnsi="Times New Roman"/>
          <w:sz w:val="21"/>
          <w:szCs w:val="21"/>
          <w:color w:val="auto"/>
        </w:rPr>
        <w:t>” means IMAX China Holding, Inc., a Cayman Islands exempted company.</w:t>
      </w:r>
    </w:p>
    <w:p>
      <w:pPr>
        <w:spacing w:after="0" w:line="22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IMAX China Credit Facilities</w:t>
      </w:r>
      <w:r>
        <w:rPr>
          <w:rFonts w:ascii="Times New Roman" w:cs="Times New Roman" w:eastAsia="Times New Roman" w:hAnsi="Times New Roman"/>
          <w:sz w:val="21"/>
          <w:szCs w:val="21"/>
          <w:color w:val="auto"/>
        </w:rPr>
        <w:t>” means, collectively, the secured credit facilities provided by third party lenders to IMAX Cayman, IMAX China HK and/or IMAX China Multimedia.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IMAX China HK</w:t>
      </w:r>
      <w:r>
        <w:rPr>
          <w:rFonts w:ascii="Times New Roman" w:cs="Times New Roman" w:eastAsia="Times New Roman" w:hAnsi="Times New Roman"/>
          <w:sz w:val="21"/>
          <w:szCs w:val="21"/>
          <w:color w:val="auto"/>
        </w:rPr>
        <w:t>” means IMAX China (Hong Kong), Limited.</w:t>
      </w:r>
    </w:p>
    <w:p>
      <w:pPr>
        <w:spacing w:after="0" w:line="2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IMAX China Multimedia</w:t>
      </w:r>
      <w:r>
        <w:rPr>
          <w:rFonts w:ascii="Times New Roman" w:cs="Times New Roman" w:eastAsia="Times New Roman" w:hAnsi="Times New Roman"/>
          <w:sz w:val="21"/>
          <w:szCs w:val="21"/>
          <w:color w:val="auto"/>
        </w:rPr>
        <w:t>” means IMAX (Shanghai) Multimedia Technology Co., Ltd., a People’s Republic of China corporation.</w:t>
      </w:r>
    </w:p>
    <w:p>
      <w:pPr>
        <w:spacing w:after="0" w:line="200" w:lineRule="exact"/>
        <w:rPr>
          <w:sz w:val="20"/>
          <w:szCs w:val="20"/>
          <w:color w:val="auto"/>
        </w:rPr>
      </w:pPr>
    </w:p>
    <w:p>
      <w:pPr>
        <w:spacing w:after="0" w:line="25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IMAX China Theatre</w:t>
      </w:r>
      <w:r>
        <w:rPr>
          <w:rFonts w:ascii="Times New Roman" w:cs="Times New Roman" w:eastAsia="Times New Roman" w:hAnsi="Times New Roman"/>
          <w:sz w:val="21"/>
          <w:szCs w:val="21"/>
          <w:color w:val="auto"/>
        </w:rPr>
        <w:t>” means IMAX (Shanghai) Theatre Technology Services Co., Ltd., a People’s Republic of China corporation.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IMAX Film Fund</w:t>
      </w:r>
      <w:r>
        <w:rPr>
          <w:rFonts w:ascii="Times New Roman" w:cs="Times New Roman" w:eastAsia="Times New Roman" w:hAnsi="Times New Roman"/>
          <w:sz w:val="21"/>
          <w:szCs w:val="21"/>
          <w:color w:val="auto"/>
        </w:rPr>
        <w:t>” means IMAX Documentary Films Capital, LLC.</w:t>
      </w:r>
    </w:p>
    <w:p>
      <w:pPr>
        <w:spacing w:after="0" w:line="22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IMAX Film Fund Put</w:t>
      </w:r>
      <w:r>
        <w:rPr>
          <w:rFonts w:ascii="Times New Roman" w:cs="Times New Roman" w:eastAsia="Times New Roman" w:hAnsi="Times New Roman"/>
          <w:sz w:val="21"/>
          <w:szCs w:val="21"/>
          <w:color w:val="auto"/>
        </w:rPr>
        <w:t>” means the Production, Financing and Distribution Agreement dated as of May 12, 2014, by and between IMAX Film Holding Co. and IMAX Film Fund.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IMAX HK</w:t>
      </w:r>
      <w:r>
        <w:rPr>
          <w:rFonts w:ascii="Times New Roman" w:cs="Times New Roman" w:eastAsia="Times New Roman" w:hAnsi="Times New Roman"/>
          <w:sz w:val="21"/>
          <w:szCs w:val="21"/>
          <w:color w:val="auto"/>
        </w:rPr>
        <w:t>” means IMAX (Hong Kong) Holding, Limited, a Subsidiary of Borrower and a Hong Kong corporation.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IMAX Ireland</w:t>
      </w:r>
      <w:r>
        <w:rPr>
          <w:rFonts w:ascii="Times New Roman" w:cs="Times New Roman" w:eastAsia="Times New Roman" w:hAnsi="Times New Roman"/>
          <w:sz w:val="21"/>
          <w:szCs w:val="21"/>
          <w:color w:val="auto"/>
        </w:rPr>
        <w:t>” means IMAX Theatres International Limited, an Irish company.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Increased Amount Date</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2.6(b)</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Increased-Cost Lender</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3.6(a)</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Equivalent Debt</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8.3(y)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Lender</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2.6(c)</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Loan Commitments</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2.6(a)(ii)</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Loans</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2.6(a)(ii)</w:t>
      </w:r>
      <w:r>
        <w:rPr>
          <w:rFonts w:ascii="Times New Roman" w:cs="Times New Roman" w:eastAsia="Times New Roman" w:hAnsi="Times New Roman"/>
          <w:sz w:val="21"/>
          <w:szCs w:val="21"/>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Revolving Loan Commitment</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2.6(a)(ii)</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Revolving Loan Increase</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2.6(a)(ii)</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Term Loan</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2.6(a)(i)</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Term Loan Commitment</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2.6(a)(i)</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Indemnified Taxes</w:t>
      </w:r>
      <w:r>
        <w:rPr>
          <w:rFonts w:ascii="Times New Roman" w:cs="Times New Roman" w:eastAsia="Times New Roman" w:hAnsi="Times New Roman"/>
          <w:sz w:val="21"/>
          <w:szCs w:val="21"/>
          <w:color w:val="auto"/>
        </w:rPr>
        <w:t xml:space="preserve">” means (a) Taxes, other than Excluded Taxes, imposed on or with respect to any payment made by or on account of any obligation of Borrower under this Agreement and any other documents entered into in connection herewith and (b) to the extent not otherwise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Other Taxes.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Indemnitee</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12.5</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Information Certificate</w:t>
      </w:r>
      <w:r>
        <w:rPr>
          <w:rFonts w:ascii="Times New Roman" w:cs="Times New Roman" w:eastAsia="Times New Roman" w:hAnsi="Times New Roman"/>
          <w:sz w:val="21"/>
          <w:szCs w:val="21"/>
          <w:color w:val="auto"/>
        </w:rPr>
        <w:t xml:space="preserve">” means the Information Certificate substantially in the form of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 provided by or on behalf of each Credit Party to Agent in connection with the other Financing Agreements.</w:t>
      </w:r>
    </w:p>
    <w:p>
      <w:pPr>
        <w:spacing w:after="0" w:line="1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Insolvency Laws</w:t>
      </w:r>
      <w:r>
        <w:rPr>
          <w:rFonts w:ascii="Times New Roman" w:cs="Times New Roman" w:eastAsia="Times New Roman" w:hAnsi="Times New Roman"/>
          <w:sz w:val="21"/>
          <w:szCs w:val="21"/>
          <w:color w:val="auto"/>
        </w:rPr>
        <w:t xml:space="preserve">” means any of the Bankruptcy Code, BIA, the CCAA (Canada), the </w:t>
      </w:r>
      <w:r>
        <w:rPr>
          <w:rFonts w:ascii="Times New Roman" w:cs="Times New Roman" w:eastAsia="Times New Roman" w:hAnsi="Times New Roman"/>
          <w:sz w:val="21"/>
          <w:szCs w:val="21"/>
          <w:i w:val="1"/>
          <w:iCs w:val="1"/>
          <w:color w:val="auto"/>
        </w:rPr>
        <w:t>Winding-Up and Restructuring Act</w:t>
      </w:r>
      <w:r>
        <w:rPr>
          <w:rFonts w:ascii="Times New Roman" w:cs="Times New Roman" w:eastAsia="Times New Roman" w:hAnsi="Times New Roman"/>
          <w:sz w:val="21"/>
          <w:szCs w:val="21"/>
          <w:color w:val="auto"/>
        </w:rPr>
        <w:t xml:space="preserve"> (Canada), and any similar Debtor Relief Laws of any applicable jurisdiction (including common law or equity and any law permitting a debtor to obtain a stay or a compromise of the claims of its creditors against it) now or hereafter in effect relating to bankruptcy, insolvency, receivership, liquidation, dissolution, winding-up, restructuring or reorganization of debtors (including provisions of any applicable corporations legislation dealing with the restructuring or rearrangement of debts), compromise, arrangement, adjustment, protection, moratorium, relief, stay of proceedings of creditors generally (or any class of creditors), or composition of any debtor or its indebtedness.</w:t>
      </w:r>
    </w:p>
    <w:p>
      <w:pPr>
        <w:spacing w:after="0" w:line="16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Insolvency Proceeding</w:t>
      </w:r>
      <w:r>
        <w:rPr>
          <w:rFonts w:ascii="Times New Roman" w:cs="Times New Roman" w:eastAsia="Times New Roman" w:hAnsi="Times New Roman"/>
          <w:sz w:val="21"/>
          <w:szCs w:val="21"/>
          <w:color w:val="auto"/>
        </w:rPr>
        <w:t>” means any proceeding commenced by or against any Person under any provision of Insolvency Law, assignments for the benefit of creditors, formal or informal moratoria, compositions, extensions generally with creditors, or proceedings seeking reorganization, arrangement, or other similar relief.</w:t>
      </w:r>
    </w:p>
    <w:p>
      <w:pPr>
        <w:spacing w:after="0" w:line="155"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Intellectual Property Office</w:t>
      </w:r>
      <w:r>
        <w:rPr>
          <w:rFonts w:ascii="Times New Roman" w:cs="Times New Roman" w:eastAsia="Times New Roman" w:hAnsi="Times New Roman"/>
          <w:sz w:val="21"/>
          <w:szCs w:val="21"/>
          <w:color w:val="auto"/>
        </w:rPr>
        <w:t>” means the United States Copyright Office, the United States Patent and Trademark Office or the Canadian Intellectual Property Office, as applicable.</w:t>
      </w:r>
    </w:p>
    <w:p>
      <w:pPr>
        <w:spacing w:after="0" w:line="11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Intercreditor Agreement</w:t>
      </w:r>
      <w:r>
        <w:rPr>
          <w:rFonts w:ascii="Times New Roman" w:cs="Times New Roman" w:eastAsia="Times New Roman" w:hAnsi="Times New Roman"/>
          <w:sz w:val="21"/>
          <w:szCs w:val="21"/>
          <w:color w:val="auto"/>
        </w:rPr>
        <w:t xml:space="preserve">” means an intercreditor agreement that is reasonably satisfactory to Agent and entered into by Agent pursuant to </w:t>
      </w:r>
      <w:r>
        <w:rPr>
          <w:rFonts w:ascii="Times New Roman" w:cs="Times New Roman" w:eastAsia="Times New Roman" w:hAnsi="Times New Roman"/>
          <w:sz w:val="21"/>
          <w:szCs w:val="21"/>
          <w:u w:val="single" w:color="auto"/>
          <w:color w:val="auto"/>
        </w:rPr>
        <w:t>Section 11.10(d)</w:t>
      </w:r>
      <w:r>
        <w:rPr>
          <w:rFonts w:ascii="Times New Roman" w:cs="Times New Roman" w:eastAsia="Times New Roman" w:hAnsi="Times New Roman"/>
          <w:sz w:val="21"/>
          <w:szCs w:val="21"/>
          <w:color w:val="auto"/>
        </w:rPr>
        <w:t>, as amended, modified, extended, renewed, restated or replaced from time to time.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8" w:right="339" w:bottom="1440" w:gutter="0" w:footer="0" w:header="0"/>
        </w:sectPr>
      </w:pPr>
    </w:p>
    <w:bookmarkStart w:id="108" w:name="page109"/>
    <w:bookmarkEnd w:id="108"/>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Interest Period</w:t>
      </w:r>
      <w:r>
        <w:rPr>
          <w:rFonts w:ascii="Times New Roman" w:cs="Times New Roman" w:eastAsia="Times New Roman" w:hAnsi="Times New Roman"/>
          <w:sz w:val="21"/>
          <w:szCs w:val="21"/>
          <w:color w:val="auto"/>
        </w:rPr>
        <w:t xml:space="preserve">” means, as to any Term CORRA Loan, Eurocurrency Rate Loan or Term SOFR Loan, the period commencing on the date such Loan is disbursed or converted to or continued as a Term CORRA Loan, Eurocurrency Rate Loan or Term SOFR Loan, as applicable, and ending on the date one (1), three (3) or (except with respect to any Term CORRA Loan) six (6) months thereafter, in each case as selected by the Borrower in its Notice of Borrowing or Notice of Conversion/Continuation and subject to availability;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w:t>
      </w:r>
    </w:p>
    <w:p>
      <w:pPr>
        <w:spacing w:after="0" w:line="167" w:lineRule="exact"/>
        <w:rPr>
          <w:sz w:val="20"/>
          <w:szCs w:val="20"/>
          <w:color w:val="auto"/>
        </w:rPr>
      </w:pPr>
    </w:p>
    <w:p>
      <w:pPr>
        <w:jc w:val="both"/>
        <w:ind w:firstLine="651"/>
        <w:spacing w:after="0" w:line="271" w:lineRule="auto"/>
        <w:tabs>
          <w:tab w:leader="none" w:pos="128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Interest Period shall commence on the date of advance of or conversion to any Term CORRA Loan, Eurocurrency Rate Loan or Term SOFR Loan, as applicable, and, in the case of immediately successive Interest Periods, each successive Interest Period shall commence on the date on which the immediately preceding Interest Period expires;</w:t>
      </w:r>
    </w:p>
    <w:p>
      <w:pPr>
        <w:spacing w:after="0" w:line="173" w:lineRule="exact"/>
        <w:rPr>
          <w:rFonts w:ascii="Times New Roman" w:cs="Times New Roman" w:eastAsia="Times New Roman" w:hAnsi="Times New Roman"/>
          <w:sz w:val="21"/>
          <w:szCs w:val="21"/>
          <w:color w:val="auto"/>
        </w:rPr>
      </w:pPr>
    </w:p>
    <w:p>
      <w:pPr>
        <w:jc w:val="both"/>
        <w:ind w:firstLine="651"/>
        <w:spacing w:after="0" w:line="265" w:lineRule="auto"/>
        <w:tabs>
          <w:tab w:leader="none" w:pos="1282"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66" w:lineRule="exact"/>
        <w:rPr>
          <w:rFonts w:ascii="Times New Roman" w:cs="Times New Roman" w:eastAsia="Times New Roman" w:hAnsi="Times New Roman"/>
          <w:sz w:val="21"/>
          <w:szCs w:val="21"/>
          <w:color w:val="auto"/>
        </w:rPr>
      </w:pPr>
    </w:p>
    <w:p>
      <w:pPr>
        <w:jc w:val="both"/>
        <w:ind w:firstLine="651"/>
        <w:spacing w:after="0" w:line="278" w:lineRule="auto"/>
        <w:tabs>
          <w:tab w:leader="none" w:pos="128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52"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Interest Period shall extend beyond the Maturity Date; and</w:t>
      </w:r>
    </w:p>
    <w:p>
      <w:pPr>
        <w:spacing w:after="0" w:line="227" w:lineRule="exact"/>
        <w:rPr>
          <w:rFonts w:ascii="Times New Roman" w:cs="Times New Roman" w:eastAsia="Times New Roman" w:hAnsi="Times New Roman"/>
          <w:sz w:val="21"/>
          <w:szCs w:val="21"/>
          <w:color w:val="auto"/>
        </w:rPr>
      </w:pPr>
    </w:p>
    <w:p>
      <w:pPr>
        <w:ind w:firstLine="651"/>
        <w:spacing w:after="0" w:line="290" w:lineRule="auto"/>
        <w:tabs>
          <w:tab w:leader="none" w:pos="1284"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tenor that has been removed from this definition pursuant to </w:t>
      </w:r>
      <w:r>
        <w:rPr>
          <w:rFonts w:ascii="Times New Roman" w:cs="Times New Roman" w:eastAsia="Times New Roman" w:hAnsi="Times New Roman"/>
          <w:sz w:val="21"/>
          <w:szCs w:val="21"/>
          <w:u w:val="single" w:color="auto"/>
          <w:color w:val="auto"/>
        </w:rPr>
        <w:t>Section 3.2(c)(iv)</w:t>
      </w:r>
      <w:r>
        <w:rPr>
          <w:rFonts w:ascii="Times New Roman" w:cs="Times New Roman" w:eastAsia="Times New Roman" w:hAnsi="Times New Roman"/>
          <w:sz w:val="21"/>
          <w:szCs w:val="21"/>
          <w:color w:val="auto"/>
        </w:rPr>
        <w:t xml:space="preserve"> shall be available for specification in any Notice of Borrowing or Notice of Conversion/Continuation.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Interest Rate</w:t>
      </w:r>
      <w:r>
        <w:rPr>
          <w:rFonts w:ascii="Times New Roman" w:cs="Times New Roman" w:eastAsia="Times New Roman" w:hAnsi="Times New Roman"/>
          <w:sz w:val="21"/>
          <w:szCs w:val="21"/>
          <w:color w:val="auto"/>
        </w:rPr>
        <w:t>” means:</w:t>
      </w:r>
    </w:p>
    <w:p>
      <w:pPr>
        <w:spacing w:after="0" w:line="214" w:lineRule="exact"/>
        <w:rPr>
          <w:sz w:val="20"/>
          <w:szCs w:val="20"/>
          <w:color w:val="auto"/>
        </w:rPr>
      </w:pPr>
    </w:p>
    <w:p>
      <w:pPr>
        <w:ind w:left="1300" w:hanging="649"/>
        <w:spacing w:after="0"/>
        <w:tabs>
          <w:tab w:leader="none" w:pos="130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to Term SOFR Loans, Term SOFR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Margin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or</w:t>
      </w:r>
    </w:p>
    <w:p>
      <w:pPr>
        <w:spacing w:after="0" w:line="187"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to U.S. Base Rate Loans, the U.S. Base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Margin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or</w:t>
      </w:r>
    </w:p>
    <w:p>
      <w:pPr>
        <w:spacing w:after="0" w:line="187"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to Eurocurrency Rate Loans, the Adjusted Eurocurrency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Margin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or</w:t>
      </w:r>
    </w:p>
    <w:p>
      <w:pPr>
        <w:spacing w:after="0" w:line="187"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to any Term CORRA Loans, Term CORRA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Margin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or</w:t>
      </w:r>
    </w:p>
    <w:p>
      <w:pPr>
        <w:spacing w:after="0" w:line="187" w:lineRule="exact"/>
        <w:rPr>
          <w:rFonts w:ascii="Times New Roman" w:cs="Times New Roman" w:eastAsia="Times New Roman" w:hAnsi="Times New Roman"/>
          <w:sz w:val="21"/>
          <w:szCs w:val="21"/>
          <w:color w:val="auto"/>
        </w:rPr>
      </w:pPr>
    </w:p>
    <w:p>
      <w:pPr>
        <w:ind w:left="1340" w:hanging="689"/>
        <w:spacing w:after="0"/>
        <w:tabs>
          <w:tab w:leader="none" w:pos="134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to Canadian Prime Rate Loans, the Canadian Prime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Applicable Margin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or</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35" w:lineRule="auto"/>
        <w:tabs>
          <w:tab w:leader="none" w:pos="1300"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rates described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above, the rate of 2%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in excess of the applicable Interest Rate described above and all fees payable in connection herewith shall apply (and shall be payable on demand by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9" w:right="339" w:bottom="1440" w:gutter="0" w:footer="0" w:header="0"/>
        </w:sectPr>
      </w:pPr>
    </w:p>
    <w:bookmarkStart w:id="109" w:name="page110"/>
    <w:bookmarkEnd w:id="109"/>
    <w:p>
      <w:pPr>
        <w:ind w:left="1920" w:hanging="626"/>
        <w:spacing w:after="0"/>
        <w:tabs>
          <w:tab w:leader="none" w:pos="192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automatically upon the occurrence and continuation of a Payment/Insolvency Event of Default; and</w:t>
      </w:r>
    </w:p>
    <w:p>
      <w:pPr>
        <w:spacing w:after="0" w:line="187" w:lineRule="exact"/>
        <w:rPr>
          <w:rFonts w:ascii="Times New Roman" w:cs="Times New Roman" w:eastAsia="Times New Roman" w:hAnsi="Times New Roman"/>
          <w:sz w:val="21"/>
          <w:szCs w:val="21"/>
          <w:color w:val="auto"/>
        </w:rPr>
      </w:pPr>
    </w:p>
    <w:p>
      <w:pPr>
        <w:ind w:left="1940" w:right="20" w:hanging="646"/>
        <w:spacing w:after="0" w:line="250" w:lineRule="auto"/>
        <w:tabs>
          <w:tab w:leader="none" w:pos="1934"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the election of Required Lenders (or Agent at the direction of Required Lenders) upon the occurrence and continuation of any other Event of Default.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Investment</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IP Collateral</w:t>
      </w:r>
      <w:r>
        <w:rPr>
          <w:rFonts w:ascii="Times New Roman" w:cs="Times New Roman" w:eastAsia="Times New Roman" w:hAnsi="Times New Roman"/>
          <w:sz w:val="21"/>
          <w:szCs w:val="21"/>
          <w:color w:val="auto"/>
        </w:rPr>
        <w:t>” means all of the Intellectual Property as such term is defined in the General Security Agreement.</w:t>
      </w:r>
    </w:p>
    <w:p>
      <w:pPr>
        <w:spacing w:after="0" w:line="22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IP Collateral License Agreement</w:t>
      </w:r>
      <w:r>
        <w:rPr>
          <w:rFonts w:ascii="Times New Roman" w:cs="Times New Roman" w:eastAsia="Times New Roman" w:hAnsi="Times New Roman"/>
          <w:sz w:val="21"/>
          <w:szCs w:val="21"/>
          <w:color w:val="auto"/>
        </w:rPr>
        <w:t>” means the amended and restated intellectual property license agreement dated November 16, 2009 granting Agent and its successors, transferees and assignees, a non-exclusive, royalty free perpetual license to the IP Collateral, but effective only upon the occurrence and continuance of an IP Grace Period, as the same now exists or may hereafter be amended, modified, supplemented, extended, renewed, restated or replaced.</w:t>
      </w:r>
    </w:p>
    <w:p>
      <w:pPr>
        <w:spacing w:after="0" w:line="1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IP Grace Period</w:t>
      </w:r>
      <w:r>
        <w:rPr>
          <w:rFonts w:ascii="Times New Roman" w:cs="Times New Roman" w:eastAsia="Times New Roman" w:hAnsi="Times New Roman"/>
          <w:sz w:val="21"/>
          <w:szCs w:val="21"/>
          <w:color w:val="auto"/>
        </w:rPr>
        <w:t xml:space="preserve">” means the period commencing on the date upon which Agent exercises its remedies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10.2(a)</w:t>
      </w:r>
      <w:r>
        <w:rPr>
          <w:rFonts w:ascii="Times New Roman" w:cs="Times New Roman" w:eastAsia="Times New Roman" w:hAnsi="Times New Roman"/>
          <w:sz w:val="21"/>
          <w:szCs w:val="21"/>
          <w:color w:val="auto"/>
        </w:rPr>
        <w:t xml:space="preserve"> and/or </w:t>
      </w:r>
      <w:r>
        <w:rPr>
          <w:rFonts w:ascii="Times New Roman" w:cs="Times New Roman" w:eastAsia="Times New Roman" w:hAnsi="Times New Roman"/>
          <w:sz w:val="21"/>
          <w:szCs w:val="21"/>
          <w:u w:val="single" w:color="auto"/>
          <w:color w:val="auto"/>
        </w:rPr>
        <w:t>Section 10.2(b)</w:t>
      </w:r>
      <w:r>
        <w:rPr>
          <w:rFonts w:ascii="Times New Roman" w:cs="Times New Roman" w:eastAsia="Times New Roman" w:hAnsi="Times New Roman"/>
          <w:sz w:val="21"/>
          <w:szCs w:val="21"/>
          <w:color w:val="auto"/>
        </w:rPr>
        <w:t xml:space="preserve"> hereof and ending 120 days thereafter.</w:t>
      </w:r>
    </w:p>
    <w:p>
      <w:pPr>
        <w:spacing w:after="0" w:line="14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Issuing Lender</w:t>
      </w:r>
      <w:r>
        <w:rPr>
          <w:rFonts w:ascii="Times New Roman" w:cs="Times New Roman" w:eastAsia="Times New Roman" w:hAnsi="Times New Roman"/>
          <w:sz w:val="21"/>
          <w:szCs w:val="21"/>
          <w:color w:val="auto"/>
        </w:rPr>
        <w:t>” means with respect to Letter of Credit Accommodations issued hereunder, Wells Fargo, in its capacity as issuer thereof, or any successor thereto.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ITA</w:t>
      </w:r>
      <w:r>
        <w:rPr>
          <w:rFonts w:ascii="Times New Roman" w:cs="Times New Roman" w:eastAsia="Times New Roman" w:hAnsi="Times New Roman"/>
          <w:sz w:val="21"/>
          <w:szCs w:val="21"/>
          <w:color w:val="auto"/>
        </w:rPr>
        <w:t xml:space="preserve">” means the </w:t>
      </w:r>
      <w:r>
        <w:rPr>
          <w:rFonts w:ascii="Times New Roman" w:cs="Times New Roman" w:eastAsia="Times New Roman" w:hAnsi="Times New Roman"/>
          <w:sz w:val="21"/>
          <w:szCs w:val="21"/>
          <w:i w:val="1"/>
          <w:iCs w:val="1"/>
          <w:color w:val="auto"/>
        </w:rPr>
        <w:t>Income Tax Act</w:t>
      </w:r>
      <w:r>
        <w:rPr>
          <w:rFonts w:ascii="Times New Roman" w:cs="Times New Roman" w:eastAsia="Times New Roman" w:hAnsi="Times New Roman"/>
          <w:sz w:val="21"/>
          <w:szCs w:val="21"/>
          <w:color w:val="auto"/>
        </w:rPr>
        <w:t>, R.S.C. 1985, c.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Supplement).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LCA Test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13.13</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Lender Joinder Agreement</w:t>
      </w:r>
      <w:r>
        <w:rPr>
          <w:rFonts w:ascii="Times New Roman" w:cs="Times New Roman" w:eastAsia="Times New Roman" w:hAnsi="Times New Roman"/>
          <w:sz w:val="21"/>
          <w:szCs w:val="21"/>
          <w:color w:val="auto"/>
        </w:rPr>
        <w:t xml:space="preserve">” means a joinder agreement in form and substance reasonably satisfactory to Agent and executed and delivered in connection with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Lenders</w:t>
      </w:r>
      <w:r>
        <w:rPr>
          <w:rFonts w:ascii="Times New Roman" w:cs="Times New Roman" w:eastAsia="Times New Roman" w:hAnsi="Times New Roman"/>
          <w:sz w:val="21"/>
          <w:szCs w:val="21"/>
          <w:color w:val="auto"/>
        </w:rPr>
        <w:t>” means each Person executing this Agreement as a Lender on the Restatement Effective Date (including the Swingline Lender) and any other Person that becomes a party hereto as a Lender pursuant to an Assignment and Assumption Agreement or the relevant Lender Joinder Agreement, other than any Person that ceases to be a party hereto as a Lender pursuant to an Assignment and Assumption Agreement.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Lending Office</w:t>
      </w:r>
      <w:r>
        <w:rPr>
          <w:rFonts w:ascii="Times New Roman" w:cs="Times New Roman" w:eastAsia="Times New Roman" w:hAnsi="Times New Roman"/>
          <w:sz w:val="21"/>
          <w:szCs w:val="21"/>
          <w:color w:val="auto"/>
        </w:rPr>
        <w:t>” means, with respect to any Lender, the office of such Lender maintaining such Lender’s Loans.</w:t>
      </w:r>
    </w:p>
    <w:p>
      <w:pPr>
        <w:spacing w:after="0" w:line="24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Letter of Credit Accommodations</w:t>
      </w:r>
      <w:r>
        <w:rPr>
          <w:rFonts w:ascii="Times New Roman" w:cs="Times New Roman" w:eastAsia="Times New Roman" w:hAnsi="Times New Roman"/>
          <w:sz w:val="21"/>
          <w:szCs w:val="21"/>
          <w:color w:val="auto"/>
        </w:rPr>
        <w:t>” means the letters of credit, merchandise purchase or other guarantees denominated in U.S. Dollars which are from time to time either (a) issued or opened by Issuing Lender for the account of Borrower or any Credit Party or (b) with respect to which Issuing Lender has agreed to indemnify the issuer or guaranteed to the issuer the performance by any Credit Party of its obligations to such issuer, and shall include the existing letters of credit, merchandise purchase and other guarantees issued and currently outstanding under the Fifth Amended and Restated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10" w:name="page111"/>
    <w:bookmarkEnd w:id="110"/>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Letter of Credit Accommodations Sublimit</w:t>
      </w:r>
      <w:r>
        <w:rPr>
          <w:rFonts w:ascii="Times New Roman" w:cs="Times New Roman" w:eastAsia="Times New Roman" w:hAnsi="Times New Roman"/>
          <w:sz w:val="21"/>
          <w:szCs w:val="21"/>
          <w:color w:val="auto"/>
        </w:rPr>
        <w:t xml:space="preserve">” means $25,000,000;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such amount shall be temporarily increased to $150,000,000 upon receipt by Agent of written notice from Borrower that it has initiated a formal bid process to buy the remaining Equity Interests of IMAX Cayman (the “</w:t>
      </w:r>
      <w:r>
        <w:rPr>
          <w:rFonts w:ascii="Times New Roman" w:cs="Times New Roman" w:eastAsia="Times New Roman" w:hAnsi="Times New Roman"/>
          <w:sz w:val="21"/>
          <w:szCs w:val="21"/>
          <w:b w:val="1"/>
          <w:bCs w:val="1"/>
          <w:color w:val="auto"/>
        </w:rPr>
        <w:t>Specified Transaction</w:t>
      </w:r>
      <w:r>
        <w:rPr>
          <w:rFonts w:ascii="Times New Roman" w:cs="Times New Roman" w:eastAsia="Times New Roman" w:hAnsi="Times New Roman"/>
          <w:sz w:val="21"/>
          <w:szCs w:val="21"/>
          <w:color w:val="auto"/>
        </w:rPr>
        <w:t xml:space="preserve">”) until the earlier to occur of (a) the consummation of the Specified Transaction and (b) the termination of all commitments or obligations of Borrower and its Subsidiaries to continue to pursue the Specified Transaction (as determined by the Borrower in good faith); </w:t>
      </w:r>
      <w:r>
        <w:rPr>
          <w:rFonts w:ascii="Times New Roman" w:cs="Times New Roman" w:eastAsia="Times New Roman" w:hAnsi="Times New Roman"/>
          <w:sz w:val="21"/>
          <w:szCs w:val="21"/>
          <w:u w:val="single" w:color="auto"/>
          <w:color w:val="auto"/>
        </w:rPr>
        <w:t>provided further that</w:t>
      </w:r>
      <w:r>
        <w:rPr>
          <w:rFonts w:ascii="Times New Roman" w:cs="Times New Roman" w:eastAsia="Times New Roman" w:hAnsi="Times New Roman"/>
          <w:sz w:val="21"/>
          <w:szCs w:val="21"/>
          <w:color w:val="auto"/>
        </w:rPr>
        <w:t xml:space="preserve"> such increased amount of the Letter of Credit Accommodations Sublimit shall only be used to finance the Specified Transaction and any costs and expenses related thereto.</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License Agreements</w:t>
      </w:r>
      <w:r>
        <w:rPr>
          <w:rFonts w:ascii="Times New Roman" w:cs="Times New Roman" w:eastAsia="Times New Roman" w:hAnsi="Times New Roman"/>
          <w:sz w:val="21"/>
          <w:szCs w:val="21"/>
          <w:color w:val="auto"/>
        </w:rPr>
        <w:t>” shall have the meaning set forth in the General Security Agreement.</w:t>
      </w:r>
    </w:p>
    <w:p>
      <w:pPr>
        <w:spacing w:after="0" w:line="241"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Lien</w:t>
      </w:r>
      <w:r>
        <w:rPr>
          <w:rFonts w:ascii="Times New Roman" w:cs="Times New Roman" w:eastAsia="Times New Roman" w:hAnsi="Times New Roman"/>
          <w:sz w:val="21"/>
          <w:szCs w:val="21"/>
          <w:color w:val="auto"/>
        </w:rPr>
        <w:t xml:space="preserve">” means any security interest, mortgage, pledge, hypothec, lien, charge or other lien of any nature whatsoever (including those created by statute);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in no event shall an operating lease or an agreement to sell be deemed to constitute a Lien.</w:t>
      </w:r>
    </w:p>
    <w:p>
      <w:pPr>
        <w:spacing w:after="0" w:line="13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Limited Condition Acquisition</w:t>
      </w:r>
      <w:r>
        <w:rPr>
          <w:rFonts w:ascii="Times New Roman" w:cs="Times New Roman" w:eastAsia="Times New Roman" w:hAnsi="Times New Roman"/>
          <w:sz w:val="21"/>
          <w:szCs w:val="21"/>
          <w:color w:val="auto"/>
        </w:rPr>
        <w:t>” means any Acquisition or other investment that (a) is not prohibited hereunder and (b) is not conditioned on the availability of, or on obtaining, third-party financing.</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Loans</w:t>
      </w:r>
      <w:r>
        <w:rPr>
          <w:rFonts w:ascii="Times New Roman" w:cs="Times New Roman" w:eastAsia="Times New Roman" w:hAnsi="Times New Roman"/>
          <w:sz w:val="21"/>
          <w:szCs w:val="21"/>
          <w:color w:val="auto"/>
        </w:rPr>
        <w:t>” means, collectively, the Revolving Loans, the Swingline Loans and, if applicable, the Incremental Term Loans.</w:t>
      </w:r>
    </w:p>
    <w:p>
      <w:pPr>
        <w:spacing w:after="0" w:line="228"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Acquisition</w:t>
      </w:r>
      <w:r>
        <w:rPr>
          <w:rFonts w:ascii="Times New Roman" w:cs="Times New Roman" w:eastAsia="Times New Roman" w:hAnsi="Times New Roman"/>
          <w:sz w:val="21"/>
          <w:szCs w:val="21"/>
          <w:color w:val="auto"/>
        </w:rPr>
        <w:t>” means any transaction, or any series of related transactions, which is a Permitted Investment consummated on or after the Restatement Effective Date, by which any Credit Party or any of its Subsidiaries:</w:t>
      </w:r>
    </w:p>
    <w:p>
      <w:pPr>
        <w:spacing w:after="0" w:line="97" w:lineRule="exact"/>
        <w:rPr>
          <w:sz w:val="20"/>
          <w:szCs w:val="20"/>
          <w:color w:val="auto"/>
        </w:rPr>
      </w:pPr>
    </w:p>
    <w:p>
      <w:pPr>
        <w:jc w:val="both"/>
        <w:ind w:left="1300" w:hanging="649"/>
        <w:spacing w:after="0" w:line="222" w:lineRule="auto"/>
        <w:tabs>
          <w:tab w:leader="none" w:pos="1297"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acquires any business or all or substantially all of the assets of any Person, or division thereof, whether through purchase of assets, merger or otherwise or (ii)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 (each an “</w:t>
      </w:r>
      <w:r>
        <w:rPr>
          <w:rFonts w:ascii="Times New Roman" w:cs="Times New Roman" w:eastAsia="Times New Roman" w:hAnsi="Times New Roman"/>
          <w:sz w:val="21"/>
          <w:szCs w:val="21"/>
          <w:b w:val="1"/>
          <w:bCs w:val="1"/>
          <w:color w:val="auto"/>
        </w:rPr>
        <w:t>Acquisition</w:t>
      </w:r>
      <w:r>
        <w:rPr>
          <w:rFonts w:ascii="Times New Roman" w:cs="Times New Roman" w:eastAsia="Times New Roman" w:hAnsi="Times New Roman"/>
          <w:sz w:val="21"/>
          <w:szCs w:val="21"/>
          <w:color w:val="auto"/>
        </w:rPr>
        <w:t>”); and</w:t>
      </w:r>
    </w:p>
    <w:p>
      <w:pPr>
        <w:spacing w:after="0" w:line="152"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consideration payable for such Acquisition is equal to or greater than the lesser of (i) $100,000,000 and (ii) twenty-five percent (25%) of TTM Revenue (other than any consideration paid for by the issuance of Equity Interests and/or using the proceeds received from the sale of Equity Interests).</w:t>
      </w:r>
    </w:p>
    <w:p>
      <w:pPr>
        <w:spacing w:after="0" w:line="178" w:lineRule="exact"/>
        <w:rPr>
          <w:rFonts w:ascii="Times New Roman" w:cs="Times New Roman" w:eastAsia="Times New Roman" w:hAnsi="Times New Roman"/>
          <w:sz w:val="21"/>
          <w:szCs w:val="21"/>
          <w:color w:val="auto"/>
        </w:rPr>
      </w:pPr>
    </w:p>
    <w:p>
      <w:pPr>
        <w:ind w:left="660" w:right="20" w:hanging="9"/>
        <w:spacing w:after="0" w:line="290" w:lineRule="auto"/>
        <w:tabs>
          <w:tab w:leader="none" w:pos="1300"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the Specified Transaction shall constitute a Material Acquisition upon the consummation thereof, if applicable.</w:t>
      </w:r>
    </w:p>
    <w:p>
      <w:pPr>
        <w:spacing w:after="0" w:line="13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Adverse Effect</w:t>
      </w:r>
      <w:r>
        <w:rPr>
          <w:rFonts w:ascii="Times New Roman" w:cs="Times New Roman" w:eastAsia="Times New Roman" w:hAnsi="Times New Roman"/>
          <w:sz w:val="21"/>
          <w:szCs w:val="21"/>
          <w:color w:val="auto"/>
        </w:rPr>
        <w:t>” means, with respect to Borrower and its Subsidiaries, (a) a material adverse effect on the properties, business, operations, liabilities (actual or contingent) or financial condition of any such Persons, taken as a whole, (b) a material adverse effect on the ability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8" w:right="339" w:bottom="1440" w:gutter="0" w:footer="0" w:header="0"/>
        </w:sectPr>
      </w:pPr>
    </w:p>
    <w:bookmarkStart w:id="111" w:name="page112"/>
    <w:bookmarkEnd w:id="111"/>
    <w:p>
      <w:pPr>
        <w:jc w:val="both"/>
        <w:spacing w:after="0" w:line="270" w:lineRule="auto"/>
        <w:rPr>
          <w:sz w:val="20"/>
          <w:szCs w:val="20"/>
          <w:color w:val="auto"/>
        </w:rPr>
      </w:pPr>
      <w:r>
        <w:rPr>
          <w:rFonts w:ascii="Times New Roman" w:cs="Times New Roman" w:eastAsia="Times New Roman" w:hAnsi="Times New Roman"/>
          <w:sz w:val="21"/>
          <w:szCs w:val="21"/>
          <w:color w:val="auto"/>
        </w:rPr>
        <w:t>any such Persons, taken as a whole, to perform their respective obligations under the Financing Agreements to which any of the Credit Parties is a party, (c) a material adverse effect on the rights and remedies of Agent or the Lenders under any Financing Agreements or (d) a material adverse effect on the legality, validity, binding effect or enforceability against any Credit Party of any Financing Agreement to which it is a party.</w:t>
      </w:r>
    </w:p>
    <w:p>
      <w:pPr>
        <w:spacing w:after="0" w:line="1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Real Property</w:t>
      </w:r>
      <w:r>
        <w:rPr>
          <w:rFonts w:ascii="Times New Roman" w:cs="Times New Roman" w:eastAsia="Times New Roman" w:hAnsi="Times New Roman"/>
          <w:sz w:val="21"/>
          <w:szCs w:val="21"/>
          <w:color w:val="auto"/>
        </w:rPr>
        <w:t xml:space="preserve">” means any real property owned in fee simple (or local law equivalent) and acquired by a Credit Party after the Fifth A&amp;R Closing Date with a market value or purchase price in excess of $5,000,000;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the avoidance of doubt, neither the Mississauga Property nor the Playa Vista Property shall constitute “Material Real Property.”</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Subsidiary</w:t>
      </w:r>
      <w:r>
        <w:rPr>
          <w:rFonts w:ascii="Times New Roman" w:cs="Times New Roman" w:eastAsia="Times New Roman" w:hAnsi="Times New Roman"/>
          <w:sz w:val="21"/>
          <w:szCs w:val="21"/>
          <w:color w:val="auto"/>
        </w:rPr>
        <w:t>” means any Subsidiary of any Credit Party that accounts for greater than 10% of the revenues of Borrower on a consolidated basis other than (a) IMAX China Multimedia, IMAX China Theatre, IMAX China HK, Playa Vista Borrower and IMAX Cayman and its Subsidiaries; (b) a Subsidiary that is not wholly owned directly by a Credit Party or one or more of its wholly owned Subsidiaries; (c) a charitable or not-for-profit Subsidiary reasonably designated as such by Borrower; (d) any Subsidiary that is prohibited by Applicable Law, or by any contractual obligation from guaranteeing the applicable Obligations or which would require governmental and/or regulatory consent, approval, license or authorization to provide such guarantee, unless such consent, approval, license or authorization has been received (provided Borrower agrees to use commercially reasonable efforts to obtain such contractual or governmental consent and/or regulatory consent, approval, license or authorization if reasonably requested by Agent), or which would result in material adverse tax consequences to any Credit Party and/or any of its Subsidiaries as reasonably determined by Borrower and Agent; (e) any Subsidiary that is created solely for the purpose of consummating a transaction pursuant to an acquisition permitted hereunder but only until such transaction is consummated, if such new Subsidiary at no time holds any assets or liabilities other than any merger or amalgamation consideration contributed to it contemporaneously with the closing of such transactions; (f) any Subsidiary acquired pursuant to a Permitted Investment and financed with secured Debt permitted to be incurred hereunder as assumed Debt (and not incurred in contemplation of such acquisition), and each Subsidiary acquired in such Permitted Investments that guarantees such Debt, in each case to the extent that, and for so long as, the documentation relating to such Debt to which such Subsidiary is a party prohibits such Subsidiary from guaranteeing the Obligations and such prohibition was not created in contemplation of such Permitted Investment; and (g) any other Subsidiary with respect to which, in the reasonable judgment of Borrower (as agreed to in writing by Agent), the cost or other consequences of guaranteeing the Obligations would be excessive in view of the benefits to be obtained by the Lenders therefrom.</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Maturity Date</w:t>
      </w:r>
      <w:r>
        <w:rPr>
          <w:rFonts w:ascii="Times New Roman" w:cs="Times New Roman" w:eastAsia="Times New Roman" w:hAnsi="Times New Roman"/>
          <w:sz w:val="21"/>
          <w:szCs w:val="21"/>
          <w:color w:val="auto"/>
        </w:rPr>
        <w:t>” means the earlier of:</w:t>
      </w:r>
    </w:p>
    <w:p>
      <w:pPr>
        <w:spacing w:after="0" w:line="205" w:lineRule="exact"/>
        <w:rPr>
          <w:sz w:val="20"/>
          <w:szCs w:val="20"/>
          <w:color w:val="auto"/>
        </w:rPr>
      </w:pPr>
    </w:p>
    <w:p>
      <w:pPr>
        <w:ind w:left="1300" w:hanging="649"/>
        <w:spacing w:after="0"/>
        <w:tabs>
          <w:tab w:leader="none" w:pos="130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demand for payment under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and</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5th anniversary of the Restatement Effective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any Permitted Convertible Debt incurred after the Restatement Effective Date pursuant to </w:t>
      </w:r>
      <w:r>
        <w:rPr>
          <w:rFonts w:ascii="Times New Roman" w:cs="Times New Roman" w:eastAsia="Times New Roman" w:hAnsi="Times New Roman"/>
          <w:sz w:val="21"/>
          <w:szCs w:val="21"/>
          <w:u w:val="single" w:color="auto"/>
          <w:color w:val="auto"/>
        </w:rPr>
        <w:t>Section 8.3(h)</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8.3(m)</w:t>
      </w:r>
      <w:r>
        <w:rPr>
          <w:rFonts w:ascii="Times New Roman" w:cs="Times New Roman" w:eastAsia="Times New Roman" w:hAnsi="Times New Roman"/>
          <w:sz w:val="21"/>
          <w:szCs w:val="21"/>
          <w:color w:val="auto"/>
        </w:rPr>
        <w:t xml:space="preserve"> has a maturity date that is earlier than 91 days after the Maturity Date and the aggregate amount of any such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12" w:name="page113"/>
    <w:bookmarkEnd w:id="112"/>
    <w:p>
      <w:pPr>
        <w:jc w:val="both"/>
        <w:ind w:left="1300"/>
        <w:spacing w:after="0" w:line="234" w:lineRule="auto"/>
        <w:rPr>
          <w:sz w:val="20"/>
          <w:szCs w:val="20"/>
          <w:color w:val="auto"/>
        </w:rPr>
      </w:pPr>
      <w:r>
        <w:rPr>
          <w:rFonts w:ascii="Times New Roman" w:cs="Times New Roman" w:eastAsia="Times New Roman" w:hAnsi="Times New Roman"/>
          <w:sz w:val="21"/>
          <w:szCs w:val="21"/>
          <w:color w:val="auto"/>
        </w:rPr>
        <w:t>Convertible Debt that remains outstanding on the date that is 91 days prior to the earliest maturity date of any such Permitted Convertible Debt (the “</w:t>
      </w:r>
      <w:r>
        <w:rPr>
          <w:rFonts w:ascii="Times New Roman" w:cs="Times New Roman" w:eastAsia="Times New Roman" w:hAnsi="Times New Roman"/>
          <w:sz w:val="21"/>
          <w:szCs w:val="21"/>
          <w:u w:val="single" w:color="auto"/>
          <w:color w:val="auto"/>
        </w:rPr>
        <w:t>Springing Maturity Date</w:t>
      </w:r>
      <w:r>
        <w:rPr>
          <w:rFonts w:ascii="Times New Roman" w:cs="Times New Roman" w:eastAsia="Times New Roman" w:hAnsi="Times New Roman"/>
          <w:sz w:val="21"/>
          <w:szCs w:val="21"/>
          <w:color w:val="auto"/>
        </w:rPr>
        <w:t>”) exceeds $100,000,000, then the Maturity Date shall automatically be modified to be the Springing Maturity Date.</w:t>
      </w:r>
    </w:p>
    <w:p>
      <w:pPr>
        <w:spacing w:after="0" w:line="17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Maximum Incremental Amount</w:t>
      </w:r>
      <w:r>
        <w:rPr>
          <w:rFonts w:ascii="Times New Roman" w:cs="Times New Roman" w:eastAsia="Times New Roman" w:hAnsi="Times New Roman"/>
          <w:sz w:val="21"/>
          <w:szCs w:val="21"/>
          <w:color w:val="auto"/>
        </w:rPr>
        <w:t xml:space="preserve">” means, collectively, the Fixed Incremental Amount, the Ratio Incremental Amount and the Voluntary Prepayment Amount;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order and combination of the utilization of any component of the Maximum Incremental Amount shall be directed by Borrower in writing in its sole discretion subject to the terms of this Agreement on or prior to the date any commitment therefor is entered into and if not so directed shall be deemed to have been incurred in reliance first on the Ratio Incremental Amount, second on the Voluntary Prepayment Amount and third on the Fixed Incremental Amount.</w:t>
      </w:r>
    </w:p>
    <w:p>
      <w:pPr>
        <w:spacing w:after="0" w:line="1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Mississauga Property</w:t>
      </w:r>
      <w:r>
        <w:rPr>
          <w:rFonts w:ascii="Times New Roman" w:cs="Times New Roman" w:eastAsia="Times New Roman" w:hAnsi="Times New Roman"/>
          <w:sz w:val="21"/>
          <w:szCs w:val="21"/>
          <w:color w:val="auto"/>
        </w:rPr>
        <w:t>” means the property located at 2525 Speakman Drive, Mississauga, Ontario L5K 1B1 legally owned by 1329507 Ontario Inc. and beneficially owned by Borrower.</w:t>
      </w:r>
    </w:p>
    <w:p>
      <w:pPr>
        <w:spacing w:after="0" w:line="13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Mortgages</w:t>
      </w:r>
      <w:r>
        <w:rPr>
          <w:rFonts w:ascii="Times New Roman" w:cs="Times New Roman" w:eastAsia="Times New Roman" w:hAnsi="Times New Roman"/>
          <w:sz w:val="21"/>
          <w:szCs w:val="21"/>
          <w:color w:val="auto"/>
        </w:rPr>
        <w:t>” means the collective reference to each mortgage, deed of trust or other real property security document, encumbering any real property now or hereafter owned by any Credit Party, in each case, in form and substance reasonably satisfactory to Agent and executed by such Credit Party in favor of Agent, for the ratable benefit of the Secured Parties, as any such document now exists or may hereafter be amended, modified, supplemented, extended, renewed, restated or replaced.</w:t>
      </w:r>
    </w:p>
    <w:p>
      <w:pPr>
        <w:spacing w:after="0" w:line="15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Multiemployer Plan</w:t>
      </w:r>
      <w:r>
        <w:rPr>
          <w:rFonts w:ascii="Times New Roman" w:cs="Times New Roman" w:eastAsia="Times New Roman" w:hAnsi="Times New Roman"/>
          <w:sz w:val="21"/>
          <w:szCs w:val="21"/>
          <w:color w:val="auto"/>
        </w:rPr>
        <w:t>” means a “</w:t>
      </w:r>
      <w:r>
        <w:rPr>
          <w:rFonts w:ascii="Times New Roman" w:cs="Times New Roman" w:eastAsia="Times New Roman" w:hAnsi="Times New Roman"/>
          <w:sz w:val="21"/>
          <w:szCs w:val="21"/>
          <w:b w:val="1"/>
          <w:bCs w:val="1"/>
          <w:color w:val="auto"/>
        </w:rPr>
        <w:t>multi-employer plan</w:t>
      </w:r>
      <w:r>
        <w:rPr>
          <w:rFonts w:ascii="Times New Roman" w:cs="Times New Roman" w:eastAsia="Times New Roman" w:hAnsi="Times New Roman"/>
          <w:sz w:val="21"/>
          <w:szCs w:val="21"/>
          <w:color w:val="auto"/>
        </w:rPr>
        <w:t xml:space="preserve">” as defined in </w:t>
      </w:r>
      <w:r>
        <w:rPr>
          <w:rFonts w:ascii="Times New Roman" w:cs="Times New Roman" w:eastAsia="Times New Roman" w:hAnsi="Times New Roman"/>
          <w:sz w:val="21"/>
          <w:szCs w:val="21"/>
          <w:u w:val="single" w:color="auto"/>
          <w:color w:val="auto"/>
        </w:rPr>
        <w:t>Section 4001(a)(3)</w:t>
      </w:r>
      <w:r>
        <w:rPr>
          <w:rFonts w:ascii="Times New Roman" w:cs="Times New Roman" w:eastAsia="Times New Roman" w:hAnsi="Times New Roman"/>
          <w:sz w:val="21"/>
          <w:szCs w:val="21"/>
          <w:color w:val="auto"/>
        </w:rPr>
        <w:t xml:space="preserve"> of ERISA which is or was at any time during the current year or the immediately preceding 6 years contributed to by Borrower or any ERISA Affiliate or with respect to which Borrower or any ERISA Affiliate may incur any liability.</w:t>
      </w:r>
    </w:p>
    <w:p>
      <w:pPr>
        <w:spacing w:after="0" w:line="16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Non-Consenting Lender</w:t>
      </w:r>
      <w:r>
        <w:rPr>
          <w:rFonts w:ascii="Times New Roman" w:cs="Times New Roman" w:eastAsia="Times New Roman" w:hAnsi="Times New Roman"/>
          <w:sz w:val="21"/>
          <w:szCs w:val="21"/>
          <w:color w:val="auto"/>
        </w:rPr>
        <w:t xml:space="preserve">” means any Lender that does not approve any consent, waiver or amendment that (a) requires the approval of all Lenders or all affected Lenders in accordance with the terms of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 xml:space="preserve"> and (b) has been approved by the Required Lenders.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Non-Defaulting Lender</w:t>
      </w:r>
      <w:r>
        <w:rPr>
          <w:rFonts w:ascii="Times New Roman" w:cs="Times New Roman" w:eastAsia="Times New Roman" w:hAnsi="Times New Roman"/>
          <w:sz w:val="21"/>
          <w:szCs w:val="21"/>
          <w:color w:val="auto"/>
        </w:rPr>
        <w:t>” means, at any time, each Revolving Lender that is not a Defaulting Lender at such time.</w:t>
      </w:r>
    </w:p>
    <w:p>
      <w:pPr>
        <w:spacing w:after="0" w:line="2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Non-Funding Lender</w:t>
      </w:r>
      <w:r>
        <w:rPr>
          <w:rFonts w:ascii="Times New Roman" w:cs="Times New Roman" w:eastAsia="Times New Roman" w:hAnsi="Times New Roman"/>
          <w:sz w:val="21"/>
          <w:szCs w:val="21"/>
          <w:color w:val="auto"/>
        </w:rPr>
        <w:t>” means any Lender that has failed to (a) fund all or any portion of the Revolving Loans or any Incremental Term Loan required to be funded by it hereunder within two Business Days of the date such Loans were required to be funded hereunder unless such Lender notifies the Agent and the Borrower in writing that such failure is the result of such Lender’s good faith determination that one or more conditions precedent to funding (each of which conditions precedent, together with any applicable default, shall be specifically identified in such writing) has not been satisfied, or (b) pay to the Agent, any Issuing Lender, the Swingline Lender or any other Lender any other amount required to be paid by it hereunder within two Business Days of the date when due.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Notice of Borrowing</w:t>
      </w:r>
      <w:r>
        <w:rPr>
          <w:rFonts w:ascii="Times New Roman" w:cs="Times New Roman" w:eastAsia="Times New Roman" w:hAnsi="Times New Roman"/>
          <w:sz w:val="21"/>
          <w:szCs w:val="21"/>
          <w:color w:val="auto"/>
        </w:rPr>
        <w:t xml:space="preserve">” means a notice of borrowing substantially in the form attached as </w:t>
      </w:r>
      <w:r>
        <w:rPr>
          <w:rFonts w:ascii="Times New Roman" w:cs="Times New Roman" w:eastAsia="Times New Roman" w:hAnsi="Times New Roman"/>
          <w:sz w:val="21"/>
          <w:szCs w:val="21"/>
          <w:u w:val="single" w:color="auto"/>
          <w:color w:val="auto"/>
        </w:rPr>
        <w:t>Exhibit D</w:t>
      </w:r>
      <w:r>
        <w:rPr>
          <w:rFonts w:ascii="Times New Roman" w:cs="Times New Roman" w:eastAsia="Times New Roman" w:hAnsi="Times New Roman"/>
          <w:sz w:val="21"/>
          <w:szCs w:val="21"/>
          <w:color w:val="auto"/>
        </w:rPr>
        <w:t xml:space="preserve">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13" w:name="page114"/>
    <w:bookmarkEnd w:id="113"/>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Notice of Conversion/Continuation</w:t>
      </w:r>
      <w:r>
        <w:rPr>
          <w:rFonts w:ascii="Times New Roman" w:cs="Times New Roman" w:eastAsia="Times New Roman" w:hAnsi="Times New Roman"/>
          <w:sz w:val="21"/>
          <w:szCs w:val="21"/>
          <w:color w:val="auto"/>
        </w:rPr>
        <w:t xml:space="preserve">” means a notice of conversion/continuation substantially in the form attached as </w:t>
      </w:r>
      <w:r>
        <w:rPr>
          <w:rFonts w:ascii="Times New Roman" w:cs="Times New Roman" w:eastAsia="Times New Roman" w:hAnsi="Times New Roman"/>
          <w:sz w:val="21"/>
          <w:szCs w:val="21"/>
          <w:u w:val="single" w:color="auto"/>
          <w:color w:val="auto"/>
        </w:rPr>
        <w:t>Exhibit E</w:t>
      </w:r>
      <w:r>
        <w:rPr>
          <w:rFonts w:ascii="Times New Roman" w:cs="Times New Roman" w:eastAsia="Times New Roman" w:hAnsi="Times New Roman"/>
          <w:sz w:val="21"/>
          <w:szCs w:val="21"/>
          <w:color w:val="auto"/>
        </w:rPr>
        <w:t xml:space="preserve"> hereto.</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Notice of Prepayment</w:t>
      </w:r>
      <w:r>
        <w:rPr>
          <w:rFonts w:ascii="Times New Roman" w:cs="Times New Roman" w:eastAsia="Times New Roman" w:hAnsi="Times New Roman"/>
          <w:sz w:val="21"/>
          <w:szCs w:val="21"/>
          <w:color w:val="auto"/>
        </w:rPr>
        <w:t xml:space="preserve">” means a notice of prepayment substantially in the form attached as </w:t>
      </w:r>
      <w:r>
        <w:rPr>
          <w:rFonts w:ascii="Times New Roman" w:cs="Times New Roman" w:eastAsia="Times New Roman" w:hAnsi="Times New Roman"/>
          <w:sz w:val="21"/>
          <w:szCs w:val="21"/>
          <w:u w:val="single" w:color="auto"/>
          <w:color w:val="auto"/>
        </w:rPr>
        <w:t>Exhibit F</w:t>
      </w:r>
      <w:r>
        <w:rPr>
          <w:rFonts w:ascii="Times New Roman" w:cs="Times New Roman" w:eastAsia="Times New Roman" w:hAnsi="Times New Roman"/>
          <w:sz w:val="21"/>
          <w:szCs w:val="21"/>
          <w:color w:val="auto"/>
        </w:rPr>
        <w:t xml:space="preserve"> hereto.</w:t>
      </w:r>
    </w:p>
    <w:p>
      <w:pPr>
        <w:spacing w:after="0" w:line="2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Obligations</w:t>
      </w:r>
      <w:r>
        <w:rPr>
          <w:rFonts w:ascii="Times New Roman" w:cs="Times New Roman" w:eastAsia="Times New Roman" w:hAnsi="Times New Roman"/>
          <w:sz w:val="21"/>
          <w:szCs w:val="21"/>
          <w:color w:val="auto"/>
        </w:rPr>
        <w:t xml:space="preserve">” means any and all Loans, Letter of Credit Accommodations and all other obligations, liabilities and indebtedness of every kind, nature and description owing by any Credit Party to Agent, Lenders and their respective Affiliates including principal, interest, charges, indemnifications for Letter of Credit Accommodations or otherwise, fees, costs and expenses, however evidenced, whether as principal or otherwise, arising under or in connection with the Financing Agreements, Secured Hedge Agreements and Secured Cash Management Agreements, as amended, modified, supplemented, extended, renewed, restated, replaced or superseded, in whole or in part, from time to time and/or Applicable Laws, whether now existing or hereafter arising, whether arising before, during or after the initial or any renewal term of this Agreement or after the commencement of any proceeding with respect to any Credit Party under Insolvency Laws (including the payment of interest and other amounts which would accrue and become due but for the commencement of such proceeding, whether or not such amounts are allowed or allowable in whole or in part in such proceeding), whether direct or indirect, absolute or contingent, joint or several, due or not due, primary or secondary, liquidated or unliquidated, secured or unsecured;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“Obligations” of a Credit Party shall exclude any Excluded Swap Obligations with respect to such Credit Party. For greater certainty, the obligations, liabilities and indebtedness owing under or in connection with the BMO and National Bank Facilities are not included in “</w:t>
      </w:r>
      <w:r>
        <w:rPr>
          <w:rFonts w:ascii="Times New Roman" w:cs="Times New Roman" w:eastAsia="Times New Roman" w:hAnsi="Times New Roman"/>
          <w:sz w:val="21"/>
          <w:szCs w:val="21"/>
          <w:b w:val="1"/>
          <w:bCs w:val="1"/>
          <w:color w:val="auto"/>
        </w:rPr>
        <w:t>Obligations</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OFAC</w:t>
      </w:r>
      <w:r>
        <w:rPr>
          <w:rFonts w:ascii="Times New Roman" w:cs="Times New Roman" w:eastAsia="Times New Roman" w:hAnsi="Times New Roman"/>
          <w:sz w:val="21"/>
          <w:szCs w:val="21"/>
          <w:color w:val="auto"/>
        </w:rPr>
        <w:t>” means the U.S. Department of the Treasury’s Office of Foreign Assets Control.</w:t>
      </w:r>
    </w:p>
    <w:p>
      <w:pPr>
        <w:spacing w:after="0" w:line="228"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Operating Lease</w:t>
      </w:r>
      <w:r>
        <w:rPr>
          <w:rFonts w:ascii="Times New Roman" w:cs="Times New Roman" w:eastAsia="Times New Roman" w:hAnsi="Times New Roman"/>
          <w:sz w:val="21"/>
          <w:szCs w:val="21"/>
          <w:color w:val="auto"/>
        </w:rPr>
        <w:t>” means, as to any Person as determined in accordance with GAAP, any lease of property (whether real, personal or mixed) by such Person as lessee which is not a capital or finance lease.</w:t>
      </w:r>
    </w:p>
    <w:p>
      <w:pPr>
        <w:spacing w:after="0" w:line="1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Connection Taxes</w:t>
      </w:r>
      <w:r>
        <w:rPr>
          <w:rFonts w:ascii="Times New Roman" w:cs="Times New Roman" w:eastAsia="Times New Roman" w:hAnsi="Times New Roman"/>
          <w:sz w:val="21"/>
          <w:szCs w:val="21"/>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this Agreement and any other documents entered into in connection herewith, or sold or assigned an interest in any Loan or this Agreement and any other documents entered into in connection herewith).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Currency</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13.6</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Other Taxes</w:t>
      </w:r>
      <w:r>
        <w:rPr>
          <w:rFonts w:ascii="Times New Roman" w:cs="Times New Roman" w:eastAsia="Times New Roman" w:hAnsi="Times New Roman"/>
          <w:sz w:val="21"/>
          <w:szCs w:val="21"/>
          <w:color w:val="auto"/>
        </w:rPr>
        <w:t>”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this Agreement and any other documents entered into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8" w:right="339" w:bottom="1440" w:gutter="0" w:footer="0" w:header="0"/>
        </w:sectPr>
      </w:pPr>
    </w:p>
    <w:bookmarkStart w:id="114" w:name="page115"/>
    <w:bookmarkEnd w:id="114"/>
    <w:p>
      <w:pPr>
        <w:jc w:val="both"/>
        <w:spacing w:after="0" w:line="290" w:lineRule="auto"/>
        <w:rPr>
          <w:sz w:val="20"/>
          <w:szCs w:val="20"/>
          <w:color w:val="auto"/>
        </w:rPr>
      </w:pPr>
      <w:r>
        <w:rPr>
          <w:rFonts w:ascii="Times New Roman" w:cs="Times New Roman" w:eastAsia="Times New Roman" w:hAnsi="Times New Roman"/>
          <w:sz w:val="21"/>
          <w:szCs w:val="21"/>
          <w:color w:val="auto"/>
        </w:rPr>
        <w:t xml:space="preserve">connection herewith, except any such Taxes that are Other Connection Taxes imposed with respect to an assignment (other than an assignment made pursuant to </w:t>
      </w:r>
      <w:r>
        <w:rPr>
          <w:rFonts w:ascii="Times New Roman" w:cs="Times New Roman" w:eastAsia="Times New Roman" w:hAnsi="Times New Roman"/>
          <w:sz w:val="21"/>
          <w:szCs w:val="21"/>
          <w:u w:val="single" w:color="auto"/>
          <w:color w:val="auto"/>
        </w:rPr>
        <w:t>Section 3.6(b)</w:t>
      </w:r>
      <w:r>
        <w:rPr>
          <w:rFonts w:ascii="Times New Roman" w:cs="Times New Roman" w:eastAsia="Times New Roman" w:hAnsi="Times New Roman"/>
          <w:sz w:val="21"/>
          <w:szCs w:val="21"/>
          <w:color w:val="auto"/>
        </w:rPr>
        <w:t>).</w:t>
      </w:r>
    </w:p>
    <w:p>
      <w:pPr>
        <w:spacing w:after="0" w:line="13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Outbound Investment Rules</w:t>
      </w:r>
      <w:r>
        <w:rPr>
          <w:rFonts w:ascii="Times New Roman" w:cs="Times New Roman" w:eastAsia="Times New Roman" w:hAnsi="Times New Roman"/>
          <w:sz w:val="21"/>
          <w:szCs w:val="21"/>
          <w:color w:val="auto"/>
        </w:rPr>
        <w:t>” means the regulations administered and enforced, together with any related public guidance issued, by the United States Treasury Department under U.S. Executive Order 14105, “Addressing United States Investments in Certain National Security Technologies and Products in Countries of Concern” (August 9, 2023), and as codified at 31 C.F.R. § 850.101 et seq.</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Participant Register</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11.1(g)</w:t>
      </w:r>
      <w:r>
        <w:rPr>
          <w:rFonts w:ascii="Times New Roman" w:cs="Times New Roman" w:eastAsia="Times New Roman" w:hAnsi="Times New Roman"/>
          <w:sz w:val="21"/>
          <w:szCs w:val="21"/>
          <w:color w:val="auto"/>
        </w:rPr>
        <w:t xml:space="preserve"> hereof.</w:t>
      </w:r>
    </w:p>
    <w:p>
      <w:pPr>
        <w:spacing w:after="0" w:line="228"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Patriot Act</w:t>
      </w:r>
      <w:r>
        <w:rPr>
          <w:rFonts w:ascii="Times New Roman" w:cs="Times New Roman" w:eastAsia="Times New Roman" w:hAnsi="Times New Roman"/>
          <w:sz w:val="21"/>
          <w:szCs w:val="21"/>
          <w:color w:val="auto"/>
        </w:rPr>
        <w:t xml:space="preserve">” means the </w:t>
      </w:r>
      <w:r>
        <w:rPr>
          <w:rFonts w:ascii="Times New Roman" w:cs="Times New Roman" w:eastAsia="Times New Roman" w:hAnsi="Times New Roman"/>
          <w:sz w:val="21"/>
          <w:szCs w:val="21"/>
          <w:i w:val="1"/>
          <w:iCs w:val="1"/>
          <w:color w:val="auto"/>
        </w:rPr>
        <w:t>Uniting and Strengthening America by Providing Appropriate Tools Required to Intercept and Obstruct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Terrorism Act of 2001</w:t>
      </w:r>
      <w:r>
        <w:rPr>
          <w:rFonts w:ascii="Times New Roman" w:cs="Times New Roman" w:eastAsia="Times New Roman" w:hAnsi="Times New Roman"/>
          <w:sz w:val="21"/>
          <w:szCs w:val="21"/>
          <w:color w:val="auto"/>
        </w:rPr>
        <w:t>, Pub. L. 107-56, signed into law October 26, 2001.</w:t>
      </w:r>
    </w:p>
    <w:p>
      <w:pPr>
        <w:spacing w:after="0" w:line="11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Payment/Insolvency Event of Default</w:t>
      </w:r>
      <w:r>
        <w:rPr>
          <w:rFonts w:ascii="Times New Roman" w:cs="Times New Roman" w:eastAsia="Times New Roman" w:hAnsi="Times New Roman"/>
          <w:sz w:val="21"/>
          <w:szCs w:val="21"/>
          <w:color w:val="auto"/>
        </w:rPr>
        <w:t xml:space="preserve">” means the occurrence and continuation of any Event of Default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10.1(a)(i)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10.1(i)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10.1(j)</w:t>
      </w:r>
      <w:r>
        <w:rPr>
          <w:rFonts w:ascii="Times New Roman" w:cs="Times New Roman" w:eastAsia="Times New Roman" w:hAnsi="Times New Roman"/>
          <w:sz w:val="21"/>
          <w:szCs w:val="21"/>
          <w:color w:val="auto"/>
        </w:rPr>
        <w:t>.</w:t>
      </w:r>
    </w:p>
    <w:p>
      <w:pPr>
        <w:spacing w:after="0" w:line="13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Pension Plans</w:t>
      </w:r>
      <w:r>
        <w:rPr>
          <w:rFonts w:ascii="Times New Roman" w:cs="Times New Roman" w:eastAsia="Times New Roman" w:hAnsi="Times New Roman"/>
          <w:sz w:val="21"/>
          <w:szCs w:val="21"/>
          <w:color w:val="auto"/>
        </w:rPr>
        <w:t>” means each of the registered pension plans within the meaning of subsection 248(1) of the ITA, if any, which any Credit Party sponsors or administers or into which any Credit Party makes contributions or is obligated to make contributions.</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Bond Hedge Transaction</w:t>
      </w:r>
      <w:r>
        <w:rPr>
          <w:rFonts w:ascii="Times New Roman" w:cs="Times New Roman" w:eastAsia="Times New Roman" w:hAnsi="Times New Roman"/>
          <w:sz w:val="21"/>
          <w:szCs w:val="21"/>
          <w:color w:val="auto"/>
        </w:rPr>
        <w:t xml:space="preserve">” means any bond hedge, call or capped call option (or substantively equivalent derivative transaction) relating to the Borrower’s common stock (or other securities or property following a merger event, reclassification or other change of the common stock of the Borrower) purchased by any Credit Party in connection with the issuance of any Permitted Convertible Debt and settled in common stock of the Borrower (or such other securities or property), cash or a combination thereof (such amount of cash determined by reference to the price of the Borrower’s common stock or such other securities or property), and cash in lieu of fractional shares of common stock of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purchase price for such Permitted Bond Hedge Transaction, less the proceeds received by the Borrower from the sale of any substantially concurrently executed Permitted Warrant Transaction, does not exceed the net cash proceeds received by the Borrower or any other Credit Party from the sale of the Permitted Convertible Debt in connection with which such Permitted Bond Hedge Transaction was purchased;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the other terms, conditions and covenants of each such transaction shall be such as are customary for transactions of such type (as determined by the Borrower in good faith).</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Convertible Debt</w:t>
      </w:r>
      <w:r>
        <w:rPr>
          <w:rFonts w:ascii="Times New Roman" w:cs="Times New Roman" w:eastAsia="Times New Roman" w:hAnsi="Times New Roman"/>
          <w:sz w:val="21"/>
          <w:szCs w:val="21"/>
          <w:color w:val="auto"/>
        </w:rPr>
        <w:t>” means unsecured Debt of a Credit Party that (a) as of the date of issuance thereof contains customary conversion or exchange rights and customary offer to repurchase rights for transactions of such type (in each case, as determined by the Borrower in good faith) and (b) is convertible or exchangeable into shares of common stock of the Borrower (or other securities or property following a merger event, reclassification or other change of the common stock of the Borrower), cash or a combination thereof (such amount of cash determined by reference to the price of the Borrower’s common stock or such other securities or property), and cash in lieu of fractional shares of common stock of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Debt</w:t>
      </w:r>
      <w:r>
        <w:rPr>
          <w:rFonts w:ascii="Times New Roman" w:cs="Times New Roman" w:eastAsia="Times New Roman" w:hAnsi="Times New Roman"/>
          <w:sz w:val="21"/>
          <w:szCs w:val="21"/>
          <w:color w:val="auto"/>
        </w:rPr>
        <w:t xml:space="preserve">” means, collectively, the Debt of Borrower and its Subsidiaries permitted pursuant to </w:t>
      </w:r>
      <w:r>
        <w:rPr>
          <w:rFonts w:ascii="Times New Roman" w:cs="Times New Roman" w:eastAsia="Times New Roman" w:hAnsi="Times New Roman"/>
          <w:sz w:val="21"/>
          <w:szCs w:val="21"/>
          <w:u w:val="single" w:color="auto"/>
          <w:color w:val="auto"/>
        </w:rPr>
        <w:t>Section 8.3</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Investments</w:t>
      </w:r>
      <w:r>
        <w:rPr>
          <w:rFonts w:ascii="Times New Roman" w:cs="Times New Roman" w:eastAsia="Times New Roman" w:hAnsi="Times New Roman"/>
          <w:sz w:val="21"/>
          <w:szCs w:val="21"/>
          <w:color w:val="auto"/>
        </w:rPr>
        <w:t xml:space="preserve">” means, collectively, the Investments permitted pursuant to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Liens</w:t>
      </w:r>
      <w:r>
        <w:rPr>
          <w:rFonts w:ascii="Times New Roman" w:cs="Times New Roman" w:eastAsia="Times New Roman" w:hAnsi="Times New Roman"/>
          <w:sz w:val="21"/>
          <w:szCs w:val="21"/>
          <w:color w:val="auto"/>
        </w:rPr>
        <w:t xml:space="preserve">” means, collectively, the Liens permitted pursuant to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Refinancing</w:t>
      </w:r>
      <w:r>
        <w:rPr>
          <w:rFonts w:ascii="Times New Roman" w:cs="Times New Roman" w:eastAsia="Times New Roman" w:hAnsi="Times New Roman"/>
          <w:sz w:val="21"/>
          <w:szCs w:val="21"/>
          <w:color w:val="auto"/>
        </w:rPr>
        <w:t xml:space="preserve">” means any renewals, exchanges, extensions, refinancings and refunding of Debt;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w:t>
      </w:r>
    </w:p>
    <w:p>
      <w:pPr>
        <w:spacing w:after="0" w:line="232" w:lineRule="exact"/>
        <w:rPr>
          <w:sz w:val="20"/>
          <w:szCs w:val="20"/>
          <w:color w:val="auto"/>
        </w:rPr>
      </w:pPr>
    </w:p>
    <w:p>
      <w:pPr>
        <w:ind w:left="1300" w:hanging="649"/>
        <w:spacing w:after="0" w:line="265" w:lineRule="auto"/>
        <w:tabs>
          <w:tab w:leader="none" w:pos="1133"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such renewal, exchange, extension, refinancing or refunding is in an aggregate principal amount not greater than the principal amount (or accreted value, if applicable) of the aggregate principal amount of the Debt being renewed exchanged, extended or refinanced or refunded outstanding at such time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accrued interest, any reasonable premium and reasonable commissions, fees and expenses, including, with respect to any Permitted Convertible Debt, in respect of any Permitted Bond Hedge Transaction or Permitted Warrant Transaction);</w:t>
      </w:r>
    </w:p>
    <w:p>
      <w:pPr>
        <w:spacing w:after="0" w:line="168" w:lineRule="exact"/>
        <w:rPr>
          <w:rFonts w:ascii="Times New Roman" w:cs="Times New Roman" w:eastAsia="Times New Roman" w:hAnsi="Times New Roman"/>
          <w:sz w:val="21"/>
          <w:szCs w:val="21"/>
          <w:color w:val="auto"/>
        </w:rPr>
      </w:pPr>
    </w:p>
    <w:p>
      <w:pPr>
        <w:ind w:left="1300" w:hanging="649"/>
        <w:spacing w:after="0" w:line="265" w:lineRule="auto"/>
        <w:tabs>
          <w:tab w:leader="none" w:pos="113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Debt resulting from such renewal, exchange, extension, refinancing or refunding has a stated maturity date that is at least 91 days after the Maturity Date and the Weighted Average Life to Maturity of the Debt resulting from such renewal, exchange, extension, refinancing or refunding is not shorter than the Weighted Average Life to Maturity of the Debt being renewed exchanged, extended, refinanced or refunded;</w:t>
      </w:r>
    </w:p>
    <w:p>
      <w:pPr>
        <w:spacing w:after="0" w:line="166" w:lineRule="exact"/>
        <w:rPr>
          <w:rFonts w:ascii="Times New Roman" w:cs="Times New Roman" w:eastAsia="Times New Roman" w:hAnsi="Times New Roman"/>
          <w:sz w:val="21"/>
          <w:szCs w:val="21"/>
          <w:color w:val="auto"/>
        </w:rPr>
      </w:pPr>
    </w:p>
    <w:p>
      <w:pPr>
        <w:ind w:left="1300" w:hanging="649"/>
        <w:spacing w:after="0" w:line="267" w:lineRule="auto"/>
        <w:tabs>
          <w:tab w:leader="none" w:pos="1152"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which any Liens securing the Debt resulting from such renewal, exchange, extension, refinancing or refunding are limited to the assets or property that secured or would have secured the Debt being renewed, exchanged, extended, refinanced or refunded and without any change in the Lien priority with respect to such assets or property subject to such Liens;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any such Lien may be subordinated on terms satisfactory to Agent;</w:t>
      </w:r>
    </w:p>
    <w:p>
      <w:pPr>
        <w:spacing w:after="0" w:line="200" w:lineRule="exact"/>
        <w:rPr>
          <w:rFonts w:ascii="Times New Roman" w:cs="Times New Roman" w:eastAsia="Times New Roman" w:hAnsi="Times New Roman"/>
          <w:sz w:val="21"/>
          <w:szCs w:val="21"/>
          <w:color w:val="auto"/>
        </w:rPr>
      </w:pPr>
    </w:p>
    <w:p>
      <w:pPr>
        <w:spacing w:after="0" w:line="226" w:lineRule="exact"/>
        <w:rPr>
          <w:rFonts w:ascii="Times New Roman" w:cs="Times New Roman" w:eastAsia="Times New Roman" w:hAnsi="Times New Roman"/>
          <w:sz w:val="21"/>
          <w:szCs w:val="21"/>
          <w:color w:val="auto"/>
        </w:rPr>
      </w:pPr>
    </w:p>
    <w:p>
      <w:pPr>
        <w:jc w:val="both"/>
        <w:ind w:left="1300" w:hanging="649"/>
        <w:spacing w:after="0" w:line="278" w:lineRule="auto"/>
        <w:tabs>
          <w:tab w:leader="none" w:pos="1251"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obligor that was not obligated with respect to the Debt that is renewed, exchanged, extended, refinanced or refunded shall become obligated with respect to the Debt resulting from such renewal, exchange, extension, refinancing or refunding;</w:t>
      </w:r>
    </w:p>
    <w:p>
      <w:pPr>
        <w:spacing w:after="0" w:line="152" w:lineRule="exact"/>
        <w:rPr>
          <w:rFonts w:ascii="Times New Roman" w:cs="Times New Roman" w:eastAsia="Times New Roman" w:hAnsi="Times New Roman"/>
          <w:sz w:val="21"/>
          <w:szCs w:val="21"/>
          <w:color w:val="auto"/>
        </w:rPr>
      </w:pPr>
    </w:p>
    <w:p>
      <w:pPr>
        <w:ind w:left="1300" w:hanging="649"/>
        <w:spacing w:after="0" w:line="270" w:lineRule="auto"/>
        <w:tabs>
          <w:tab w:leader="none" w:pos="1129"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Debt that is renewed, exchanged, extended, refinanced or refunded was subordinated in right of payment to the Obligations, then the terms and conditions of the Debt resulting from such renewal, exchange, extension, refinancing or refunding must include subordination terms and conditions that are at least as favorable to the Lenders as those that were applicable to the renewed, exchanged, extended, refinanced or refunded Debt;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8" w:right="339" w:bottom="1440" w:gutter="0" w:footer="0" w:header="0"/>
        </w:sectPr>
      </w:pPr>
    </w:p>
    <w:bookmarkStart w:id="116" w:name="page117"/>
    <w:bookmarkEnd w:id="116"/>
    <w:p>
      <w:pPr>
        <w:ind w:left="1300" w:hanging="649"/>
        <w:spacing w:after="0" w:line="290" w:lineRule="auto"/>
        <w:tabs>
          <w:tab w:leader="none" w:pos="1279"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Debt resulting from such renewal, exchange, extension, refinancing or refunding shall be on terms no more materially restrictive on such obligors than the Debt being renewed, exchanged, extended, refinanced or refunded.</w:t>
      </w:r>
    </w:p>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Permitted Warrant Transaction</w:t>
      </w:r>
      <w:r>
        <w:rPr>
          <w:rFonts w:ascii="Times New Roman" w:cs="Times New Roman" w:eastAsia="Times New Roman" w:hAnsi="Times New Roman"/>
          <w:sz w:val="21"/>
          <w:szCs w:val="21"/>
          <w:color w:val="auto"/>
        </w:rPr>
        <w:t xml:space="preserve">” means any call option, warrant or right to purchase (or substantively equivalent derivative transaction) relating to the Borrower’s common stock (or other securities or property following a merger event, reclassification or other change of the common stock of the Borrower) sold by the Borrower substantially concurrently with any purchase by a Credit Party of a Permitted Bond Hedge Transaction and settled in common stock of the Borrower (or such other securities or property), cash or a combination thereof (such amount of cash determined by reference to the price of the Borrower’s common stock or such other securities or property), and cash in lieu of fractional shares of common stock of the Borrower;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terms, conditions and covenants of each such transaction shall be such as are customary for transactions of such type (as determined by the Borrower in good faith).</w:t>
      </w:r>
    </w:p>
    <w:p>
      <w:pPr>
        <w:spacing w:after="0" w:line="17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means any individual, sole proprietorship, corporation, partnership, limited partnership, corporation, limited liability company, business trust, unincorporated association, joint stock corporation, trust, joint venture or other entity or any government or any agency or instrumentality or political subdivision thereof.</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xml:space="preserve">” means an employee benefit plan (as defined in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of ERISA) which Borrower or any ERISA Affiliate sponsors, maintains, or to which it makes, is making, or is obligated to make contributions or, in the case of a Multiemployer Plan, has made contributions at any time during the immediately preceding 6 plan years or with respect to which Borrower may incur liability. For greater certainty,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does not include a Pension Plan that is not a U.S. Pension Plan.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Playa Vista Borrower</w:t>
      </w:r>
      <w:r>
        <w:rPr>
          <w:rFonts w:ascii="Times New Roman" w:cs="Times New Roman" w:eastAsia="Times New Roman" w:hAnsi="Times New Roman"/>
          <w:sz w:val="21"/>
          <w:szCs w:val="21"/>
          <w:color w:val="auto"/>
        </w:rPr>
        <w:t>” means IMAX PV Development Inc., a wholly-owned subsidiary of Borrower.</w:t>
      </w:r>
    </w:p>
    <w:p>
      <w:pPr>
        <w:spacing w:after="0" w:line="228"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Playa Vista Property</w:t>
      </w:r>
      <w:r>
        <w:rPr>
          <w:rFonts w:ascii="Times New Roman" w:cs="Times New Roman" w:eastAsia="Times New Roman" w:hAnsi="Times New Roman"/>
          <w:sz w:val="21"/>
          <w:szCs w:val="21"/>
          <w:color w:val="auto"/>
        </w:rPr>
        <w:t>” means the property located at 12582 West Millennium, Playa Vista, California 90094 owned by Playa Vista Borrower.</w:t>
      </w:r>
    </w:p>
    <w:p>
      <w:pPr>
        <w:spacing w:after="0" w:line="1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PPSA</w:t>
      </w:r>
      <w:r>
        <w:rPr>
          <w:rFonts w:ascii="Times New Roman" w:cs="Times New Roman" w:eastAsia="Times New Roman" w:hAnsi="Times New Roman"/>
          <w:sz w:val="21"/>
          <w:szCs w:val="21"/>
          <w:color w:val="auto"/>
        </w:rPr>
        <w:t xml:space="preserve">” means the </w:t>
      </w:r>
      <w:r>
        <w:rPr>
          <w:rFonts w:ascii="Times New Roman" w:cs="Times New Roman" w:eastAsia="Times New Roman" w:hAnsi="Times New Roman"/>
          <w:sz w:val="21"/>
          <w:szCs w:val="21"/>
          <w:i w:val="1"/>
          <w:iCs w:val="1"/>
          <w:color w:val="auto"/>
        </w:rPr>
        <w:t>Personal Property Security Act</w:t>
      </w:r>
      <w:r>
        <w:rPr>
          <w:rFonts w:ascii="Times New Roman" w:cs="Times New Roman" w:eastAsia="Times New Roman" w:hAnsi="Times New Roman"/>
          <w:sz w:val="21"/>
          <w:szCs w:val="21"/>
          <w:color w:val="auto"/>
        </w:rPr>
        <w:t xml:space="preserve"> (Ontario);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if the attachment, perfection or priority of Agent’s security in respect of any Collateral is governed by the laws of any jurisdiction other than Ontario, PPSA shall mean those other laws for the purposes hereof relating to attachment, perfection or priority.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 Forma Basis</w:t>
      </w:r>
      <w:r>
        <w:rPr>
          <w:rFonts w:ascii="Times New Roman" w:cs="Times New Roman" w:eastAsia="Times New Roman" w:hAnsi="Times New Roman"/>
          <w:sz w:val="21"/>
          <w:szCs w:val="21"/>
          <w:color w:val="auto"/>
        </w:rPr>
        <w:t>” means</w:t>
      </w:r>
    </w:p>
    <w:p>
      <w:pPr>
        <w:spacing w:after="0" w:line="245" w:lineRule="exact"/>
        <w:rPr>
          <w:sz w:val="20"/>
          <w:szCs w:val="20"/>
          <w:color w:val="auto"/>
        </w:rPr>
      </w:pPr>
    </w:p>
    <w:p>
      <w:pPr>
        <w:jc w:val="both"/>
        <w:ind w:firstLine="651"/>
        <w:spacing w:after="0" w:line="265" w:lineRule="auto"/>
        <w:tabs>
          <w:tab w:leader="none" w:pos="128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calculating EBITDA for any period during which one or more Acquisitions or Asset Sales (other than Asset Sales in the ordinary course of business of the Borrower and its Subsidiaries) occurs, that (i) such Acquisition or Asset Sale (and all other such Acquisitions or Asset Sales that have been consummated during the applicable period) shall be deemed to have occurred as of the first day of the applicable period of measurement, (ii) there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17" w:name="page118"/>
    <w:bookmarkEnd w:id="117"/>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shall be included in determining EBITDA for such period, without duplication, the Acquired EBITDA of any Person or business, or attributable to any property or asset, acquired by the Borrower or any Subsidiary during such period (but not the Acquired EBITDA of any related Person or business or any Acquired EBITDA attributable to any assets or property, in each case to the extent not so acquired) in connection with an Acquisition to the extent not subsequently sold, transferred, abandoned or otherwise disposed of by the Borrower or such Subsidiary during such period, based on the actual Acquired EBITDA of such acquired entity or business for such period (including the portion thereof occurring prior to such Acquisition) and (iii) there shall be excluded in determining EBITDA for such period, without duplication, the Disposed EBITDA of any Person or business, or attributable to any property or asset, disposed of by the Borrower or any Subsidiary during such period in connection with any such Asset Sale or discontinuation of operations, based on the Disposed EBITDA of such disposed entity or business or discontinued operations for such period (including the portion thereof occurring prior to such disposition or discontinuation);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foregoing amounts shall be without duplication of any adjustments that are already included in the calculation of EBITDA;</w:t>
      </w:r>
    </w:p>
    <w:p>
      <w:pPr>
        <w:spacing w:after="0" w:line="176" w:lineRule="exact"/>
        <w:rPr>
          <w:sz w:val="20"/>
          <w:szCs w:val="20"/>
          <w:color w:val="auto"/>
        </w:rPr>
      </w:pPr>
    </w:p>
    <w:p>
      <w:pPr>
        <w:jc w:val="both"/>
        <w:ind w:firstLine="651"/>
        <w:spacing w:after="0" w:line="271" w:lineRule="auto"/>
        <w:tabs>
          <w:tab w:leader="none" w:pos="1282"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calculating Consolidated Total Assets any Acquisition or Asset Sale that occurs after the date of the most recent consolidated balance sheet of Borrower and its Subsidiaries, shall be deemed to have occurred on the date of such balance sheet; and</w:t>
      </w:r>
    </w:p>
    <w:p>
      <w:pPr>
        <w:spacing w:after="0" w:line="173" w:lineRule="exact"/>
        <w:rPr>
          <w:rFonts w:ascii="Times New Roman" w:cs="Times New Roman" w:eastAsia="Times New Roman" w:hAnsi="Times New Roman"/>
          <w:sz w:val="21"/>
          <w:szCs w:val="21"/>
          <w:color w:val="auto"/>
        </w:rPr>
      </w:pPr>
    </w:p>
    <w:p>
      <w:pPr>
        <w:jc w:val="both"/>
        <w:ind w:firstLine="651"/>
        <w:spacing w:after="0" w:line="259" w:lineRule="auto"/>
        <w:tabs>
          <w:tab w:leader="none" w:pos="1284"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the Borrower or any Subsidiary thereof incurs (including by assumption or guarantees) or repays (including by redemption, repayment, retirement, discharge, defeasance or extinguishment) any Debt included in the calculations of any financial ratio or test (in each case, other than Debt incurred or repaid under any revolving credit facility in the ordinary course of business for working capital purposes), (i) during the applicable measurement period or (ii) subsequent to the end of the applicable measurement period and prior to or simultaneously with the event for which the calculation of any such ratio is made, then such financial ratio or test shall be calculated giving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effect to such incurrence or repayment of Debt, to the extent required, as if the same had occurred on the first day of the applicable measurement period and any such Debt that is incurred (including by assumption or guarantee) that has a floating or formula rate of interest shall have an implied rate of interest for the applicable period determined by utilizing the rate which is or would be in effect with respect to such Debt as of the relevant date of determination.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 Rata Share</w:t>
      </w:r>
      <w:r>
        <w:rPr>
          <w:rFonts w:ascii="Times New Roman" w:cs="Times New Roman" w:eastAsia="Times New Roman" w:hAnsi="Times New Roman"/>
          <w:sz w:val="21"/>
          <w:szCs w:val="21"/>
          <w:color w:val="auto"/>
        </w:rPr>
        <w:t>” means with respect to a Lender:</w:t>
      </w:r>
    </w:p>
    <w:p>
      <w:pPr>
        <w:spacing w:after="0" w:line="205" w:lineRule="exact"/>
        <w:rPr>
          <w:sz w:val="20"/>
          <w:szCs w:val="20"/>
          <w:color w:val="auto"/>
        </w:rPr>
      </w:pPr>
    </w:p>
    <w:p>
      <w:pPr>
        <w:jc w:val="both"/>
        <w:ind w:left="1300" w:hanging="649"/>
        <w:spacing w:after="0" w:line="234" w:lineRule="auto"/>
        <w:tabs>
          <w:tab w:leader="none" w:pos="1297"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all Revolving Loans or participations in respect of Letter of Credit Accommodations or Swingline Loans, the percentage obtained by dividing (i) the aggregate Revolving Loan Commitments of such Lender by (ii) the aggregate Revolving Loan Commitments of all Lenders;</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all Revolving Loans on and after the Maturity Date, the percentage obtained by dividing (i) the aggregate outstanding principal balance of the Revolving Loans held by such Lender by (ii) the outstanding principal balance of the Revolving Loans held by all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18" w:name="page119"/>
    <w:bookmarkEnd w:id="118"/>
    <w:p>
      <w:pPr>
        <w:jc w:val="both"/>
        <w:ind w:left="1300" w:right="20" w:hanging="649"/>
        <w:spacing w:after="0" w:line="234" w:lineRule="auto"/>
        <w:tabs>
          <w:tab w:leader="none" w:pos="129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all Incremental Term Loans prior to the termination of the Incremental Term Loan Commitments, the percentage obtained by dividing (i) the aggregate Incremental Term Loan Commitments of such Lender by (ii) the aggregate Incremental Term Loan Commitments of all Lenders;</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95"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all Incremental Term Loans on and after the Maturity Date or after the termination of the Incremental Term Loan Commitments, the percentage obtained by dividing (i) the aggregate outstanding principal balance of the Incremental Term Loans held by such Lender by (ii) the outstanding principal balance of the Incremental Term Loans held by all Lenders; and</w:t>
      </w:r>
    </w:p>
    <w:p>
      <w:pPr>
        <w:spacing w:after="0" w:line="15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7"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all Loans on and after the Maturity Date, the percentage obtained by dividing (i) the aggregate outstanding principal balance of the Loans held by such Lender by (ii) the outstanding principal balance of the Loans held by all Lenders.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Prohibited Transferee</w:t>
      </w:r>
      <w:r>
        <w:rPr>
          <w:rFonts w:ascii="Times New Roman" w:cs="Times New Roman" w:eastAsia="Times New Roman" w:hAnsi="Times New Roman"/>
          <w:sz w:val="21"/>
          <w:szCs w:val="21"/>
          <w:color w:val="auto"/>
        </w:rPr>
        <w:t>” is defined in the definition of Eligible Transferee.</w:t>
      </w:r>
    </w:p>
    <w:p>
      <w:pPr>
        <w:spacing w:after="0" w:line="22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PTE</w:t>
      </w:r>
      <w:r>
        <w:rPr>
          <w:rFonts w:ascii="Times New Roman" w:cs="Times New Roman" w:eastAsia="Times New Roman" w:hAnsi="Times New Roman"/>
          <w:sz w:val="21"/>
          <w:szCs w:val="21"/>
          <w:color w:val="auto"/>
        </w:rPr>
        <w:t>” means a prohibited transaction class exemption issued by the U.S. Department of Labor, as any such exemption may be amended from time to time.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Qualified Equity Interests</w:t>
      </w:r>
      <w:r>
        <w:rPr>
          <w:rFonts w:ascii="Times New Roman" w:cs="Times New Roman" w:eastAsia="Times New Roman" w:hAnsi="Times New Roman"/>
          <w:sz w:val="21"/>
          <w:szCs w:val="21"/>
          <w:color w:val="auto"/>
        </w:rPr>
        <w:t>” means any Equity Interests that are not Disqualified Equity Interests.</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Rate Determination Date”</w:t>
      </w:r>
      <w:r>
        <w:rPr>
          <w:rFonts w:ascii="Times New Roman" w:cs="Times New Roman" w:eastAsia="Times New Roman" w:hAnsi="Times New Roman"/>
          <w:sz w:val="21"/>
          <w:szCs w:val="21"/>
          <w:color w:val="auto"/>
        </w:rPr>
        <w:t xml:space="preserve"> means, with respect to any Interest Period, two (2) Eurocurrency Banking Days prior to the commencement of such Interest Period (or such other day as is generally treated as the rate fixing day by market practice in the applicable interbank market, as determined by the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that such market practice is not administratively feasible for the Agent, such other day as otherwise reasonably determined by the Agent).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Ratio Debt</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8.3(m)</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Ratio Debt Test</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8.3(m)</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Ratio Incremental Amount</w:t>
      </w:r>
      <w:r>
        <w:rPr>
          <w:rFonts w:ascii="Times New Roman" w:cs="Times New Roman" w:eastAsia="Times New Roman" w:hAnsi="Times New Roman"/>
          <w:sz w:val="21"/>
          <w:szCs w:val="21"/>
          <w:color w:val="auto"/>
        </w:rPr>
        <w:t>” means, at any time, the maximum amount of Debt that could be incurred at such time by Borrower so long as on a Pro Forma Basis, after giving effect to the incurrence of any applicable Incremental Term Loan Commitment or Incremental Term Loans, (a) in the case of secured Debt, the Senior Secured Net Leverage Ratio does not exceed 2.50:1.00 (as calculated by Borrower in a Compliance Certificate executed and delivered by Borrower to Agent) and (b) in all other cases, the Ratio Debt Test is satisfied.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Receiver</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10.2(f)</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Recipient</w:t>
      </w:r>
      <w:r>
        <w:rPr>
          <w:rFonts w:ascii="Times New Roman" w:cs="Times New Roman" w:eastAsia="Times New Roman" w:hAnsi="Times New Roman"/>
          <w:sz w:val="21"/>
          <w:szCs w:val="21"/>
          <w:color w:val="auto"/>
        </w:rPr>
        <w:t>” means (a) Agent, (b) any Lender and (c) any Issuing Lender, as applicable.</w:t>
      </w:r>
    </w:p>
    <w:p>
      <w:pPr>
        <w:spacing w:after="0" w:line="22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Records</w:t>
      </w:r>
      <w:r>
        <w:rPr>
          <w:rFonts w:ascii="Times New Roman" w:cs="Times New Roman" w:eastAsia="Times New Roman" w:hAnsi="Times New Roman"/>
          <w:sz w:val="21"/>
          <w:szCs w:val="21"/>
          <w:color w:val="auto"/>
        </w:rPr>
        <w:t>” means all of each Credit Party’s present and future books of account of every kind or nature, purchase and sale agreements, invoices, ledger cards, bills of lading and other shipping evidence, statements, correspondence, memoranda, credit files and other data relating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19" w:name="page120"/>
    <w:bookmarkEnd w:id="119"/>
    <w:p>
      <w:pPr>
        <w:jc w:val="both"/>
        <w:spacing w:after="0" w:line="271" w:lineRule="auto"/>
        <w:rPr>
          <w:sz w:val="20"/>
          <w:szCs w:val="20"/>
          <w:color w:val="auto"/>
        </w:rPr>
      </w:pPr>
      <w:r>
        <w:rPr>
          <w:rFonts w:ascii="Times New Roman" w:cs="Times New Roman" w:eastAsia="Times New Roman" w:hAnsi="Times New Roman"/>
          <w:sz w:val="21"/>
          <w:szCs w:val="21"/>
          <w:color w:val="auto"/>
        </w:rPr>
        <w:t>Collateral or any account debtor, together with the tapes, disks, diskettes and other data and software storage media and devices, file cabinets or containers in or on which the foregoing are stored (including any rights of a Credit Party with respect to the foregoing maintained with or by any other person).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Register</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11.1(h)</w:t>
      </w:r>
      <w:r>
        <w:rPr>
          <w:rFonts w:ascii="Times New Roman" w:cs="Times New Roman" w:eastAsia="Times New Roman" w:hAnsi="Times New Roman"/>
          <w:sz w:val="21"/>
          <w:szCs w:val="21"/>
          <w:color w:val="auto"/>
        </w:rPr>
        <w:t xml:space="preserve"> hereof.</w:t>
      </w:r>
    </w:p>
    <w:p>
      <w:pPr>
        <w:spacing w:after="0" w:line="2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Relevant Governmental Body”</w:t>
      </w:r>
      <w:r>
        <w:rPr>
          <w:rFonts w:ascii="Times New Roman" w:cs="Times New Roman" w:eastAsia="Times New Roman" w:hAnsi="Times New Roman"/>
          <w:sz w:val="21"/>
          <w:szCs w:val="21"/>
          <w:color w:val="auto"/>
        </w:rPr>
        <w:t xml:space="preserve"> means (a) with respect to a Benchmark Replacement in respect of Obligations, interest, fees, commissions or other amounts denominated in, or calculated with respect to, U.S. Dollars, the FRB or the Federal Reserve Bank of New York, or a committee officially endorsed or convened by the FRB or the Federal Reserve Bank of New York, or any successor thereto and (b) with respect to a Benchmark Replacement in respect of Obligations, interest, fees, commissions or other amounts denominated in, or calculated with respect to, any Alternate Currency, (i)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(ii) any working group or committee officially endorsed or convened by (A) the central bank for the Currency in which such Obligations, interest, fees, commissions or other amounts are denominated, or calculated with respect to,</w:t>
      </w:r>
    </w:p>
    <w:p>
      <w:pPr>
        <w:spacing w:after="0" w:line="6" w:lineRule="exact"/>
        <w:rPr>
          <w:sz w:val="20"/>
          <w:szCs w:val="20"/>
          <w:color w:val="auto"/>
        </w:rPr>
      </w:pPr>
    </w:p>
    <w:p>
      <w:pPr>
        <w:jc w:val="both"/>
        <w:ind w:firstLine="7"/>
        <w:spacing w:after="0" w:line="266" w:lineRule="auto"/>
        <w:tabs>
          <w:tab w:leader="none" w:pos="365"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Report</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11.9(a)</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Required Lenders</w:t>
      </w:r>
      <w:r>
        <w:rPr>
          <w:rFonts w:ascii="Times New Roman" w:cs="Times New Roman" w:eastAsia="Times New Roman" w:hAnsi="Times New Roman"/>
          <w:sz w:val="21"/>
          <w:szCs w:val="21"/>
          <w:color w:val="auto"/>
        </w:rPr>
        <w:t>” means, on any date of determination, (a) Lenders holding more than 50% of the Commitments or (b) on and after the Maturity Date, Lenders holding more than 50% of the outstanding Loans. The Commitments and outstanding Loans of Defaulting Lenders shall be excluded from the calculation of Required Lenders. For purposes of this definition, the calculation of the outstanding principal amount of all Alternate Currency Loans shall be determined by taking the Dollar Equivalent thereof at the time of any such calculation.</w:t>
      </w:r>
    </w:p>
    <w:p>
      <w:pPr>
        <w:spacing w:after="0" w:line="1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Resolution Authority</w:t>
      </w:r>
      <w:r>
        <w:rPr>
          <w:rFonts w:ascii="Times New Roman" w:cs="Times New Roman" w:eastAsia="Times New Roman" w:hAnsi="Times New Roman"/>
          <w:sz w:val="21"/>
          <w:szCs w:val="21"/>
          <w:color w:val="auto"/>
        </w:rPr>
        <w:t>” means an EEA Resolution Authority or, with respect to any UK Financial Institution, a UK Resolution Authority.</w:t>
      </w:r>
    </w:p>
    <w:p>
      <w:pPr>
        <w:spacing w:after="0" w:line="14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Responsible Officer</w:t>
      </w:r>
      <w:r>
        <w:rPr>
          <w:rFonts w:ascii="Times New Roman" w:cs="Times New Roman" w:eastAsia="Times New Roman" w:hAnsi="Times New Roman"/>
          <w:sz w:val="21"/>
          <w:szCs w:val="21"/>
          <w:color w:val="auto"/>
        </w:rPr>
        <w:t xml:space="preserve">” means, as to any Person, the chief executive officer, president, chief financial officer, controller, treasurer or assistant treasurer of such Person or any other officer of such Person designated in writing by the Borrower or such Person and reasonably acceptable to the Agent;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requested thereby, the Agent shall have received a certificate of such Person certifying as to the incumbency and genuineness of the signature of each such officer. Any document delivered hereunder or under any other Financing Agreement that is signed by a Responsible Officer of a Person shall be conclusively presumed to have been authorized by all necessary corporate, limited liability company, partnership and/or other relevant action on the part of such Person and such Responsible Officer shall be conclusively presumed to have acted on behalf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Restatement Effective Date</w:t>
      </w:r>
      <w:r>
        <w:rPr>
          <w:rFonts w:ascii="Times New Roman" w:cs="Times New Roman" w:eastAsia="Times New Roman" w:hAnsi="Times New Roman"/>
          <w:sz w:val="21"/>
          <w:szCs w:val="21"/>
          <w:color w:val="auto"/>
        </w:rPr>
        <w:t>” means July 14,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Restricted Payment</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Revaluation Date</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11.17</w:t>
      </w:r>
      <w:r>
        <w:rPr>
          <w:rFonts w:ascii="Times New Roman" w:cs="Times New Roman" w:eastAsia="Times New Roman" w:hAnsi="Times New Roman"/>
          <w:sz w:val="21"/>
          <w:szCs w:val="21"/>
          <w:color w:val="auto"/>
        </w:rPr>
        <w:t>, with respect to any Revolving Loan denominated in an Alternate Currency, each of the following: (a) the date of the borrowing of such Revolving Loan but only as to the amounts so borrowed on such date,</w:t>
      </w:r>
    </w:p>
    <w:p>
      <w:pPr>
        <w:spacing w:after="0" w:line="1" w:lineRule="exact"/>
        <w:rPr>
          <w:sz w:val="20"/>
          <w:szCs w:val="20"/>
          <w:color w:val="auto"/>
        </w:rPr>
      </w:pPr>
    </w:p>
    <w:p>
      <w:pPr>
        <w:ind w:right="20" w:firstLine="7"/>
        <w:spacing w:after="0" w:line="266" w:lineRule="auto"/>
        <w:tabs>
          <w:tab w:leader="none" w:pos="322"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date of a continuation of such Revolving Loan pursuant to the terms of this Agreement, but only as to the amounts so continued on such date, and (c) such additional dates as Agent shall determine.</w:t>
      </w:r>
    </w:p>
    <w:p>
      <w:pPr>
        <w:spacing w:after="0" w:line="16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Revolving Lenders</w:t>
      </w:r>
      <w:r>
        <w:rPr>
          <w:rFonts w:ascii="Times New Roman" w:cs="Times New Roman" w:eastAsia="Times New Roman" w:hAnsi="Times New Roman"/>
          <w:sz w:val="21"/>
          <w:szCs w:val="21"/>
          <w:color w:val="auto"/>
        </w:rPr>
        <w:t>” means, at any time, collectively, all Lenders with a Revolving Loan Commitment at such time (and after the termination of all Revolving Loan Commitments, any Lender that holds any outstanding amount in respect of Revolving Loans). Unless the context otherwise requires, the term “Lenders” includes Swingline Lender.</w:t>
      </w:r>
    </w:p>
    <w:p>
      <w:pPr>
        <w:spacing w:after="0" w:line="14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Revolving Loan Commitment</w:t>
      </w:r>
      <w:r>
        <w:rPr>
          <w:rFonts w:ascii="Times New Roman" w:cs="Times New Roman" w:eastAsia="Times New Roman" w:hAnsi="Times New Roman"/>
          <w:sz w:val="21"/>
          <w:szCs w:val="21"/>
          <w:color w:val="auto"/>
        </w:rPr>
        <w:t xml:space="preserve">” means (a) as to any Revolving Lender with respect to Revolving Loans, the aggregate of such Revolving Lender’s Revolving Loan Commitment as set forth beside such Revolving Lender’s name on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hereto or, if such Revolving Lender’s name does not appear on </w:t>
      </w:r>
      <w:r>
        <w:rPr>
          <w:rFonts w:ascii="Times New Roman" w:cs="Times New Roman" w:eastAsia="Times New Roman" w:hAnsi="Times New Roman"/>
          <w:sz w:val="21"/>
          <w:szCs w:val="21"/>
          <w:u w:val="single" w:color="auto"/>
          <w:color w:val="auto"/>
        </w:rPr>
        <w:t>Exhibit G</w:t>
      </w:r>
      <w:r>
        <w:rPr>
          <w:rFonts w:ascii="Times New Roman" w:cs="Times New Roman" w:eastAsia="Times New Roman" w:hAnsi="Times New Roman"/>
          <w:sz w:val="21"/>
          <w:szCs w:val="21"/>
          <w:color w:val="auto"/>
        </w:rPr>
        <w:t xml:space="preserve"> hereto, in the most recent Assignment and Assumption Agreement or Lender Joinder Agreement executed by such Revolving Lender, and (b) as to all Revolving Lenders, the aggregate of all Revolving Lenders’ Revolving Loan Commitments to Borrower, which aggregate commitment is $375,000,000 as of the Restatement Effective Date. For greater certainty, the Swingline Commitment of $5,000,000 as of the Restatement Effective Date is a sub-limit of the Revolving Loan Commitment and not in addition thereto.</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Revolving Loan Exposure</w:t>
      </w:r>
      <w:r>
        <w:rPr>
          <w:rFonts w:ascii="Times New Roman" w:cs="Times New Roman" w:eastAsia="Times New Roman" w:hAnsi="Times New Roman"/>
          <w:sz w:val="21"/>
          <w:szCs w:val="21"/>
          <w:color w:val="auto"/>
        </w:rPr>
        <w:t>” means, as to any Revolving Lender at any time, the aggregate principal amount at such time of its outstanding Revolving Loans and such Revolving Lender’s participation in the Letter of Credit Accommodations and Swingline Loans at such time. For purposes of this definition, the calculation of the outstanding principal amount of all Alternate Currency Loans shall be determined by taking the Dollar Equivalent thereof at the time of any such calculation.</w:t>
      </w:r>
    </w:p>
    <w:p>
      <w:pPr>
        <w:spacing w:after="0" w:line="1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Revolving Loan Facility</w:t>
      </w:r>
      <w:r>
        <w:rPr>
          <w:rFonts w:ascii="Times New Roman" w:cs="Times New Roman" w:eastAsia="Times New Roman" w:hAnsi="Times New Roman"/>
          <w:sz w:val="21"/>
          <w:szCs w:val="21"/>
          <w:color w:val="auto"/>
        </w:rPr>
        <w:t xml:space="preserve">” means the revolving loan facility established pursuant to </w:t>
      </w:r>
      <w:r>
        <w:rPr>
          <w:rFonts w:ascii="Times New Roman" w:cs="Times New Roman" w:eastAsia="Times New Roman" w:hAnsi="Times New Roman"/>
          <w:sz w:val="21"/>
          <w:szCs w:val="21"/>
          <w:u w:val="single" w:color="auto"/>
          <w:color w:val="auto"/>
        </w:rPr>
        <w:t>Article 2</w:t>
      </w:r>
      <w:r>
        <w:rPr>
          <w:rFonts w:ascii="Times New Roman" w:cs="Times New Roman" w:eastAsia="Times New Roman" w:hAnsi="Times New Roman"/>
          <w:sz w:val="21"/>
          <w:szCs w:val="21"/>
          <w:color w:val="auto"/>
        </w:rPr>
        <w:t xml:space="preserve"> (including any increase in such revolving loan facility established pursuant to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w:t>
      </w:r>
    </w:p>
    <w:p>
      <w:pPr>
        <w:spacing w:after="0" w:line="13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Revolving Loan Outstandings</w:t>
      </w:r>
      <w:r>
        <w:rPr>
          <w:rFonts w:ascii="Times New Roman" w:cs="Times New Roman" w:eastAsia="Times New Roman" w:hAnsi="Times New Roman"/>
          <w:sz w:val="21"/>
          <w:szCs w:val="21"/>
          <w:color w:val="auto"/>
        </w:rPr>
        <w:t xml:space="preserve">” means the </w:t>
      </w:r>
      <w:r>
        <w:rPr>
          <w:rFonts w:ascii="Times New Roman" w:cs="Times New Roman" w:eastAsia="Times New Roman" w:hAnsi="Times New Roman"/>
          <w:sz w:val="21"/>
          <w:szCs w:val="21"/>
          <w:u w:val="single" w:color="auto"/>
          <w:color w:val="auto"/>
        </w:rPr>
        <w:t>sum</w:t>
      </w:r>
      <w:r>
        <w:rPr>
          <w:rFonts w:ascii="Times New Roman" w:cs="Times New Roman" w:eastAsia="Times New Roman" w:hAnsi="Times New Roman"/>
          <w:sz w:val="21"/>
          <w:szCs w:val="21"/>
          <w:color w:val="auto"/>
        </w:rPr>
        <w:t xml:space="preserve"> of on any date (a) the aggregate outstanding principal amount of Revolving Loans and Swingline Loans (without duplication) after giving effect to any borrowings and prepayments or repayments of Revolving Loans and Swingline Loans (without duplication) occurring on such date;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the aggregate outstanding amount of all Letter of Credit Accommodations after giving effect to any changes in the aggregate amount of the Letter of Credit Accommodations as of such date. For purposes of this definition, the calculation of the outstanding principal amount of all Alternate Currency Loans shall be determined by taking the Dollar Equivalent thereof at the time of any such calculation.</w:t>
      </w:r>
    </w:p>
    <w:p>
      <w:pPr>
        <w:spacing w:after="0" w:line="1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Revolving Loans</w:t>
      </w:r>
      <w:r>
        <w:rPr>
          <w:rFonts w:ascii="Times New Roman" w:cs="Times New Roman" w:eastAsia="Times New Roman" w:hAnsi="Times New Roman"/>
          <w:sz w:val="21"/>
          <w:szCs w:val="21"/>
          <w:color w:val="auto"/>
        </w:rPr>
        <w:t>” means Canadian Prime Rate Loans, Term CORRA Loans, Eurocurrency Rate Loans, U.S. Base Rate Loans, and/or Term SOFR Loans, as the case may be, now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8" w:right="339" w:bottom="1440" w:gutter="0" w:footer="0" w:header="0"/>
        </w:sectPr>
      </w:pPr>
    </w:p>
    <w:bookmarkStart w:id="121" w:name="page122"/>
    <w:bookmarkEnd w:id="121"/>
    <w:p>
      <w:pPr>
        <w:jc w:val="both"/>
        <w:spacing w:after="0" w:line="290" w:lineRule="auto"/>
        <w:rPr>
          <w:sz w:val="20"/>
          <w:szCs w:val="20"/>
          <w:color w:val="auto"/>
        </w:rPr>
      </w:pPr>
      <w:r>
        <w:rPr>
          <w:rFonts w:ascii="Times New Roman" w:cs="Times New Roman" w:eastAsia="Times New Roman" w:hAnsi="Times New Roman"/>
          <w:sz w:val="21"/>
          <w:szCs w:val="21"/>
          <w:color w:val="auto"/>
        </w:rPr>
        <w:t xml:space="preserve">hereafter made by Revolving Lenders to or for the benefit of Borrower on a revolving basis (involving advances, repayments and re-advances) as set forth in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xml:space="preserve"> hereof.</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Sanctioned Entity</w:t>
      </w:r>
      <w:r>
        <w:rPr>
          <w:rFonts w:ascii="Times New Roman" w:cs="Times New Roman" w:eastAsia="Times New Roman" w:hAnsi="Times New Roman"/>
          <w:sz w:val="21"/>
          <w:szCs w:val="21"/>
          <w:color w:val="auto"/>
        </w:rPr>
        <w:t>” means (a) an agency of the government of, (b) an organization directly or indirectly controlled by, or (c) a person resident in, in each case, a country or territory that is the target of territory-wide or country-wide comprehensive OFAC, Global Affairs Canada, United Nations Security Council, European Union, any member state of the European Union or United Kingdom sanctions (as of the date of this Agreement, Cuba, Iran, North Korea, Syria, the Crimea, Kherson and Zaporizhzhia regions of Ukraine, the so-called Donetsk People’s Republic, and so-called Luhansk People’s Republic).</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Sanctioned Person</w:t>
      </w:r>
      <w:r>
        <w:rPr>
          <w:rFonts w:ascii="Times New Roman" w:cs="Times New Roman" w:eastAsia="Times New Roman" w:hAnsi="Times New Roman"/>
          <w:sz w:val="21"/>
          <w:szCs w:val="21"/>
          <w:color w:val="auto"/>
        </w:rPr>
        <w:t>” means a Person named on the list of sanctions-related list of designated Persons maintained by OFAC (including, without limitation, OFAC’s Specially Designated Nationals and Blocked Persons List and OFAC’s Consolidated Non-SDN List) (or any similar list maintained and published from time to time by Global Affairs Canada, the United Nations Security Council, the European Union, any member state of the European Union or the United Kingdom).</w:t>
      </w:r>
    </w:p>
    <w:p>
      <w:pPr>
        <w:spacing w:after="0" w:line="15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Secured Cash Management Agreement</w:t>
      </w:r>
      <w:r>
        <w:rPr>
          <w:rFonts w:ascii="Times New Roman" w:cs="Times New Roman" w:eastAsia="Times New Roman" w:hAnsi="Times New Roman"/>
          <w:sz w:val="21"/>
          <w:szCs w:val="21"/>
          <w:color w:val="auto"/>
        </w:rPr>
        <w:t>” means any Cash Management Agreement that is entered into by and between any Credit Party and any Cash Management Bank.</w:t>
      </w:r>
    </w:p>
    <w:p>
      <w:pPr>
        <w:spacing w:after="0" w:line="13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Secured Hedge Agreement</w:t>
      </w:r>
      <w:r>
        <w:rPr>
          <w:rFonts w:ascii="Times New Roman" w:cs="Times New Roman" w:eastAsia="Times New Roman" w:hAnsi="Times New Roman"/>
          <w:sz w:val="21"/>
          <w:szCs w:val="21"/>
          <w:color w:val="auto"/>
        </w:rPr>
        <w:t>” means any Hedge Agreement that is entered into by and between any Credit Party and any Hedge Bank.</w:t>
      </w:r>
    </w:p>
    <w:p>
      <w:pPr>
        <w:spacing w:after="0" w:line="11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Secured Parties</w:t>
      </w:r>
      <w:r>
        <w:rPr>
          <w:rFonts w:ascii="Times New Roman" w:cs="Times New Roman" w:eastAsia="Times New Roman" w:hAnsi="Times New Roman"/>
          <w:sz w:val="21"/>
          <w:szCs w:val="21"/>
          <w:color w:val="auto"/>
        </w:rPr>
        <w:t>” means, collectively, Agent, Lenders, and their respective Affiliates (including Hedge Banks under any Secured Hedge Agreements and Cash Management Banks under Secured Cash Management Agreements) and any other person holding any Obligations (and, for greater certainty, if such person ceases to be an Agent or a Lender then for any transaction entered into under a Secured Hedge Agreement or Secured Cash Management Agreement with that Agent or Lender or any of its Affiliates prior to the date that person ceases to be an Agent or Lender, that Person or any of its Affiliates shall continue to be a Secured Party hereunder with respect to Borrower’s obligations relating to any such transaction).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Senior Secured Net Leverage Ratio</w:t>
      </w:r>
      <w:r>
        <w:rPr>
          <w:rFonts w:ascii="Times New Roman" w:cs="Times New Roman" w:eastAsia="Times New Roman" w:hAnsi="Times New Roman"/>
          <w:sz w:val="21"/>
          <w:szCs w:val="21"/>
          <w:color w:val="auto"/>
        </w:rPr>
        <w:t xml:space="preserve">” means, as of any date, the ratio of (a) Total Debt secured by a Lien on any assets of Borrower or any of its Subsidiaries as of such date (net of unrestricted cash and Cash Equivalents of Borrower and its consolidated Subsidiaries on the consolidated balance sheet of Borrower and its Subsidiaries as of the last day of such period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to the extent the Specified Transaction has not been consummated, such amounts domiciled in the People’s Republic of China, and such net amount not to exceed in aggregate $100,000,000 and excluding any Debt of the Playa Vista Borrower or any guarantee thereof, but only to the extent that such Debt or guarantee thereof is not secured by the assets of the Borrower or any of its Subsidiaries (other than the Playa Vista Borrower)) to (b) EBITDA for the period of four (4) Fiscal Quarter period ending on or immediately prior to such date.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Settlement Date</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11.13(a)(iii)</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SOFR</w:t>
      </w:r>
      <w:r>
        <w:rPr>
          <w:rFonts w:ascii="Times New Roman" w:cs="Times New Roman" w:eastAsia="Times New Roman" w:hAnsi="Times New Roman"/>
          <w:sz w:val="21"/>
          <w:szCs w:val="21"/>
          <w:color w:val="auto"/>
        </w:rPr>
        <w:t>” means a rate equal to the secured overnight financing rate as administered by the SOFR Administrator.</w:t>
      </w:r>
    </w:p>
    <w:p>
      <w:pPr>
        <w:spacing w:after="0" w:line="22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SOFR Administrator</w:t>
      </w:r>
      <w:r>
        <w:rPr>
          <w:rFonts w:ascii="Times New Roman" w:cs="Times New Roman" w:eastAsia="Times New Roman" w:hAnsi="Times New Roman"/>
          <w:sz w:val="21"/>
          <w:szCs w:val="21"/>
          <w:color w:val="auto"/>
        </w:rPr>
        <w:t>” means the Federal Reserve Bank of New York (or a successor administrator of the secured overnight financing rate).</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SOFR Business Day</w:t>
      </w:r>
      <w:r>
        <w:rPr>
          <w:rFonts w:ascii="Times New Roman" w:cs="Times New Roman" w:eastAsia="Times New Roman" w:hAnsi="Times New Roman"/>
          <w:sz w:val="21"/>
          <w:szCs w:val="21"/>
          <w:color w:val="auto"/>
        </w:rPr>
        <w:t xml:space="preserve">” means, for any Obligations, interest, fees, commissions or other amounts denominated in, or calculated with respect to, U.S. Dollars, any day except for (a) a Saturday, (b) a Sunday or (c) a day on which the Securities Industry and Financial Markets Association recommends that the fixed income departments of its members be closed for the entire day for purposes of trading in United States government securities;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for purposes of notice requirements in </w:t>
      </w:r>
      <w:r>
        <w:rPr>
          <w:rFonts w:ascii="Times New Roman" w:cs="Times New Roman" w:eastAsia="Times New Roman" w:hAnsi="Times New Roman"/>
          <w:sz w:val="21"/>
          <w:szCs w:val="21"/>
          <w:u w:val="single" w:color="auto"/>
          <w:color w:val="auto"/>
        </w:rPr>
        <w:t>Sections 2.4(c)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3.1(g)</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3.1(h)</w:t>
      </w:r>
      <w:r>
        <w:rPr>
          <w:rFonts w:ascii="Times New Roman" w:cs="Times New Roman" w:eastAsia="Times New Roman" w:hAnsi="Times New Roman"/>
          <w:sz w:val="21"/>
          <w:szCs w:val="21"/>
          <w:color w:val="auto"/>
        </w:rPr>
        <w:t>, in each case, such day is also a Business Day.</w:t>
      </w:r>
    </w:p>
    <w:p>
      <w:pPr>
        <w:spacing w:after="0" w:line="17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Solvent</w:t>
      </w:r>
      <w:r>
        <w:rPr>
          <w:rFonts w:ascii="Times New Roman" w:cs="Times New Roman" w:eastAsia="Times New Roman" w:hAnsi="Times New Roman"/>
          <w:sz w:val="21"/>
          <w:szCs w:val="21"/>
          <w:color w:val="auto"/>
        </w:rPr>
        <w:t>” means, with respect to any Person on any date of determination, that on such date (a) the fair value of the assets (including contingent assets)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assets or liabilities at any time shall be computed as the amount that, in the light of all of the facts and circumstances existing at such time, represents the amount that can reasonably be expected to become an actual or matured assets or liability, as the case may be.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Specified Transaction</w:t>
      </w:r>
      <w:r>
        <w:rPr>
          <w:rFonts w:ascii="Times New Roman" w:cs="Times New Roman" w:eastAsia="Times New Roman" w:hAnsi="Times New Roman"/>
          <w:sz w:val="21"/>
          <w:szCs w:val="21"/>
          <w:color w:val="auto"/>
        </w:rPr>
        <w:t>” has the meaning set forth in the definition of “Letter of Credit Accommodations Sublimit”.</w:t>
      </w: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Spot Rate</w:t>
      </w:r>
      <w:r>
        <w:rPr>
          <w:rFonts w:ascii="Times New Roman" w:cs="Times New Roman" w:eastAsia="Times New Roman" w:hAnsi="Times New Roman"/>
          <w:sz w:val="21"/>
          <w:szCs w:val="21"/>
          <w:color w:val="auto"/>
        </w:rPr>
        <w:t xml:space="preserve">” means, subject to </w:t>
      </w:r>
      <w:r>
        <w:rPr>
          <w:rFonts w:ascii="Times New Roman" w:cs="Times New Roman" w:eastAsia="Times New Roman" w:hAnsi="Times New Roman"/>
          <w:sz w:val="21"/>
          <w:szCs w:val="21"/>
          <w:u w:val="single" w:color="auto"/>
          <w:color w:val="auto"/>
        </w:rPr>
        <w:t>Section 11.17</w:t>
      </w:r>
      <w:r>
        <w:rPr>
          <w:rFonts w:ascii="Times New Roman" w:cs="Times New Roman" w:eastAsia="Times New Roman" w:hAnsi="Times New Roman"/>
          <w:sz w:val="21"/>
          <w:szCs w:val="21"/>
          <w:color w:val="auto"/>
        </w:rPr>
        <w:t>, for a Currency, the rate provided (either by publication or otherwise provided or made available to Agent) by Thomson Reuters Corp. (or equivalent service chosen by Agent in its reasonable discretion) as the spot rate for the purchase of such Currency with another currency at a time selected by Agent in accordance with the procedures generally used by Agent for syndicated credit facilities in which it acts as administrative agent.</w:t>
      </w:r>
    </w:p>
    <w:p>
      <w:pPr>
        <w:spacing w:after="0" w:line="16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means, with respect to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(irrespective of whether or not at the time securities or other ownership interests of any other class or classes of such corporation, partnership or other entity shall have or might have voting power by reason of the happening of any contingency) is at the time directly or indirectly owned or controlled by such Person or one or more Subsidiaries of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Successor Entity</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7.13</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Swap Obligation</w:t>
      </w:r>
      <w:r>
        <w:rPr>
          <w:rFonts w:ascii="Times New Roman" w:cs="Times New Roman" w:eastAsia="Times New Roman" w:hAnsi="Times New Roman"/>
          <w:sz w:val="21"/>
          <w:szCs w:val="21"/>
          <w:color w:val="auto"/>
        </w:rPr>
        <w:t>” means, with respect to any Credit Party, any obligation to pay or perform under any agreement, contract or transaction that constitutes a “swap” within the meaning of Section 1a(47) of the Commodity Exchange Act.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Sweep Arrangement</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Swingline Commitment</w:t>
      </w:r>
      <w:r>
        <w:rPr>
          <w:rFonts w:ascii="Times New Roman" w:cs="Times New Roman" w:eastAsia="Times New Roman" w:hAnsi="Times New Roman"/>
          <w:sz w:val="21"/>
          <w:szCs w:val="21"/>
          <w:color w:val="auto"/>
        </w:rPr>
        <w:t>” means the lesser of (a) $5,000,000 and (b) the Revolving Loan Commitment. For greater certainty, the Swingline Commitment of $5,000,000 as of the Restatement Effective Date is a sub-limit of the Revolving Loan Commitment and not in addition thereto.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Swingline Facility</w:t>
      </w:r>
      <w:r>
        <w:rPr>
          <w:rFonts w:ascii="Times New Roman" w:cs="Times New Roman" w:eastAsia="Times New Roman" w:hAnsi="Times New Roman"/>
          <w:sz w:val="21"/>
          <w:szCs w:val="21"/>
          <w:color w:val="auto"/>
        </w:rPr>
        <w:t xml:space="preserve">” means the swingline facility established pursuant to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Swingline Lender</w:t>
      </w:r>
      <w:r>
        <w:rPr>
          <w:rFonts w:ascii="Times New Roman" w:cs="Times New Roman" w:eastAsia="Times New Roman" w:hAnsi="Times New Roman"/>
          <w:sz w:val="21"/>
          <w:szCs w:val="21"/>
          <w:color w:val="auto"/>
        </w:rPr>
        <w:t>” means Wells Fargo in its capacity as swingline lender hereunder or any successor thereto.</w:t>
      </w:r>
    </w:p>
    <w:p>
      <w:pPr>
        <w:spacing w:after="0" w:line="22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Swingline Loan</w:t>
      </w:r>
      <w:r>
        <w:rPr>
          <w:rFonts w:ascii="Times New Roman" w:cs="Times New Roman" w:eastAsia="Times New Roman" w:hAnsi="Times New Roman"/>
          <w:sz w:val="21"/>
          <w:szCs w:val="21"/>
          <w:color w:val="auto"/>
        </w:rPr>
        <w:t xml:space="preserve">” means any swingline loan made by Swingline Lender to Borrower pursuant to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 and all such swingline loans collectively as the context requires.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Swingline Participation Amount</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2.1(c)(iv)</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Synthetic Lease</w:t>
      </w:r>
      <w:r>
        <w:rPr>
          <w:rFonts w:ascii="Times New Roman" w:cs="Times New Roman" w:eastAsia="Times New Roman" w:hAnsi="Times New Roman"/>
          <w:sz w:val="21"/>
          <w:szCs w:val="21"/>
          <w:color w:val="auto"/>
        </w:rPr>
        <w:t>” 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TARGET Day</w:t>
      </w:r>
      <w:r>
        <w:rPr>
          <w:rFonts w:ascii="Times New Roman" w:cs="Times New Roman" w:eastAsia="Times New Roman" w:hAnsi="Times New Roman"/>
          <w:sz w:val="21"/>
          <w:szCs w:val="21"/>
          <w:color w:val="auto"/>
        </w:rPr>
        <w:t>” means any day on which TARGET2 is open for the settlement of payments in Euros.</w:t>
      </w:r>
    </w:p>
    <w:p>
      <w:pPr>
        <w:spacing w:after="0" w:line="22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TARGET2</w:t>
      </w:r>
      <w:r>
        <w:rPr>
          <w:rFonts w:ascii="Times New Roman" w:cs="Times New Roman" w:eastAsia="Times New Roman" w:hAnsi="Times New Roman"/>
          <w:sz w:val="21"/>
          <w:szCs w:val="21"/>
          <w:color w:val="auto"/>
        </w:rPr>
        <w:t>” means the Trans-European Automated Real-time Gross Settlement Express Transfer payment system which utilizes a single shared platform and which was launched on November 19, 2007.</w:t>
      </w:r>
    </w:p>
    <w:p>
      <w:pPr>
        <w:spacing w:after="0" w:line="13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Taxes</w:t>
      </w:r>
      <w:r>
        <w:rPr>
          <w:rFonts w:ascii="Times New Roman" w:cs="Times New Roman" w:eastAsia="Times New Roman" w:hAnsi="Times New Roman"/>
          <w:sz w:val="21"/>
          <w:szCs w:val="21"/>
          <w:color w:val="auto"/>
        </w:rPr>
        <w:t>” means all present or future taxes, levies, imposts, duties, deductions, withholdings (including backup withholding), assessments, fees or other charges imposed by any Governmental Authority, including any interest, fines, additions to tax or penalties applicable thereto.</w:t>
      </w:r>
    </w:p>
    <w:p>
      <w:pPr>
        <w:spacing w:after="0" w:line="1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CORRA</w:t>
      </w:r>
      <w:r>
        <w:rPr>
          <w:rFonts w:ascii="Times New Roman" w:cs="Times New Roman" w:eastAsia="Times New Roman" w:hAnsi="Times New Roman"/>
          <w:sz w:val="21"/>
          <w:szCs w:val="21"/>
          <w:color w:val="auto"/>
        </w:rPr>
        <w:t>” means, for any calculation with respect to a Term CORRA Loan, the Term CORRA Reference Rate for a tenor comparable to the applicable Interest Period on the day (such day, the “</w:t>
      </w:r>
      <w:r>
        <w:rPr>
          <w:rFonts w:ascii="Times New Roman" w:cs="Times New Roman" w:eastAsia="Times New Roman" w:hAnsi="Times New Roman"/>
          <w:sz w:val="21"/>
          <w:szCs w:val="21"/>
          <w:b w:val="1"/>
          <w:bCs w:val="1"/>
          <w:color w:val="auto"/>
        </w:rPr>
        <w:t>Periodic Term CORRA Determination Day</w:t>
      </w:r>
      <w:r>
        <w:rPr>
          <w:rFonts w:ascii="Times New Roman" w:cs="Times New Roman" w:eastAsia="Times New Roman" w:hAnsi="Times New Roman"/>
          <w:sz w:val="21"/>
          <w:szCs w:val="21"/>
          <w:color w:val="auto"/>
        </w:rPr>
        <w:t>”) that is two</w:t>
      </w:r>
    </w:p>
    <w:p>
      <w:pPr>
        <w:jc w:val="both"/>
        <w:ind w:firstLine="7"/>
        <w:spacing w:after="0" w:line="262" w:lineRule="auto"/>
        <w:tabs>
          <w:tab w:leader="none" w:pos="354"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CORRA Business Days prior to the first day of such Interest Period, as such rate is published by the Term CORRA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as of 5:00 p.m. (Toronto time) on any Periodic Term CORRA Determination Day the Term CORRA Reference Rate for the applicable tenor has not been published by the Term CORRA Administrator and a Benchmark Replacement Date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8" w:right="339" w:bottom="1440" w:gutter="0" w:footer="0" w:header="0"/>
        </w:sectPr>
      </w:pPr>
    </w:p>
    <w:bookmarkStart w:id="124" w:name="page125"/>
    <w:bookmarkEnd w:id="124"/>
    <w:p>
      <w:pPr>
        <w:jc w:val="both"/>
        <w:spacing w:after="0" w:line="270" w:lineRule="auto"/>
        <w:rPr>
          <w:sz w:val="20"/>
          <w:szCs w:val="20"/>
          <w:color w:val="auto"/>
        </w:rPr>
      </w:pPr>
      <w:r>
        <w:rPr>
          <w:rFonts w:ascii="Times New Roman" w:cs="Times New Roman" w:eastAsia="Times New Roman" w:hAnsi="Times New Roman"/>
          <w:sz w:val="21"/>
          <w:szCs w:val="21"/>
          <w:color w:val="auto"/>
        </w:rPr>
        <w:t>respect to the Term CORRA Reference Rate has not occurred, then Term CORRA will be the Term CORRA Reference Rate for such tenor as published by the Term CORRA Administrator on the first preceding CORRA Business Day for which such Term CORRA Reference Rate for such tenor was published by the Term CORRA Administrator so long as such first preceding CORRA Business Day is not more than three (3) CORRA Business Days prior to such Periodic Term CORRA Determination Day.</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CORRA Administrator</w:t>
      </w:r>
      <w:r>
        <w:rPr>
          <w:rFonts w:ascii="Times New Roman" w:cs="Times New Roman" w:eastAsia="Times New Roman" w:hAnsi="Times New Roman"/>
          <w:sz w:val="21"/>
          <w:szCs w:val="21"/>
          <w:color w:val="auto"/>
        </w:rPr>
        <w:t>” means CanDeal Benchmark Administration Services Inc. (“</w:t>
      </w:r>
      <w:r>
        <w:rPr>
          <w:rFonts w:ascii="Times New Roman" w:cs="Times New Roman" w:eastAsia="Times New Roman" w:hAnsi="Times New Roman"/>
          <w:sz w:val="21"/>
          <w:szCs w:val="21"/>
          <w:u w:val="single" w:color="auto"/>
          <w:color w:val="auto"/>
        </w:rPr>
        <w:t>CanDeal</w:t>
      </w:r>
      <w:r>
        <w:rPr>
          <w:rFonts w:ascii="Times New Roman" w:cs="Times New Roman" w:eastAsia="Times New Roman" w:hAnsi="Times New Roman"/>
          <w:sz w:val="21"/>
          <w:szCs w:val="21"/>
          <w:color w:val="auto"/>
        </w:rPr>
        <w:t>”) or, in the reasonable discretion of the Agent, TSX Inc. or an affiliate of TSX Inc. as the publication source of the CanDeal/TMX Term CORRA benchmark that is administered by CanDeal (or a successor administrator of the Term CORRA Reference Rate selected by the Agent in its reasonable discretion).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CORRA Loan</w:t>
      </w:r>
      <w:r>
        <w:rPr>
          <w:rFonts w:ascii="Times New Roman" w:cs="Times New Roman" w:eastAsia="Times New Roman" w:hAnsi="Times New Roman"/>
          <w:sz w:val="21"/>
          <w:szCs w:val="21"/>
          <w:color w:val="auto"/>
        </w:rPr>
        <w:t>” means a Loan that bears interest at a rate based on Term CORRA.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CORRA Reference Rate</w:t>
      </w:r>
      <w:r>
        <w:rPr>
          <w:rFonts w:ascii="Times New Roman" w:cs="Times New Roman" w:eastAsia="Times New Roman" w:hAnsi="Times New Roman"/>
          <w:sz w:val="21"/>
          <w:szCs w:val="21"/>
          <w:color w:val="auto"/>
        </w:rPr>
        <w:t>” means the forward-looking term rate based on CORRA.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Lender</w:t>
      </w:r>
      <w:r>
        <w:rPr>
          <w:rFonts w:ascii="Times New Roman" w:cs="Times New Roman" w:eastAsia="Times New Roman" w:hAnsi="Times New Roman"/>
          <w:sz w:val="21"/>
          <w:szCs w:val="21"/>
          <w:color w:val="auto"/>
        </w:rPr>
        <w:t>” means any Lender with an Incremental Term Loan Commitment or holding Incremental Term Loans.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SOFR</w:t>
      </w:r>
      <w:r>
        <w:rPr>
          <w:rFonts w:ascii="Times New Roman" w:cs="Times New Roman" w:eastAsia="Times New Roman" w:hAnsi="Times New Roman"/>
          <w:sz w:val="21"/>
          <w:szCs w:val="21"/>
          <w:color w:val="auto"/>
        </w:rPr>
        <w:t>” means,</w:t>
      </w:r>
    </w:p>
    <w:p>
      <w:pPr>
        <w:spacing w:after="0" w:line="232" w:lineRule="exact"/>
        <w:rPr>
          <w:sz w:val="20"/>
          <w:szCs w:val="20"/>
          <w:color w:val="auto"/>
        </w:rPr>
      </w:pPr>
    </w:p>
    <w:p>
      <w:pPr>
        <w:jc w:val="both"/>
        <w:ind w:firstLine="651"/>
        <w:spacing w:after="0" w:line="261" w:lineRule="auto"/>
        <w:tabs>
          <w:tab w:leader="none" w:pos="1284"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21"/>
          <w:szCs w:val="21"/>
          <w:b w:val="1"/>
          <w:bCs w:val="1"/>
          <w:color w:val="auto"/>
        </w:rPr>
        <w:t>Periodic Term SOFR Determination Day</w:t>
      </w:r>
      <w:r>
        <w:rPr>
          <w:rFonts w:ascii="Times New Roman" w:cs="Times New Roman" w:eastAsia="Times New Roman" w:hAnsi="Times New Roman"/>
          <w:sz w:val="21"/>
          <w:szCs w:val="21"/>
          <w:color w:val="auto"/>
        </w:rPr>
        <w:t xml:space="preserve">”) that is two (2) SOFR Business Days prior to the first day of such Interest Period, as such rate is published by the Term SOFR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as of 5:00 p.m. (New York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 such first preceding SOFR Business Day is not more than three (3) SOFR Business Days prior to such Periodic Term SOFR Determination Day, and</w:t>
      </w:r>
    </w:p>
    <w:p>
      <w:pPr>
        <w:spacing w:after="0" w:line="170" w:lineRule="exact"/>
        <w:rPr>
          <w:rFonts w:ascii="Times New Roman" w:cs="Times New Roman" w:eastAsia="Times New Roman" w:hAnsi="Times New Roman"/>
          <w:sz w:val="21"/>
          <w:szCs w:val="21"/>
          <w:color w:val="auto"/>
        </w:rPr>
      </w:pPr>
    </w:p>
    <w:p>
      <w:pPr>
        <w:jc w:val="both"/>
        <w:ind w:firstLine="651"/>
        <w:spacing w:after="0" w:line="260" w:lineRule="auto"/>
        <w:tabs>
          <w:tab w:leader="none" w:pos="128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any calculation with respect to a U.S. Base Rate Loan on any day, the Term SOFR Reference Rate for a tenor of one month on the day (such day, the “</w:t>
      </w:r>
      <w:r>
        <w:rPr>
          <w:rFonts w:ascii="Times New Roman" w:cs="Times New Roman" w:eastAsia="Times New Roman" w:hAnsi="Times New Roman"/>
          <w:sz w:val="21"/>
          <w:szCs w:val="21"/>
          <w:b w:val="1"/>
          <w:bCs w:val="1"/>
          <w:color w:val="auto"/>
        </w:rPr>
        <w:t>Base Rate Term SOFR Determination Day</w:t>
      </w:r>
      <w:r>
        <w:rPr>
          <w:rFonts w:ascii="Times New Roman" w:cs="Times New Roman" w:eastAsia="Times New Roman" w:hAnsi="Times New Roman"/>
          <w:sz w:val="21"/>
          <w:szCs w:val="21"/>
          <w:color w:val="auto"/>
        </w:rPr>
        <w:t xml:space="preserve">”) that is two (2) SOFR Business Days prior to such day, as such rate is published by the Term SOFR Administrator;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if as of 5:00 p.m. (New York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SOFR Business Day for which such Term SOFR Reference Rate for such tenor was published by the Term SOFR Administrator so long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25" w:name="page126"/>
    <w:bookmarkEnd w:id="125"/>
    <w:p>
      <w:pPr>
        <w:jc w:val="both"/>
        <w:spacing w:after="0" w:line="290" w:lineRule="auto"/>
        <w:rPr>
          <w:sz w:val="20"/>
          <w:szCs w:val="20"/>
          <w:color w:val="auto"/>
        </w:rPr>
      </w:pPr>
      <w:r>
        <w:rPr>
          <w:rFonts w:ascii="Times New Roman" w:cs="Times New Roman" w:eastAsia="Times New Roman" w:hAnsi="Times New Roman"/>
          <w:sz w:val="21"/>
          <w:szCs w:val="21"/>
          <w:color w:val="auto"/>
        </w:rPr>
        <w:t>such first preceding SOFR Business Day is not more than three (3) SOFR Business Days prior to such Base Rate Term SOFR Determination Day;</w:t>
      </w:r>
    </w:p>
    <w:p>
      <w:pPr>
        <w:spacing w:after="0" w:line="140" w:lineRule="exact"/>
        <w:rPr>
          <w:sz w:val="20"/>
          <w:szCs w:val="20"/>
          <w:color w:val="auto"/>
        </w:rPr>
      </w:pPr>
    </w:p>
    <w:p>
      <w:pPr>
        <w:spacing w:after="0" w:line="303" w:lineRule="auto"/>
        <w:rPr>
          <w:sz w:val="20"/>
          <w:szCs w:val="20"/>
          <w:color w:val="auto"/>
        </w:rPr>
      </w:pP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if Term SOFR determined as provided above (including pursuant to the proviso under clause (a) or clause (b) above) shall ever be less than the Floor, then Term SOFR shall be deemed to be the Floor.</w:t>
      </w:r>
    </w:p>
    <w:p>
      <w:pPr>
        <w:spacing w:after="0" w:line="124"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SOFR Administrator”</w:t>
      </w:r>
      <w:r>
        <w:rPr>
          <w:rFonts w:ascii="Times New Roman" w:cs="Times New Roman" w:eastAsia="Times New Roman" w:hAnsi="Times New Roman"/>
          <w:sz w:val="21"/>
          <w:szCs w:val="21"/>
          <w:color w:val="auto"/>
        </w:rPr>
        <w:t xml:space="preserve"> means CME Group Benchmark Administration Limited (CBA) (or a successor administrator of the Term SOFR Reference Rate selected by the Agent in its reasonable discretion).</w:t>
      </w:r>
    </w:p>
    <w:p>
      <w:pPr>
        <w:spacing w:after="0" w:line="132" w:lineRule="exact"/>
        <w:rPr>
          <w:sz w:val="20"/>
          <w:szCs w:val="20"/>
          <w:color w:val="auto"/>
        </w:rPr>
      </w:pPr>
    </w:p>
    <w:p>
      <w:pPr>
        <w:jc w:val="both"/>
        <w:ind w:right="20"/>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SOFR Loan</w:t>
      </w:r>
      <w:r>
        <w:rPr>
          <w:rFonts w:ascii="Times New Roman" w:cs="Times New Roman" w:eastAsia="Times New Roman" w:hAnsi="Times New Roman"/>
          <w:sz w:val="21"/>
          <w:szCs w:val="21"/>
          <w:color w:val="auto"/>
        </w:rPr>
        <w:t>” means any Loan that bears interest at a rate based on Term SOFR other than pursuant to clause (c) of the definition of “U.S. Base Rate”.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Term SOFR Reference Rate</w:t>
      </w:r>
      <w:r>
        <w:rPr>
          <w:rFonts w:ascii="Times New Roman" w:cs="Times New Roman" w:eastAsia="Times New Roman" w:hAnsi="Times New Roman"/>
          <w:sz w:val="21"/>
          <w:szCs w:val="21"/>
          <w:color w:val="auto"/>
        </w:rPr>
        <w:t>” means the forward-looking term rate based on SOFR.</w:t>
      </w:r>
    </w:p>
    <w:p>
      <w:pPr>
        <w:spacing w:after="0" w:line="22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Total Debt</w:t>
      </w:r>
      <w:r>
        <w:rPr>
          <w:rFonts w:ascii="Times New Roman" w:cs="Times New Roman" w:eastAsia="Times New Roman" w:hAnsi="Times New Roman"/>
          <w:sz w:val="21"/>
          <w:szCs w:val="21"/>
          <w:color w:val="auto"/>
        </w:rPr>
        <w:t xml:space="preserve">” means, at any time with respect to Borrower and its consolidated Subsidiaries in accordance with GAAP and to the extent listed on the consolidated balance sheet (without duplication), the sum of all (i) Debt of the type specified in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w:t>
      </w:r>
    </w:p>
    <w:p>
      <w:pPr>
        <w:jc w:val="both"/>
        <w:spacing w:after="0" w:line="258" w:lineRule="auto"/>
        <w:rPr>
          <w:sz w:val="20"/>
          <w:szCs w:val="20"/>
          <w:color w:val="auto"/>
        </w:rPr>
      </w:pP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of the definition of “Debt” and (ii) non-contingent obligations of the type specified in </w:t>
      </w:r>
      <w:r>
        <w:rPr>
          <w:rFonts w:ascii="Times New Roman" w:cs="Times New Roman" w:eastAsia="Times New Roman" w:hAnsi="Times New Roman"/>
          <w:sz w:val="21"/>
          <w:szCs w:val="21"/>
          <w:u w:val="single" w:color="auto"/>
          <w:color w:val="auto"/>
        </w:rPr>
        <w:t>clause (k)</w:t>
      </w:r>
      <w:r>
        <w:rPr>
          <w:rFonts w:ascii="Times New Roman" w:cs="Times New Roman" w:eastAsia="Times New Roman" w:hAnsi="Times New Roman"/>
          <w:sz w:val="21"/>
          <w:szCs w:val="21"/>
          <w:color w:val="auto"/>
        </w:rPr>
        <w:t xml:space="preserve"> of such definition to the extent such obligations under clause </w:t>
      </w:r>
      <w:r>
        <w:rPr>
          <w:rFonts w:ascii="Times New Roman" w:cs="Times New Roman" w:eastAsia="Times New Roman" w:hAnsi="Times New Roman"/>
          <w:sz w:val="21"/>
          <w:szCs w:val="21"/>
          <w:u w:val="single" w:color="auto"/>
          <w:color w:val="auto"/>
        </w:rPr>
        <w:t>(k)</w:t>
      </w:r>
      <w:r>
        <w:rPr>
          <w:rFonts w:ascii="Times New Roman" w:cs="Times New Roman" w:eastAsia="Times New Roman" w:hAnsi="Times New Roman"/>
          <w:sz w:val="21"/>
          <w:szCs w:val="21"/>
          <w:color w:val="auto"/>
        </w:rPr>
        <w:t xml:space="preserve"> relate to Debt of the type specified in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of such definition (but (1) excluding surety bonds not in connection with debt for borrowed money, performance bonds or other similar instruments, (2) excluding the effects of any discounting of Debt resulting from the application of purchase accounting in connection with the transactions contemplated by this Agreement or any acquisition, and (3) any Debt that is issued at a discount to its initial principal amount shall be calculated based on the entire stated principal amount thereof, without giving effect to any discounts or upfront payments, excluding obligations in respect of letters of credit, bankers acceptances, bank guarantees, and guarantees on first demand, in each case, except to the extent of unreimbursed amounts thereunder). For the avoidance of doubt, it is understood that obligations under Hedge Agreements and Cash Management Agreements do not constitute Total Debt.</w:t>
      </w:r>
    </w:p>
    <w:p>
      <w:pPr>
        <w:spacing w:after="0" w:line="16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Total Leverage Ratio</w:t>
      </w:r>
      <w:r>
        <w:rPr>
          <w:rFonts w:ascii="Times New Roman" w:cs="Times New Roman" w:eastAsia="Times New Roman" w:hAnsi="Times New Roman"/>
          <w:sz w:val="21"/>
          <w:szCs w:val="21"/>
          <w:color w:val="auto"/>
        </w:rPr>
        <w:t>” means, as of any date of determination, the ratio of (a) Total Debt on such date to (b) EBITDA for the period of four (4) consecutive Fiscal Quarters ending on or immediately prior to such date.</w:t>
      </w:r>
    </w:p>
    <w:p>
      <w:pPr>
        <w:spacing w:after="0" w:line="13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Total Net Leverage Ratio</w:t>
      </w:r>
      <w:r>
        <w:rPr>
          <w:rFonts w:ascii="Times New Roman" w:cs="Times New Roman" w:eastAsia="Times New Roman" w:hAnsi="Times New Roman"/>
          <w:sz w:val="21"/>
          <w:szCs w:val="21"/>
          <w:color w:val="auto"/>
        </w:rPr>
        <w:t xml:space="preserve">” means, as of any date of determination, the ratio of (a) Total Debt on such date (net of, without duplication, (i) from and after the incurrence of any Debt pursuant to </w:t>
      </w:r>
      <w:r>
        <w:rPr>
          <w:rFonts w:ascii="Times New Roman" w:cs="Times New Roman" w:eastAsia="Times New Roman" w:hAnsi="Times New Roman"/>
          <w:sz w:val="21"/>
          <w:szCs w:val="21"/>
          <w:u w:val="single" w:color="auto"/>
          <w:color w:val="auto"/>
        </w:rPr>
        <w:t>Section 8.3(h)</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8.3(m)</w:t>
      </w:r>
      <w:r>
        <w:rPr>
          <w:rFonts w:ascii="Times New Roman" w:cs="Times New Roman" w:eastAsia="Times New Roman" w:hAnsi="Times New Roman"/>
          <w:sz w:val="21"/>
          <w:szCs w:val="21"/>
          <w:color w:val="auto"/>
        </w:rPr>
        <w:t xml:space="preserve"> after the Restatement Effective Date until the repayment, conversion or refinancing of the 2026 Notes in full (including at maturity thereof), the aggregate principal amount of such Debt incurred pursuant to </w:t>
      </w:r>
      <w:r>
        <w:rPr>
          <w:rFonts w:ascii="Times New Roman" w:cs="Times New Roman" w:eastAsia="Times New Roman" w:hAnsi="Times New Roman"/>
          <w:sz w:val="21"/>
          <w:szCs w:val="21"/>
          <w:u w:val="single" w:color="auto"/>
          <w:color w:val="auto"/>
        </w:rPr>
        <w:t>Section 8.3(h)</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8.3(m)</w:t>
      </w:r>
      <w:r>
        <w:rPr>
          <w:rFonts w:ascii="Times New Roman" w:cs="Times New Roman" w:eastAsia="Times New Roman" w:hAnsi="Times New Roman"/>
          <w:sz w:val="21"/>
          <w:szCs w:val="21"/>
          <w:color w:val="auto"/>
        </w:rPr>
        <w:t xml:space="preserve">, and such net amount under this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not to exceed the principal amount (or accreted value, if applicable) of the 2026 Notes (plus accrued interest, any reasonable premium and reasonable commissions, fees and expenses) and (ii) unrestricted cash and Cash Equivalents of Borrower and its consolidated Subsidiaries on the consolidated balance sheet of Borrower and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26" w:name="page127"/>
    <w:bookmarkEnd w:id="126"/>
    <w:p>
      <w:pPr>
        <w:jc w:val="both"/>
        <w:spacing w:after="0" w:line="271" w:lineRule="auto"/>
        <w:rPr>
          <w:sz w:val="20"/>
          <w:szCs w:val="20"/>
          <w:color w:val="auto"/>
        </w:rPr>
      </w:pPr>
      <w:r>
        <w:rPr>
          <w:rFonts w:ascii="Times New Roman" w:cs="Times New Roman" w:eastAsia="Times New Roman" w:hAnsi="Times New Roman"/>
          <w:sz w:val="21"/>
          <w:szCs w:val="21"/>
          <w:color w:val="auto"/>
        </w:rPr>
        <w:t xml:space="preserve">Subsidiaries as of the last day of such period </w:t>
      </w:r>
      <w:r>
        <w:rPr>
          <w:rFonts w:ascii="Times New Roman" w:cs="Times New Roman" w:eastAsia="Times New Roman" w:hAnsi="Times New Roman"/>
          <w:sz w:val="21"/>
          <w:szCs w:val="21"/>
          <w:u w:val="single" w:color="auto"/>
          <w:color w:val="auto"/>
        </w:rPr>
        <w:t>less</w:t>
      </w:r>
      <w:r>
        <w:rPr>
          <w:rFonts w:ascii="Times New Roman" w:cs="Times New Roman" w:eastAsia="Times New Roman" w:hAnsi="Times New Roman"/>
          <w:sz w:val="21"/>
          <w:szCs w:val="21"/>
          <w:color w:val="auto"/>
        </w:rPr>
        <w:t xml:space="preserve">, to the extent the Specified Transaction has not been consummated, such amounts domiciled in the People’s Republic of China, and such net amount under this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xml:space="preserve"> not to exceed in aggregate $100,000,000) to (b) EBITDA for the period of four (4) consecutive Fiscal Quarters ending on or immediately prior to such date.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Trade-mark</w:t>
      </w:r>
      <w:r>
        <w:rPr>
          <w:rFonts w:ascii="Times New Roman" w:cs="Times New Roman" w:eastAsia="Times New Roman" w:hAnsi="Times New Roman"/>
          <w:sz w:val="21"/>
          <w:szCs w:val="21"/>
          <w:color w:val="auto"/>
        </w:rPr>
        <w:t>” means any Trade-mark as such term is defined in the General Security Agreement.</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TTM Revenue</w:t>
      </w:r>
      <w:r>
        <w:rPr>
          <w:rFonts w:ascii="Times New Roman" w:cs="Times New Roman" w:eastAsia="Times New Roman" w:hAnsi="Times New Roman"/>
          <w:sz w:val="21"/>
          <w:szCs w:val="21"/>
          <w:color w:val="auto"/>
        </w:rPr>
        <w:t>” means, as of any date of determination, with respect to Borrower and its consolidated Subsidiaries the amount which is set forth under the heading “Revenues” on the consolidated statement of operations of Borrower and its Subsidiaries for the most recent four (4) consecutive Fiscal Quarter period ending on or immediately prior to such date as determined in accordance with GAAP.</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Type</w:t>
      </w:r>
      <w:r>
        <w:rPr>
          <w:rFonts w:ascii="Times New Roman" w:cs="Times New Roman" w:eastAsia="Times New Roman" w:hAnsi="Times New Roman"/>
          <w:sz w:val="21"/>
          <w:szCs w:val="21"/>
          <w:color w:val="auto"/>
        </w:rPr>
        <w:t xml:space="preserve">” means (i) for any US Revolving Loan, the type of such US Revolving Loan determined with regard to the interest option available thereto, </w:t>
      </w:r>
      <w:r>
        <w:rPr>
          <w:rFonts w:ascii="Times New Roman" w:cs="Times New Roman" w:eastAsia="Times New Roman" w:hAnsi="Times New Roman"/>
          <w:sz w:val="21"/>
          <w:szCs w:val="21"/>
          <w:u w:val="single" w:color="auto"/>
          <w:color w:val="auto"/>
        </w:rPr>
        <w:t>i.e</w:t>
      </w:r>
      <w:r>
        <w:rPr>
          <w:rFonts w:ascii="Times New Roman" w:cs="Times New Roman" w:eastAsia="Times New Roman" w:hAnsi="Times New Roman"/>
          <w:sz w:val="21"/>
          <w:szCs w:val="21"/>
          <w:color w:val="auto"/>
        </w:rPr>
        <w:t xml:space="preserve">., whether a U.S. Base Rate Loan or a Term SOFR Loan, (ii) for a Eurocurrency Rate Loan, the Currency of such Eurocurrency Rate Loan, and (iii) in the case of any Canadian Revolving Loan, the type of such Canadian Revolving Loan determined with regard to the interest option available thereto, </w:t>
      </w:r>
      <w:r>
        <w:rPr>
          <w:rFonts w:ascii="Times New Roman" w:cs="Times New Roman" w:eastAsia="Times New Roman" w:hAnsi="Times New Roman"/>
          <w:sz w:val="21"/>
          <w:szCs w:val="21"/>
          <w:u w:val="single" w:color="auto"/>
          <w:color w:val="auto"/>
        </w:rPr>
        <w:t>i.e</w:t>
      </w:r>
      <w:r>
        <w:rPr>
          <w:rFonts w:ascii="Times New Roman" w:cs="Times New Roman" w:eastAsia="Times New Roman" w:hAnsi="Times New Roman"/>
          <w:sz w:val="21"/>
          <w:szCs w:val="21"/>
          <w:color w:val="auto"/>
        </w:rPr>
        <w:t>., whether a Canadian Prime Rate Loan or a Term CORRA Loan.</w:t>
      </w:r>
    </w:p>
    <w:p>
      <w:pPr>
        <w:spacing w:after="0" w:line="1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UCC</w:t>
      </w:r>
      <w:r>
        <w:rPr>
          <w:rFonts w:ascii="Times New Roman" w:cs="Times New Roman" w:eastAsia="Times New Roman" w:hAnsi="Times New Roman"/>
          <w:sz w:val="21"/>
          <w:szCs w:val="21"/>
          <w:color w:val="auto"/>
        </w:rPr>
        <w:t>” means the Uniform Commercial Code as in effect in the State of New York (or any similar or equivalent legislation as in effect in any applicable jurisdiction).</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UK Financial Institution</w:t>
      </w:r>
      <w:r>
        <w:rPr>
          <w:rFonts w:ascii="Times New Roman" w:cs="Times New Roman" w:eastAsia="Times New Roman" w:hAnsi="Times New Roman"/>
          <w:sz w:val="21"/>
          <w:szCs w:val="21"/>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6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UK Resolution Authority</w:t>
      </w:r>
      <w:r>
        <w:rPr>
          <w:rFonts w:ascii="Times New Roman" w:cs="Times New Roman" w:eastAsia="Times New Roman" w:hAnsi="Times New Roman"/>
          <w:sz w:val="21"/>
          <w:szCs w:val="21"/>
          <w:color w:val="auto"/>
        </w:rPr>
        <w:t>” means the Bank of England or any other public administrative authority having responsibility for the resolution of any UK Financial Institution.</w:t>
      </w:r>
    </w:p>
    <w:p>
      <w:pPr>
        <w:spacing w:after="0" w:line="11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Unadjusted Benchmark Replacement</w:t>
      </w:r>
      <w:r>
        <w:rPr>
          <w:rFonts w:ascii="Times New Roman" w:cs="Times New Roman" w:eastAsia="Times New Roman" w:hAnsi="Times New Roman"/>
          <w:sz w:val="21"/>
          <w:szCs w:val="21"/>
          <w:color w:val="auto"/>
        </w:rPr>
        <w:t>” means the applicable Benchmark Replacement excluding the related Benchmark Replacement Adjustment.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United States</w:t>
      </w:r>
      <w:r>
        <w:rPr>
          <w:rFonts w:ascii="Times New Roman" w:cs="Times New Roman" w:eastAsia="Times New Roman" w:hAnsi="Times New Roman"/>
          <w:sz w:val="21"/>
          <w:szCs w:val="21"/>
          <w:color w:val="auto"/>
        </w:rPr>
        <w:t>” means the United States of America.</w:t>
      </w:r>
    </w:p>
    <w:p>
      <w:pPr>
        <w:spacing w:after="0" w:line="22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United States Person</w:t>
      </w:r>
      <w:r>
        <w:rPr>
          <w:rFonts w:ascii="Times New Roman" w:cs="Times New Roman" w:eastAsia="Times New Roman" w:hAnsi="Times New Roman"/>
          <w:sz w:val="21"/>
          <w:szCs w:val="21"/>
          <w:color w:val="auto"/>
        </w:rPr>
        <w:t>” means any United States citizen, lawful permanent resident, entity organized under the laws of the United States or any jurisdiction within the United States, including any foreign branch of any such entity, or any Person in the United States.</w:t>
      </w:r>
    </w:p>
    <w:p>
      <w:pPr>
        <w:spacing w:after="0" w:line="1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USERP</w:t>
      </w:r>
      <w:r>
        <w:rPr>
          <w:rFonts w:ascii="Times New Roman" w:cs="Times New Roman" w:eastAsia="Times New Roman" w:hAnsi="Times New Roman"/>
          <w:sz w:val="21"/>
          <w:szCs w:val="21"/>
          <w:color w:val="auto"/>
        </w:rPr>
        <w:t>” means the unregistered supplemental executive retirement plan dated July 12, 2000, as amended and restated as of January 1, 2006, made by Borrower in favor of its former Co-</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27" w:name="page128"/>
    <w:bookmarkEnd w:id="127"/>
    <w:p>
      <w:pPr>
        <w:jc w:val="both"/>
        <w:spacing w:after="0" w:line="290" w:lineRule="auto"/>
        <w:rPr>
          <w:sz w:val="20"/>
          <w:szCs w:val="20"/>
          <w:color w:val="auto"/>
        </w:rPr>
      </w:pPr>
      <w:r>
        <w:rPr>
          <w:rFonts w:ascii="Times New Roman" w:cs="Times New Roman" w:eastAsia="Times New Roman" w:hAnsi="Times New Roman"/>
          <w:sz w:val="21"/>
          <w:szCs w:val="21"/>
          <w:color w:val="auto"/>
        </w:rPr>
        <w:t>Chief Executive Officer and current Chairman of the Board, Bradley J. Wechsler, and its current Chief Executive Officer, Richard L. Gelfond.</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Base Rate</w:t>
      </w:r>
      <w:r>
        <w:rPr>
          <w:rFonts w:ascii="Times New Roman" w:cs="Times New Roman" w:eastAsia="Times New Roman" w:hAnsi="Times New Roman"/>
          <w:sz w:val="21"/>
          <w:szCs w:val="21"/>
          <w:color w:val="auto"/>
        </w:rPr>
        <w:t xml:space="preserve">” means, at any time, the highest of (a) the U.S. Prime Rate, (b) the Federal Funds Rate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0.50% and (c) Term SOFR for an Interest Period of one month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the difference between the Applicable Margin for U.S. Base Rate Loans and Term SOFR Loans; each change in the U.S. Base Rate shall take effect simultaneously with the corresponding change or changes in the U.S. Prime Rate, the Federal Funds Rate or Term SOFR (provided that clause (c) shall not be applicable during any period in which Term SOFR is unavailable or unascertainable).</w:t>
      </w:r>
    </w:p>
    <w:p>
      <w:pPr>
        <w:spacing w:after="0" w:line="163"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Base Rate Loans</w:t>
      </w:r>
      <w:r>
        <w:rPr>
          <w:rFonts w:ascii="Times New Roman" w:cs="Times New Roman" w:eastAsia="Times New Roman" w:hAnsi="Times New Roman"/>
          <w:sz w:val="21"/>
          <w:szCs w:val="21"/>
          <w:color w:val="auto"/>
        </w:rPr>
        <w:t>” means any Loans (including Swingline Loans) or portions thereof denominated in U.S. Dollars and on which interest is payable based on the U.S. Base Rate in accordance with the terms hereof.</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First Rate</w:t>
      </w:r>
      <w:r>
        <w:rPr>
          <w:rFonts w:ascii="Times New Roman" w:cs="Times New Roman" w:eastAsia="Times New Roman" w:hAnsi="Times New Roman"/>
          <w:sz w:val="21"/>
          <w:szCs w:val="21"/>
          <w:color w:val="auto"/>
        </w:rPr>
        <w:t xml:space="preserve">” is defined in </w:t>
      </w:r>
      <w:r>
        <w:rPr>
          <w:rFonts w:ascii="Times New Roman" w:cs="Times New Roman" w:eastAsia="Times New Roman" w:hAnsi="Times New Roman"/>
          <w:sz w:val="21"/>
          <w:szCs w:val="21"/>
          <w:u w:val="single" w:color="auto"/>
          <w:color w:val="auto"/>
        </w:rPr>
        <w:t>Section 3.1(c)</w:t>
      </w:r>
      <w:r>
        <w:rPr>
          <w:rFonts w:ascii="Times New Roman" w:cs="Times New Roman" w:eastAsia="Times New Roman" w:hAnsi="Times New Roman"/>
          <w:sz w:val="21"/>
          <w:szCs w:val="21"/>
          <w:color w:val="auto"/>
        </w:rPr>
        <w:t>.</w:t>
      </w:r>
    </w:p>
    <w:p>
      <w:pPr>
        <w:spacing w:after="0" w:line="22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Pension Plan</w:t>
      </w:r>
      <w:r>
        <w:rPr>
          <w:rFonts w:ascii="Times New Roman" w:cs="Times New Roman" w:eastAsia="Times New Roman" w:hAnsi="Times New Roman"/>
          <w:sz w:val="21"/>
          <w:szCs w:val="21"/>
          <w:color w:val="auto"/>
        </w:rPr>
        <w:t xml:space="preserve">” means a pension plan (as defined in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of ERISA) subject to </w:t>
      </w:r>
      <w:r>
        <w:rPr>
          <w:rFonts w:ascii="Times New Roman" w:cs="Times New Roman" w:eastAsia="Times New Roman" w:hAnsi="Times New Roman"/>
          <w:sz w:val="21"/>
          <w:szCs w:val="21"/>
          <w:u w:val="single" w:color="auto"/>
          <w:color w:val="auto"/>
        </w:rPr>
        <w:t>Title IV</w:t>
      </w:r>
      <w:r>
        <w:rPr>
          <w:rFonts w:ascii="Times New Roman" w:cs="Times New Roman" w:eastAsia="Times New Roman" w:hAnsi="Times New Roman"/>
          <w:sz w:val="21"/>
          <w:szCs w:val="21"/>
          <w:color w:val="auto"/>
        </w:rPr>
        <w:t xml:space="preserve"> of ERISA which any Credit Party sponsors, maintains, or to which any Credit Party or any ERISA Affiliate makes, is making, or is obligated to make contributions, other than a Multiemployer Plan.</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Prime Rate</w:t>
      </w:r>
      <w:r>
        <w:rPr>
          <w:rFonts w:ascii="Times New Roman" w:cs="Times New Roman" w:eastAsia="Times New Roman" w:hAnsi="Times New Roman"/>
          <w:sz w:val="21"/>
          <w:szCs w:val="21"/>
          <w:color w:val="auto"/>
        </w:rPr>
        <w:t xml:space="preserve">” means, at any time, the rate of interest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publicly announced from time to time by Agent as its prime rate. Each change in the U.S. Prime Rate shall be effective as of the opening of business on the day such change in such prime rate occurs. The parties hereto acknowledge that the rate announced publicly by Agent as its prime rate is an index or base rate and shall not necessarily be its lowest or best rate charged to its customers or other banks.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US Revolving Loans</w:t>
      </w:r>
      <w:r>
        <w:rPr>
          <w:rFonts w:ascii="Times New Roman" w:cs="Times New Roman" w:eastAsia="Times New Roman" w:hAnsi="Times New Roman"/>
          <w:sz w:val="21"/>
          <w:szCs w:val="21"/>
          <w:color w:val="auto"/>
        </w:rPr>
        <w:t>” means Revolving Loans denominated in U.S. Dollars.</w:t>
      </w:r>
    </w:p>
    <w:p>
      <w:pPr>
        <w:spacing w:after="0" w:line="22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Voluntary Prepayment Amount</w:t>
      </w:r>
      <w:r>
        <w:rPr>
          <w:rFonts w:ascii="Times New Roman" w:cs="Times New Roman" w:eastAsia="Times New Roman" w:hAnsi="Times New Roman"/>
          <w:sz w:val="21"/>
          <w:szCs w:val="21"/>
          <w:color w:val="auto"/>
        </w:rPr>
        <w:t>” means, at any time, the amount equal to all voluntary prepayments by Borrower of the Loans to the extent accompanied by a corresponding permanent reduction in the Revolving Loan Commitment, if applicable, less the aggregate principal amount of all Incremental Loans, Incremental Loan Commitments and Incremental Equivalent Debt incurred under the Voluntary Prepayment Amount prior to such time, as applicable.</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Weighted Average Life to Maturity</w:t>
      </w:r>
      <w:r>
        <w:rPr>
          <w:rFonts w:ascii="Times New Roman" w:cs="Times New Roman" w:eastAsia="Times New Roman" w:hAnsi="Times New Roman"/>
          <w:sz w:val="21"/>
          <w:szCs w:val="21"/>
          <w:color w:val="auto"/>
        </w:rPr>
        <w:t xml:space="preserve">” means, when applied to any indebtedness at any date, the number of years (and/or portion thereof)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in each case of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 without giving effect to the application of any prior prepayment to such installment, sinking fund, serial maturity or other required payment of principal.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Wells Fargo</w:t>
      </w:r>
      <w:r>
        <w:rPr>
          <w:rFonts w:ascii="Times New Roman" w:cs="Times New Roman" w:eastAsia="Times New Roman" w:hAnsi="Times New Roman"/>
          <w:sz w:val="21"/>
          <w:szCs w:val="21"/>
          <w:color w:val="auto"/>
        </w:rPr>
        <w:t>” means Wells Fargo Bank, National Association, a national banking association, and its successors.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Withholding Agent</w:t>
      </w:r>
      <w:r>
        <w:rPr>
          <w:rFonts w:ascii="Times New Roman" w:cs="Times New Roman" w:eastAsia="Times New Roman" w:hAnsi="Times New Roman"/>
          <w:sz w:val="21"/>
          <w:szCs w:val="21"/>
          <w:color w:val="auto"/>
        </w:rPr>
        <w:t>” means any Credit Party and Agent.</w:t>
      </w:r>
    </w:p>
    <w:p>
      <w:pPr>
        <w:spacing w:after="0" w:line="2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Write-Down and Conversion Powers</w:t>
      </w:r>
      <w:r>
        <w:rPr>
          <w:rFonts w:ascii="Times New Roman" w:cs="Times New Roman" w:eastAsia="Times New Roman" w:hAnsi="Times New Roman"/>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2</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1"/>
          <w:szCs w:val="21"/>
          <w:b w:val="1"/>
          <w:bCs w:val="1"/>
          <w:u w:val="single" w:color="auto"/>
          <w:color w:val="auto"/>
        </w:rPr>
        <w:t>CREDIT FACILITIES</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Revolving Loans</w:t>
      </w:r>
    </w:p>
    <w:p>
      <w:pPr>
        <w:spacing w:after="0" w:line="191" w:lineRule="exact"/>
        <w:rPr>
          <w:sz w:val="20"/>
          <w:szCs w:val="20"/>
          <w:color w:val="auto"/>
        </w:rPr>
      </w:pPr>
    </w:p>
    <w:p>
      <w:pPr>
        <w:jc w:val="both"/>
        <w:ind w:left="1300" w:hanging="649"/>
        <w:spacing w:after="0" w:line="236" w:lineRule="auto"/>
        <w:tabs>
          <w:tab w:leader="none" w:pos="1297"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Availability and Repayment</w:t>
      </w:r>
      <w:r>
        <w:rPr>
          <w:rFonts w:ascii="Times New Roman" w:cs="Times New Roman" w:eastAsia="Times New Roman" w:hAnsi="Times New Roman"/>
          <w:sz w:val="21"/>
          <w:szCs w:val="21"/>
          <w:color w:val="auto"/>
        </w:rPr>
        <w:t xml:space="preserve">. Subject to, and upon the terms and conditions contained herein, each Revolving Lender severally (and not jointly) agrees to make its Pro Rata Share of Revolving Loans by way of Canadian Prime Rate Loans, Term CORRA Loans, Eurocurrency Rate Loans, Term SOFR Loans and U.S. Base Rate Loans to Borrower from time to time from the Restatement Effective Date through, but not including, the Maturity Date in amounts requested by Borrower in accordance with </w:t>
      </w:r>
      <w:r>
        <w:rPr>
          <w:rFonts w:ascii="Times New Roman" w:cs="Times New Roman" w:eastAsia="Times New Roman" w:hAnsi="Times New Roman"/>
          <w:sz w:val="21"/>
          <w:szCs w:val="21"/>
          <w:u w:val="single" w:color="auto"/>
          <w:color w:val="auto"/>
        </w:rPr>
        <w:t>Section 3.1(h)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(i) after the Restatement Effective Date, the Revolving Loan Outstandings shall not exceed the Revolving Loan Commitment, (ii) the Revolving Loan Exposure of any Lender shall not at any time exceed such Lender’s Revolving Loan Commitment and (iii) the aggregate principal amount (using the Dollar Equivalent thereof) of all Alternate Currency Loans then outstanding shall not exceed the Alternate Currency Revolving Loan Sublimit. Subject to the terms and conditions hereof, Borrower at any time may borrow, repay and reborrow Revolving Loans hereunder until the Maturity Date. On the Maturity Date, the outstanding balance of the Revolving Loans (including principal, accrued and unpaid interest and other amounts due and payable with respect thereto) shall be due and be payable and the Revolving Loan Commitment shall terminate.</w:t>
      </w:r>
    </w:p>
    <w:p>
      <w:pPr>
        <w:spacing w:after="0" w:line="153" w:lineRule="exact"/>
        <w:rPr>
          <w:rFonts w:ascii="Times New Roman" w:cs="Times New Roman" w:eastAsia="Times New Roman" w:hAnsi="Times New Roman"/>
          <w:sz w:val="21"/>
          <w:szCs w:val="21"/>
          <w:color w:val="auto"/>
        </w:rPr>
      </w:pPr>
    </w:p>
    <w:p>
      <w:pPr>
        <w:jc w:val="both"/>
        <w:ind w:left="1300" w:hanging="649"/>
        <w:spacing w:after="0"/>
        <w:tabs>
          <w:tab w:leader="none" w:pos="1295"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Maximum Amounts</w:t>
      </w:r>
      <w:r>
        <w:rPr>
          <w:rFonts w:ascii="Times New Roman" w:cs="Times New Roman" w:eastAsia="Times New Roman" w:hAnsi="Times New Roman"/>
          <w:sz w:val="21"/>
          <w:szCs w:val="21"/>
          <w:color w:val="auto"/>
        </w:rPr>
        <w:t>. In the event that (i) the Revolving Loan Outstandings exceed the Revolving Loan Commitment, (ii) the Revolving Loan Exposure of any Lender exceeds such Lender’s Revolving Loan Commitment, (iii) the aggregate outstanding amount of the Letter of Credit Accommodations exceeds the Letter of Credit Accommodations Sublimit, (iv) the aggregate principal amount (using the Dollar Equivalent thereof) of all Alternate Currency Loans then outstanding exceeds the Alternate Currency Revolving Loan Sublimit or (v) the aggregate principal amount of all Swingline Loans then outstanding exceeds the Swingline Commitment, such event shall not limit, waive or otherwise affect any rights of Agent or Lenders in that circumstance or on any future occasions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9" w:right="339" w:bottom="1440" w:gutter="0" w:footer="0" w:header="0"/>
        </w:sectPr>
      </w:pPr>
    </w:p>
    <w:bookmarkStart w:id="129" w:name="page130"/>
    <w:bookmarkEnd w:id="129"/>
    <w:p>
      <w:pPr>
        <w:ind w:left="1300" w:right="20"/>
        <w:spacing w:after="0" w:line="250" w:lineRule="auto"/>
        <w:rPr>
          <w:sz w:val="20"/>
          <w:szCs w:val="20"/>
          <w:color w:val="auto"/>
        </w:rPr>
      </w:pPr>
      <w:r>
        <w:rPr>
          <w:rFonts w:ascii="Times New Roman" w:cs="Times New Roman" w:eastAsia="Times New Roman" w:hAnsi="Times New Roman"/>
          <w:sz w:val="21"/>
          <w:szCs w:val="21"/>
          <w:color w:val="auto"/>
        </w:rPr>
        <w:t>Borrower shall, upon demand by Agent, which may be made at any time or from time to time, immediately repay to Agent the entire amount of any such excess(es) for which payment is demanded.</w:t>
      </w:r>
    </w:p>
    <w:p>
      <w:pPr>
        <w:spacing w:after="0" w:line="140" w:lineRule="exact"/>
        <w:rPr>
          <w:sz w:val="20"/>
          <w:szCs w:val="20"/>
          <w:color w:val="auto"/>
        </w:rPr>
      </w:pPr>
    </w:p>
    <w:p>
      <w:pPr>
        <w:ind w:left="1300" w:hanging="649"/>
        <w:spacing w:after="0"/>
        <w:tabs>
          <w:tab w:leader="none" w:pos="130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Swingline Loans</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left="1940" w:hanging="646"/>
        <w:spacing w:after="0" w:line="226" w:lineRule="auto"/>
        <w:tabs>
          <w:tab w:leader="none" w:pos="1928"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and upon the terms and conditions contained herein, Swingline Lender may, in its sole discretion, make Swingline Loans in U.S. Dollars by way of U.S. Base Rate Loans to Borrower from time to time from the Restatement Effective Date to, but not including, the Maturity Date;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 after giving effect to any amount requested, the Revolving Loan Outstandings shall not exceed the Revolving Loan Commitment and (ii) the aggregate principal amount of all outstanding Swingline Loans (after giving effect to any amount requested) shall not exceed the Swingline Commitment. Notwithstanding any provision herein to the contrary, Swingline Lender and Borrower may agree that the Swingline Facility may be used to automatically draw and repay Swingline Loans (subject to the limitations set forth herein) pursuant to cash management arrangements between Borrower and Swingline Lender (the “</w:t>
      </w:r>
      <w:r>
        <w:rPr>
          <w:rFonts w:ascii="Times New Roman" w:cs="Times New Roman" w:eastAsia="Times New Roman" w:hAnsi="Times New Roman"/>
          <w:sz w:val="21"/>
          <w:szCs w:val="21"/>
          <w:b w:val="1"/>
          <w:bCs w:val="1"/>
          <w:color w:val="auto"/>
        </w:rPr>
        <w:t>Sweep</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Arrangement</w:t>
      </w:r>
      <w:r>
        <w:rPr>
          <w:rFonts w:ascii="Times New Roman" w:cs="Times New Roman" w:eastAsia="Times New Roman" w:hAnsi="Times New Roman"/>
          <w:sz w:val="21"/>
          <w:szCs w:val="21"/>
          <w:color w:val="auto"/>
        </w:rPr>
        <w:t>”). Principal and interest on Swingline Loans deemed requested pursuant to the Sweep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Arrangement shall be paid pursuant to the terms and conditions agreed to between Borrower and Swingline Lender (without any deduction, setoff or counterclaim whatsoever). The borrowing and disbursement provisions set forth in </w:t>
      </w:r>
      <w:r>
        <w:rPr>
          <w:rFonts w:ascii="Times New Roman" w:cs="Times New Roman" w:eastAsia="Times New Roman" w:hAnsi="Times New Roman"/>
          <w:sz w:val="21"/>
          <w:szCs w:val="21"/>
          <w:u w:val="single" w:color="auto"/>
          <w:color w:val="auto"/>
        </w:rPr>
        <w:t>Section 3.1(h)</w:t>
      </w:r>
      <w:r>
        <w:rPr>
          <w:rFonts w:ascii="Times New Roman" w:cs="Times New Roman" w:eastAsia="Times New Roman" w:hAnsi="Times New Roman"/>
          <w:sz w:val="21"/>
          <w:szCs w:val="21"/>
          <w:color w:val="auto"/>
        </w:rPr>
        <w:t xml:space="preserve"> and any other provision hereof with respect to the timing or amount of payments on the Swingline Loans (other than the requirement that the Swingline Loans be repaid in full on the Maturity Date set forth herein) shall not be applicable to Swingline Loans made and prepaid pursuant to the Sweep Arrangement. Unless sooner paid pursuant to the provisions hereof or the provisions of the Sweep Arrangement, on the Maturity Date, the outstanding balance of the Swingline Loans (including principal, accrued and unpaid interest and other amounts due and payable with respect thereto) shall be due and be payable and the Swingline Commitment shall terminate. Swingline Loans may be made automatically through the “Credit Sweep Option” under, and as defined in, the Swingline Lender’s Stagecoach Sweep® Service subject to the additional terms and conditions set forth in Swingline Lender’s standard documentation for such service as agreed to by Borrower.</w:t>
      </w:r>
    </w:p>
    <w:p>
      <w:pPr>
        <w:spacing w:after="0" w:line="157" w:lineRule="exact"/>
        <w:rPr>
          <w:rFonts w:ascii="Times New Roman" w:cs="Times New Roman" w:eastAsia="Times New Roman" w:hAnsi="Times New Roman"/>
          <w:sz w:val="21"/>
          <w:szCs w:val="21"/>
          <w:color w:val="auto"/>
        </w:rPr>
      </w:pPr>
    </w:p>
    <w:p>
      <w:pPr>
        <w:jc w:val="both"/>
        <w:ind w:left="1940" w:hanging="646"/>
        <w:spacing w:after="0"/>
        <w:tabs>
          <w:tab w:leader="none" w:pos="1934" w:val="left"/>
        </w:tabs>
        <w:numPr>
          <w:ilvl w:val="1"/>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Swingline Lender, at any time and from time to time in its sole and absolute discretion may, on behalf of Borrower (which hereby irrevocably directs Swingline Lender to act on its behalf), by written notice given no later than 11:00 a.m. (New York time) on any Business Day request each Revolving Lender to make, and each Revolving Lender hereby agrees to make, a Revolving Loan as a U.S. Base Rate Loan in an amount equal to such Revolving Lender’s Pro Rata Share of the Revolving Loan Commitment of the aggregate amount of the Swingline Loans outstanding on the date of such notice, to repay Swingline Lender. Each Revolving Lender shall make the amount of such Revolving Loan available to Agent in immediately available funds at Agent’s Office not later than 1:00 p.m. (New York time) on the day specified in such notice. The proceeds of such Revolving Loans shall be immediately made available by Agent to Swingline Lender for application by Swingline Lender to the repayment of the Swingline Loans. No Revolving Lender’s obligation to fund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30" w:name="page131"/>
    <w:bookmarkEnd w:id="130"/>
    <w:p>
      <w:pPr>
        <w:jc w:val="both"/>
        <w:ind w:left="1940"/>
        <w:spacing w:after="0" w:line="226" w:lineRule="auto"/>
        <w:rPr>
          <w:sz w:val="20"/>
          <w:szCs w:val="20"/>
          <w:color w:val="auto"/>
        </w:rPr>
      </w:pPr>
      <w:r>
        <w:rPr>
          <w:rFonts w:ascii="Times New Roman" w:cs="Times New Roman" w:eastAsia="Times New Roman" w:hAnsi="Times New Roman"/>
          <w:sz w:val="21"/>
          <w:szCs w:val="21"/>
          <w:color w:val="auto"/>
        </w:rPr>
        <w:t>respective Pro Rata Share of the Revolving Loan Commitment of a Swingline Loan shall be affected by any other Revolving Lender’s failure to fund its Pro Rata Share of the Revolving Loan Commitment of a Swingline Loan, nor shall any Revolving Lender’s Pro Rata Share of the Revolving Loan Commitment be increased as a result of any such failure of any other Revolving Lender to fund its Pro Rata Share of the Revolving Loan Commitment of a Swingline Loan.</w:t>
      </w:r>
    </w:p>
    <w:p>
      <w:pPr>
        <w:spacing w:after="0" w:line="150" w:lineRule="exact"/>
        <w:rPr>
          <w:sz w:val="20"/>
          <w:szCs w:val="20"/>
          <w:color w:val="auto"/>
        </w:rPr>
      </w:pPr>
    </w:p>
    <w:p>
      <w:pPr>
        <w:jc w:val="both"/>
        <w:ind w:left="1940" w:hanging="646"/>
        <w:spacing w:after="0" w:line="218" w:lineRule="auto"/>
        <w:tabs>
          <w:tab w:leader="none" w:pos="194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shall pay to Swingline Lender on demand, and in any event on the Maturity Date, in immediately available funds the amount of such Swingline Loans to the extent amounts received from Revolving Lenders are not sufficient to repay in full the outstanding Swingline Loans requested or required to be refunded. In addition, Borrower irrevocably authorizes Agent to charge any account (other than fiduciary accounts as to which a Credit Party is acting as fiduciary for another Person who is not a Credit Party and payroll or trust fund accounts) maintained by Borrower with Swingline Lender (up to the amount available therein) in order to immediately pay Swingline Lender the amount of such Swingline Loans to the extent amounts received from the Revolving Lenders are not sufficient to repay in full the outstanding Swingline Loans requested or required to be refunded. If any portion of any such amount paid to Swingline Lender shall be recovered by or on behalf of Borrower from Swingline Lender in an Insolvency Proceeding or otherwise, the loss of the amount so recovered shall be ratably shared among all Revolving Lenders in accordance with their respective Pro Rata Shares of the Revolving Loan Commitment.</w:t>
      </w:r>
    </w:p>
    <w:p>
      <w:pPr>
        <w:spacing w:after="0" w:line="156" w:lineRule="exact"/>
        <w:rPr>
          <w:rFonts w:ascii="Times New Roman" w:cs="Times New Roman" w:eastAsia="Times New Roman" w:hAnsi="Times New Roman"/>
          <w:sz w:val="21"/>
          <w:szCs w:val="21"/>
          <w:color w:val="auto"/>
        </w:rPr>
      </w:pPr>
    </w:p>
    <w:p>
      <w:pPr>
        <w:jc w:val="both"/>
        <w:ind w:left="1940" w:hanging="646"/>
        <w:spacing w:after="0" w:line="217" w:lineRule="auto"/>
        <w:tabs>
          <w:tab w:leader="none" w:pos="1928"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for any reason any Swingline Loan cannot be refinanced with a Revolving Loan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2.1(c)(ii)</w:t>
      </w:r>
      <w:r>
        <w:rPr>
          <w:rFonts w:ascii="Times New Roman" w:cs="Times New Roman" w:eastAsia="Times New Roman" w:hAnsi="Times New Roman"/>
          <w:sz w:val="21"/>
          <w:szCs w:val="21"/>
          <w:color w:val="auto"/>
        </w:rPr>
        <w:t xml:space="preserve">, each Revolving Lender shall, on the date such Revolving Loan was to have been made pursuant to the notice referred to in </w:t>
      </w:r>
      <w:r>
        <w:rPr>
          <w:rFonts w:ascii="Times New Roman" w:cs="Times New Roman" w:eastAsia="Times New Roman" w:hAnsi="Times New Roman"/>
          <w:sz w:val="21"/>
          <w:szCs w:val="21"/>
          <w:u w:val="single" w:color="auto"/>
          <w:color w:val="auto"/>
        </w:rPr>
        <w:t>Section 2.1(c)(ii)</w:t>
      </w:r>
      <w:r>
        <w:rPr>
          <w:rFonts w:ascii="Times New Roman" w:cs="Times New Roman" w:eastAsia="Times New Roman" w:hAnsi="Times New Roman"/>
          <w:sz w:val="21"/>
          <w:szCs w:val="21"/>
          <w:color w:val="auto"/>
        </w:rPr>
        <w:t>, purchase for cash an undivided participating interest in the then outstanding Swingline Loans by paying to Swingline Lender an amount (the “</w:t>
      </w:r>
      <w:r>
        <w:rPr>
          <w:rFonts w:ascii="Times New Roman" w:cs="Times New Roman" w:eastAsia="Times New Roman" w:hAnsi="Times New Roman"/>
          <w:sz w:val="21"/>
          <w:szCs w:val="21"/>
          <w:b w:val="1"/>
          <w:bCs w:val="1"/>
          <w:color w:val="auto"/>
        </w:rPr>
        <w:t>Swingline Participation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Amount</w:t>
      </w:r>
      <w:r>
        <w:rPr>
          <w:rFonts w:ascii="Times New Roman" w:cs="Times New Roman" w:eastAsia="Times New Roman" w:hAnsi="Times New Roman"/>
          <w:sz w:val="21"/>
          <w:szCs w:val="21"/>
          <w:color w:val="auto"/>
        </w:rPr>
        <w:t>”) equal to such Revolving Lender’s Pro Rata Share of the Revolving Loan Commitment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aggregate principal amount of Swingline Loans then outstanding. Each Revolving Lender will immediately transfer to Swingline Lender, in immediately available funds, the amount of its Swingline Participation Amount. Whenever, at any time after Swingline Lender has received from any Revolving Lender such Revolving Lender’s Swingline Participation Amount, Swingline Lender receives any payment on account of the Swingline Loans, Swingline Lender will distribute to such Revolving Lender its Swingline Participation Amount (appropriately adjusted, in the case of interest payments, to reflect the period of time during which such Revolving Lender’s participating interest was outstanding and funded and, in the case of principal and interest payments, to reflect such Revolving Lender’s Pro Rata Share of such payment if such payment is not sufficient to pay the principal of and interest on all Swingline Loans then due);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in the event that such payment received by Swingline Lender is required to be returned, such Revolving Lender will return to Swingline Lender any portion thereof previously distributed to it by Swingline Lender.</w:t>
      </w:r>
    </w:p>
    <w:p>
      <w:pPr>
        <w:spacing w:after="0" w:line="152" w:lineRule="exact"/>
        <w:rPr>
          <w:rFonts w:ascii="Times New Roman" w:cs="Times New Roman" w:eastAsia="Times New Roman" w:hAnsi="Times New Roman"/>
          <w:sz w:val="21"/>
          <w:szCs w:val="21"/>
          <w:color w:val="auto"/>
        </w:rPr>
      </w:pPr>
    </w:p>
    <w:p>
      <w:pPr>
        <w:ind w:left="1940" w:hanging="646"/>
        <w:spacing w:after="0" w:line="250" w:lineRule="auto"/>
        <w:tabs>
          <w:tab w:leader="none" w:pos="1935"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Revolving Lender’s obligation to make the Revolving Loans referred to in </w:t>
      </w:r>
      <w:r>
        <w:rPr>
          <w:rFonts w:ascii="Times New Roman" w:cs="Times New Roman" w:eastAsia="Times New Roman" w:hAnsi="Times New Roman"/>
          <w:sz w:val="21"/>
          <w:szCs w:val="21"/>
          <w:u w:val="single" w:color="auto"/>
          <w:color w:val="auto"/>
        </w:rPr>
        <w:t>Section 2.1(c)(ii)</w:t>
      </w:r>
      <w:r>
        <w:rPr>
          <w:rFonts w:ascii="Times New Roman" w:cs="Times New Roman" w:eastAsia="Times New Roman" w:hAnsi="Times New Roman"/>
          <w:sz w:val="21"/>
          <w:szCs w:val="21"/>
          <w:color w:val="auto"/>
        </w:rPr>
        <w:t xml:space="preserve"> and to purchase participating interests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31" w:name="page132"/>
    <w:bookmarkEnd w:id="131"/>
    <w:p>
      <w:pPr>
        <w:jc w:val="both"/>
        <w:ind w:left="1940"/>
        <w:spacing w:after="0"/>
        <w:rPr>
          <w:sz w:val="20"/>
          <w:szCs w:val="20"/>
          <w:color w:val="auto"/>
        </w:rPr>
      </w:pPr>
      <w:r>
        <w:rPr>
          <w:rFonts w:ascii="Times New Roman" w:cs="Times New Roman" w:eastAsia="Times New Roman" w:hAnsi="Times New Roman"/>
          <w:sz w:val="21"/>
          <w:szCs w:val="21"/>
          <w:u w:val="single" w:color="auto"/>
          <w:color w:val="auto"/>
        </w:rPr>
        <w:t>Section 2.1(c)(iv)</w:t>
      </w:r>
      <w:r>
        <w:rPr>
          <w:rFonts w:ascii="Times New Roman" w:cs="Times New Roman" w:eastAsia="Times New Roman" w:hAnsi="Times New Roman"/>
          <w:sz w:val="21"/>
          <w:szCs w:val="21"/>
          <w:color w:val="auto"/>
        </w:rPr>
        <w:t xml:space="preserve"> shall be absolute and unconditional and shall not be affected by any circumstance, including (A) any setoff, counterclaim, recoupment, defense or other right that such Revolving Lender or Borrower may have against Swingline Lender, Borrower or any other Person for any reason whatsoever, (B) the occurrence or continuance of a Default or an Event of Default or the failure to satisfy any of the other conditions specified in </w:t>
      </w:r>
      <w:r>
        <w:rPr>
          <w:rFonts w:ascii="Times New Roman" w:cs="Times New Roman" w:eastAsia="Times New Roman" w:hAnsi="Times New Roman"/>
          <w:sz w:val="21"/>
          <w:szCs w:val="21"/>
          <w:u w:val="single" w:color="auto"/>
          <w:color w:val="auto"/>
        </w:rPr>
        <w:t>Article 4</w:t>
      </w:r>
      <w:r>
        <w:rPr>
          <w:rFonts w:ascii="Times New Roman" w:cs="Times New Roman" w:eastAsia="Times New Roman" w:hAnsi="Times New Roman"/>
          <w:sz w:val="21"/>
          <w:szCs w:val="21"/>
          <w:color w:val="auto"/>
        </w:rPr>
        <w:t>, (C) any adverse change in the condition (financial or otherwise) of any Credit Party, (D) any breach of this Agreement or any other Financing Agreement by any Credit Party or any other Lender or (E) any other circumstance, happening or event whatsoever, whether or not similar to any of the foregoing.</w:t>
      </w:r>
    </w:p>
    <w:p>
      <w:pPr>
        <w:spacing w:after="0" w:line="240" w:lineRule="exact"/>
        <w:rPr>
          <w:sz w:val="20"/>
          <w:szCs w:val="20"/>
          <w:color w:val="auto"/>
        </w:rPr>
      </w:pPr>
    </w:p>
    <w:p>
      <w:pPr>
        <w:jc w:val="both"/>
        <w:ind w:left="1940" w:hanging="646"/>
        <w:spacing w:after="0" w:line="219" w:lineRule="auto"/>
        <w:tabs>
          <w:tab w:leader="none" w:pos="1928"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Revolving Lender fails to make available to Agent, for the account of Swingline Lender, any amount required to be paid by such Revolving Lender pursuant to the foregoing provisions of this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 xml:space="preserve"> by the time specified in </w:t>
      </w:r>
      <w:r>
        <w:rPr>
          <w:rFonts w:ascii="Times New Roman" w:cs="Times New Roman" w:eastAsia="Times New Roman" w:hAnsi="Times New Roman"/>
          <w:sz w:val="21"/>
          <w:szCs w:val="21"/>
          <w:u w:val="single" w:color="auto"/>
          <w:color w:val="auto"/>
        </w:rPr>
        <w:t>Section 2.1(c)(ii)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2.1(c)(iv)</w:t>
      </w:r>
      <w:r>
        <w:rPr>
          <w:rFonts w:ascii="Times New Roman" w:cs="Times New Roman" w:eastAsia="Times New Roman" w:hAnsi="Times New Roman"/>
          <w:sz w:val="21"/>
          <w:szCs w:val="21"/>
          <w:color w:val="auto"/>
        </w:rPr>
        <w:t xml:space="preserve">, as applicable, Swingline Lender shall be entitled to recover from such Revolving Lender (acting through Agent), on demand, such amount with interest thereon for the period from the date such payment is required to the date on which such payment is immediately available to Swingline Lender at a rate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equal to the applicable Federal Funds Rate, plus any administrative, processing or similar fees customarily charged by Swingline Lender in connection with the foregoing. If such Revolving Lender pays such amount (with interest and fees as aforesaid), the amount so paid shall constitute such Revolving Lender’s Revolving Loan or Swingline Participation Amount, as the case may be. A certificate of Swingline Lender submitted to any Revolving Lender (through Agent) with respect to any amounts owing under this </w:t>
      </w:r>
      <w:r>
        <w:rPr>
          <w:rFonts w:ascii="Times New Roman" w:cs="Times New Roman" w:eastAsia="Times New Roman" w:hAnsi="Times New Roman"/>
          <w:sz w:val="21"/>
          <w:szCs w:val="21"/>
          <w:u w:val="single" w:color="auto"/>
          <w:color w:val="auto"/>
        </w:rPr>
        <w:t>clause (vi)</w:t>
      </w:r>
      <w:r>
        <w:rPr>
          <w:rFonts w:ascii="Times New Roman" w:cs="Times New Roman" w:eastAsia="Times New Roman" w:hAnsi="Times New Roman"/>
          <w:sz w:val="21"/>
          <w:szCs w:val="21"/>
          <w:color w:val="auto"/>
        </w:rPr>
        <w:t xml:space="preserve"> shall be conclusive absent manifest error.</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Letter of Credit Accommodations</w:t>
      </w:r>
    </w:p>
    <w:p>
      <w:pPr>
        <w:spacing w:after="0" w:line="191" w:lineRule="exact"/>
        <w:rPr>
          <w:sz w:val="20"/>
          <w:szCs w:val="20"/>
          <w:color w:val="auto"/>
        </w:rPr>
      </w:pPr>
    </w:p>
    <w:p>
      <w:pPr>
        <w:jc w:val="both"/>
        <w:ind w:left="1300" w:hanging="649"/>
        <w:spacing w:after="0" w:line="223" w:lineRule="auto"/>
        <w:tabs>
          <w:tab w:leader="none" w:pos="1297"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Letter of Credit Accommodations</w:t>
      </w:r>
      <w:r>
        <w:rPr>
          <w:rFonts w:ascii="Times New Roman" w:cs="Times New Roman" w:eastAsia="Times New Roman" w:hAnsi="Times New Roman"/>
          <w:sz w:val="21"/>
          <w:szCs w:val="21"/>
          <w:color w:val="auto"/>
        </w:rPr>
        <w:t xml:space="preserve">. Subject to, and upon the terms and conditions contained herein, at the irrevocable request of Borrower pursuant to a Notice of Borrowing given by Borrower to Agent no later than 12:00 noon (New York time) at least three (3) Business Days prior to the requested issuance date, Issuing Lender agrees to provide or arrange for Letter of Credit Accommodations for the account of Borrower or any Credit Party in U.S. Dollars containing terms and conditions reasonably acceptable to Issuing Lender. Any payments made by Issuing Lender in connection with the Letter of Credit Accommodations shall constitute additional Revolving Loans to Borrower pursuant to this </w:t>
      </w:r>
      <w:r>
        <w:rPr>
          <w:rFonts w:ascii="Times New Roman" w:cs="Times New Roman" w:eastAsia="Times New Roman" w:hAnsi="Times New Roman"/>
          <w:sz w:val="21"/>
          <w:szCs w:val="21"/>
          <w:u w:val="single" w:color="auto"/>
          <w:color w:val="auto"/>
        </w:rPr>
        <w:t>Article 2</w:t>
      </w:r>
      <w:r>
        <w:rPr>
          <w:rFonts w:ascii="Times New Roman" w:cs="Times New Roman" w:eastAsia="Times New Roman" w:hAnsi="Times New Roman"/>
          <w:sz w:val="21"/>
          <w:szCs w:val="21"/>
          <w:color w:val="auto"/>
        </w:rPr>
        <w:t>. Each Lender agrees to purchase an irrevocable and unconditional participation in each Letter of Credit Accommodation issued hereunder based on its Pro Rata Share. Each Letter of Credit Accommodation shall expire on a date no more than twelve (12) months after the date of issuance or last renewal of such Letter of Credit Accommodations (subject to (i) such longer periods agreed to by Issuing Lender and (ii) automatic renewal for additional one (1) year periods pursuant to the terms of the letter of credit application or other documentation acceptable to Issuing Lender), which date shall be no later than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Business Day prior to the Maturity Date unless Issuing Lender is satisfied that Borrower will cash collateralize the Letter of Credit Accommodations that extend beyond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Business Day prior to the Maturity Date on terms acceptable to Issuing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32" w:name="page133"/>
    <w:bookmarkEnd w:id="132"/>
    <w:p>
      <w:pPr>
        <w:jc w:val="both"/>
        <w:ind w:left="1300" w:hanging="649"/>
        <w:spacing w:after="0" w:line="222" w:lineRule="auto"/>
        <w:tabs>
          <w:tab w:leader="none" w:pos="1295"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Fees and Expenses</w:t>
      </w:r>
      <w:r>
        <w:rPr>
          <w:rFonts w:ascii="Times New Roman" w:cs="Times New Roman" w:eastAsia="Times New Roman" w:hAnsi="Times New Roman"/>
          <w:sz w:val="21"/>
          <w:szCs w:val="21"/>
          <w:color w:val="auto"/>
        </w:rPr>
        <w:t xml:space="preserve">. In addition to any charges, fees or expenses charged by Issuing Lender in connection with the Letter of Credit Accommodations, Borrower shall pay to Agent a letter of credit fee at a rate equal to the Applicable Margin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for Term SOFR Loans on the daily outstanding balance of the Letter of Credit Accommodations for the immediately preceding Fiscal Quarter (or part thereof), payable in arrears as of the last Business Day of each Fiscal Quarter. Such letter of credit fee shall be calculated on the basis of a 360 day year and actual days elapsed and the obligation of Borrower to pay such fee shall survive the maturity or termination of this Agreement. This letter of credit fee shall not be payable to a Lender during the period it is a Defaulting Lender.</w:t>
      </w:r>
    </w:p>
    <w:p>
      <w:pPr>
        <w:spacing w:after="0" w:line="152" w:lineRule="exact"/>
        <w:rPr>
          <w:rFonts w:ascii="Times New Roman" w:cs="Times New Roman" w:eastAsia="Times New Roman" w:hAnsi="Times New Roman"/>
          <w:sz w:val="21"/>
          <w:szCs w:val="21"/>
          <w:color w:val="auto"/>
        </w:rPr>
      </w:pPr>
    </w:p>
    <w:p>
      <w:pPr>
        <w:jc w:val="both"/>
        <w:ind w:left="1300" w:hanging="649"/>
        <w:spacing w:after="0"/>
        <w:tabs>
          <w:tab w:leader="none" w:pos="1297"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Maximum Amount</w:t>
      </w:r>
      <w:r>
        <w:rPr>
          <w:rFonts w:ascii="Times New Roman" w:cs="Times New Roman" w:eastAsia="Times New Roman" w:hAnsi="Times New Roman"/>
          <w:sz w:val="21"/>
          <w:szCs w:val="21"/>
          <w:color w:val="auto"/>
        </w:rPr>
        <w:t>. The amount of all outstanding Letter of Credit Accommodations and all other commitments and obligations made or incurred by Issuing Lender in connection therewith (including charges, fees and expenses with respect thereto) shall not at any time exceed the Letter of Credit Accommodations Sublimit. At any time an Event of Default has occurred and is continuing, upon Agent’s request, Borrower will furnish Agent with cash collateral to secure the reimbursement obligations of the Issuing Lender in connection with any Letter of Credit Accommodations.</w:t>
      </w:r>
    </w:p>
    <w:p>
      <w:pPr>
        <w:spacing w:after="0" w:line="293"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18" w:lineRule="auto"/>
        <w:tabs>
          <w:tab w:leader="none" w:pos="1297"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Rights of Issuing Lender</w:t>
      </w:r>
      <w:r>
        <w:rPr>
          <w:rFonts w:ascii="Times New Roman" w:cs="Times New Roman" w:eastAsia="Times New Roman" w:hAnsi="Times New Roman"/>
          <w:sz w:val="21"/>
          <w:szCs w:val="21"/>
          <w:color w:val="auto"/>
        </w:rPr>
        <w:t>. Nothing contained herein shall be deemed or construed to grant Borrower any right or authority to pledge the credit of Agent, Issuing Lender or a Lender in any manner. Except as a result of Issuing Lender’s own gross negligence or willful misconduct as determined by a final and non-appealable judgment or court order binding on Issuing Lender from a court of competent jurisdiction, Borrower shall be bound by any interpretation made by Issuing Lender under or in connection with any Letter of Credit Accommodation or any documents, drafts or acceptances thereunder, notwithstanding that such interpretation may be inconsistent with any instructions of Borrower. At all times other than when an Event of Default has occurred and is continuing, Borrower shall be permitted, with the prior written consent of Issuing Lender to: (i) grant any extensions of the maturity of, time of payment for, or time of presentation of, any drafts, acceptances, or documents, and (ii) agree to any amendments, renewals, extensions, modifications, changes or cancellations of any of the terms or conditions of any of the applications, Letter of Credit Accommodations, or documents, drafts or acceptances thereunder or any letters of credit included in the Collateral.</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Maturity Date</w:t>
      </w:r>
    </w:p>
    <w:p>
      <w:pPr>
        <w:spacing w:after="0" w:line="191" w:lineRule="exact"/>
        <w:rPr>
          <w:sz w:val="20"/>
          <w:szCs w:val="20"/>
          <w:color w:val="auto"/>
        </w:rPr>
      </w:pPr>
    </w:p>
    <w:p>
      <w:pPr>
        <w:jc w:val="both"/>
        <w:ind w:left="1300" w:hanging="649"/>
        <w:spacing w:after="0" w:line="220" w:lineRule="auto"/>
        <w:tabs>
          <w:tab w:leader="none" w:pos="1297"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continue in full force and effect for a term ending on the Maturity Date. Upon the Maturity Date, Borrower shall pay to Agent, in full, all outstanding and unpaid non-contingent Obligations (except under or in connection with any Secured Hedge Agreement) and shall furnish cash collateral (or backstop letters of credit) to Agent in such amounts as Agent determines are reasonably necessary to secure Agent, Lenders and Secured Parties from loss, cost, damage or expense, including legal fees and expenses, with respect to issued and outstanding Letter of Credit Accommodations, outstanding Secured Hedge Agreements and cheques or other payments provisionally credited to the Obligations and/or as to which Agent and Lenders have not yet received payment. Such payments in respect of the Obligations and cash collateral shall be remitted by wire transfer in U.S. Dollars to such bank account of Agent, as Agent may,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33" w:name="page134"/>
    <w:bookmarkEnd w:id="133"/>
    <w:p>
      <w:pPr>
        <w:jc w:val="both"/>
        <w:ind w:left="1300"/>
        <w:spacing w:after="0" w:line="234" w:lineRule="auto"/>
        <w:rPr>
          <w:sz w:val="20"/>
          <w:szCs w:val="20"/>
          <w:color w:val="auto"/>
        </w:rPr>
      </w:pPr>
      <w:r>
        <w:rPr>
          <w:rFonts w:ascii="Times New Roman" w:cs="Times New Roman" w:eastAsia="Times New Roman" w:hAnsi="Times New Roman"/>
          <w:sz w:val="21"/>
          <w:szCs w:val="21"/>
          <w:color w:val="auto"/>
        </w:rPr>
        <w:t>its discretion, designate in writing to Borrower for such purpose. Interest shall be due until and including the next Business Day, if the amounts so paid by Borrower to the bank account designated by Agent are received in such bank account later than 12:00 noon (New York time).</w:t>
      </w:r>
    </w:p>
    <w:p>
      <w:pPr>
        <w:spacing w:after="0" w:line="152" w:lineRule="exact"/>
        <w:rPr>
          <w:sz w:val="20"/>
          <w:szCs w:val="20"/>
          <w:color w:val="auto"/>
        </w:rPr>
      </w:pPr>
    </w:p>
    <w:p>
      <w:pPr>
        <w:jc w:val="both"/>
        <w:ind w:left="1300" w:hanging="649"/>
        <w:spacing w:after="0" w:line="220" w:lineRule="auto"/>
        <w:tabs>
          <w:tab w:leader="none" w:pos="1295"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termination of this Agreement shall relieve or discharge any Credit Party of its respective duties, obligations and covenants under the Financing Agreements until all Obligations (other than contingent indemnification obligations not then due) have been paid in full in cash, all Letter of Credit Accommodations have been terminated or expired (or been cash collateralized or backstopped on terms and conditions reasonably acceptable to the Agent) and all Commitments are terminated, and Agent’s continuing security interest in the Collateral and the rights and remedies of Agent and Lenders, under the Financing Agreements and Applicable Law, shall remain in effect until all such Obligations (other than contingent indemnification obligations not then due) have been paid in full in cash, all Letter of Credit Accommodations have been terminated or expired (or been cash collateralized or backstopped on terms and conditions reasonably acceptable to the Agent) and such Commitments terminated.</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Optional Prepayments and Cancellation of Unused Revolving Loan Commitments</w:t>
      </w:r>
    </w:p>
    <w:p>
      <w:pPr>
        <w:spacing w:after="0" w:line="191" w:lineRule="exact"/>
        <w:rPr>
          <w:sz w:val="20"/>
          <w:szCs w:val="20"/>
          <w:color w:val="auto"/>
        </w:rPr>
      </w:pPr>
    </w:p>
    <w:p>
      <w:pPr>
        <w:jc w:val="both"/>
        <w:ind w:firstLine="651"/>
        <w:spacing w:after="0" w:line="222" w:lineRule="auto"/>
        <w:tabs>
          <w:tab w:leader="none" w:pos="128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shall have the right at any time and from time to time, upon at least five (5) Business Days prior irrevocable written notice to the Agent, to permanently reduce, without premium or penalty, (i) the entire Revolving Loan Commitment at any time or (ii) portions of the Revolving Loan Commitment, from time to time, in an aggregate principal amount not less than $5,000,000 or any whole multiple of $1,000,000 in excess thereof. Any reduction of the Revolving Loan Commitment shall be applied to the Revolving Loan Commitment of each Revolving Lender according to its Pro Rata Share. All commitment fees under </w:t>
      </w:r>
      <w:r>
        <w:rPr>
          <w:rFonts w:ascii="Times New Roman" w:cs="Times New Roman" w:eastAsia="Times New Roman" w:hAnsi="Times New Roman"/>
          <w:sz w:val="21"/>
          <w:szCs w:val="21"/>
          <w:u w:val="single" w:color="auto"/>
          <w:color w:val="auto"/>
        </w:rPr>
        <w:t>Section 3.7</w:t>
      </w:r>
      <w:r>
        <w:rPr>
          <w:rFonts w:ascii="Times New Roman" w:cs="Times New Roman" w:eastAsia="Times New Roman" w:hAnsi="Times New Roman"/>
          <w:sz w:val="21"/>
          <w:szCs w:val="21"/>
          <w:color w:val="auto"/>
        </w:rPr>
        <w:t xml:space="preserve"> accrued until the effective date of any termination of the Revolving Loan Commitment shall be paid on the effective date of such termination.</w:t>
      </w:r>
    </w:p>
    <w:p>
      <w:pPr>
        <w:spacing w:after="0" w:line="152" w:lineRule="exact"/>
        <w:rPr>
          <w:rFonts w:ascii="Times New Roman" w:cs="Times New Roman" w:eastAsia="Times New Roman" w:hAnsi="Times New Roman"/>
          <w:sz w:val="21"/>
          <w:szCs w:val="21"/>
          <w:color w:val="auto"/>
        </w:rPr>
      </w:pPr>
    </w:p>
    <w:p>
      <w:pPr>
        <w:jc w:val="both"/>
        <w:ind w:firstLine="651"/>
        <w:spacing w:after="0" w:line="219" w:lineRule="auto"/>
        <w:tabs>
          <w:tab w:leader="none" w:pos="1282"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permanent reduction permitted pursuant to clause (a) of this Section shall be accompanied by a payment of principal sufficient to reduce the aggregate outstanding Revolving Loans, Swingline Loans and Letter of Credit Accommodations, as applicable, after such reduction to the Revolving Loan Commitment as so reduced, and if the aggregate amount of all outstanding Letter of Credit Accommodations exceeds the Revolving Loan Commitment as so reduced, the Borrower shall be required to deposit cash collateral in a cash collateral account opened by the Agent in an amount equal to such excess. Such cash collateral shall be applied in accordance with </w:t>
      </w:r>
      <w:r>
        <w:rPr>
          <w:rFonts w:ascii="Times New Roman" w:cs="Times New Roman" w:eastAsia="Times New Roman" w:hAnsi="Times New Roman"/>
          <w:sz w:val="21"/>
          <w:szCs w:val="21"/>
          <w:u w:val="single" w:color="auto"/>
          <w:color w:val="auto"/>
        </w:rPr>
        <w:t>Section 5.3(b)</w:t>
      </w:r>
      <w:r>
        <w:rPr>
          <w:rFonts w:ascii="Times New Roman" w:cs="Times New Roman" w:eastAsia="Times New Roman" w:hAnsi="Times New Roman"/>
          <w:sz w:val="21"/>
          <w:szCs w:val="21"/>
          <w:color w:val="auto"/>
        </w:rPr>
        <w:t xml:space="preserve">. Any reduction of the Revolving Loan Commitment to zero shall be accompanied by payment of all outstanding Revolving Loans and Swingline Loans (and furnishing of cash collateral satisfactory to the Agent for all Letter of Credit Accommodations or other arrangements satisfactory to the Issuing Lender) and shall result in the termination of the Revolving Loan Commitment and the Swingline Commitment and the Revolving Loan Facility. If the reduction of the Revolving Loan Commitment requires the repayment of any Eurocurrency Rate Loan, Term CORRA Loan or Term SOFR Loan, such repayment shall be accompanied by any amount required to be paid pursuant to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hereof.</w:t>
      </w:r>
    </w:p>
    <w:p>
      <w:pPr>
        <w:spacing w:after="0" w:line="149" w:lineRule="exact"/>
        <w:rPr>
          <w:rFonts w:ascii="Times New Roman" w:cs="Times New Roman" w:eastAsia="Times New Roman" w:hAnsi="Times New Roman"/>
          <w:sz w:val="21"/>
          <w:szCs w:val="21"/>
          <w:color w:val="auto"/>
        </w:rPr>
      </w:pPr>
    </w:p>
    <w:p>
      <w:pPr>
        <w:jc w:val="both"/>
        <w:ind w:firstLine="651"/>
        <w:spacing w:after="0" w:line="223" w:lineRule="auto"/>
        <w:tabs>
          <w:tab w:leader="none" w:pos="1284"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Borrower may at any time and from time to time prepay Revolving Loans and Swingline Loans, in whole or in part, without premium or penalty, with irrevocable prior written notice to the Agent pursuant to a Notice of Prepayment given not later than 12:00 noon (New York time) (i) on the same Business Day as prepayment of each U.S. Base Rate Loan, each Canadian Prime Rate Loan and each Swingline Loan and (ii) (A) in the case of a Term SOFR Loan, at least three (3) SOFR Business Days before prepayment of such Term SOFR Loan, (B) in the case of a Term CORRA Loan, at least five (5) CORRA Business Days before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34" w:name="page135"/>
    <w:bookmarkEnd w:id="134"/>
    <w:p>
      <w:pPr>
        <w:jc w:val="both"/>
        <w:spacing w:after="0"/>
        <w:rPr>
          <w:sz w:val="20"/>
          <w:szCs w:val="20"/>
          <w:color w:val="auto"/>
        </w:rPr>
      </w:pPr>
      <w:r>
        <w:rPr>
          <w:rFonts w:ascii="Times New Roman" w:cs="Times New Roman" w:eastAsia="Times New Roman" w:hAnsi="Times New Roman"/>
          <w:sz w:val="21"/>
          <w:szCs w:val="21"/>
          <w:color w:val="auto"/>
        </w:rPr>
        <w:t xml:space="preserve">of such Term CORRA Loan and (C) in the case of a Eurocurrency Rate Loan at least four (4) Eurocurrency Banking Days before prepayment of such Eurocurrency Rate Loan, in each case, specifying the date, Currency and amount of prepayment and whether the prepayment is of Eurocurrency Rate Loans, Term CORRA Loans, Term SOFR Loans, U.S. Base Rate Loans, Canadian Prime Rate Loans, Swingline Loans or a combination thereof, and, if of a combination thereof, the amount allocable to each. Upon receipt of such notice, the Agent shall promptly notify each Revolving Lender. If any such notice is given, the amount specified in such notice shall be due and payable on the date set forth in such notice. A Notice of Prepayment received after 12:00 noon (New York time) shall be deemed received on the next Business Day, SOFR Business Day, CORRA Business Day or Eurocurrency Banking Day, as applicable. Each such repayment shall be accompanied by any amount required to be paid pursuant to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hereof.</w:t>
      </w:r>
    </w:p>
    <w:p>
      <w:pPr>
        <w:spacing w:after="0" w:line="213" w:lineRule="exact"/>
        <w:rPr>
          <w:sz w:val="20"/>
          <w:szCs w:val="20"/>
          <w:color w:val="auto"/>
        </w:rPr>
      </w:pPr>
    </w:p>
    <w:p>
      <w:pPr>
        <w:jc w:val="both"/>
        <w:ind w:firstLine="651"/>
        <w:spacing w:after="0" w:line="223" w:lineRule="auto"/>
        <w:tabs>
          <w:tab w:leader="none" w:pos="1282"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any Notice of Prepayment delivered in connection with any refinancing of all of the credit facility established by this Agreement with the proceeds of such refinancing or of any incurrence of Debt or the occurrence of some other identifiable event or condition, may be, if expressly so stated to be, contingent upon the consummation of such refinancing or incurrence or occurrence of such other identifiable event or condition and may be revoked by the Borrower in the event such contingency is not met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failure of such contingency shall not relieve the Borrower from its obligations in respect thereof under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w:t>
      </w:r>
    </w:p>
    <w:p>
      <w:pPr>
        <w:spacing w:after="0" w:line="15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Hedge Transactions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Agent or a Lender (or their respective Affiliates) may offer to make available Hedge Agreements to Borrower from time to time (it being understood that nothing contained herein shall be construed to commit any person to enter into any Hedge Agreement) upon terms mutually acceptable to Agent or such Lender or such Affiliate and Borrower.</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2.6</w:t>
      </w:r>
      <w:r>
        <w:rPr>
          <w:sz w:val="20"/>
          <w:szCs w:val="20"/>
          <w:color w:val="auto"/>
        </w:rPr>
        <w:tab/>
      </w:r>
      <w:r>
        <w:rPr>
          <w:rFonts w:ascii="Times New Roman" w:cs="Times New Roman" w:eastAsia="Times New Roman" w:hAnsi="Times New Roman"/>
          <w:sz w:val="21"/>
          <w:szCs w:val="21"/>
          <w:b w:val="1"/>
          <w:bCs w:val="1"/>
          <w:color w:val="auto"/>
        </w:rPr>
        <w:t>Incremental Term Loans and Revolving Loans</w:t>
      </w:r>
    </w:p>
    <w:p>
      <w:pPr>
        <w:spacing w:after="0" w:line="191" w:lineRule="exact"/>
        <w:rPr>
          <w:sz w:val="20"/>
          <w:szCs w:val="20"/>
          <w:color w:val="auto"/>
        </w:rPr>
      </w:pPr>
    </w:p>
    <w:p>
      <w:pPr>
        <w:ind w:left="1300" w:hanging="649"/>
        <w:spacing w:after="0"/>
        <w:tabs>
          <w:tab w:leader="none" w:pos="130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Borrower may by written notice to Agent elect to request the establishment of:</w:t>
      </w:r>
    </w:p>
    <w:p>
      <w:pPr>
        <w:spacing w:after="0" w:line="187" w:lineRule="exact"/>
        <w:rPr>
          <w:rFonts w:ascii="Times New Roman" w:cs="Times New Roman" w:eastAsia="Times New Roman" w:hAnsi="Times New Roman"/>
          <w:sz w:val="21"/>
          <w:szCs w:val="21"/>
          <w:color w:val="auto"/>
        </w:rPr>
      </w:pPr>
    </w:p>
    <w:p>
      <w:pPr>
        <w:jc w:val="both"/>
        <w:ind w:left="1940" w:hanging="646"/>
        <w:spacing w:after="0" w:line="229" w:lineRule="auto"/>
        <w:tabs>
          <w:tab w:leader="none" w:pos="1928"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new or incremental term loan commitments (any such new or incremental term loan commitment, an “</w:t>
      </w:r>
      <w:r>
        <w:rPr>
          <w:rFonts w:ascii="Times New Roman" w:cs="Times New Roman" w:eastAsia="Times New Roman" w:hAnsi="Times New Roman"/>
          <w:sz w:val="21"/>
          <w:szCs w:val="21"/>
          <w:b w:val="1"/>
          <w:bCs w:val="1"/>
          <w:color w:val="auto"/>
        </w:rPr>
        <w:t>Incremental Term Loan Commitment</w:t>
      </w:r>
      <w:r>
        <w:rPr>
          <w:rFonts w:ascii="Times New Roman" w:cs="Times New Roman" w:eastAsia="Times New Roman" w:hAnsi="Times New Roman"/>
          <w:sz w:val="21"/>
          <w:szCs w:val="21"/>
          <w:color w:val="auto"/>
        </w:rPr>
        <w:t>”) to make one or more new or additional term loans, including a borrowing of a new or additional term loan under this Agreement (any such new or additional term loan, an “</w:t>
      </w:r>
      <w:r>
        <w:rPr>
          <w:rFonts w:ascii="Times New Roman" w:cs="Times New Roman" w:eastAsia="Times New Roman" w:hAnsi="Times New Roman"/>
          <w:sz w:val="21"/>
          <w:szCs w:val="21"/>
          <w:b w:val="1"/>
          <w:bCs w:val="1"/>
          <w:color w:val="auto"/>
        </w:rPr>
        <w:t>Incremental Term Loan</w:t>
      </w:r>
      <w:r>
        <w:rPr>
          <w:rFonts w:ascii="Times New Roman" w:cs="Times New Roman" w:eastAsia="Times New Roman" w:hAnsi="Times New Roman"/>
          <w:sz w:val="21"/>
          <w:szCs w:val="21"/>
          <w:color w:val="auto"/>
        </w:rPr>
        <w:t>”); or</w:t>
      </w:r>
    </w:p>
    <w:p>
      <w:pPr>
        <w:spacing w:after="0" w:line="146" w:lineRule="exact"/>
        <w:rPr>
          <w:rFonts w:ascii="Times New Roman" w:cs="Times New Roman" w:eastAsia="Times New Roman" w:hAnsi="Times New Roman"/>
          <w:sz w:val="21"/>
          <w:szCs w:val="21"/>
          <w:color w:val="auto"/>
        </w:rPr>
      </w:pPr>
    </w:p>
    <w:p>
      <w:pPr>
        <w:jc w:val="both"/>
        <w:ind w:left="1940" w:hanging="646"/>
        <w:spacing w:after="0" w:line="226" w:lineRule="auto"/>
        <w:tabs>
          <w:tab w:leader="none" w:pos="1934" w:val="left"/>
        </w:tabs>
        <w:numPr>
          <w:ilvl w:val="1"/>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one or more increases in the Revolving Loan Commitments (any such increase, an “</w:t>
      </w:r>
      <w:r>
        <w:rPr>
          <w:rFonts w:ascii="Times New Roman" w:cs="Times New Roman" w:eastAsia="Times New Roman" w:hAnsi="Times New Roman"/>
          <w:sz w:val="21"/>
          <w:szCs w:val="21"/>
          <w:b w:val="1"/>
          <w:bCs w:val="1"/>
          <w:color w:val="auto"/>
        </w:rPr>
        <w:t>Incremental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Revolving Loan Commitment</w:t>
      </w:r>
      <w:r>
        <w:rPr>
          <w:rFonts w:ascii="Times New Roman" w:cs="Times New Roman" w:eastAsia="Times New Roman" w:hAnsi="Times New Roman"/>
          <w:sz w:val="21"/>
          <w:szCs w:val="21"/>
          <w:color w:val="auto"/>
        </w:rPr>
        <w:t>” and, together with the Incremental Term Loan Commitments,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Incremental Loan Commitments</w:t>
      </w:r>
      <w:r>
        <w:rPr>
          <w:rFonts w:ascii="Times New Roman" w:cs="Times New Roman" w:eastAsia="Times New Roman" w:hAnsi="Times New Roman"/>
          <w:sz w:val="21"/>
          <w:szCs w:val="21"/>
          <w:color w:val="auto"/>
        </w:rPr>
        <w:t>”) to make additional revolving loans under this Agreement (any such increase, an “</w:t>
      </w:r>
      <w:r>
        <w:rPr>
          <w:rFonts w:ascii="Times New Roman" w:cs="Times New Roman" w:eastAsia="Times New Roman" w:hAnsi="Times New Roman"/>
          <w:sz w:val="21"/>
          <w:szCs w:val="21"/>
          <w:b w:val="1"/>
          <w:bCs w:val="1"/>
          <w:color w:val="auto"/>
        </w:rPr>
        <w:t>Incremental Revolving Loan Increase</w:t>
      </w:r>
      <w:r>
        <w:rPr>
          <w:rFonts w:ascii="Times New Roman" w:cs="Times New Roman" w:eastAsia="Times New Roman" w:hAnsi="Times New Roman"/>
          <w:sz w:val="21"/>
          <w:szCs w:val="21"/>
          <w:color w:val="auto"/>
        </w:rPr>
        <w:t>” and, together with the Incremental Term Loans, the “</w:t>
      </w:r>
      <w:r>
        <w:rPr>
          <w:rFonts w:ascii="Times New Roman" w:cs="Times New Roman" w:eastAsia="Times New Roman" w:hAnsi="Times New Roman"/>
          <w:sz w:val="21"/>
          <w:szCs w:val="21"/>
          <w:b w:val="1"/>
          <w:bCs w:val="1"/>
          <w:color w:val="auto"/>
        </w:rPr>
        <w:t>Incremental Loans</w:t>
      </w:r>
      <w:r>
        <w:rPr>
          <w:rFonts w:ascii="Times New Roman" w:cs="Times New Roman" w:eastAsia="Times New Roman" w:hAnsi="Times New Roman"/>
          <w:sz w:val="21"/>
          <w:szCs w:val="21"/>
          <w:color w:val="auto"/>
        </w:rPr>
        <w:t>”);</w:t>
      </w:r>
    </w:p>
    <w:p>
      <w:pPr>
        <w:spacing w:after="0" w:line="181" w:lineRule="exact"/>
        <w:rPr>
          <w:sz w:val="20"/>
          <w:szCs w:val="20"/>
          <w:color w:val="auto"/>
        </w:rPr>
      </w:pPr>
    </w:p>
    <w:p>
      <w:pPr>
        <w:jc w:val="both"/>
        <w:ind w:left="1300"/>
        <w:spacing w:after="0" w:line="271" w:lineRule="auto"/>
        <w:rPr>
          <w:sz w:val="20"/>
          <w:szCs w:val="20"/>
          <w:color w:val="auto"/>
        </w:rPr>
      </w:pP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(1) the total aggregate principal amount (as of the date of incurrence thereof) of such Incremental Revolving Loan Commitments and Incremental Revolving Loan Increases shall not exceed the Fixed Incremental Amount, (2) the total aggregate principal amount (as of the date of incurrence thereof)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35" w:name="page136"/>
    <w:bookmarkEnd w:id="135"/>
    <w:p>
      <w:pPr>
        <w:jc w:val="both"/>
        <w:ind w:left="1300"/>
        <w:spacing w:after="0" w:line="265" w:lineRule="auto"/>
        <w:rPr>
          <w:sz w:val="20"/>
          <w:szCs w:val="20"/>
          <w:color w:val="auto"/>
        </w:rPr>
      </w:pPr>
      <w:r>
        <w:rPr>
          <w:rFonts w:ascii="Times New Roman" w:cs="Times New Roman" w:eastAsia="Times New Roman" w:hAnsi="Times New Roman"/>
          <w:sz w:val="21"/>
          <w:szCs w:val="21"/>
          <w:color w:val="auto"/>
        </w:rPr>
        <w:t xml:space="preserve">Incremental Loans shall not exceed the Maximum Incremental Amount, (3) the amount for each Incremental Term Loan Commitment (and the Incremental Term Loans made thereunder) shall not be less than a minimum principal amount of $10,000,000 or, if less, the remaining amount permitted pursuant to the foregoing </w:t>
      </w:r>
      <w:r>
        <w:rPr>
          <w:rFonts w:ascii="Times New Roman" w:cs="Times New Roman" w:eastAsia="Times New Roman" w:hAnsi="Times New Roman"/>
          <w:sz w:val="21"/>
          <w:szCs w:val="21"/>
          <w:u w:val="single" w:color="auto"/>
          <w:color w:val="auto"/>
        </w:rPr>
        <w:t>clause (2)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(4)</w:t>
      </w:r>
      <w:r>
        <w:rPr>
          <w:rFonts w:ascii="Times New Roman" w:cs="Times New Roman" w:eastAsia="Times New Roman" w:hAnsi="Times New Roman"/>
          <w:sz w:val="21"/>
          <w:szCs w:val="21"/>
          <w:color w:val="auto"/>
        </w:rPr>
        <w:t xml:space="preserve"> the amount for each Incremental Revolving Loan Commitment shall not be less than a minimum principal amount of $25,000,000.</w:t>
      </w:r>
    </w:p>
    <w:p>
      <w:pPr>
        <w:spacing w:after="0" w:line="137" w:lineRule="exact"/>
        <w:rPr>
          <w:sz w:val="20"/>
          <w:szCs w:val="20"/>
          <w:color w:val="auto"/>
        </w:rPr>
      </w:pPr>
    </w:p>
    <w:p>
      <w:pPr>
        <w:jc w:val="both"/>
        <w:ind w:left="1300" w:hanging="649"/>
        <w:spacing w:after="0" w:line="235" w:lineRule="auto"/>
        <w:tabs>
          <w:tab w:leader="none" w:pos="1295"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such notice shall specify the date (each, an “</w:t>
      </w:r>
      <w:r>
        <w:rPr>
          <w:rFonts w:ascii="Times New Roman" w:cs="Times New Roman" w:eastAsia="Times New Roman" w:hAnsi="Times New Roman"/>
          <w:sz w:val="21"/>
          <w:szCs w:val="21"/>
          <w:b w:val="1"/>
          <w:bCs w:val="1"/>
          <w:color w:val="auto"/>
        </w:rPr>
        <w:t>Increased Amount Date</w:t>
      </w:r>
      <w:r>
        <w:rPr>
          <w:rFonts w:ascii="Times New Roman" w:cs="Times New Roman" w:eastAsia="Times New Roman" w:hAnsi="Times New Roman"/>
          <w:sz w:val="21"/>
          <w:szCs w:val="21"/>
          <w:color w:val="auto"/>
        </w:rPr>
        <w:t>”) on which Borrower proposes that any Incremental Loan Commitment shall be effective, which shall be a date not less than ten (10) Business Days after the date on which such notice is delivered to Agent (or such earlier date as may be approved by Agent).</w:t>
      </w:r>
    </w:p>
    <w:p>
      <w:pPr>
        <w:spacing w:after="0" w:line="152" w:lineRule="exact"/>
        <w:rPr>
          <w:rFonts w:ascii="Times New Roman" w:cs="Times New Roman" w:eastAsia="Times New Roman" w:hAnsi="Times New Roman"/>
          <w:sz w:val="21"/>
          <w:szCs w:val="21"/>
          <w:color w:val="auto"/>
        </w:rPr>
      </w:pPr>
    </w:p>
    <w:p>
      <w:pPr>
        <w:jc w:val="both"/>
        <w:ind w:left="1300" w:hanging="649"/>
        <w:spacing w:after="0" w:line="226" w:lineRule="auto"/>
        <w:tabs>
          <w:tab w:leader="none" w:pos="1297"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may invite any Lender, any Affiliate of any Lender and/or any Approved Fund, and/or any other Person reasonably satisfactory to Agent, to provide an Incremental Loan Commitment (any such Person, an “</w:t>
      </w:r>
      <w:r>
        <w:rPr>
          <w:rFonts w:ascii="Times New Roman" w:cs="Times New Roman" w:eastAsia="Times New Roman" w:hAnsi="Times New Roman"/>
          <w:sz w:val="21"/>
          <w:szCs w:val="21"/>
          <w:b w:val="1"/>
          <w:bCs w:val="1"/>
          <w:color w:val="auto"/>
        </w:rPr>
        <w:t>Incremental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Lender</w:t>
      </w:r>
      <w:r>
        <w:rPr>
          <w:rFonts w:ascii="Times New Roman" w:cs="Times New Roman" w:eastAsia="Times New Roman" w:hAnsi="Times New Roman"/>
          <w:sz w:val="21"/>
          <w:szCs w:val="21"/>
          <w:color w:val="auto"/>
        </w:rPr>
        <w:t>”). Any proposed Incremental Lender offered or approached to provide all or a portion of any Incremental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Loan Commitment may elect or decline, in its sole discretion, to provide such Incremental Loan Commitment or any portion thereof.</w:t>
      </w:r>
    </w:p>
    <w:p>
      <w:pPr>
        <w:spacing w:after="0" w:line="149"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95"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Incremental Loan Commitment shall become effective as of such Increased Amount Date;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each of the following conditions has been satisfied or waived as of such Increased Amount Date, which, in the case of an Incremental Term Loan incurred solely to finance a substantially concurrent Limited Condition Acquisition, shall be subject to </w:t>
      </w:r>
      <w:r>
        <w:rPr>
          <w:rFonts w:ascii="Times New Roman" w:cs="Times New Roman" w:eastAsia="Times New Roman" w:hAnsi="Times New Roman"/>
          <w:sz w:val="21"/>
          <w:szCs w:val="21"/>
          <w:u w:val="single" w:color="auto"/>
          <w:color w:val="auto"/>
        </w:rPr>
        <w:t>Section 13.13</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28"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 or Event of Default shall exist on such Increased Amount Date immediately prior to or after giving effect to (1) any Incremental Loan Commitment, and (2) the making of any Incremental Loans pursuant thereto;</w:t>
      </w:r>
    </w:p>
    <w:p>
      <w:pPr>
        <w:spacing w:after="0" w:line="151" w:lineRule="exact"/>
        <w:rPr>
          <w:rFonts w:ascii="Times New Roman" w:cs="Times New Roman" w:eastAsia="Times New Roman" w:hAnsi="Times New Roman"/>
          <w:sz w:val="21"/>
          <w:szCs w:val="21"/>
          <w:color w:val="auto"/>
        </w:rPr>
      </w:pPr>
    </w:p>
    <w:p>
      <w:pPr>
        <w:jc w:val="both"/>
        <w:ind w:left="1940" w:hanging="646"/>
        <w:spacing w:after="0" w:line="222" w:lineRule="auto"/>
        <w:tabs>
          <w:tab w:leader="none" w:pos="1934"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Agent and Lenders shall have received from Borrower a Compliance Certificate demonstrating, in form and substance reasonably satisfactory to Agent, that Borrower is in compliance with (1) the provisos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2.6(a)</w:t>
      </w:r>
      <w:r>
        <w:rPr>
          <w:rFonts w:ascii="Times New Roman" w:cs="Times New Roman" w:eastAsia="Times New Roman" w:hAnsi="Times New Roman"/>
          <w:sz w:val="21"/>
          <w:szCs w:val="21"/>
          <w:color w:val="auto"/>
        </w:rPr>
        <w:t xml:space="preserve"> and (2) the Senior Secured Net Leverage Ratio pursuant to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based on the financial statements most recently delivered pursuant to </w:t>
      </w:r>
      <w:r>
        <w:rPr>
          <w:rFonts w:ascii="Times New Roman" w:cs="Times New Roman" w:eastAsia="Times New Roman" w:hAnsi="Times New Roman"/>
          <w:sz w:val="21"/>
          <w:szCs w:val="21"/>
          <w:u w:val="single" w:color="auto"/>
          <w:color w:val="auto"/>
        </w:rPr>
        <w:t>Section 7.6(a)</w:t>
      </w:r>
      <w:r>
        <w:rPr>
          <w:rFonts w:ascii="Times New Roman" w:cs="Times New Roman" w:eastAsia="Times New Roman" w:hAnsi="Times New Roman"/>
          <w:sz w:val="21"/>
          <w:szCs w:val="21"/>
          <w:color w:val="auto"/>
        </w:rPr>
        <w:t xml:space="preserve"> both before and after giving effect (on a Pro Forma Basis) to (x) any Incremental Loan Commitment, (y) the making of any Incremental Loans pursuant thereto (with any Incremental Loan Commitment being deemed to be fully funded) and (z) any Permitted Investment consummated in connection therewith, in each case, without duplication;</w:t>
      </w:r>
    </w:p>
    <w:p>
      <w:pPr>
        <w:spacing w:after="0" w:line="152" w:lineRule="exact"/>
        <w:rPr>
          <w:rFonts w:ascii="Times New Roman" w:cs="Times New Roman" w:eastAsia="Times New Roman" w:hAnsi="Times New Roman"/>
          <w:sz w:val="21"/>
          <w:szCs w:val="21"/>
          <w:color w:val="auto"/>
        </w:rPr>
      </w:pPr>
    </w:p>
    <w:p>
      <w:pPr>
        <w:ind w:left="1940" w:hanging="646"/>
        <w:spacing w:after="0"/>
        <w:tabs>
          <w:tab w:leader="none" w:pos="194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ind w:left="1920" w:hanging="626"/>
        <w:spacing w:after="0"/>
        <w:tabs>
          <w:tab w:leader="none" w:pos="1920"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proceeds of any Incremental Loans shall be used in accordance with </w:t>
      </w:r>
      <w:r>
        <w:rPr>
          <w:rFonts w:ascii="Times New Roman" w:cs="Times New Roman" w:eastAsia="Times New Roman" w:hAnsi="Times New Roman"/>
          <w:sz w:val="21"/>
          <w:szCs w:val="21"/>
          <w:u w:val="single" w:color="auto"/>
          <w:color w:val="auto"/>
        </w:rPr>
        <w:t>Section 5.5</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ind w:left="1940" w:hanging="646"/>
        <w:spacing w:after="0" w:line="250" w:lineRule="auto"/>
        <w:tabs>
          <w:tab w:leader="none" w:pos="1935" w:val="left"/>
        </w:tabs>
        <w:numPr>
          <w:ilvl w:val="1"/>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Incremental Term Loan Commitment (and the Incremental Term Loans made thereunder) shall constitute Obligations of Borrower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36" w:name="page137"/>
    <w:bookmarkEnd w:id="136"/>
    <w:p>
      <w:pPr>
        <w:jc w:val="center"/>
        <w:ind w:right="100"/>
        <w:spacing w:after="0"/>
        <w:rPr>
          <w:sz w:val="20"/>
          <w:szCs w:val="20"/>
          <w:color w:val="auto"/>
        </w:rPr>
      </w:pPr>
      <w:r>
        <w:rPr>
          <w:rFonts w:ascii="Times New Roman" w:cs="Times New Roman" w:eastAsia="Times New Roman" w:hAnsi="Times New Roman"/>
          <w:sz w:val="21"/>
          <w:szCs w:val="21"/>
          <w:color w:val="auto"/>
        </w:rPr>
        <w:t xml:space="preserve">be secured and guaranteed with the other Obligations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or junior basis;</w:t>
      </w:r>
    </w:p>
    <w:p>
      <w:pPr>
        <w:spacing w:after="0" w:line="191" w:lineRule="exact"/>
        <w:rPr>
          <w:sz w:val="20"/>
          <w:szCs w:val="20"/>
          <w:color w:val="auto"/>
        </w:rPr>
      </w:pPr>
    </w:p>
    <w:p>
      <w:pPr>
        <w:jc w:val="both"/>
        <w:ind w:left="1940" w:hanging="646"/>
        <w:spacing w:after="0" w:line="234" w:lineRule="auto"/>
        <w:tabs>
          <w:tab w:leader="none" w:pos="1928"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Incremental Revolving Loan Commitment (and the Incremental Revolving Loan Increase made thereunder) shall constitute Obligations of Borrower and shall be secured and guaranteed with the other Revolving Loans and any applicable then outstanding Incremental Term Loans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basis;</w:t>
      </w:r>
    </w:p>
    <w:p>
      <w:pPr>
        <w:spacing w:after="0" w:line="151" w:lineRule="exact"/>
        <w:rPr>
          <w:rFonts w:ascii="Times New Roman" w:cs="Times New Roman" w:eastAsia="Times New Roman" w:hAnsi="Times New Roman"/>
          <w:sz w:val="21"/>
          <w:szCs w:val="21"/>
          <w:color w:val="auto"/>
        </w:rPr>
      </w:pPr>
    </w:p>
    <w:p>
      <w:pPr>
        <w:ind w:left="1940" w:hanging="646"/>
        <w:spacing w:after="0" w:line="250" w:lineRule="auto"/>
        <w:tabs>
          <w:tab w:leader="none" w:pos="1934"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each Incremental Term Loan (the terms of which shall be set forth in the relevant Lender Joinder Agreement):</w:t>
      </w:r>
    </w:p>
    <w:p>
      <w:pPr>
        <w:spacing w:after="0" w:line="140" w:lineRule="exact"/>
        <w:rPr>
          <w:rFonts w:ascii="Times New Roman" w:cs="Times New Roman" w:eastAsia="Times New Roman" w:hAnsi="Times New Roman"/>
          <w:sz w:val="21"/>
          <w:szCs w:val="21"/>
          <w:color w:val="auto"/>
        </w:rPr>
      </w:pPr>
    </w:p>
    <w:p>
      <w:pPr>
        <w:jc w:val="both"/>
        <w:ind w:left="2580" w:hanging="642"/>
        <w:spacing w:after="0" w:line="234" w:lineRule="auto"/>
        <w:tabs>
          <w:tab w:leader="none" w:pos="2569"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Incremental Term Loan will not have a shorter Weighted Average Life to Maturity than the remaining Weighted Average Life to Maturity of any applicable then outstanding Incremental Term Loans or a maturity date earlier than the Maturity Date;</w:t>
      </w:r>
    </w:p>
    <w:p>
      <w:pPr>
        <w:spacing w:after="0" w:line="151" w:lineRule="exact"/>
        <w:rPr>
          <w:rFonts w:ascii="Times New Roman" w:cs="Times New Roman" w:eastAsia="Times New Roman" w:hAnsi="Times New Roman"/>
          <w:sz w:val="21"/>
          <w:szCs w:val="21"/>
          <w:color w:val="auto"/>
        </w:rPr>
      </w:pPr>
    </w:p>
    <w:p>
      <w:pPr>
        <w:jc w:val="both"/>
        <w:ind w:left="2580" w:hanging="642"/>
        <w:spacing w:after="0" w:line="234" w:lineRule="auto"/>
        <w:tabs>
          <w:tab w:leader="none" w:pos="2571"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applicable margin and pricing grid, if applicable, for such Incremental Term Loan shall be determined by Agent, the applicable Incremental Lenders and Borrower on the applicable Increased Amount Date; and</w:t>
      </w:r>
    </w:p>
    <w:p>
      <w:pPr>
        <w:spacing w:after="0" w:line="151" w:lineRule="exact"/>
        <w:rPr>
          <w:rFonts w:ascii="Times New Roman" w:cs="Times New Roman" w:eastAsia="Times New Roman" w:hAnsi="Times New Roman"/>
          <w:sz w:val="21"/>
          <w:szCs w:val="21"/>
          <w:color w:val="auto"/>
        </w:rPr>
      </w:pPr>
    </w:p>
    <w:p>
      <w:pPr>
        <w:jc w:val="both"/>
        <w:ind w:left="2580" w:hanging="642"/>
        <w:spacing w:after="0" w:line="234" w:lineRule="auto"/>
        <w:tabs>
          <w:tab w:leader="none" w:pos="2571"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above, all other terms and conditions applicable to any Incremental Term Loan shall be substantially identical to those applicable to the applicable then outstanding Incremental Term Loans or not more restrictive than those applicable to such other Incremental Term Loans;</w:t>
      </w:r>
    </w:p>
    <w:p>
      <w:pPr>
        <w:spacing w:after="0" w:line="151" w:lineRule="exact"/>
        <w:rPr>
          <w:rFonts w:ascii="Times New Roman" w:cs="Times New Roman" w:eastAsia="Times New Roman" w:hAnsi="Times New Roman"/>
          <w:sz w:val="21"/>
          <w:szCs w:val="21"/>
          <w:color w:val="auto"/>
        </w:rPr>
      </w:pPr>
    </w:p>
    <w:p>
      <w:pPr>
        <w:ind w:left="1940" w:hanging="646"/>
        <w:spacing w:after="0" w:line="250" w:lineRule="auto"/>
        <w:tabs>
          <w:tab w:leader="none" w:pos="1940"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each Incremental Revolving Loan Increase (the terms of which shall be set forth in the relevant Lender Joinder Agreement):</w:t>
      </w:r>
    </w:p>
    <w:p>
      <w:pPr>
        <w:spacing w:after="0" w:line="140" w:lineRule="exact"/>
        <w:rPr>
          <w:rFonts w:ascii="Times New Roman" w:cs="Times New Roman" w:eastAsia="Times New Roman" w:hAnsi="Times New Roman"/>
          <w:sz w:val="21"/>
          <w:szCs w:val="21"/>
          <w:color w:val="auto"/>
        </w:rPr>
      </w:pPr>
    </w:p>
    <w:p>
      <w:pPr>
        <w:jc w:val="both"/>
        <w:ind w:left="2580" w:hanging="642"/>
        <w:spacing w:after="0" w:line="234" w:lineRule="auto"/>
        <w:tabs>
          <w:tab w:leader="none" w:pos="2569"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Incremental Revolving Loan Increase shall mature on the Maturity Date, shall bear interest and be entitled to fees at the rate applicable to the Revolving Loans and shall be subject to the same terms and conditions as the Revolving Loans; and</w:t>
      </w:r>
    </w:p>
    <w:p>
      <w:pPr>
        <w:spacing w:after="0" w:line="151" w:lineRule="exact"/>
        <w:rPr>
          <w:rFonts w:ascii="Times New Roman" w:cs="Times New Roman" w:eastAsia="Times New Roman" w:hAnsi="Times New Roman"/>
          <w:sz w:val="21"/>
          <w:szCs w:val="21"/>
          <w:color w:val="auto"/>
        </w:rPr>
      </w:pPr>
    </w:p>
    <w:p>
      <w:pPr>
        <w:jc w:val="both"/>
        <w:ind w:left="2580" w:hanging="642"/>
        <w:spacing w:after="0"/>
        <w:tabs>
          <w:tab w:leader="none" w:pos="2571" w:val="left"/>
        </w:tabs>
        <w:numPr>
          <w:ilvl w:val="1"/>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outstanding Revolving Loans, Swingline Loans and Letter of Credit Accommodations will be reallocated by Agent on the applicable Increased Amount Date among the Revolving Lenders (including the Incremental Lenders providing such Incremental Revolving Loan Increase) in accordance with their revised Pro Rata Share and the Revolving Lenders (including the Incremental Lenders providing such Incremental Revolving Loan Increase) agree to make all payments and adjustments necessary to effect such reallocation and Borrower shall pay any and all costs required pursuant to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in connection with such reallocation as if such reallocation were a repayment;</w:t>
      </w:r>
    </w:p>
    <w:p>
      <w:pPr>
        <w:spacing w:after="0" w:line="239" w:lineRule="exact"/>
        <w:rPr>
          <w:rFonts w:ascii="Times New Roman" w:cs="Times New Roman" w:eastAsia="Times New Roman" w:hAnsi="Times New Roman"/>
          <w:sz w:val="21"/>
          <w:szCs w:val="21"/>
          <w:color w:val="auto"/>
        </w:rPr>
      </w:pPr>
    </w:p>
    <w:p>
      <w:pPr>
        <w:jc w:val="both"/>
        <w:ind w:left="1940" w:hanging="646"/>
        <w:spacing w:after="0" w:line="229" w:lineRule="auto"/>
        <w:tabs>
          <w:tab w:leader="none" w:pos="1928"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Incremental Lender making any Incremental Term Loan shall be entitled to the same voting rights as the existing Term Lenders under the any then existing Incremental Term Loan and (unless otherwise agreed by the applicable Incremental Lenders) each Incremental Term Loan shall receive proceeds of payments on the same basis as the existing Incremental Term Loans made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2" w:right="339" w:bottom="1440" w:gutter="0" w:footer="0" w:header="0"/>
        </w:sectPr>
      </w:pPr>
    </w:p>
    <w:bookmarkStart w:id="137" w:name="page138"/>
    <w:bookmarkEnd w:id="137"/>
    <w:p>
      <w:pPr>
        <w:jc w:val="both"/>
        <w:ind w:left="1940" w:hanging="646"/>
        <w:spacing w:after="0" w:line="229" w:lineRule="auto"/>
        <w:tabs>
          <w:tab w:leader="none" w:pos="1935" w:val="left"/>
        </w:tabs>
        <w:numPr>
          <w:ilvl w:val="2"/>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Incremental Lender with an Incremental Revolving Loan Increase shall be entitled to the same voting rights as the existing Revolving Lenders under the Revolving Loan Facility and any Revolving Loan made in connection with each Incremental Revolving Loan Increase shall receive proceeds of payments on the same basis as the other Revolving Loans made hereunder;</w:t>
      </w:r>
    </w:p>
    <w:p>
      <w:pPr>
        <w:spacing w:after="0" w:line="150" w:lineRule="exact"/>
        <w:rPr>
          <w:rFonts w:ascii="Times New Roman" w:cs="Times New Roman" w:eastAsia="Times New Roman" w:hAnsi="Times New Roman"/>
          <w:sz w:val="21"/>
          <w:szCs w:val="21"/>
          <w:color w:val="auto"/>
        </w:rPr>
      </w:pPr>
    </w:p>
    <w:p>
      <w:pPr>
        <w:jc w:val="both"/>
        <w:ind w:left="1940" w:hanging="646"/>
        <w:spacing w:after="0" w:line="226" w:lineRule="auto"/>
        <w:tabs>
          <w:tab w:leader="none" w:pos="1928" w:val="left"/>
        </w:tabs>
        <w:numPr>
          <w:ilvl w:val="2"/>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Incremental Loan Commitments shall be effected pursuant to one or more Lender Joinder Agreements executed and delivered by Borrower, Agent and the applicable Incremental Lenders (which Lender Joinder Agreement may, without the consent of any other Lenders, effect such amendments to this Agreement and the other Financing Agreements as may be necessary or appropriate, in the opinion of Agent, to effect the provisions of this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and</w:t>
      </w:r>
    </w:p>
    <w:p>
      <w:pPr>
        <w:spacing w:after="0" w:line="149" w:lineRule="exact"/>
        <w:rPr>
          <w:rFonts w:ascii="Times New Roman" w:cs="Times New Roman" w:eastAsia="Times New Roman" w:hAnsi="Times New Roman"/>
          <w:sz w:val="21"/>
          <w:szCs w:val="21"/>
          <w:color w:val="auto"/>
        </w:rPr>
      </w:pPr>
    </w:p>
    <w:p>
      <w:pPr>
        <w:jc w:val="both"/>
        <w:ind w:left="1940" w:hanging="646"/>
        <w:spacing w:after="0" w:line="229" w:lineRule="auto"/>
        <w:tabs>
          <w:tab w:leader="none" w:pos="1934" w:val="left"/>
        </w:tabs>
        <w:numPr>
          <w:ilvl w:val="2"/>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shall deliver or cause to be delivered any customary legal opinions or other documents (including a resolution duly adopted by the board of directors (or equivalent governing body) of Borrower authorizing such Incremental Loan and/or Incremental Loan Commitment) as may be reasonably requested by Agent in connection with any such transaction.</w:t>
      </w:r>
    </w:p>
    <w:p>
      <w:pPr>
        <w:spacing w:after="0" w:line="150" w:lineRule="exact"/>
        <w:rPr>
          <w:rFonts w:ascii="Times New Roman" w:cs="Times New Roman" w:eastAsia="Times New Roman" w:hAnsi="Times New Roman"/>
          <w:sz w:val="21"/>
          <w:szCs w:val="21"/>
          <w:color w:val="auto"/>
        </w:rPr>
      </w:pPr>
    </w:p>
    <w:p>
      <w:pPr>
        <w:jc w:val="both"/>
        <w:ind w:left="1300" w:hanging="726"/>
        <w:spacing w:after="0" w:line="234" w:lineRule="auto"/>
        <w:tabs>
          <w:tab w:leader="none" w:pos="1300"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Incremental Term Loans shall be deemed to be Loans;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any such Incremental Term Loan that is not added to the outstanding principal balance of a pre-existing Incremental Term Loan shall be designated as a separate tranche of Loans for all purposes of this Agreement.</w:t>
      </w:r>
    </w:p>
    <w:p>
      <w:pPr>
        <w:spacing w:after="0" w:line="178"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300"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Incremental Lenders shall be included in any determination of the Required Lenders and, unless otherwise agreed by the applicable Incremental Lenders that their respective Incremental Term Loan Commitment (and the Incremental Term Loans made thereunder) shall be secured and guaranteed with the other Obligations on a junior basis, the Incremental Lenders will not constitute a separate voting class for any purposes under this Agreement.</w:t>
      </w:r>
    </w:p>
    <w:p>
      <w:pPr>
        <w:spacing w:after="0" w:line="150" w:lineRule="exact"/>
        <w:rPr>
          <w:rFonts w:ascii="Times New Roman" w:cs="Times New Roman" w:eastAsia="Times New Roman" w:hAnsi="Times New Roman"/>
          <w:sz w:val="21"/>
          <w:szCs w:val="21"/>
          <w:color w:val="auto"/>
        </w:rPr>
      </w:pPr>
    </w:p>
    <w:p>
      <w:pPr>
        <w:jc w:val="both"/>
        <w:ind w:left="1300" w:hanging="649"/>
        <w:spacing w:after="0" w:line="226" w:lineRule="auto"/>
        <w:tabs>
          <w:tab w:leader="none" w:pos="1295"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any Increased Amount Date on which any Incremental Term Loan Commitment becomes effective, subject to the foregoing terms and conditions, each Incremental Lender with an Incremental Term Loan Commitment shall make, or be obligated to make, an Incremental Term Loan to Borrower in an amount equal to its Incremental Term Loan Commitment and shall become a Term Lender hereunder with respect to such Incremental Term Loan Commitment and the Incremental Term Loan made pursuant thereto.</w:t>
      </w:r>
    </w:p>
    <w:p>
      <w:pPr>
        <w:spacing w:after="0" w:line="149"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any Increased Amount Date on which any Incremental Revolving Loan Increase becomes effective, subject to the foregoing terms and conditions, each Incremental Lender with an Incremental Revolving Loan Commitment shall become a Revolving Lender hereunder with respect to such Incremental Revolving Loan Commitment.</w:t>
      </w:r>
    </w:p>
    <w:p>
      <w:pPr>
        <w:spacing w:after="0" w:line="151" w:lineRule="exact"/>
        <w:rPr>
          <w:rFonts w:ascii="Times New Roman" w:cs="Times New Roman" w:eastAsia="Times New Roman" w:hAnsi="Times New Roman"/>
          <w:sz w:val="21"/>
          <w:szCs w:val="21"/>
          <w:color w:val="auto"/>
        </w:rPr>
      </w:pPr>
    </w:p>
    <w:p>
      <w:pPr>
        <w:ind w:left="1300" w:right="20" w:hanging="649"/>
        <w:spacing w:after="0" w:line="250" w:lineRule="auto"/>
        <w:tabs>
          <w:tab w:leader="none" w:pos="1288"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incurrence of Incremental Equivalent Debt pursuant to </w:t>
      </w:r>
      <w:r>
        <w:rPr>
          <w:rFonts w:ascii="Times New Roman" w:cs="Times New Roman" w:eastAsia="Times New Roman" w:hAnsi="Times New Roman"/>
          <w:sz w:val="21"/>
          <w:szCs w:val="21"/>
          <w:u w:val="single" w:color="auto"/>
          <w:color w:val="auto"/>
        </w:rPr>
        <w:t>Section 8.3(y)</w:t>
      </w:r>
      <w:r>
        <w:rPr>
          <w:rFonts w:ascii="Times New Roman" w:cs="Times New Roman" w:eastAsia="Times New Roman" w:hAnsi="Times New Roman"/>
          <w:sz w:val="21"/>
          <w:szCs w:val="21"/>
          <w:color w:val="auto"/>
        </w:rPr>
        <w:t xml:space="preserve"> shall reduce, on a dollar-for-dollar basis, the aggregate amount of Incremental Loans permitted to be incurred under </w:t>
      </w:r>
      <w:r>
        <w:rPr>
          <w:rFonts w:ascii="Times New Roman" w:cs="Times New Roman" w:eastAsia="Times New Roman" w:hAnsi="Times New Roman"/>
          <w:sz w:val="21"/>
          <w:szCs w:val="21"/>
          <w:u w:val="single" w:color="auto"/>
          <w:color w:val="auto"/>
        </w:rPr>
        <w:t>Section 2.6(a)</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38" w:name="page139"/>
    <w:bookmarkEnd w:id="138"/>
    <w:p>
      <w:pPr>
        <w:spacing w:after="0" w:line="15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3</w:t>
      </w: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1"/>
          <w:szCs w:val="21"/>
          <w:b w:val="1"/>
          <w:bCs w:val="1"/>
          <w:u w:val="single" w:color="auto"/>
          <w:color w:val="auto"/>
        </w:rPr>
        <w:t>INTEREST, REQUESTS FOR REVOLVING LOANS, INCREASED COSTS AND FEES</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Interest</w:t>
      </w:r>
    </w:p>
    <w:p>
      <w:pPr>
        <w:spacing w:after="0" w:line="191" w:lineRule="exact"/>
        <w:rPr>
          <w:sz w:val="20"/>
          <w:szCs w:val="20"/>
          <w:color w:val="auto"/>
        </w:rPr>
      </w:pPr>
    </w:p>
    <w:p>
      <w:pPr>
        <w:ind w:left="1300" w:right="20" w:hanging="649"/>
        <w:spacing w:after="0" w:line="250" w:lineRule="auto"/>
        <w:tabs>
          <w:tab w:leader="none" w:pos="1297"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Interest Rate</w:t>
      </w:r>
      <w:r>
        <w:rPr>
          <w:rFonts w:ascii="Times New Roman" w:cs="Times New Roman" w:eastAsia="Times New Roman" w:hAnsi="Times New Roman"/>
          <w:sz w:val="21"/>
          <w:szCs w:val="21"/>
          <w:color w:val="auto"/>
        </w:rPr>
        <w:t>. Borrower shall pay to Agent interest on the outstanding principal amount of the Revolving Loans and Swingline Loans at the applicable Interest Rate.</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16" w:lineRule="auto"/>
        <w:tabs>
          <w:tab w:leader="none" w:pos="129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and Calculation</w:t>
      </w:r>
      <w:r>
        <w:rPr>
          <w:rFonts w:ascii="Times New Roman" w:cs="Times New Roman" w:eastAsia="Times New Roman" w:hAnsi="Times New Roman"/>
          <w:sz w:val="21"/>
          <w:szCs w:val="21"/>
          <w:color w:val="auto"/>
        </w:rPr>
        <w:t>. Interest shall be payable by Borrower to Agent (i) in the case of Canadian Prime Rate Loans and U.S. Base Rate Loans, quarterly in arrears on the last Business Day of each Fiscal Quarter and (ii) in the case of Term SOFR Loans, Term CORRA Loans and Eurocurrency Rate Loans, on the last day of each Interest Period (and in the case of an Interest Period of greater than three (3) months, on the last day of each three (3) month period during such Interest Period and on the last day of such Interest Period). All computations of interest for U.S. Base Rate Loans (when the U.S. Base Rate is determined by reference to the U.S. Prime Rate) and Canadian Prime Rate Loans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 except that interest on Loans denominated in any Alternate Currency as to which market practice differs from the foregoing shall be computed in accordance with market practice for such Loans. The interest rate applicable to Canadian Prime Rate Loans and U.S. Base Rate Loans shall increase or decrease by an amount equal to each increase or decrease in the Canadian Prime Rate or U.S. Base Rate after any change in such rate is announced. All interest accruing hereunder on and after an Event of Default that is continuing or maturity or termination hereof shall be payable on demand. In no event shall charges constituting interest payable by Borrower to Agent or Lenders exceed the maximum amount or the rate permitted under any Applicable Law, and if any part or provision of this Agreement is in contravention of any such Applicable Law, such part or provision shall be deemed amended to conform thereto.</w:t>
      </w:r>
    </w:p>
    <w:p>
      <w:pPr>
        <w:spacing w:after="0" w:line="159"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7"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Interest Act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(Canada)</w:t>
      </w:r>
      <w:r>
        <w:rPr>
          <w:rFonts w:ascii="Times New Roman" w:cs="Times New Roman" w:eastAsia="Times New Roman" w:hAnsi="Times New Roman"/>
          <w:sz w:val="21"/>
          <w:szCs w:val="21"/>
          <w:color w:val="auto"/>
        </w:rPr>
        <w:t>. For purposes of disclosure under the</w:t>
      </w:r>
      <w:r>
        <w:rPr>
          <w:rFonts w:ascii="Times New Roman" w:cs="Times New Roman" w:eastAsia="Times New Roman" w:hAnsi="Times New Roman"/>
          <w:sz w:val="21"/>
          <w:szCs w:val="21"/>
          <w:i w:val="1"/>
          <w:iCs w:val="1"/>
          <w:color w:val="auto"/>
        </w:rPr>
        <w:t xml:space="preserve"> Interest Act </w:t>
      </w:r>
      <w:r>
        <w:rPr>
          <w:rFonts w:ascii="Times New Roman" w:cs="Times New Roman" w:eastAsia="Times New Roman" w:hAnsi="Times New Roman"/>
          <w:sz w:val="21"/>
          <w:szCs w:val="21"/>
          <w:color w:val="auto"/>
        </w:rPr>
        <w:t>(Canada), where interest is calculated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pursuant hereto at a rate based upon a 360 day year (the “</w:t>
      </w:r>
      <w:r>
        <w:rPr>
          <w:rFonts w:ascii="Times New Roman" w:cs="Times New Roman" w:eastAsia="Times New Roman" w:hAnsi="Times New Roman"/>
          <w:sz w:val="21"/>
          <w:szCs w:val="21"/>
          <w:b w:val="1"/>
          <w:bCs w:val="1"/>
          <w:color w:val="auto"/>
        </w:rPr>
        <w:t>U.S. First Rate</w:t>
      </w:r>
      <w:r>
        <w:rPr>
          <w:rFonts w:ascii="Times New Roman" w:cs="Times New Roman" w:eastAsia="Times New Roman" w:hAnsi="Times New Roman"/>
          <w:sz w:val="21"/>
          <w:szCs w:val="21"/>
          <w:color w:val="auto"/>
        </w:rPr>
        <w:t xml:space="preserve">”), it is hereby agreed that the rate or percentage of interest on a yearly basis is equivalent to such U.S. First Rate multiplied by the actual number of days in the year divided by 360. Each Credit Party confirms that it fully understands and is able to calculate the rate of interest based on the methodology for calculating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rates provided for in this Agreement. Agent agrees that if requested in writing by Borrower it shall calculate the nominal and effective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xml:space="preserve"> rate of interest on any Loan outstanding at any time and provide such information to Borrower promptly following such request;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any error in any such calculation, or any failure to provide such information on request, shall not relieve Borrower or any other Credit Party of any of its obligations under this Agreement or any other Financing Agreement, nor result in any liability of Agent or any Lender. Each Credit Party hereby irrevocably agrees not to plead or assert, whether by way of defense or otherwise, in any proceeding relating to the Financing Agreements, that the interest payable under the Financing Agreements and the calculation thereof has not been adequately disclosed to Credit Parties, whether pursuant to Section 4 of the </w:t>
      </w:r>
      <w:r>
        <w:rPr>
          <w:rFonts w:ascii="Times New Roman" w:cs="Times New Roman" w:eastAsia="Times New Roman" w:hAnsi="Times New Roman"/>
          <w:sz w:val="21"/>
          <w:szCs w:val="21"/>
          <w:i w:val="1"/>
          <w:iCs w:val="1"/>
          <w:color w:val="auto"/>
        </w:rPr>
        <w:t>Interest Act</w:t>
      </w:r>
      <w:r>
        <w:rPr>
          <w:rFonts w:ascii="Times New Roman" w:cs="Times New Roman" w:eastAsia="Times New Roman" w:hAnsi="Times New Roman"/>
          <w:sz w:val="21"/>
          <w:szCs w:val="21"/>
          <w:color w:val="auto"/>
        </w:rPr>
        <w:t xml:space="preserve"> (Canada) or any other Applicable Law or legal principle.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40" w:right="339" w:bottom="1440" w:gutter="0" w:footer="0" w:header="0"/>
        </w:sectPr>
      </w:pPr>
    </w:p>
    <w:bookmarkStart w:id="139" w:name="page140"/>
    <w:bookmarkEnd w:id="139"/>
    <w:p>
      <w:pPr>
        <w:jc w:val="both"/>
        <w:ind w:left="1300" w:hanging="649"/>
        <w:spacing w:after="0" w:line="230" w:lineRule="auto"/>
        <w:tabs>
          <w:tab w:leader="none" w:pos="129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u w:val="single" w:color="auto"/>
          <w:color w:val="auto"/>
        </w:rPr>
        <w:t>Criminal Code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(Canada)</w:t>
      </w:r>
      <w:r>
        <w:rPr>
          <w:rFonts w:ascii="Times New Roman" w:cs="Times New Roman" w:eastAsia="Times New Roman" w:hAnsi="Times New Roman"/>
          <w:sz w:val="21"/>
          <w:szCs w:val="21"/>
          <w:color w:val="auto"/>
        </w:rPr>
        <w:t>. Notwithstanding the provisions of this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Article 3</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or any other provision of this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no event shall the aggregate “</w:t>
      </w:r>
      <w:r>
        <w:rPr>
          <w:rFonts w:ascii="Times New Roman" w:cs="Times New Roman" w:eastAsia="Times New Roman" w:hAnsi="Times New Roman"/>
          <w:sz w:val="21"/>
          <w:szCs w:val="21"/>
          <w:b w:val="1"/>
          <w:bCs w:val="1"/>
          <w:color w:val="auto"/>
        </w:rPr>
        <w:t>interest</w:t>
      </w:r>
      <w:r>
        <w:rPr>
          <w:rFonts w:ascii="Times New Roman" w:cs="Times New Roman" w:eastAsia="Times New Roman" w:hAnsi="Times New Roman"/>
          <w:sz w:val="21"/>
          <w:szCs w:val="21"/>
          <w:color w:val="auto"/>
        </w:rPr>
        <w:t xml:space="preserve">” (as that term is defined in </w:t>
      </w:r>
      <w:r>
        <w:rPr>
          <w:rFonts w:ascii="Times New Roman" w:cs="Times New Roman" w:eastAsia="Times New Roman" w:hAnsi="Times New Roman"/>
          <w:sz w:val="21"/>
          <w:szCs w:val="21"/>
          <w:u w:val="single" w:color="auto"/>
          <w:color w:val="auto"/>
        </w:rPr>
        <w:t>Section 347</w:t>
      </w:r>
      <w:r>
        <w:rPr>
          <w:rFonts w:ascii="Times New Roman" w:cs="Times New Roman" w:eastAsia="Times New Roman" w:hAnsi="Times New Roman"/>
          <w:sz w:val="21"/>
          <w:szCs w:val="21"/>
          <w:color w:val="auto"/>
        </w:rPr>
        <w:t xml:space="preserve"> of the </w:t>
      </w:r>
      <w:r>
        <w:rPr>
          <w:rFonts w:ascii="Times New Roman" w:cs="Times New Roman" w:eastAsia="Times New Roman" w:hAnsi="Times New Roman"/>
          <w:sz w:val="21"/>
          <w:szCs w:val="21"/>
          <w:i w:val="1"/>
          <w:iCs w:val="1"/>
          <w:color w:val="auto"/>
        </w:rPr>
        <w:t>Criminal Code</w:t>
      </w:r>
      <w:r>
        <w:rPr>
          <w:rFonts w:ascii="Times New Roman" w:cs="Times New Roman" w:eastAsia="Times New Roman" w:hAnsi="Times New Roman"/>
          <w:sz w:val="21"/>
          <w:szCs w:val="21"/>
          <w:color w:val="auto"/>
        </w:rPr>
        <w:t xml:space="preserve"> (Canada)) exceed the effective annual rate of interest on the “</w:t>
      </w:r>
      <w:r>
        <w:rPr>
          <w:rFonts w:ascii="Times New Roman" w:cs="Times New Roman" w:eastAsia="Times New Roman" w:hAnsi="Times New Roman"/>
          <w:sz w:val="21"/>
          <w:szCs w:val="21"/>
          <w:b w:val="1"/>
          <w:bCs w:val="1"/>
          <w:color w:val="auto"/>
        </w:rPr>
        <w:t>credit advanced</w:t>
      </w:r>
      <w:r>
        <w:rPr>
          <w:rFonts w:ascii="Times New Roman" w:cs="Times New Roman" w:eastAsia="Times New Roman" w:hAnsi="Times New Roman"/>
          <w:sz w:val="21"/>
          <w:szCs w:val="21"/>
          <w:color w:val="auto"/>
        </w:rPr>
        <w:t xml:space="preserve">” (as defined therein) lawfully permitted under </w:t>
      </w:r>
      <w:r>
        <w:rPr>
          <w:rFonts w:ascii="Times New Roman" w:cs="Times New Roman" w:eastAsia="Times New Roman" w:hAnsi="Times New Roman"/>
          <w:sz w:val="21"/>
          <w:szCs w:val="21"/>
          <w:u w:val="single" w:color="auto"/>
          <w:color w:val="auto"/>
        </w:rPr>
        <w:t>Section 347</w:t>
      </w:r>
      <w:r>
        <w:rPr>
          <w:rFonts w:ascii="Times New Roman" w:cs="Times New Roman" w:eastAsia="Times New Roman" w:hAnsi="Times New Roman"/>
          <w:sz w:val="21"/>
          <w:szCs w:val="21"/>
          <w:color w:val="auto"/>
        </w:rPr>
        <w:t xml:space="preserve"> of the </w:t>
      </w:r>
      <w:r>
        <w:rPr>
          <w:rFonts w:ascii="Times New Roman" w:cs="Times New Roman" w:eastAsia="Times New Roman" w:hAnsi="Times New Roman"/>
          <w:sz w:val="21"/>
          <w:szCs w:val="21"/>
          <w:i w:val="1"/>
          <w:iCs w:val="1"/>
          <w:color w:val="auto"/>
        </w:rPr>
        <w:t>Criminal Code</w:t>
      </w:r>
      <w:r>
        <w:rPr>
          <w:rFonts w:ascii="Times New Roman" w:cs="Times New Roman" w:eastAsia="Times New Roman" w:hAnsi="Times New Roman"/>
          <w:sz w:val="21"/>
          <w:szCs w:val="21"/>
          <w:color w:val="auto"/>
        </w:rPr>
        <w:t xml:space="preserve"> (Canada).</w:t>
      </w:r>
    </w:p>
    <w:p>
      <w:pPr>
        <w:spacing w:after="0" w:line="15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7"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Agent Certificate</w:t>
      </w:r>
      <w:r>
        <w:rPr>
          <w:rFonts w:ascii="Times New Roman" w:cs="Times New Roman" w:eastAsia="Times New Roman" w:hAnsi="Times New Roman"/>
          <w:sz w:val="21"/>
          <w:szCs w:val="21"/>
          <w:color w:val="auto"/>
        </w:rPr>
        <w:t>. A certificate of an authorized signing officer of Agent as to each amount and/or each rate of interest payable hereunder from time to time shall be conclusive evidence of such amount and of such rate, absent manifest error.</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23" w:lineRule="auto"/>
        <w:tabs>
          <w:tab w:leader="none" w:pos="130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deemed reinvestment principle/effective yield method</w:t>
      </w:r>
      <w:r>
        <w:rPr>
          <w:rFonts w:ascii="Times New Roman" w:cs="Times New Roman" w:eastAsia="Times New Roman" w:hAnsi="Times New Roman"/>
          <w:sz w:val="21"/>
          <w:szCs w:val="21"/>
          <w:color w:val="auto"/>
        </w:rPr>
        <w:t xml:space="preserve">. For greater certainty, whenever any amount is payable under any Financing Agreement by Borrower as interest or as a fee which requires the calculation of an amount using a percentage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 each party to this Agreement acknowledges and agrees that such amount shall be calculated as of the date payment is due without application of the “</w:t>
      </w:r>
      <w:r>
        <w:rPr>
          <w:rFonts w:ascii="Times New Roman" w:cs="Times New Roman" w:eastAsia="Times New Roman" w:hAnsi="Times New Roman"/>
          <w:sz w:val="21"/>
          <w:szCs w:val="21"/>
          <w:b w:val="1"/>
          <w:bCs w:val="1"/>
          <w:color w:val="auto"/>
        </w:rPr>
        <w:t>deemed reinvestment principle</w:t>
      </w:r>
      <w:r>
        <w:rPr>
          <w:rFonts w:ascii="Times New Roman" w:cs="Times New Roman" w:eastAsia="Times New Roman" w:hAnsi="Times New Roman"/>
          <w:sz w:val="21"/>
          <w:szCs w:val="21"/>
          <w:color w:val="auto"/>
        </w:rPr>
        <w:t>” or the “</w:t>
      </w:r>
      <w:r>
        <w:rPr>
          <w:rFonts w:ascii="Times New Roman" w:cs="Times New Roman" w:eastAsia="Times New Roman" w:hAnsi="Times New Roman"/>
          <w:sz w:val="21"/>
          <w:szCs w:val="21"/>
          <w:b w:val="1"/>
          <w:bCs w:val="1"/>
          <w:color w:val="auto"/>
        </w:rPr>
        <w:t>effective yield method</w:t>
      </w:r>
      <w:r>
        <w:rPr>
          <w:rFonts w:ascii="Times New Roman" w:cs="Times New Roman" w:eastAsia="Times New Roman" w:hAnsi="Times New Roman"/>
          <w:sz w:val="21"/>
          <w:szCs w:val="21"/>
          <w:color w:val="auto"/>
        </w:rPr>
        <w:t xml:space="preserve">”. As an example, when interest is calculated and payable monthly, the rate of interest payable per month is 1/12 of the stated rate of interest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jc w:val="both"/>
        <w:ind w:left="1300" w:hanging="649"/>
        <w:spacing w:after="0" w:line="219" w:lineRule="auto"/>
        <w:tabs>
          <w:tab w:leader="none" w:pos="1295"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Conversion/Continuation of Term CORRA Loans, Term SOFR Loans and Eurocurrency Rate Loans</w:t>
      </w:r>
      <w:r>
        <w:rPr>
          <w:rFonts w:ascii="Times New Roman" w:cs="Times New Roman" w:eastAsia="Times New Roman" w:hAnsi="Times New Roman"/>
          <w:sz w:val="21"/>
          <w:szCs w:val="21"/>
          <w:color w:val="auto"/>
        </w:rPr>
        <w:t>. Each Term CORRA Loan, Term SOFR Loan or Eurocurrency Rate Loan shall automatically, at Agent’s option, either (i) convert to, in the case of a Term CORRA Loan, Canadian Prime Rate Loans or in the case of a Term SOFR Loan or Eurocurrency Rate Loan, U.S. Base Rate Loans, respectively, upon the last day of the applicable Interest Period or</w:t>
      </w:r>
    </w:p>
    <w:p>
      <w:pPr>
        <w:jc w:val="both"/>
        <w:ind w:left="1300" w:hanging="6"/>
        <w:spacing w:after="0" w:line="234" w:lineRule="auto"/>
        <w:tabs>
          <w:tab w:leader="none" w:pos="1626" w:val="left"/>
        </w:tabs>
        <w:numPr>
          <w:ilvl w:val="1"/>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rolled over for a further one (1) month Interest Period, unless Agent has received and approved a Notice of Conversion/Continuation to continue such Term CORRA Loan, Term SOFR Loan or Eurocurrency Rate Loan for an Interest Period chosen by Borrower at least four (4) Eurocurrency Banking Days prior to such last day with respect to Eurocurrency Rate Loans, five (5) CORRA Business Days prior to such last day with respect to Term CORRA Loans and three (3) SOFR Business Days prior to such last day with respect to Term SOFR Loans, each in accordance with the terms hereof. Each Term CORRA Loan, Term SOFR Loan or Eurocurrency Rate Loan shall, at Agent’s option, upon notice by Agent to Borrower, be subsequently converted to Canadian Prime Rate Loans (in the case of a Loan denominated in Canadian Dollars) and U.S. Base Rate Loans (in all other cases), respectively, upon the occurrence of any Event of Default which is continuing and otherwise upon the Maturity Date, which in the case of a Eurocurrency Rate Loan denominated in an Alternate Currency shall be deemed to be a selection by the Borrower that such Eurocurrency Rate Loan shall automatically be converted to a U.S. Base Rate Loan denominated in U.S. Dollars (in an amount equal to the Dollar Equivalent of the applicable Alternate Currency) at the end of such Interest Period.</w:t>
      </w:r>
    </w:p>
    <w:p>
      <w:pPr>
        <w:spacing w:after="0" w:line="153"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Requests for Revolving Loans and Swingline Loans</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left="1940" w:hanging="646"/>
        <w:spacing w:after="0" w:line="223" w:lineRule="auto"/>
        <w:tabs>
          <w:tab w:leader="none" w:pos="1928" w:val="left"/>
        </w:tabs>
        <w:numPr>
          <w:ilvl w:val="1"/>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may from time to time request in writing Revolving Loans and Swingline Loans pursuant to a Notice of Borrowing or may request in writing that Canadian Prime Rate Loans and U.S. Base Rate Loans (other than Swingline Loans) be converted to Term CORRA Loans or Term SOFR Loans in the same Currency pursuant to a Notice of Conversion/Continuation or that any existing Eurocurrency Rate Loan, Term CORRA Loan or Term SOFR Loan continue for an additional Interest Period pursuant to a Notice of Conversion/Continuation. Notices of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2" w:right="339" w:bottom="1440" w:gutter="0" w:footer="0" w:header="0"/>
        </w:sectPr>
      </w:pPr>
    </w:p>
    <w:bookmarkStart w:id="140" w:name="page141"/>
    <w:bookmarkEnd w:id="140"/>
    <w:p>
      <w:pPr>
        <w:jc w:val="both"/>
        <w:ind w:left="1940"/>
        <w:spacing w:after="0" w:line="226" w:lineRule="auto"/>
        <w:rPr>
          <w:sz w:val="20"/>
          <w:szCs w:val="20"/>
          <w:color w:val="auto"/>
        </w:rPr>
      </w:pPr>
      <w:r>
        <w:rPr>
          <w:rFonts w:ascii="Times New Roman" w:cs="Times New Roman" w:eastAsia="Times New Roman" w:hAnsi="Times New Roman"/>
          <w:sz w:val="21"/>
          <w:szCs w:val="21"/>
          <w:color w:val="auto"/>
        </w:rPr>
        <w:t>and Notices of Conversion/Continuation received after 12:00 noon (New York time) on any day shall be deemed to have been made as of the opening of business on the immediately following Business Day, SOFR Business Day, CORRA Business Day or Eurocurrency Banking Day, as the case may be. Notwithstanding anything to the contrary herein, a Swingline Loan may not be converted to a Term CORRA Loan, a Eurocurrency Rate Loan or a Term SOFR Loan.</w:t>
      </w:r>
    </w:p>
    <w:p>
      <w:pPr>
        <w:spacing w:after="0" w:line="150" w:lineRule="exact"/>
        <w:rPr>
          <w:sz w:val="20"/>
          <w:szCs w:val="20"/>
          <w:color w:val="auto"/>
        </w:rPr>
      </w:pPr>
    </w:p>
    <w:p>
      <w:pPr>
        <w:ind w:left="1940" w:hanging="646"/>
        <w:spacing w:after="0" w:line="245" w:lineRule="auto"/>
        <w:tabs>
          <w:tab w:leader="none" w:pos="1934"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Notice of Borrowing or Notice of Conversion/Continuation, as applicable, from Borrower shall specify:</w:t>
      </w:r>
    </w:p>
    <w:p>
      <w:pPr>
        <w:spacing w:after="0" w:line="396" w:lineRule="exact"/>
        <w:rPr>
          <w:rFonts w:ascii="Times New Roman" w:cs="Times New Roman" w:eastAsia="Times New Roman" w:hAnsi="Times New Roman"/>
          <w:sz w:val="21"/>
          <w:szCs w:val="21"/>
          <w:color w:val="auto"/>
        </w:rPr>
      </w:pPr>
    </w:p>
    <w:p>
      <w:pPr>
        <w:ind w:left="2580" w:right="20" w:hanging="642"/>
        <w:spacing w:after="0" w:line="250" w:lineRule="auto"/>
        <w:tabs>
          <w:tab w:leader="none" w:pos="2569"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such Loan is to be a Revolving Loan or Swingline Loan and the amount of the Revolving Loan or Swingline Loan, as applicable;</w:t>
      </w:r>
    </w:p>
    <w:p>
      <w:pPr>
        <w:spacing w:after="0" w:line="140" w:lineRule="exact"/>
        <w:rPr>
          <w:rFonts w:ascii="Times New Roman" w:cs="Times New Roman" w:eastAsia="Times New Roman" w:hAnsi="Times New Roman"/>
          <w:sz w:val="21"/>
          <w:szCs w:val="21"/>
          <w:color w:val="auto"/>
        </w:rPr>
      </w:pPr>
    </w:p>
    <w:p>
      <w:pPr>
        <w:ind w:left="2580" w:hanging="642"/>
        <w:spacing w:after="0" w:line="250" w:lineRule="auto"/>
        <w:tabs>
          <w:tab w:leader="none" w:pos="2571"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(which day shall be a Business Day) of borrowing, conversion or continuation, as the case may be;</w:t>
      </w:r>
    </w:p>
    <w:p>
      <w:pPr>
        <w:spacing w:after="0" w:line="140" w:lineRule="exact"/>
        <w:rPr>
          <w:rFonts w:ascii="Times New Roman" w:cs="Times New Roman" w:eastAsia="Times New Roman" w:hAnsi="Times New Roman"/>
          <w:sz w:val="21"/>
          <w:szCs w:val="21"/>
          <w:color w:val="auto"/>
        </w:rPr>
      </w:pPr>
    </w:p>
    <w:p>
      <w:pPr>
        <w:jc w:val="both"/>
        <w:ind w:left="2580" w:right="20" w:hanging="642"/>
        <w:spacing w:after="0" w:line="234" w:lineRule="auto"/>
        <w:tabs>
          <w:tab w:leader="none" w:pos="2571"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Alternate Currency of the Revolving Loan (if applicable)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consent of all Revolving Lenders shall be required for a Revolving Loan in an Alternate Currency other than Canadian Dollars and Euros;</w:t>
      </w:r>
    </w:p>
    <w:p>
      <w:pPr>
        <w:spacing w:after="0" w:line="151" w:lineRule="exact"/>
        <w:rPr>
          <w:rFonts w:ascii="Times New Roman" w:cs="Times New Roman" w:eastAsia="Times New Roman" w:hAnsi="Times New Roman"/>
          <w:sz w:val="21"/>
          <w:szCs w:val="21"/>
          <w:color w:val="auto"/>
        </w:rPr>
      </w:pPr>
    </w:p>
    <w:p>
      <w:pPr>
        <w:ind w:left="2580" w:hanging="642"/>
        <w:spacing w:after="0"/>
        <w:tabs>
          <w:tab w:leader="none" w:pos="2580"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Type of Revolving Loan;</w:t>
      </w:r>
    </w:p>
    <w:p>
      <w:pPr>
        <w:spacing w:after="0" w:line="187" w:lineRule="exact"/>
        <w:rPr>
          <w:rFonts w:ascii="Times New Roman" w:cs="Times New Roman" w:eastAsia="Times New Roman" w:hAnsi="Times New Roman"/>
          <w:sz w:val="21"/>
          <w:szCs w:val="21"/>
          <w:color w:val="auto"/>
        </w:rPr>
      </w:pPr>
    </w:p>
    <w:p>
      <w:pPr>
        <w:ind w:left="2580" w:hanging="642"/>
        <w:spacing w:after="0" w:line="250" w:lineRule="auto"/>
        <w:tabs>
          <w:tab w:leader="none" w:pos="2572"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the Canadian Prime Rate Loan or U.S. Base Rate Loan to be converted to Term CORRA Loans or Term SOFR Loans (if applicable);</w:t>
      </w:r>
    </w:p>
    <w:p>
      <w:pPr>
        <w:spacing w:after="0" w:line="140" w:lineRule="exact"/>
        <w:rPr>
          <w:rFonts w:ascii="Times New Roman" w:cs="Times New Roman" w:eastAsia="Times New Roman" w:hAnsi="Times New Roman"/>
          <w:sz w:val="21"/>
          <w:szCs w:val="21"/>
          <w:color w:val="auto"/>
        </w:rPr>
      </w:pPr>
    </w:p>
    <w:p>
      <w:pPr>
        <w:ind w:left="2580" w:right="20" w:hanging="642"/>
        <w:spacing w:after="0" w:line="250" w:lineRule="auto"/>
        <w:tabs>
          <w:tab w:leader="none" w:pos="2574"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of the Term CORRA Loan, Eurocurrency Rate Loan or Term SOFR Loan to be continued (if applicable); and</w:t>
      </w:r>
    </w:p>
    <w:p>
      <w:pPr>
        <w:spacing w:after="0" w:line="140" w:lineRule="exact"/>
        <w:rPr>
          <w:rFonts w:ascii="Times New Roman" w:cs="Times New Roman" w:eastAsia="Times New Roman" w:hAnsi="Times New Roman"/>
          <w:sz w:val="21"/>
          <w:szCs w:val="21"/>
          <w:color w:val="auto"/>
        </w:rPr>
      </w:pPr>
    </w:p>
    <w:p>
      <w:pPr>
        <w:ind w:left="2580" w:hanging="642"/>
        <w:spacing w:after="0"/>
        <w:tabs>
          <w:tab w:leader="none" w:pos="2580"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Interest Period to be applicable to such Revolving Loan (if applicable).</w:t>
      </w:r>
    </w:p>
    <w:p>
      <w:pPr>
        <w:spacing w:after="0" w:line="214" w:lineRule="exact"/>
        <w:rPr>
          <w:rFonts w:ascii="Times New Roman" w:cs="Times New Roman" w:eastAsia="Times New Roman" w:hAnsi="Times New Roman"/>
          <w:sz w:val="21"/>
          <w:szCs w:val="21"/>
          <w:color w:val="auto"/>
        </w:rPr>
      </w:pPr>
    </w:p>
    <w:p>
      <w:pPr>
        <w:jc w:val="both"/>
        <w:ind w:left="1300" w:firstLine="638"/>
        <w:spacing w:after="0" w:line="261" w:lineRule="auto"/>
        <w:tabs>
          <w:tab w:leader="none" w:pos="2576" w:val="left"/>
        </w:tabs>
        <w:numPr>
          <w:ilvl w:val="1"/>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Borrower requests a borrowing of, conversion to, or continuation of, a Term CORRA Loan, a Eurocurrency Rate Loan or a Term SOFR Loan, but fails to specify an Interest Period, it will be deemed to have specified an Interest Period of one (1) month. If the Borrower fails to specify the Currency of a Loan in a Notice of Borrowing, then the applicable Loans shall be made in U.S. Dollars. If the Borrower fails to specify a Type of Loan denominated in U.S. Dollars or Canadian Dollars in a Notice of Borrowing, then the applicable Loans shall be made as a Term SOFR Loan in the case of a Loan denominated in U.S. Dollars and a Term CORRA Loan in the case of Loan denominated in Canadian Dollars.</w:t>
      </w:r>
    </w:p>
    <w:p>
      <w:pPr>
        <w:spacing w:after="0" w:line="145"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4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the terms and conditions contained herein, after receipt by Agent of such a Notice of Borrowing or Notice of Conversion/Continuation from Borrower, such Revolving Loans shall be made, converted or continued, as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41" w:name="page142"/>
    <w:bookmarkEnd w:id="141"/>
    <w:p>
      <w:pPr>
        <w:jc w:val="both"/>
        <w:ind w:left="2580" w:hanging="642"/>
        <w:spacing w:after="0" w:line="234" w:lineRule="auto"/>
        <w:tabs>
          <w:tab w:leader="none" w:pos="2569"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Notice of Borrowing or Notice of Conversion/Continuation with respect to a borrowing or continuation of, or conversion to, a Term SOFR Loan shall be submitted by Borrower to Agent at least three (3) SOFR Business Days prior to the date of such borrowing, conversion or continuation;</w:t>
      </w:r>
    </w:p>
    <w:p>
      <w:pPr>
        <w:spacing w:after="0" w:line="151" w:lineRule="exact"/>
        <w:rPr>
          <w:rFonts w:ascii="Times New Roman" w:cs="Times New Roman" w:eastAsia="Times New Roman" w:hAnsi="Times New Roman"/>
          <w:sz w:val="21"/>
          <w:szCs w:val="21"/>
          <w:color w:val="auto"/>
        </w:rPr>
      </w:pPr>
    </w:p>
    <w:p>
      <w:pPr>
        <w:jc w:val="both"/>
        <w:ind w:left="2580" w:hanging="642"/>
        <w:spacing w:after="0"/>
        <w:tabs>
          <w:tab w:leader="none" w:pos="2571"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Notice of Borrowing or Notice of Conversion/Continuation with respect to a borrowing or continuation of, or conversion to, Term CORRA Loans shall be submitted by Borrower to Agent at least five (5) CORRA Business Days prior to the date of such borrowing, conversion or continuation;</w:t>
      </w:r>
    </w:p>
    <w:p>
      <w:pPr>
        <w:spacing w:after="0" w:line="347" w:lineRule="exact"/>
        <w:rPr>
          <w:rFonts w:ascii="Times New Roman" w:cs="Times New Roman" w:eastAsia="Times New Roman" w:hAnsi="Times New Roman"/>
          <w:sz w:val="21"/>
          <w:szCs w:val="21"/>
          <w:color w:val="auto"/>
        </w:rPr>
      </w:pPr>
    </w:p>
    <w:p>
      <w:pPr>
        <w:jc w:val="both"/>
        <w:ind w:left="2580" w:hanging="642"/>
        <w:spacing w:after="0" w:line="229" w:lineRule="auto"/>
        <w:tabs>
          <w:tab w:leader="none" w:pos="2571"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Notice of Borrowing or Notice of Conversion/Continuation with respect to a borrowing or continuation of, or conversion to, Eurocurrency Rate Loans shall be submitted by Borrower to Agent at least four (4) Eurocurrency Banking Days prior to the date of such borrowing, conversion or continuation;</w:t>
      </w:r>
    </w:p>
    <w:p>
      <w:pPr>
        <w:spacing w:after="0" w:line="150" w:lineRule="exact"/>
        <w:rPr>
          <w:rFonts w:ascii="Times New Roman" w:cs="Times New Roman" w:eastAsia="Times New Roman" w:hAnsi="Times New Roman"/>
          <w:sz w:val="21"/>
          <w:szCs w:val="21"/>
          <w:color w:val="auto"/>
        </w:rPr>
      </w:pPr>
    </w:p>
    <w:p>
      <w:pPr>
        <w:jc w:val="both"/>
        <w:ind w:left="2580" w:hanging="642"/>
        <w:spacing w:after="0" w:line="223" w:lineRule="auto"/>
        <w:tabs>
          <w:tab w:leader="none" w:pos="2569"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Notice of Borrowing with respect to Canadian Prime Rate Loans and U.S. Base Rate Loans shall be submitted by Borrower to Agent no later than 12:00 noon (New York time) on the Business Day upon which Borrower requires such Canadian Prime Rate Loan or U.S. Base Rate Loan to be advanced to Borrower and if such request is provided after 12:00 noon (New York time) on a Business Day then such Canadian Prime Rate Loan or U.S. Base Rate Loan shall be advanced on the next following Business Day;</w:t>
      </w:r>
    </w:p>
    <w:p>
      <w:pPr>
        <w:spacing w:after="0" w:line="155" w:lineRule="exact"/>
        <w:rPr>
          <w:rFonts w:ascii="Times New Roman" w:cs="Times New Roman" w:eastAsia="Times New Roman" w:hAnsi="Times New Roman"/>
          <w:sz w:val="21"/>
          <w:szCs w:val="21"/>
          <w:color w:val="auto"/>
        </w:rPr>
      </w:pPr>
    </w:p>
    <w:p>
      <w:pPr>
        <w:ind w:left="2580" w:hanging="642"/>
        <w:spacing w:after="0" w:line="250" w:lineRule="auto"/>
        <w:tabs>
          <w:tab w:leader="none" w:pos="2572"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request by Borrower to Agent pursuant to a Notice of Borrowing or Notice of Conversion/Continuation shall be irrevocable;</w:t>
      </w:r>
    </w:p>
    <w:p>
      <w:pPr>
        <w:spacing w:after="0" w:line="140" w:lineRule="exact"/>
        <w:rPr>
          <w:rFonts w:ascii="Times New Roman" w:cs="Times New Roman" w:eastAsia="Times New Roman" w:hAnsi="Times New Roman"/>
          <w:sz w:val="21"/>
          <w:szCs w:val="21"/>
          <w:color w:val="auto"/>
        </w:rPr>
      </w:pPr>
    </w:p>
    <w:p>
      <w:pPr>
        <w:ind w:left="2580" w:hanging="642"/>
        <w:spacing w:after="0"/>
        <w:tabs>
          <w:tab w:leader="none" w:pos="258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more than ten (10) Interest Periods (for all outstanding Loans) may be in effect at any one time;</w:t>
      </w:r>
    </w:p>
    <w:p>
      <w:pPr>
        <w:spacing w:after="0" w:line="187" w:lineRule="exact"/>
        <w:rPr>
          <w:rFonts w:ascii="Times New Roman" w:cs="Times New Roman" w:eastAsia="Times New Roman" w:hAnsi="Times New Roman"/>
          <w:sz w:val="21"/>
          <w:szCs w:val="21"/>
          <w:color w:val="auto"/>
        </w:rPr>
      </w:pPr>
    </w:p>
    <w:p>
      <w:pPr>
        <w:ind w:left="2580" w:right="20" w:hanging="642"/>
        <w:spacing w:after="0" w:line="250" w:lineRule="auto"/>
        <w:tabs>
          <w:tab w:leader="none" w:pos="2569"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Term SOFR Loans shall be in an amount not less than $5,000,000 or an integral multiple of $1,000,000 in excess thereof;</w:t>
      </w:r>
    </w:p>
    <w:p>
      <w:pPr>
        <w:spacing w:after="0" w:line="140" w:lineRule="exact"/>
        <w:rPr>
          <w:rFonts w:ascii="Times New Roman" w:cs="Times New Roman" w:eastAsia="Times New Roman" w:hAnsi="Times New Roman"/>
          <w:sz w:val="21"/>
          <w:szCs w:val="21"/>
          <w:color w:val="auto"/>
        </w:rPr>
      </w:pPr>
    </w:p>
    <w:p>
      <w:pPr>
        <w:ind w:left="2580" w:hanging="642"/>
        <w:spacing w:after="0" w:line="250" w:lineRule="auto"/>
        <w:tabs>
          <w:tab w:leader="none" w:pos="2569"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Term CORRA Loans shall be in an amount not less than CDN$5,000,000 or an integral multiple of CDN$1,000,000 in excess thereof;</w:t>
      </w:r>
    </w:p>
    <w:p>
      <w:pPr>
        <w:spacing w:after="0" w:line="140" w:lineRule="exact"/>
        <w:rPr>
          <w:rFonts w:ascii="Times New Roman" w:cs="Times New Roman" w:eastAsia="Times New Roman" w:hAnsi="Times New Roman"/>
          <w:sz w:val="21"/>
          <w:szCs w:val="21"/>
          <w:color w:val="auto"/>
        </w:rPr>
      </w:pPr>
    </w:p>
    <w:p>
      <w:pPr>
        <w:ind w:left="2580" w:hanging="642"/>
        <w:spacing w:after="0" w:line="250" w:lineRule="auto"/>
        <w:tabs>
          <w:tab w:leader="none" w:pos="258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Eurocurrency Rate Loans denominated in Euros shall be in an amount not less than EUR5,000,000 or an integral multiple of EUR1,000,000 in excess thereof;</w:t>
      </w:r>
    </w:p>
    <w:p>
      <w:pPr>
        <w:spacing w:after="0" w:line="140" w:lineRule="exact"/>
        <w:rPr>
          <w:rFonts w:ascii="Times New Roman" w:cs="Times New Roman" w:eastAsia="Times New Roman" w:hAnsi="Times New Roman"/>
          <w:sz w:val="21"/>
          <w:szCs w:val="21"/>
          <w:color w:val="auto"/>
        </w:rPr>
      </w:pPr>
    </w:p>
    <w:p>
      <w:pPr>
        <w:ind w:left="2580" w:hanging="642"/>
        <w:spacing w:after="0" w:line="250" w:lineRule="auto"/>
        <w:tabs>
          <w:tab w:leader="none" w:pos="2578"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Eurocurrency Rate Loans in an Alternate Currency (other than Euros) shall be in an amount agreed between Agent, Borrower, and the Revolving Lenders;</w:t>
      </w:r>
    </w:p>
    <w:p>
      <w:pPr>
        <w:spacing w:after="0" w:line="140" w:lineRule="exact"/>
        <w:rPr>
          <w:rFonts w:ascii="Times New Roman" w:cs="Times New Roman" w:eastAsia="Times New Roman" w:hAnsi="Times New Roman"/>
          <w:sz w:val="21"/>
          <w:szCs w:val="21"/>
          <w:color w:val="auto"/>
        </w:rPr>
      </w:pPr>
    </w:p>
    <w:p>
      <w:pPr>
        <w:ind w:left="2580" w:right="20" w:hanging="642"/>
        <w:spacing w:after="0" w:line="250" w:lineRule="auto"/>
        <w:tabs>
          <w:tab w:leader="none" w:pos="2569"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Canadian Prime Rate Loans and U.S. Base Rate Loans (other than Swingline Loans) shall be in an amount not less than CDN$1,000,000 or an integral multiple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42" w:name="page143"/>
    <w:bookmarkEnd w:id="142"/>
    <w:p>
      <w:pPr>
        <w:ind w:left="2580"/>
        <w:spacing w:after="0" w:line="250" w:lineRule="auto"/>
        <w:rPr>
          <w:sz w:val="20"/>
          <w:szCs w:val="20"/>
          <w:color w:val="auto"/>
        </w:rPr>
      </w:pPr>
      <w:r>
        <w:rPr>
          <w:rFonts w:ascii="Times New Roman" w:cs="Times New Roman" w:eastAsia="Times New Roman" w:hAnsi="Times New Roman"/>
          <w:sz w:val="21"/>
          <w:szCs w:val="21"/>
          <w:color w:val="auto"/>
        </w:rPr>
        <w:t>CDN$500,000 in excess thereof and $1,000,000 or an integral multiple of $500,00 in excess thereof, respectively; and</w:t>
      </w:r>
    </w:p>
    <w:p>
      <w:pPr>
        <w:spacing w:after="0" w:line="140" w:lineRule="exact"/>
        <w:rPr>
          <w:sz w:val="20"/>
          <w:szCs w:val="20"/>
          <w:color w:val="auto"/>
        </w:rPr>
      </w:pPr>
    </w:p>
    <w:p>
      <w:pPr>
        <w:ind w:left="2580" w:hanging="642"/>
        <w:spacing w:after="0" w:line="250" w:lineRule="auto"/>
        <w:tabs>
          <w:tab w:leader="none" w:pos="2572"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aggregate amount of Swingline Loans shall be in an amount not less than $500,000 or an integral multiple of $100,000 in excess thereof.</w:t>
      </w:r>
    </w:p>
    <w:p>
      <w:pPr>
        <w:spacing w:after="0" w:line="140" w:lineRule="exact"/>
        <w:rPr>
          <w:rFonts w:ascii="Times New Roman" w:cs="Times New Roman" w:eastAsia="Times New Roman" w:hAnsi="Times New Roman"/>
          <w:sz w:val="21"/>
          <w:szCs w:val="21"/>
          <w:color w:val="auto"/>
        </w:rPr>
      </w:pPr>
    </w:p>
    <w:p>
      <w:pPr>
        <w:jc w:val="both"/>
        <w:ind w:left="1940" w:hanging="646"/>
        <w:spacing w:after="0"/>
        <w:tabs>
          <w:tab w:leader="none" w:pos="1928"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Agent and Lenders shall not be required to purchase Canadian Dollar, Euro or U.S. Dollar deposits in the Canadian bankers’ acceptance, London, Euro, Canadian or other applicable interbank market to fund any Revolving Loans, but the provisions hereof shall be deemed to apply as if Agent or Lenders had purchased such deposits to fund such Revolving Loans.</w:t>
      </w:r>
    </w:p>
    <w:p>
      <w:pPr>
        <w:spacing w:after="0" w:line="3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Changed Circumstances</w:t>
      </w:r>
    </w:p>
    <w:p>
      <w:pPr>
        <w:spacing w:after="0" w:line="191" w:lineRule="exact"/>
        <w:rPr>
          <w:sz w:val="20"/>
          <w:szCs w:val="20"/>
          <w:color w:val="auto"/>
        </w:rPr>
      </w:pPr>
    </w:p>
    <w:p>
      <w:pPr>
        <w:jc w:val="both"/>
        <w:ind w:left="1300" w:hanging="649"/>
        <w:spacing w:after="0" w:line="215" w:lineRule="auto"/>
        <w:tabs>
          <w:tab w:leader="none" w:pos="1297"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Circumstances Affecting Term CORRA, Term SOFR or Eurocurrency Rate Availability</w:t>
      </w:r>
      <w:r>
        <w:rPr>
          <w:rFonts w:ascii="Times New Roman" w:cs="Times New Roman" w:eastAsia="Times New Roman" w:hAnsi="Times New Roman"/>
          <w:sz w:val="21"/>
          <w:szCs w:val="21"/>
          <w:color w:val="auto"/>
        </w:rPr>
        <w:t>. Subject to clause (c) below, in connection with any Term CORRA Loan, Term SOFR Loan or Eurocurrency Rate Loan, a request therefor, a conversion to or a continuation thereof or otherwise, if for any reason (i) the Agent shall determine (which determination shall be conclusive and binding absent manifest error) that if Term CORRA, Term SOFR or a Eurocurrency Rate is utilized in any calculations hereunder or under any other Financing Agreement with respect to any Obligations, interest, fees, commissions or other amounts, reasonable and adequate means do not exist for ascertaining Term CORRA, Term SOFR or such Eurocurrency Rate, as applicable, for the applicable Currency and the applicable Interest Period with respect to a proposed Term CORRA Loan, Term SOFR Loan or Eurocurrency Rate Loan, as applicable, on or prior to the first day of such Interest Period, (ii) with respect to any Term CORRA Loan or Eurocurrency Rate Loan, the Agent shall determine (which determination shall be conclusive and binding absent manifest error) that deposits are not being offered in the applicable Currency to banks in the London or other applicable offshore interbank market for the applicable Currency, amount or Interest Period of such Term CORRA Loan or Eurocurrency Rate Loan, or (iii) the Required Lenders shall determine (which determination shall be conclusive and binding absent manifest error) that if Term CORRA, Term SOFR or a Eurocurrency Rate, as applicable, is utilized in any calculations hereunder or under any other Financing Agreement with respect to any Obligations, interest, fees, commissions or other amounts, Term CORRA, Term SOFR or such Eurocurrency Rate, as applicable, does not adequately and fairly reflect the cost to such Lenders of making or maintaining such Loans during the applicable Interest Period and the Required Lenders have provided notice of such determination to the Agent, then, in each case, the Agent shall promptly give notice thereof to the Borrower. Upon notice thereof by the Agent to the Borrower, any obligation of the Lenders to make Term CORRA Loans, Term SOFR Loans or Eurocurrency Rate Loans, as applicable, in each such Currency, and any right of the Borrower to convert any Loan in each such Currency (if applicable) to or continue any Loan as a Term CORRA Loan, a Term SOFR Loan or a Eurocurrency Rate Loan, as applicable, in each such Currency, shall be suspended (to the extent of the affected Term CORRA Loans, Term SOFR Loans or Eurocurrency Rate Loans or the affected Interest Periods) until the Agent (with respect to clause (iv), at the instruction of the Required Lenders) revokes such notice. Upon receipt of such notice, (A) the Borrower may revoke any pending request for a borrowing of, conversion to or continuation of Term CORRA Loans, Term SOFR Loans or Eurocurrency Rate Loans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43" w:name="page144"/>
    <w:bookmarkEnd w:id="143"/>
    <w:p>
      <w:pPr>
        <w:jc w:val="both"/>
        <w:ind w:left="1300"/>
        <w:spacing w:after="0" w:line="215" w:lineRule="auto"/>
        <w:rPr>
          <w:sz w:val="20"/>
          <w:szCs w:val="20"/>
          <w:color w:val="auto"/>
        </w:rPr>
      </w:pPr>
      <w:r>
        <w:rPr>
          <w:rFonts w:ascii="Times New Roman" w:cs="Times New Roman" w:eastAsia="Times New Roman" w:hAnsi="Times New Roman"/>
          <w:sz w:val="21"/>
          <w:szCs w:val="21"/>
          <w:color w:val="auto"/>
        </w:rPr>
        <w:t>such affected Currency (to the extent of the affected Term CORRA Loans, Term SOFR Loans or Eurocurrency Rate Loans or the affected Interest Periods) or, failing that, (I) in the case of any request for a borrowing of an affected Term SOFR Loan, the Borrower will be deemed to have converted any such request into a request for a borrowing of or conversion to U.S. Base Rate Loans in the amount specified therein, (II) in the case of any request for borrowing of an affected Term CORRA Loan, the Borrower will be deemed to have converted any such request into a request for a borrowing of or conversion to Canadian Prime Rate Loans and (III) in the case of any request for a borrowing of an affected Eurocurrency Rate Loan in an Alternate Currency, then such request shall be ineffective and (B)(I) any outstanding affected Term SOFR Loans will be deemed to have been converted into U.S. Base Rate Loans at the end of the applicable Interest Period, (II) any outstanding affected Term CORRA Loans will be deemed to have been converted into Canadian Prime Rate Loans at the end of the applicable Interest Period and</w:t>
      </w:r>
    </w:p>
    <w:p>
      <w:pPr>
        <w:spacing w:after="0" w:line="6" w:lineRule="exact"/>
        <w:rPr>
          <w:sz w:val="20"/>
          <w:szCs w:val="20"/>
          <w:color w:val="auto"/>
        </w:rPr>
      </w:pPr>
    </w:p>
    <w:p>
      <w:pPr>
        <w:jc w:val="both"/>
        <w:ind w:left="1300" w:hanging="6"/>
        <w:spacing w:after="0" w:line="213" w:lineRule="auto"/>
        <w:tabs>
          <w:tab w:leader="none" w:pos="1742" w:val="left"/>
        </w:tabs>
        <w:numPr>
          <w:ilvl w:val="1"/>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outstanding affected Loans denominated in an Alternate Currency other than Canadian Dollars, at the Borrower’s election, shall either (1) be converted into U.S. Base Rate Loans denominated in U.S. Dollars (in an amount equal to the Dollar Equivalent of such Alternate Currency) at the end of the applicable Interest Period or</w:t>
      </w:r>
    </w:p>
    <w:p>
      <w:pPr>
        <w:jc w:val="both"/>
        <w:ind w:left="1300"/>
        <w:spacing w:after="0" w:line="22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(2) be prepaid in full at the end of the applicable Interest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no election is made by the Borrower by the date that is the earlier of (x) three (3) Business Days after receipt by the Borrower of such notice or (y) the last day of the current Interest Period, the Borrower shall be deemed to have elected clause (1) above.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15" w:lineRule="auto"/>
        <w:tabs>
          <w:tab w:leader="none" w:pos="1295"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Laws Affecting Term CORRA, Term SOFR or Eurocurrency Rate Availability</w:t>
      </w:r>
      <w:r>
        <w:rPr>
          <w:rFonts w:ascii="Times New Roman" w:cs="Times New Roman" w:eastAsia="Times New Roman" w:hAnsi="Times New Roman"/>
          <w:sz w:val="21"/>
          <w:szCs w:val="21"/>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Term CORRA Loan, Term SOFR Loan or Eurocurrency Rate Loan, or to determine or charge interest based upon any of Term CORRA, the Term CORRA Reference Rate, Term SOFR, the Term SOFR Reference Rate, the Eurocurrency Rate or the Adjusted Eurocurrency Rate, such Lender shall promptly give notice thereof to the Agent and the Agent shall promptly give notice to the Borrower and the other Lenders (each, an “</w:t>
      </w:r>
      <w:r>
        <w:rPr>
          <w:rFonts w:ascii="Times New Roman" w:cs="Times New Roman" w:eastAsia="Times New Roman" w:hAnsi="Times New Roman"/>
          <w:sz w:val="21"/>
          <w:szCs w:val="21"/>
          <w:b w:val="1"/>
          <w:bCs w:val="1"/>
          <w:color w:val="auto"/>
        </w:rPr>
        <w:t>Illegality Notice</w:t>
      </w:r>
      <w:r>
        <w:rPr>
          <w:rFonts w:ascii="Times New Roman" w:cs="Times New Roman" w:eastAsia="Times New Roman" w:hAnsi="Times New Roman"/>
          <w:sz w:val="21"/>
          <w:szCs w:val="21"/>
          <w:color w:val="auto"/>
        </w:rPr>
        <w:t>”). Thereafter, until each affected Lender notifies the Agent and the Agent notifies the Borrower that the circumstances giving rise to such determination no longer exist,</w:t>
      </w:r>
    </w:p>
    <w:p>
      <w:pPr>
        <w:spacing w:after="0" w:line="1" w:lineRule="exact"/>
        <w:rPr>
          <w:rFonts w:ascii="Times New Roman" w:cs="Times New Roman" w:eastAsia="Times New Roman" w:hAnsi="Times New Roman"/>
          <w:sz w:val="21"/>
          <w:szCs w:val="21"/>
          <w:color w:val="auto"/>
        </w:rPr>
      </w:pPr>
    </w:p>
    <w:p>
      <w:pPr>
        <w:jc w:val="both"/>
        <w:ind w:left="1300"/>
        <w:spacing w:after="0" w:line="21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any obligation of the Lenders to make Term CORRA Loans, Term SOFR Loans or Eurocurrency Rate Loans, as applicable, in the affected Currency or Currencies, and any right of the Borrower to convert any Loan denominated in U.S. Dollars to a Term SOFR Loan or any Loan denominated in Canadian Dollars to a Term CORRA Loan or continue any Loan as a Term CORRA Loan, a Term SOFR Loan or a Eurocurrency Rate Loan, as applicable, in the affected Currency or Currencies shall be suspended and (ii) if necessary to avoid such illegality, the Agent shall compute the U.S. Base Rate without reference to clause (c) of the definition of “U.S. Base Rate”. Upon receipt of an Illegality Notice, the Borrower shall, if necessary to avoid such illegality, upon demand from any Lender (with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44" w:name="page145"/>
    <w:bookmarkEnd w:id="144"/>
    <w:p>
      <w:pPr>
        <w:jc w:val="both"/>
        <w:ind w:left="1300"/>
        <w:spacing w:after="0"/>
        <w:rPr>
          <w:sz w:val="20"/>
          <w:szCs w:val="20"/>
          <w:color w:val="auto"/>
        </w:rPr>
      </w:pPr>
      <w:r>
        <w:rPr>
          <w:rFonts w:ascii="Times New Roman" w:cs="Times New Roman" w:eastAsia="Times New Roman" w:hAnsi="Times New Roman"/>
          <w:sz w:val="21"/>
          <w:szCs w:val="21"/>
          <w:color w:val="auto"/>
        </w:rPr>
        <w:t xml:space="preserve">copy to the Agent), prepay or, if applicable, (A) convert all Term SOFR Loans to U.S. Base Rate Loans, (B) convert all Term CORRA Loans into Canadian Prime Rate Loans or (C) convert all Eurocurrency Rate Loans denominated in an affected Alternate Currency to U.S. Base Rate Loans denominated in U.S. Dollars (in an amount equal to the Dollar Equivalent of such Alternate Currency) (in each case, if necessary to avoid such illegality, the Agent shall compute the U.S. Base Rate without reference to clause (c) of the definition of “U.S. Base Rate”) on the last day of the Interest Period therefor, if all affected Lenders may lawfully continue to maintain such Term CORRA Loans, Eurocurrency Rate Loans or Term SOFR Loans, as applicable, to such day, or immediately, if any Lender may not lawfully continue to maintain such Term CORRA Loans, Eurocurrency Rate Loans or Term SOFR Loans, as applicable, to such day.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3.3</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ind w:left="1300" w:hanging="649"/>
        <w:spacing w:after="0"/>
        <w:tabs>
          <w:tab w:leader="none" w:pos="130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 Setting</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left="660" w:firstLine="634"/>
        <w:spacing w:after="0" w:line="213" w:lineRule="auto"/>
        <w:tabs>
          <w:tab w:leader="none" w:pos="1935"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w:t>
      </w:r>
      <w:r>
        <w:rPr>
          <w:rFonts w:ascii="Times New Roman" w:cs="Times New Roman" w:eastAsia="Times New Roman" w:hAnsi="Times New Roman"/>
          <w:sz w:val="21"/>
          <w:szCs w:val="21"/>
          <w:color w:val="auto"/>
        </w:rPr>
        <w:t>. Notwithstanding anything to the contrary herein or in any other Financing Agreement, upon the occurrence of a Benchmark Transition Event with respect to any Benchmark, the Agent and the Borrower may amend this Agreement to replace such Benchmark with a Benchmark Replacement. Any such amendment with respect to a Benchmark Transition Event will become effective at 5:00 p.m. (New York time) on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Business Day after the Agent has posted such proposed amendment to all affected Lenders and the Borrower so long as the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21"/>
          <w:szCs w:val="21"/>
          <w:u w:val="single" w:color="auto"/>
          <w:color w:val="auto"/>
        </w:rPr>
        <w:t>Section 3.2(c)(i)</w:t>
      </w:r>
      <w:r>
        <w:rPr>
          <w:rFonts w:ascii="Times New Roman" w:cs="Times New Roman" w:eastAsia="Times New Roman" w:hAnsi="Times New Roman"/>
          <w:sz w:val="21"/>
          <w:szCs w:val="21"/>
          <w:color w:val="auto"/>
        </w:rPr>
        <w:t xml:space="preserve"> will occur prior to the applicable Benchmark Transition Start Date.</w:t>
      </w:r>
    </w:p>
    <w:p>
      <w:pPr>
        <w:spacing w:after="0" w:line="154" w:lineRule="exact"/>
        <w:rPr>
          <w:rFonts w:ascii="Times New Roman" w:cs="Times New Roman" w:eastAsia="Times New Roman" w:hAnsi="Times New Roman"/>
          <w:sz w:val="21"/>
          <w:szCs w:val="21"/>
          <w:color w:val="auto"/>
        </w:rPr>
      </w:pPr>
    </w:p>
    <w:p>
      <w:pPr>
        <w:jc w:val="both"/>
        <w:ind w:left="660" w:firstLine="634"/>
        <w:spacing w:after="0" w:line="226" w:lineRule="auto"/>
        <w:tabs>
          <w:tab w:leader="none" w:pos="1941"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Replacement Conforming Changes</w:t>
      </w:r>
      <w:r>
        <w:rPr>
          <w:rFonts w:ascii="Times New Roman" w:cs="Times New Roman" w:eastAsia="Times New Roman" w:hAnsi="Times New Roman"/>
          <w:sz w:val="21"/>
          <w:szCs w:val="21"/>
          <w:color w:val="auto"/>
        </w:rPr>
        <w:t>. In connection with the use, administration, adoption or implementation of a Benchmark Replacement, the Agent will have the right to make Conforming Changes from time to time and, notwithstanding anything to the contrary herein or in any other Financing Agreement, any amendments implementing such Conforming Changes will become effective without any further action or consent of any other party to this Agreement or any other Financing Agreement.</w:t>
      </w:r>
    </w:p>
    <w:p>
      <w:pPr>
        <w:spacing w:after="0" w:line="149" w:lineRule="exact"/>
        <w:rPr>
          <w:rFonts w:ascii="Times New Roman" w:cs="Times New Roman" w:eastAsia="Times New Roman" w:hAnsi="Times New Roman"/>
          <w:sz w:val="21"/>
          <w:szCs w:val="21"/>
          <w:color w:val="auto"/>
        </w:rPr>
      </w:pPr>
    </w:p>
    <w:p>
      <w:pPr>
        <w:jc w:val="both"/>
        <w:ind w:left="660" w:firstLine="634"/>
        <w:spacing w:after="0" w:line="219" w:lineRule="auto"/>
        <w:tabs>
          <w:tab w:leader="none" w:pos="1947" w:val="left"/>
        </w:tabs>
        <w:numPr>
          <w:ilvl w:val="1"/>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 Standards for Decisions and Determinations</w:t>
      </w:r>
      <w:r>
        <w:rPr>
          <w:rFonts w:ascii="Times New Roman" w:cs="Times New Roman" w:eastAsia="Times New Roman" w:hAnsi="Times New Roman"/>
          <w:sz w:val="21"/>
          <w:szCs w:val="21"/>
          <w:color w:val="auto"/>
        </w:rPr>
        <w:t xml:space="preserve">. The Agent will promptly notify the Borrower and the Lenders of (A) the implementation of any Benchmark Replacement and (B) the effectiveness of any Conforming Changes in connection with the use, administration, adoption or implementation of a Benchmark Replacement. The Agent will promptly notify the Borrower of (x) the removal or reinstatement of any tenor of a Benchmark pursuant to </w:t>
      </w:r>
      <w:r>
        <w:rPr>
          <w:rFonts w:ascii="Times New Roman" w:cs="Times New Roman" w:eastAsia="Times New Roman" w:hAnsi="Times New Roman"/>
          <w:sz w:val="21"/>
          <w:szCs w:val="21"/>
          <w:u w:val="single" w:color="auto"/>
          <w:color w:val="auto"/>
        </w:rPr>
        <w:t>Section 3.2(c)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xml:space="preserve"> and (y) the commencement of any Benchmark Unavailability Period. Any determination, decision or election that may be made by the Agent or, if applicable, any Lender (or group of Lenders) pursuant to this </w:t>
      </w:r>
      <w:r>
        <w:rPr>
          <w:rFonts w:ascii="Times New Roman" w:cs="Times New Roman" w:eastAsia="Times New Roman" w:hAnsi="Times New Roman"/>
          <w:sz w:val="21"/>
          <w:szCs w:val="21"/>
          <w:u w:val="single" w:color="auto"/>
          <w:color w:val="auto"/>
        </w:rPr>
        <w:t>Section 3.2(c)</w:t>
      </w:r>
      <w:r>
        <w:rPr>
          <w:rFonts w:ascii="Times New Roman" w:cs="Times New Roman" w:eastAsia="Times New Roman" w:hAnsi="Times New Roman"/>
          <w:sz w:val="21"/>
          <w:szCs w:val="21"/>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Financing Agreement, except, in each case, as expressly required pursuant to this </w:t>
      </w:r>
      <w:r>
        <w:rPr>
          <w:rFonts w:ascii="Times New Roman" w:cs="Times New Roman" w:eastAsia="Times New Roman" w:hAnsi="Times New Roman"/>
          <w:sz w:val="21"/>
          <w:szCs w:val="21"/>
          <w:u w:val="single" w:color="auto"/>
          <w:color w:val="auto"/>
        </w:rPr>
        <w:t>Section 3.2(c)</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45" w:name="page146"/>
    <w:bookmarkEnd w:id="145"/>
    <w:p>
      <w:pPr>
        <w:jc w:val="both"/>
        <w:ind w:left="660" w:firstLine="634"/>
        <w:spacing w:after="0" w:line="218" w:lineRule="auto"/>
        <w:tabs>
          <w:tab w:leader="none" w:pos="1935"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Unavailability of Tenor of Benchmark</w:t>
      </w:r>
      <w:r>
        <w:rPr>
          <w:rFonts w:ascii="Times New Roman" w:cs="Times New Roman" w:eastAsia="Times New Roman" w:hAnsi="Times New Roman"/>
          <w:sz w:val="21"/>
          <w:szCs w:val="21"/>
          <w:color w:val="auto"/>
        </w:rPr>
        <w:t>. Notwithstanding anything to the contrary herein or in any other Financing Agreement, at any time (including in connection with the implementation of a Benchmark Replacement), (A) if any then-current Benchmark is a term rate (including the Term SOFR Reference Rate, Euribor or the Term CORRA Reference Rate) and either (1) any tenor for such Benchmark is not displayed on a screen or other information service that publishes such rate from time to time as selected by the Agent in its reasonable discretion or (2) the regulatory supervisor for the administrator of such Benchmark has provided a public statement or publication of information announcing that any tenor for such Benchmark is not or will not be representative, then the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Agent may modify the definition of “Interest Period” (or any similar or analogous definition) for all Benchmark settings at or after such time to reinstate such previously removed tenor.</w:t>
      </w:r>
    </w:p>
    <w:p>
      <w:pPr>
        <w:spacing w:after="0" w:line="151" w:lineRule="exact"/>
        <w:rPr>
          <w:rFonts w:ascii="Times New Roman" w:cs="Times New Roman" w:eastAsia="Times New Roman" w:hAnsi="Times New Roman"/>
          <w:sz w:val="21"/>
          <w:szCs w:val="21"/>
          <w:color w:val="auto"/>
        </w:rPr>
      </w:pPr>
    </w:p>
    <w:p>
      <w:pPr>
        <w:jc w:val="both"/>
        <w:ind w:left="660" w:firstLine="634"/>
        <w:spacing w:after="0" w:line="224" w:lineRule="auto"/>
        <w:tabs>
          <w:tab w:leader="none" w:pos="1942"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Benchmark Unavailability Period</w:t>
      </w:r>
      <w:r>
        <w:rPr>
          <w:rFonts w:ascii="Times New Roman" w:cs="Times New Roman" w:eastAsia="Times New Roman" w:hAnsi="Times New Roman"/>
          <w:sz w:val="21"/>
          <w:szCs w:val="21"/>
          <w:color w:val="auto"/>
        </w:rPr>
        <w:t xml:space="preserve">. Upon the Borrower’s receipt of notice of the commencement of a Benchmark Unavailability Period with respect to a given Benchmark, (A) the Borrower may revoke any pending request for a borrowing of, conversion to or continuation of Term CORRA Loans, Term SOFR Loans or Eurocurrency Rate Loans, in each case, to be made, converted or continued during any Benchmark Unavailability Period denominated in the applicable Currency and, failing that, (I) in the case of any request for any affected Term SOFR Loans, if applicable, the Borrower will be deemed to have converted any such request into a request for a borrowing of or conversion to U.S. Base Rate Loans in the amount specified therein, (II) in the case of any request for any affected Term CORRA Loans, if applicable, the Borrower will be deemed to have converted any such request into a request for a borrowing of or conversion to Canadian Prime Rate Loans and (III) in the case of any request for any affected Eurocurrency Rate Loan, in each case, in an Alternate Currency, if applicable, then such request shall be ineffective and (B)(I) any outstanding affected Term SOFR Loans, if applicable, will be deemed to have been converted into U.S. Base Rate Loans at the end of the applicable Interest Period, (II) any outstanding affected Term CORRA Loans, if applicable, will be deemed to have been converted into Canadian Prime Rate Loans at the end of the applicable Interest Period and (III) any outstanding affected Eurocurrency Rate Loans denominated in an Alternate Currency, at the Borrower’s election, shall either (1) be converted into U.S. Base Rate Loans denominated in U.S. Dollars (in an amount equal to the Dollar Equivalent of such Alternate Currency) at the end of the applicable Interest Period or (2) be prepaid in full at the end of the applicable Interest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 respect to any Eurocurrency Rate Loan, if no election is made by the Borrower by the earlier of (x) the date that is three (3) Business Days after receipt by the Borrower of such notice and (y) the last day of the current Interest Period for the applicable Eurocurrency Rate Loan, the Borrower shall be deemed to have elected clause (1) above.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During a Benchmark Unavailability Period with respect to any Benchmark or at any time that a tenor for any then-current Benchmark is not an Available Tenor, the component of the U.S. Base Rate based upon the then-current Benchmark that is the subject of such Benchmark Unavailability Period or such tenor for such Benchmark, as applicable, will not be used in any determination of U.S.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46" w:name="page147"/>
    <w:bookmarkEnd w:id="146"/>
    <w:p>
      <w:pPr>
        <w:jc w:val="both"/>
        <w:ind w:left="1300" w:hanging="649"/>
        <w:spacing w:after="0"/>
        <w:tabs>
          <w:tab w:leader="none" w:pos="1295"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Circumstances Affecting Alternate Currencies</w:t>
      </w:r>
      <w:r>
        <w:rPr>
          <w:rFonts w:ascii="Times New Roman" w:cs="Times New Roman" w:eastAsia="Times New Roman" w:hAnsi="Times New Roman"/>
          <w:sz w:val="21"/>
          <w:szCs w:val="21"/>
          <w:color w:val="auto"/>
        </w:rPr>
        <w:t>. In the event that Agent shall have determined (which determination shall, absent manifest error, be final and conclusive and binding upon all parties hereto) at any time that any Alternate Currency (other than Canadian Dollars and Euros) is not available in sufficient amounts, as determined in good faith by Agent, then Agent shall promptly give written notice thereof to Borrower and Lenders. Thereafter, until Agent notifies in writing Borrower and Lenders that such circumstances no longer exist, the new Alternate Currency Loans denominated in the affected Alternate Currency (other than any such Alternate Currency Loans which have theretofore been funded) shall no longer be available and any Notice of Borrowing given by with respect to such Alternate Currency Loans which have not yet been incurred shall be deemed rescinded by Borrower.</w:t>
      </w:r>
    </w:p>
    <w:p>
      <w:pPr>
        <w:spacing w:after="0" w:line="212" w:lineRule="exact"/>
        <w:rPr>
          <w:rFonts w:ascii="Times New Roman" w:cs="Times New Roman" w:eastAsia="Times New Roman" w:hAnsi="Times New Roman"/>
          <w:sz w:val="21"/>
          <w:szCs w:val="21"/>
          <w:color w:val="auto"/>
        </w:rPr>
      </w:pPr>
    </w:p>
    <w:p>
      <w:pPr>
        <w:jc w:val="both"/>
        <w:ind w:left="1300" w:hanging="649"/>
        <w:spacing w:after="0" w:line="218" w:lineRule="auto"/>
        <w:tabs>
          <w:tab w:leader="none" w:pos="1297"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Illegality</w:t>
      </w:r>
      <w:r>
        <w:rPr>
          <w:rFonts w:ascii="Times New Roman" w:cs="Times New Roman" w:eastAsia="Times New Roman" w:hAnsi="Times New Roman"/>
          <w:sz w:val="21"/>
          <w:szCs w:val="21"/>
          <w:color w:val="auto"/>
        </w:rPr>
        <w:t xml:space="preserve">. If, in any applicable jurisdiction, any Issuing Lender or any Lender determines that any Applicable Law has made it unlawful, or that any Governmental Authority has asserted that it is unlawful, for any Issuing Lender or any Lender to (i) perform any of its obligations hereunder or under any other Financing Agreement or (ii) to fund or maintain its participation in any Loan or issue, make or maintain any Letter of Credit Accommodation, such Person shall promptly notify the Agent, then, upon the Agent notifying the Borrower, and until such notice by such Person is revoked, any obligation of such Person to issue, make, maintain or fund any such Loan or Letter of Credit Accommodation shall be cancelled. Upon receipt of such notice, the Credit Parties shall repay that Person’s outstanding Loans and/or cash collateralize that Person’s Letter of Credit Accommodations on the last day of the Interest Period for each Loan, or on another applicable date with respect to another Obligation, occurring after the Agent has notified the Borrower or, in each case, if earlier, the date specified by such Person in the notice delivered to the Agent (being no earlier than the last day of any applicable grace period permitted by Applicable Law); provided that with respect to any earlier date specified in the notice, such Lender waives its rights to indemnification and reimbursement under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of this Agreement with respect to any such payment.</w:t>
      </w:r>
    </w:p>
    <w:p>
      <w:pPr>
        <w:spacing w:after="0" w:line="1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Compensation for Breakage or Non-Commencement of Interest Periods</w:t>
      </w:r>
    </w:p>
    <w:p>
      <w:pPr>
        <w:spacing w:after="0" w:line="21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b w:val="1"/>
          <w:bCs w:val="1"/>
          <w:color w:val="auto"/>
        </w:rPr>
        <w:t xml:space="preserve">3.4 </w:t>
      </w:r>
      <w:r>
        <w:rPr>
          <w:rFonts w:ascii="Times New Roman" w:cs="Times New Roman" w:eastAsia="Times New Roman" w:hAnsi="Times New Roman"/>
          <w:sz w:val="21"/>
          <w:szCs w:val="21"/>
          <w:color w:val="auto"/>
        </w:rPr>
        <w:t>The Borrower hereby indemnifies each of the Lenders against any loss, cost or expense (including any loss, cost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expense arising from the liquidation or reemployment of funds or from any fees payable) which may arise, be attributable to or result due to or as a consequence of (a) any failure by the Borrower to make any payment when due of any amount due hereunder in connection with a Term CORRA Loan, Term SOFR Loan or a Eurocurrency Rate Loan, (b) any failure of the Borrower to borrow or continue a Term CORRA Loan, Term SOFR Loan or a Eurocurrency Rate Loan or convert to a Term CORRA Loan, Term SOFR Loan or a Eurocurrency Rate Loan on a date specified therefor in a Notice of Borrowing or Notice of Conversion/Continuation, (c) any payment, prepayment or conversion of any Term CORRA Loan, Term SOFR Loan or Eurocurrency Rate Loan on a date other than the last day of the Interest Period therefor (including as a result of an Event of Default) or (d) the assignment of any Term CORRA Loan, Eurocurrency Rate Loan or Term SOFR Loan other than on the last day of the Interest Period applicable thereto as a result of a request by the Borrower pursuant to </w:t>
      </w:r>
      <w:r>
        <w:rPr>
          <w:rFonts w:ascii="Times New Roman" w:cs="Times New Roman" w:eastAsia="Times New Roman" w:hAnsi="Times New Roman"/>
          <w:sz w:val="21"/>
          <w:szCs w:val="21"/>
          <w:u w:val="single" w:color="auto"/>
          <w:color w:val="auto"/>
        </w:rPr>
        <w:t>Section 3.6(b)</w:t>
      </w:r>
      <w:r>
        <w:rPr>
          <w:rFonts w:ascii="Times New Roman" w:cs="Times New Roman" w:eastAsia="Times New Roman" w:hAnsi="Times New Roman"/>
          <w:sz w:val="21"/>
          <w:szCs w:val="21"/>
          <w:color w:val="auto"/>
        </w:rPr>
        <w:t>. In the case of a Eurocurrency Rate Loan, the amount of such loss or expense shall be determined, in the applicable Lender’s sole discretion, based upon the assumption that such Lender funded its Pro Rata Share of the Eurocurrency Rate Loans in the London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47" w:name="page148"/>
    <w:bookmarkEnd w:id="147"/>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applicable offshore interbank market for such Currency, whether or not such Eurocurrency Rate Loan was in fact so funded, and using any reasonable attribution or averaging methods which such Lender deems appropriate and practical. A certificate of such Lender setting forth the basis for determining such amount or amounts necessary to compensate such Lender shall be forwarded to the Borrower through the Agent and shall be conclusively presumed to be correct save for manifest error. All of the obligations of the Credit Parties under this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xml:space="preserve"> shall survive the resignation or replacement of the Agent or any assignment of rights by, or the replacement of, a Lender, the termination of the Commitments and the repayment, satisfaction or discharge of all obligations under any Financing Agreement.</w:t>
      </w:r>
    </w:p>
    <w:p>
      <w:pPr>
        <w:spacing w:after="0" w:line="14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3.5</w:t>
      </w:r>
      <w:r>
        <w:rPr>
          <w:sz w:val="20"/>
          <w:szCs w:val="20"/>
          <w:color w:val="auto"/>
        </w:rPr>
        <w:tab/>
      </w:r>
      <w:r>
        <w:rPr>
          <w:rFonts w:ascii="Times New Roman" w:cs="Times New Roman" w:eastAsia="Times New Roman" w:hAnsi="Times New Roman"/>
          <w:sz w:val="21"/>
          <w:szCs w:val="21"/>
          <w:b w:val="1"/>
          <w:bCs w:val="1"/>
          <w:color w:val="auto"/>
        </w:rPr>
        <w:t>Increased Costs</w:t>
      </w:r>
    </w:p>
    <w:p>
      <w:pPr>
        <w:spacing w:after="0" w:line="191" w:lineRule="exact"/>
        <w:rPr>
          <w:sz w:val="20"/>
          <w:szCs w:val="20"/>
          <w:color w:val="auto"/>
        </w:rPr>
      </w:pPr>
    </w:p>
    <w:p>
      <w:pPr>
        <w:ind w:left="1300" w:hanging="649"/>
        <w:spacing w:after="0"/>
        <w:tabs>
          <w:tab w:leader="none" w:pos="130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Change in Law shall:</w:t>
      </w:r>
    </w:p>
    <w:p>
      <w:pPr>
        <w:spacing w:after="0" w:line="187" w:lineRule="exact"/>
        <w:rPr>
          <w:rFonts w:ascii="Times New Roman" w:cs="Times New Roman" w:eastAsia="Times New Roman" w:hAnsi="Times New Roman"/>
          <w:sz w:val="21"/>
          <w:szCs w:val="21"/>
          <w:color w:val="auto"/>
        </w:rPr>
      </w:pPr>
    </w:p>
    <w:p>
      <w:pPr>
        <w:jc w:val="both"/>
        <w:ind w:left="1940" w:hanging="646"/>
        <w:spacing w:after="0" w:line="222" w:lineRule="auto"/>
        <w:tabs>
          <w:tab w:leader="none" w:pos="1928"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modify or deem applicable any reserve (including pursuant to regulations issued from time to time by the FRB for determining the maximum reserve requirement (including any emergency, special, supplemental or other marginal reserve requirement) with respect to eurocurrency funding (currently referred to as “Eurocurrency liabilities” in Regulation D of the FRB, as amended and in effect from time to time)), special deposit, compulsory loan, insurance charge or similar requirement against assets of, deposits with or for the account of, or advances, loans or other credit extended or participated in by, any Lender (except any reserve requirement reflected in the Adjusted Eurocurrency Rate) or any Issuing Lender;</w:t>
      </w:r>
    </w:p>
    <w:p>
      <w:pPr>
        <w:spacing w:after="0" w:line="152" w:lineRule="exact"/>
        <w:rPr>
          <w:rFonts w:ascii="Times New Roman" w:cs="Times New Roman" w:eastAsia="Times New Roman" w:hAnsi="Times New Roman"/>
          <w:sz w:val="21"/>
          <w:szCs w:val="21"/>
          <w:color w:val="auto"/>
        </w:rPr>
      </w:pPr>
    </w:p>
    <w:p>
      <w:pPr>
        <w:jc w:val="both"/>
        <w:ind w:left="1940" w:hanging="646"/>
        <w:spacing w:after="0" w:line="229" w:lineRule="auto"/>
        <w:tabs>
          <w:tab w:leader="none" w:pos="1934"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any Recipient to any Taxes (other than (A) Indemnified Taxes, (B) Taxes described in </w:t>
      </w:r>
      <w:r>
        <w:rPr>
          <w:rFonts w:ascii="Times New Roman" w:cs="Times New Roman" w:eastAsia="Times New Roman" w:hAnsi="Times New Roman"/>
          <w:sz w:val="21"/>
          <w:szCs w:val="21"/>
          <w:u w:val="single" w:color="auto"/>
          <w:color w:val="auto"/>
        </w:rPr>
        <w:t>clauses (b)</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(e)</w:t>
      </w:r>
      <w:r>
        <w:rPr>
          <w:rFonts w:ascii="Times New Roman" w:cs="Times New Roman" w:eastAsia="Times New Roman" w:hAnsi="Times New Roman"/>
          <w:sz w:val="21"/>
          <w:szCs w:val="21"/>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50"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40"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impose on any Lender or any Issuing Lender or the London, Euro, Canadian or other applicable interbank market any other condition, cost or expense (other than Taxes) affecting this Agreement or Loans made by such Lender or any Letter of Credit Accommodations or participation therein;</w:t>
      </w:r>
    </w:p>
    <w:p>
      <w:pPr>
        <w:spacing w:after="0" w:line="178" w:lineRule="exact"/>
        <w:rPr>
          <w:sz w:val="20"/>
          <w:szCs w:val="20"/>
          <w:color w:val="auto"/>
        </w:rPr>
      </w:pPr>
    </w:p>
    <w:p>
      <w:pPr>
        <w:jc w:val="both"/>
        <w:ind w:left="660" w:firstLine="644"/>
        <w:spacing w:after="0" w:line="261" w:lineRule="auto"/>
        <w:rPr>
          <w:sz w:val="20"/>
          <w:szCs w:val="20"/>
          <w:color w:val="auto"/>
        </w:rPr>
      </w:pPr>
      <w:r>
        <w:rPr>
          <w:rFonts w:ascii="Times New Roman" w:cs="Times New Roman" w:eastAsia="Times New Roman" w:hAnsi="Times New Roman"/>
          <w:sz w:val="21"/>
          <w:szCs w:val="21"/>
          <w:color w:val="auto"/>
        </w:rPr>
        <w:t xml:space="preserve">and the result of any of the foregoing shall be to increase the cost to such Lender, the Issuing Lender or such other Recipient of making, converting to, continuing or maintaining any Loan (or of maintaining its obligation to make any such Loan), or to increase the cost to such Lender, such Issuing Lender or such other Recipient of participating in, issuing or maintaining any Letter of Credit Accommodations (or of maintaining its obligation to participate in or to issue any Letter of Credit Accommodations), or to reduce the amount of any sum received or receivable by such Lender, such Issuing Lender or such other Recipient hereunder (whether of principal, interest or any other amount) then, upon written request of such Lender, such Issuing Lender or other Recipient, Borrower shall within 30 days after receipt of the certificate referred to in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below, pay to any such Lender, such Issuing Lender or other Recipient, as the case may be, such additional amount or amounts as will compensate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3" w:right="339" w:bottom="1440" w:gutter="0" w:footer="0" w:header="0"/>
        </w:sectPr>
      </w:pPr>
    </w:p>
    <w:bookmarkStart w:id="148" w:name="page149"/>
    <w:bookmarkEnd w:id="148"/>
    <w:p>
      <w:pPr>
        <w:ind w:left="660"/>
        <w:spacing w:after="0" w:line="290" w:lineRule="auto"/>
        <w:rPr>
          <w:sz w:val="20"/>
          <w:szCs w:val="20"/>
          <w:color w:val="auto"/>
        </w:rPr>
      </w:pPr>
      <w:r>
        <w:rPr>
          <w:rFonts w:ascii="Times New Roman" w:cs="Times New Roman" w:eastAsia="Times New Roman" w:hAnsi="Times New Roman"/>
          <w:sz w:val="21"/>
          <w:szCs w:val="21"/>
          <w:color w:val="auto"/>
        </w:rPr>
        <w:t>such Lender, such Issuing Lender or other Recipient, as the case may be, for such additional costs incurred or reduction suffered.</w:t>
      </w:r>
    </w:p>
    <w:p>
      <w:pPr>
        <w:spacing w:after="0" w:line="113" w:lineRule="exact"/>
        <w:rPr>
          <w:sz w:val="20"/>
          <w:szCs w:val="20"/>
          <w:color w:val="auto"/>
        </w:rPr>
      </w:pPr>
    </w:p>
    <w:p>
      <w:pPr>
        <w:jc w:val="both"/>
        <w:ind w:left="1300" w:hanging="649"/>
        <w:spacing w:after="0" w:line="217" w:lineRule="auto"/>
        <w:tabs>
          <w:tab w:leader="none" w:pos="1295"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Capital Requirements</w:t>
      </w:r>
      <w:r>
        <w:rPr>
          <w:rFonts w:ascii="Times New Roman" w:cs="Times New Roman" w:eastAsia="Times New Roman" w:hAnsi="Times New Roman"/>
          <w:sz w:val="21"/>
          <w:szCs w:val="21"/>
          <w:color w:val="auto"/>
        </w:rPr>
        <w:t xml:space="preserve">. If any Lender or any Issuing Lender determines that any Change in Law affecting such Lender or such Issuing Lender or any Lending Office of such Lender or such Lender’s or such Issuing Lender’s holding company, if any, regarding capital or liquidity requirements, has or would have the effect of reducing the rate of return on such Lender’s or such Issuing Lender’s capital or on the capital of such Lender’s or such Issuing Lender’s holding company, if any, as a consequence of this Agreement, the Commitment of such Lender or the Loans made by, or participations in Letter of Credit Accommodations or Loans held by, such Lender, or the Letter of Credit Accommodations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and liquidity), then from time to time upon written request of such Lender or such Issuing Lender, Borrower shall within 30 days after receipt of the certificate referred to in </w:t>
      </w:r>
      <w:r>
        <w:rPr>
          <w:rFonts w:ascii="Times New Roman" w:cs="Times New Roman" w:eastAsia="Times New Roman" w:hAnsi="Times New Roman"/>
          <w:sz w:val="21"/>
          <w:szCs w:val="21"/>
          <w:u w:val="single" w:color="auto"/>
          <w:color w:val="auto"/>
        </w:rPr>
        <w:t>clause (c)</w:t>
      </w:r>
      <w:r>
        <w:rPr>
          <w:rFonts w:ascii="Times New Roman" w:cs="Times New Roman" w:eastAsia="Times New Roman" w:hAnsi="Times New Roman"/>
          <w:sz w:val="21"/>
          <w:szCs w:val="21"/>
          <w:color w:val="auto"/>
        </w:rPr>
        <w:t xml:space="preserve"> below, pay to such Lender or such Issuing Lender, as the case may be, such additional amount or amounts as will compensate such Lender or such Issuing Lender or such Lender’s or such Issuing Lender’s holding company for any such reduction suffered.</w:t>
      </w:r>
    </w:p>
    <w:p>
      <w:pPr>
        <w:spacing w:after="0" w:line="160"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97"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Certificates for Reimbursement</w:t>
      </w:r>
      <w:r>
        <w:rPr>
          <w:rFonts w:ascii="Times New Roman" w:cs="Times New Roman" w:eastAsia="Times New Roman" w:hAnsi="Times New Roman"/>
          <w:sz w:val="21"/>
          <w:szCs w:val="21"/>
          <w:color w:val="auto"/>
        </w:rPr>
        <w:t xml:space="preserve">. A certificate of a Lender, or an Issuing Lender or such other Recipient setting forth the amount or amounts necessary to compensate such Lender or such Issuing Lender, such other Recipient or any of their respective holding companies, as the case may be, as specified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of this Section and delivered to Borrower, shall be conclusive absent manifest error.</w:t>
      </w:r>
    </w:p>
    <w:p>
      <w:pPr>
        <w:spacing w:after="0" w:line="150" w:lineRule="exact"/>
        <w:rPr>
          <w:rFonts w:ascii="Times New Roman" w:cs="Times New Roman" w:eastAsia="Times New Roman" w:hAnsi="Times New Roman"/>
          <w:sz w:val="21"/>
          <w:szCs w:val="21"/>
          <w:color w:val="auto"/>
        </w:rPr>
      </w:pPr>
    </w:p>
    <w:p>
      <w:pPr>
        <w:jc w:val="both"/>
        <w:ind w:left="1300" w:hanging="649"/>
        <w:spacing w:after="0" w:line="219" w:lineRule="auto"/>
        <w:tabs>
          <w:tab w:leader="none" w:pos="1295"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Delay in Requests</w:t>
      </w:r>
      <w:r>
        <w:rPr>
          <w:rFonts w:ascii="Times New Roman" w:cs="Times New Roman" w:eastAsia="Times New Roman" w:hAnsi="Times New Roman"/>
          <w:sz w:val="21"/>
          <w:szCs w:val="21"/>
          <w:color w:val="auto"/>
        </w:rPr>
        <w:t xml:space="preserve">. Failure or delay on the part of any Lender or any Issuing Lender or such other Recipient to demand compensation pursuant to this Section shall not constitute a waiver of such Lender’s or such Issuing Lender’s or such other Recipient’s right to demand such compensation;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Borrower shall not be required to compensate any Lender or an Issuing Lender or any other Recipient pursuant to this Section for any increased costs incurred or reductions suffered more than nine (9) months prior to the date that such Lender or such Issuing Lender or such other Recipient, as the case may be, notifies Borrower of the Change in Law giving rise to such increased costs or reductions, and of such Lender’s or such Issuing Lender’s or such other Recipient’s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55" w:lineRule="exact"/>
        <w:rPr>
          <w:rFonts w:ascii="Times New Roman" w:cs="Times New Roman" w:eastAsia="Times New Roman" w:hAnsi="Times New Roman"/>
          <w:sz w:val="21"/>
          <w:szCs w:val="21"/>
          <w:color w:val="auto"/>
        </w:rPr>
      </w:pPr>
    </w:p>
    <w:p>
      <w:pPr>
        <w:jc w:val="both"/>
        <w:ind w:left="1300" w:hanging="649"/>
        <w:spacing w:after="0" w:line="223" w:lineRule="auto"/>
        <w:tabs>
          <w:tab w:leader="none" w:pos="1297"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Lender shall demand compensation pursuant to this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unless such Lender is generally making corresponding demands on other similarly situated borrowers of loans under comparable United States revolving credit facilities to which such Lender is a party (it being further acknowledged and agreed that nothing herein shall require the Agent or any Lender to disclose any information related to similarly situated borrowers, comparable provisions of similar agreements or otherwise that the Agent or such Lender (as applicable), in its sole discretion, deems proprietary, privileged or confidential, and the Agent’s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49" w:name="page150"/>
    <w:bookmarkEnd w:id="149"/>
    <w:p>
      <w:pPr>
        <w:ind w:left="1300"/>
        <w:spacing w:after="0" w:line="250" w:lineRule="auto"/>
        <w:rPr>
          <w:sz w:val="20"/>
          <w:szCs w:val="20"/>
          <w:color w:val="auto"/>
        </w:rPr>
      </w:pPr>
      <w:r>
        <w:rPr>
          <w:rFonts w:ascii="Times New Roman" w:cs="Times New Roman" w:eastAsia="Times New Roman" w:hAnsi="Times New Roman"/>
          <w:sz w:val="21"/>
          <w:szCs w:val="21"/>
          <w:color w:val="auto"/>
        </w:rPr>
        <w:t>applicable Lender’s failure to provide such information shall not preclude it from asserting that such other borrower is similarly situated under a similar agreement to the Borrower).</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3.6</w:t>
      </w:r>
      <w:r>
        <w:rPr>
          <w:sz w:val="20"/>
          <w:szCs w:val="20"/>
          <w:color w:val="auto"/>
        </w:rPr>
        <w:tab/>
      </w:r>
      <w:r>
        <w:rPr>
          <w:rFonts w:ascii="Times New Roman" w:cs="Times New Roman" w:eastAsia="Times New Roman" w:hAnsi="Times New Roman"/>
          <w:sz w:val="20"/>
          <w:szCs w:val="20"/>
          <w:b w:val="1"/>
          <w:bCs w:val="1"/>
          <w:color w:val="auto"/>
        </w:rPr>
        <w:t>Taxes</w:t>
      </w:r>
    </w:p>
    <w:p>
      <w:pPr>
        <w:spacing w:after="0" w:line="191" w:lineRule="exact"/>
        <w:rPr>
          <w:sz w:val="20"/>
          <w:szCs w:val="20"/>
          <w:color w:val="auto"/>
        </w:rPr>
      </w:pPr>
    </w:p>
    <w:p>
      <w:pPr>
        <w:ind w:left="1300" w:hanging="649"/>
        <w:spacing w:after="0" w:line="250" w:lineRule="auto"/>
        <w:tabs>
          <w:tab w:leader="none" w:pos="1297"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Defined Terms</w:t>
      </w:r>
      <w:r>
        <w:rPr>
          <w:rFonts w:ascii="Times New Roman" w:cs="Times New Roman" w:eastAsia="Times New Roman" w:hAnsi="Times New Roman"/>
          <w:sz w:val="21"/>
          <w:szCs w:val="21"/>
          <w:color w:val="auto"/>
        </w:rPr>
        <w:t xml:space="preserve">. For purposes of this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the term “Lender” includes any Issuing Lender and the term “Applicable Law” includes FATCA.</w:t>
      </w:r>
    </w:p>
    <w:p>
      <w:pPr>
        <w:spacing w:after="0" w:line="140" w:lineRule="exact"/>
        <w:rPr>
          <w:rFonts w:ascii="Times New Roman" w:cs="Times New Roman" w:eastAsia="Times New Roman" w:hAnsi="Times New Roman"/>
          <w:sz w:val="21"/>
          <w:szCs w:val="21"/>
          <w:color w:val="auto"/>
        </w:rPr>
      </w:pPr>
    </w:p>
    <w:p>
      <w:pPr>
        <w:jc w:val="both"/>
        <w:ind w:left="1300" w:hanging="649"/>
        <w:spacing w:after="0"/>
        <w:tabs>
          <w:tab w:leader="none" w:pos="1295"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Free of Taxes</w:t>
      </w:r>
      <w:r>
        <w:rPr>
          <w:rFonts w:ascii="Times New Roman" w:cs="Times New Roman" w:eastAsia="Times New Roman" w:hAnsi="Times New Roman"/>
          <w:sz w:val="21"/>
          <w:szCs w:val="21"/>
          <w:color w:val="auto"/>
        </w:rPr>
        <w:t>. Any and all payments by or on account of any obligation of Borrower under this Agreement and any other documents entered into in connection herewith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Borrower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158" w:lineRule="exact"/>
        <w:rPr>
          <w:rFonts w:ascii="Times New Roman" w:cs="Times New Roman" w:eastAsia="Times New Roman" w:hAnsi="Times New Roman"/>
          <w:sz w:val="21"/>
          <w:szCs w:val="21"/>
          <w:color w:val="auto"/>
        </w:rPr>
      </w:pPr>
    </w:p>
    <w:p>
      <w:pPr>
        <w:jc w:val="both"/>
        <w:ind w:left="1300" w:right="20" w:hanging="649"/>
        <w:spacing w:after="0" w:line="250" w:lineRule="auto"/>
        <w:tabs>
          <w:tab w:leader="none" w:pos="1297"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 of Other Taxes by Borrower</w:t>
      </w:r>
      <w:r>
        <w:rPr>
          <w:rFonts w:ascii="Times New Roman" w:cs="Times New Roman" w:eastAsia="Times New Roman" w:hAnsi="Times New Roman"/>
          <w:sz w:val="21"/>
          <w:szCs w:val="21"/>
          <w:color w:val="auto"/>
        </w:rPr>
        <w:t>. Borrower shall timely pay to the relevant Governmental Authority in accordance with Applicable Law, or at the option of Agent timely reimburse it for the payment of, any Other Taxes.</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22" w:lineRule="auto"/>
        <w:tabs>
          <w:tab w:leader="none" w:pos="1295"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Borrower</w:t>
      </w:r>
      <w:r>
        <w:rPr>
          <w:rFonts w:ascii="Times New Roman" w:cs="Times New Roman" w:eastAsia="Times New Roman" w:hAnsi="Times New Roman"/>
          <w:sz w:val="21"/>
          <w:szCs w:val="21"/>
          <w:color w:val="auto"/>
        </w:rPr>
        <w:t>. Borrower shall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 Recipient (with a copy to Agent), or by Agent on its own behalf or on behalf of a Recipient, shall be conclusive absent manifest error.</w:t>
      </w:r>
    </w:p>
    <w:p>
      <w:pPr>
        <w:spacing w:after="0" w:line="152" w:lineRule="exact"/>
        <w:rPr>
          <w:rFonts w:ascii="Times New Roman" w:cs="Times New Roman" w:eastAsia="Times New Roman" w:hAnsi="Times New Roman"/>
          <w:sz w:val="21"/>
          <w:szCs w:val="21"/>
          <w:color w:val="auto"/>
        </w:rPr>
      </w:pPr>
    </w:p>
    <w:p>
      <w:pPr>
        <w:jc w:val="both"/>
        <w:ind w:left="1300" w:hanging="649"/>
        <w:spacing w:after="0"/>
        <w:tabs>
          <w:tab w:leader="none" w:pos="1297"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Indemnification by the Lenders</w:t>
      </w:r>
      <w:r>
        <w:rPr>
          <w:rFonts w:ascii="Times New Roman" w:cs="Times New Roman" w:eastAsia="Times New Roman" w:hAnsi="Times New Roman"/>
          <w:sz w:val="21"/>
          <w:szCs w:val="21"/>
          <w:color w:val="auto"/>
        </w:rPr>
        <w:t>. Each Lender shall severally indemnify Agent, within ten (10) days after demand therefor, for (i) any Indemnified Taxes attributable to such Lender (but only to the extent that Borrower has not already indemnified Agent for such Indemnified Taxes and without limiting the obligation of Borrower to do so), and (ii) any Excluded Taxes attributable to such Lender, in each case, that are payable or paid by Agent in connection with this Agreement or any other documents entered into in connection herewith, and any reasonable expenses arising therefrom or with respect thereto, whether or not such Taxes were correctly or legally imposed or asserted by the relevant Governmental Authority. A certificate as to the amount of such payment or liability delivered to any Lender by Agent shall be conclusive absent manifest error. Each Lender hereby authorizes Agent to setoff and apply any and all amounts at any time owing to such Lender under any Financing Agreement or otherwise payable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50" w:name="page151"/>
    <w:bookmarkEnd w:id="150"/>
    <w:p>
      <w:pPr>
        <w:ind w:left="1300"/>
        <w:spacing w:after="0" w:line="250" w:lineRule="auto"/>
        <w:rPr>
          <w:sz w:val="20"/>
          <w:szCs w:val="20"/>
          <w:color w:val="auto"/>
        </w:rPr>
      </w:pPr>
      <w:r>
        <w:rPr>
          <w:rFonts w:ascii="Times New Roman" w:cs="Times New Roman" w:eastAsia="Times New Roman" w:hAnsi="Times New Roman"/>
          <w:sz w:val="21"/>
          <w:szCs w:val="21"/>
          <w:color w:val="auto"/>
        </w:rPr>
        <w:t xml:space="preserve">Agent to the Lender under this Agreement or any other documents entered into in connection herewith from any other source against any amount due to Agent under this </w:t>
      </w:r>
      <w:r>
        <w:rPr>
          <w:rFonts w:ascii="Times New Roman" w:cs="Times New Roman" w:eastAsia="Times New Roman" w:hAnsi="Times New Roman"/>
          <w:sz w:val="21"/>
          <w:szCs w:val="21"/>
          <w:u w:val="single" w:color="auto"/>
          <w:color w:val="auto"/>
        </w:rPr>
        <w:t>clause (e)</w:t>
      </w:r>
      <w:r>
        <w:rPr>
          <w:rFonts w:ascii="Times New Roman" w:cs="Times New Roman" w:eastAsia="Times New Roman" w:hAnsi="Times New Roman"/>
          <w:sz w:val="21"/>
          <w:szCs w:val="21"/>
          <w:color w:val="auto"/>
        </w:rPr>
        <w:t>.</w:t>
      </w:r>
    </w:p>
    <w:p>
      <w:pPr>
        <w:spacing w:after="0" w:line="140" w:lineRule="exact"/>
        <w:rPr>
          <w:sz w:val="20"/>
          <w:szCs w:val="20"/>
          <w:color w:val="auto"/>
        </w:rPr>
      </w:pPr>
    </w:p>
    <w:p>
      <w:pPr>
        <w:jc w:val="both"/>
        <w:ind w:left="1300" w:hanging="649"/>
        <w:spacing w:after="0" w:line="229" w:lineRule="auto"/>
        <w:tabs>
          <w:tab w:leader="none" w:pos="130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Evidence of Payments</w:t>
      </w:r>
      <w:r>
        <w:rPr>
          <w:rFonts w:ascii="Times New Roman" w:cs="Times New Roman" w:eastAsia="Times New Roman" w:hAnsi="Times New Roman"/>
          <w:sz w:val="21"/>
          <w:szCs w:val="21"/>
          <w:color w:val="auto"/>
        </w:rPr>
        <w:t xml:space="preserve">. As soon as practicable after any payment of Taxes by Borrower to a Governmental Authority pursuant to this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Borrower shall deliver to Agent the original or a certified copy of a receipt issued by such Governmental Authority evidencing such payment, a copy of the return reporting such payment or other evidence of such payment reasonably satisfactory to Agent.</w:t>
      </w:r>
    </w:p>
    <w:p>
      <w:pPr>
        <w:spacing w:after="0" w:line="150"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Status of Lenders</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left="1940" w:hanging="646"/>
        <w:spacing w:after="0" w:line="236" w:lineRule="auto"/>
        <w:tabs>
          <w:tab w:leader="none" w:pos="1928"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Lender that is entitled to an exemption from or reduction of withholding Tax with respect to payments made under this Agreement or any other documents entered into in connection herewith shall deliver to Borrower and Agent, at the time or times reasonably requested by Borrower or Agent, such properly completed and executed documentation reasonably requested by Borrower or Agent as will permit such payments to be made without withholding or at a reduced rate of withholding. In addition, any Lender, if reasonably requested by Borrower or Agent, shall deliver such other documentation prescribed by Applicable Law or reasonably requested by Borrower or Agent as will enable Borrower or Agent to determine whether or not such Lender is subject to backup withholding or information reporting requirements. Notwithstanding anything to the contrary in the preceding two sentences, the completion, execution and submission of such documentation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53" w:lineRule="exact"/>
        <w:rPr>
          <w:rFonts w:ascii="Times New Roman" w:cs="Times New Roman" w:eastAsia="Times New Roman" w:hAnsi="Times New Roman"/>
          <w:sz w:val="21"/>
          <w:szCs w:val="21"/>
          <w:color w:val="auto"/>
        </w:rPr>
      </w:pPr>
    </w:p>
    <w:p>
      <w:pPr>
        <w:jc w:val="both"/>
        <w:ind w:left="1940" w:hanging="646"/>
        <w:spacing w:after="0"/>
        <w:tabs>
          <w:tab w:leader="none" w:pos="1934"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subclause (i) of this clause (g), each Lender shall deliver to the Borrower and the Agent on or before the date on which it becomes a party to this Agreement (and from time to time thereafter upon the reasonable request of the Borrower or the Agent), duly completed copies of IRS Form W-8BEN, W-8BEN-E, W-8ECI, W-8IMY, W-8EXP or W-9, as may be applicable, together with any attachments, if required to establish that such Lender is exempt from United States backup withholding taxes.</w:t>
      </w:r>
    </w:p>
    <w:p>
      <w:pPr>
        <w:spacing w:after="0" w:line="293" w:lineRule="exact"/>
        <w:rPr>
          <w:rFonts w:ascii="Times New Roman" w:cs="Times New Roman" w:eastAsia="Times New Roman" w:hAnsi="Times New Roman"/>
          <w:sz w:val="21"/>
          <w:szCs w:val="21"/>
          <w:color w:val="auto"/>
        </w:rPr>
      </w:pPr>
    </w:p>
    <w:p>
      <w:pPr>
        <w:jc w:val="both"/>
        <w:ind w:left="1940" w:hanging="646"/>
        <w:spacing w:after="0" w:line="219" w:lineRule="auto"/>
        <w:tabs>
          <w:tab w:leader="none" w:pos="1940" w:val="left"/>
        </w:tabs>
        <w:numPr>
          <w:ilvl w:val="1"/>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subclause (i) of this clause (g), if a payment made to a Lender under this Agreement or any other documents entered into in connection herewith would be subject to Tax under FATCA if such Lender were to fail to comply with the applicable reporting requirements of FATCA (including those contained in Section 1471(b) or 1472(b) of the Code, as applicable), such Lender shall deliver to Borrower and Agent at the time or times prescribed by law and at such time or times reasonably requested by Borrower or Agent such documentation prescribed by Applicable Law (including as prescribed by Section 1471(b)(3)(C)(i) of the Code) and such additional documentation reasonably requested by Borrower or Agent as may be necessary for Borrower and Agent to comply with their obligations under FATCA and to determine that such Lender has complied with such Lender’s obligations under FATCA or to determine the amount to deduct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51" w:name="page152"/>
    <w:bookmarkEnd w:id="151"/>
    <w:p>
      <w:pPr>
        <w:jc w:val="both"/>
        <w:ind w:left="1940"/>
        <w:spacing w:after="0" w:line="229" w:lineRule="auto"/>
        <w:rPr>
          <w:sz w:val="20"/>
          <w:szCs w:val="20"/>
          <w:color w:val="auto"/>
        </w:rPr>
      </w:pPr>
      <w:r>
        <w:rPr>
          <w:rFonts w:ascii="Times New Roman" w:cs="Times New Roman" w:eastAsia="Times New Roman" w:hAnsi="Times New Roman"/>
          <w:sz w:val="21"/>
          <w:szCs w:val="21"/>
          <w:color w:val="auto"/>
        </w:rPr>
        <w:t xml:space="preserve">withhold from such payment. Solely for purposes of this </w:t>
      </w:r>
      <w:r>
        <w:rPr>
          <w:rFonts w:ascii="Times New Roman" w:cs="Times New Roman" w:eastAsia="Times New Roman" w:hAnsi="Times New Roman"/>
          <w:sz w:val="21"/>
          <w:szCs w:val="21"/>
          <w:u w:val="single" w:color="auto"/>
          <w:color w:val="auto"/>
        </w:rPr>
        <w:t>Section 3.5(g)</w:t>
      </w:r>
      <w:r>
        <w:rPr>
          <w:rFonts w:ascii="Times New Roman" w:cs="Times New Roman" w:eastAsia="Times New Roman" w:hAnsi="Times New Roman"/>
          <w:sz w:val="21"/>
          <w:szCs w:val="21"/>
          <w:color w:val="auto"/>
        </w:rPr>
        <w:t>, “FATCA” shall include any amendments made to FATCA after the date of this Agreement. Each Lender agrees that if any form or certification it previously delivered expires or becomes obsolete or inaccurate in any respect, it shall update such form or certification or promptly notify Borrower and Agent in writing of its legal inability to do so.</w:t>
      </w:r>
    </w:p>
    <w:p>
      <w:pPr>
        <w:spacing w:after="0" w:line="151" w:lineRule="exact"/>
        <w:rPr>
          <w:sz w:val="20"/>
          <w:szCs w:val="20"/>
          <w:color w:val="auto"/>
        </w:rPr>
      </w:pPr>
    </w:p>
    <w:p>
      <w:pPr>
        <w:jc w:val="both"/>
        <w:ind w:left="1300" w:hanging="649"/>
        <w:spacing w:after="0" w:line="230" w:lineRule="auto"/>
        <w:tabs>
          <w:tab w:leader="none" w:pos="1295"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Certain Refunds</w:t>
      </w:r>
      <w:r>
        <w:rPr>
          <w:rFonts w:ascii="Times New Roman" w:cs="Times New Roman" w:eastAsia="Times New Roman" w:hAnsi="Times New Roman"/>
          <w:sz w:val="21"/>
          <w:szCs w:val="21"/>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(including by the payment of additional amounts pursuant to this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1"/>
          <w:szCs w:val="21"/>
          <w:u w:val="single" w:color="auto"/>
          <w:color w:val="auto"/>
        </w:rPr>
        <w:t>clause (h)</w:t>
      </w:r>
      <w:r>
        <w:rPr>
          <w:rFonts w:ascii="Times New Roman" w:cs="Times New Roman" w:eastAsia="Times New Roman" w:hAnsi="Times New Roman"/>
          <w:sz w:val="21"/>
          <w:szCs w:val="21"/>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1"/>
          <w:szCs w:val="21"/>
          <w:u w:val="single" w:color="auto"/>
          <w:color w:val="auto"/>
        </w:rPr>
        <w:t>clause (h)</w:t>
      </w:r>
      <w:r>
        <w:rPr>
          <w:rFonts w:ascii="Times New Roman" w:cs="Times New Roman" w:eastAsia="Times New Roman" w:hAnsi="Times New Roman"/>
          <w:sz w:val="21"/>
          <w:szCs w:val="21"/>
          <w:color w:val="auto"/>
        </w:rPr>
        <w:t xml:space="preserve">, in no event will the indemnified party be required to pay any amount to an indemnifying party pursuant to this </w:t>
      </w:r>
      <w:r>
        <w:rPr>
          <w:rFonts w:ascii="Times New Roman" w:cs="Times New Roman" w:eastAsia="Times New Roman" w:hAnsi="Times New Roman"/>
          <w:sz w:val="21"/>
          <w:szCs w:val="21"/>
          <w:u w:val="single" w:color="auto"/>
          <w:color w:val="auto"/>
        </w:rPr>
        <w:t>clause (h)</w:t>
      </w:r>
      <w:r>
        <w:rPr>
          <w:rFonts w:ascii="Times New Roman" w:cs="Times New Roman" w:eastAsia="Times New Roman" w:hAnsi="Times New Roman"/>
          <w:sz w:val="21"/>
          <w:szCs w:val="21"/>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57"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88"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Survival</w:t>
      </w:r>
      <w:r>
        <w:rPr>
          <w:rFonts w:ascii="Times New Roman" w:cs="Times New Roman" w:eastAsia="Times New Roman" w:hAnsi="Times New Roman"/>
          <w:sz w:val="21"/>
          <w:szCs w:val="21"/>
          <w:color w:val="auto"/>
        </w:rPr>
        <w:t xml:space="preserve">. Each party’s obligations under this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shall survive the resignation or replacement of Agent or any assignment of rights by, or the replacement of, a Lender, the termination of the Commitments and the repayment, satisfaction or discharge of all obligations under this Agreement or any other documents entered into in connection herewith.</w:t>
      </w:r>
    </w:p>
    <w:p>
      <w:pPr>
        <w:spacing w:after="0" w:line="1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3.7</w:t>
      </w:r>
      <w:r>
        <w:rPr>
          <w:sz w:val="20"/>
          <w:szCs w:val="20"/>
          <w:color w:val="auto"/>
        </w:rPr>
        <w:tab/>
      </w:r>
      <w:r>
        <w:rPr>
          <w:rFonts w:ascii="Times New Roman" w:cs="Times New Roman" w:eastAsia="Times New Roman" w:hAnsi="Times New Roman"/>
          <w:sz w:val="21"/>
          <w:szCs w:val="21"/>
          <w:b w:val="1"/>
          <w:bCs w:val="1"/>
          <w:color w:val="auto"/>
        </w:rPr>
        <w:t>Mitigation Obligations; Replacement of Lenders.</w:t>
      </w:r>
    </w:p>
    <w:p>
      <w:pPr>
        <w:spacing w:after="0" w:line="187" w:lineRule="exact"/>
        <w:rPr>
          <w:sz w:val="20"/>
          <w:szCs w:val="20"/>
          <w:color w:val="auto"/>
        </w:rPr>
      </w:pPr>
    </w:p>
    <w:p>
      <w:pPr>
        <w:jc w:val="both"/>
        <w:ind w:left="1300" w:hanging="649"/>
        <w:spacing w:after="0" w:line="219" w:lineRule="auto"/>
        <w:tabs>
          <w:tab w:leader="none" w:pos="1297"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Designation of a Different Lending Office</w:t>
      </w:r>
      <w:r>
        <w:rPr>
          <w:rFonts w:ascii="Times New Roman" w:cs="Times New Roman" w:eastAsia="Times New Roman" w:hAnsi="Times New Roman"/>
          <w:sz w:val="21"/>
          <w:szCs w:val="21"/>
          <w:color w:val="auto"/>
        </w:rPr>
        <w:t>. If any Lender (an “</w:t>
      </w:r>
      <w:r>
        <w:rPr>
          <w:rFonts w:ascii="Times New Roman" w:cs="Times New Roman" w:eastAsia="Times New Roman" w:hAnsi="Times New Roman"/>
          <w:sz w:val="21"/>
          <w:szCs w:val="21"/>
          <w:b w:val="1"/>
          <w:bCs w:val="1"/>
          <w:color w:val="auto"/>
        </w:rPr>
        <w:t>Increased-Cost Lender</w:t>
      </w:r>
      <w:r>
        <w:rPr>
          <w:rFonts w:ascii="Times New Roman" w:cs="Times New Roman" w:eastAsia="Times New Roman" w:hAnsi="Times New Roman"/>
          <w:sz w:val="21"/>
          <w:szCs w:val="21"/>
          <w:color w:val="auto"/>
        </w:rPr>
        <w:t xml:space="preserve">”) requests compensation under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or requires Borrower to pay any Indemnified Taxes or additional amounts to any Lender or any Governmental Authority for the account of any Lender pursuant to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then such Lender shall, at the request of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as the case may be, in the future and (ii) would not subject such Lender to any unreimbursed cost or expense and would not otherwise be disadvantageous to such Lender. Borrower hereby agrees to pay all reasonable costs and expenses incurred by any Lender in connection with any such designation or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52" w:name="page153"/>
    <w:bookmarkEnd w:id="152"/>
    <w:p>
      <w:pPr>
        <w:jc w:val="both"/>
        <w:ind w:left="1300" w:hanging="649"/>
        <w:spacing w:after="0" w:line="220" w:lineRule="auto"/>
        <w:tabs>
          <w:tab w:leader="none" w:pos="1295" w:val="left"/>
        </w:tabs>
        <w:numPr>
          <w:ilvl w:val="0"/>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Replacement of Lenders</w:t>
      </w:r>
      <w:r>
        <w:rPr>
          <w:rFonts w:ascii="Times New Roman" w:cs="Times New Roman" w:eastAsia="Times New Roman" w:hAnsi="Times New Roman"/>
          <w:sz w:val="21"/>
          <w:szCs w:val="21"/>
          <w:color w:val="auto"/>
        </w:rPr>
        <w:t xml:space="preserve">. Notwithstanding anything to the contrary contained herein, in the event that any Increased-Cost Lender has declined or is unable to designate a different Lending Office in accordance with </w:t>
      </w:r>
      <w:r>
        <w:rPr>
          <w:rFonts w:ascii="Times New Roman" w:cs="Times New Roman" w:eastAsia="Times New Roman" w:hAnsi="Times New Roman"/>
          <w:sz w:val="21"/>
          <w:szCs w:val="21"/>
          <w:u w:val="single" w:color="auto"/>
          <w:color w:val="auto"/>
        </w:rPr>
        <w:t>Section 3.6(a)</w:t>
      </w:r>
      <w:r>
        <w:rPr>
          <w:rFonts w:ascii="Times New Roman" w:cs="Times New Roman" w:eastAsia="Times New Roman" w:hAnsi="Times New Roman"/>
          <w:sz w:val="21"/>
          <w:szCs w:val="21"/>
          <w:color w:val="auto"/>
        </w:rPr>
        <w:t xml:space="preserve">, or if any Lender is a Defaulting Lender or a Non-Consenting Lender, then Borrower may, at its sole expense and effort, upon notice to such Lender and Agent, require such Lender (and such Lender hereby irrevocably agrees) to assign and delegate, without recourse (in accordance with and subject to the restrictions contained in, and consents required by,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xml:space="preserve">), all of its interests, rights (other than its existing rights to payments pursuant to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and obligations under this Agreement and the related Financing Agreement to an Eligible Transferee that shall assume such obligations (which assignee may be another Lender, if a Lender accepts such assignment);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w:t>
      </w:r>
    </w:p>
    <w:p>
      <w:pPr>
        <w:spacing w:after="0" w:line="152" w:lineRule="exact"/>
        <w:rPr>
          <w:rFonts w:ascii="Times New Roman" w:cs="Times New Roman" w:eastAsia="Times New Roman" w:hAnsi="Times New Roman"/>
          <w:sz w:val="21"/>
          <w:szCs w:val="21"/>
          <w:color w:val="auto"/>
        </w:rPr>
      </w:pPr>
    </w:p>
    <w:p>
      <w:pPr>
        <w:ind w:left="1940" w:hanging="646"/>
        <w:spacing w:after="0" w:line="250" w:lineRule="auto"/>
        <w:tabs>
          <w:tab w:leader="none" w:pos="1928"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assignee (or failing which, Borrower) shall have paid to Agent the assignment fee (if any) specified in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w:t>
      </w:r>
    </w:p>
    <w:p>
      <w:pPr>
        <w:spacing w:after="0" w:line="140" w:lineRule="exact"/>
        <w:rPr>
          <w:rFonts w:ascii="Times New Roman" w:cs="Times New Roman" w:eastAsia="Times New Roman" w:hAnsi="Times New Roman"/>
          <w:sz w:val="21"/>
          <w:szCs w:val="21"/>
          <w:color w:val="auto"/>
        </w:rPr>
      </w:pPr>
    </w:p>
    <w:p>
      <w:pPr>
        <w:jc w:val="both"/>
        <w:ind w:left="1940" w:hanging="646"/>
        <w:spacing w:after="0" w:line="226" w:lineRule="auto"/>
        <w:tabs>
          <w:tab w:leader="none" w:pos="1934"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such Lender shall have received payment of an amount equal to the outstanding principal of its Loans and funded participations in Letter of Credit Accommodations and Swingline Loans, accrued interest thereon, accrued fees and all other amounts payable to it hereunder and under the other Financing Agreements (including any amounts under </w:t>
      </w:r>
      <w:r>
        <w:rPr>
          <w:rFonts w:ascii="Times New Roman" w:cs="Times New Roman" w:eastAsia="Times New Roman" w:hAnsi="Times New Roman"/>
          <w:sz w:val="21"/>
          <w:szCs w:val="21"/>
          <w:u w:val="single" w:color="auto"/>
          <w:color w:val="auto"/>
        </w:rPr>
        <w:t>Section 3.3</w:t>
      </w:r>
      <w:r>
        <w:rPr>
          <w:rFonts w:ascii="Times New Roman" w:cs="Times New Roman" w:eastAsia="Times New Roman" w:hAnsi="Times New Roman"/>
          <w:sz w:val="21"/>
          <w:szCs w:val="21"/>
          <w:color w:val="auto"/>
        </w:rPr>
        <w:t>) from the assignee (to the extent of such outstanding principal and accrued interest and fees) or Borrower (in the case of all other amounts);</w:t>
      </w:r>
    </w:p>
    <w:p>
      <w:pPr>
        <w:spacing w:after="0" w:line="149"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40"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any such assignment resulting from a claim for compensation under </w:t>
      </w:r>
      <w:r>
        <w:rPr>
          <w:rFonts w:ascii="Times New Roman" w:cs="Times New Roman" w:eastAsia="Times New Roman" w:hAnsi="Times New Roman"/>
          <w:sz w:val="21"/>
          <w:szCs w:val="21"/>
          <w:u w:val="single" w:color="auto"/>
          <w:color w:val="auto"/>
        </w:rPr>
        <w:t>Section 3.2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3.4</w:t>
      </w:r>
      <w:r>
        <w:rPr>
          <w:rFonts w:ascii="Times New Roman" w:cs="Times New Roman" w:eastAsia="Times New Roman" w:hAnsi="Times New Roman"/>
          <w:sz w:val="21"/>
          <w:szCs w:val="21"/>
          <w:color w:val="auto"/>
        </w:rPr>
        <w:t xml:space="preserve"> or payments required to be made pursuant to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such assignment will result in a reduction in such compensation or payments thereafter;</w:t>
      </w:r>
    </w:p>
    <w:p>
      <w:pPr>
        <w:spacing w:after="0" w:line="151" w:lineRule="exact"/>
        <w:rPr>
          <w:rFonts w:ascii="Times New Roman" w:cs="Times New Roman" w:eastAsia="Times New Roman" w:hAnsi="Times New Roman"/>
          <w:sz w:val="21"/>
          <w:szCs w:val="21"/>
          <w:color w:val="auto"/>
        </w:rPr>
      </w:pPr>
    </w:p>
    <w:p>
      <w:pPr>
        <w:ind w:left="1920" w:hanging="626"/>
        <w:spacing w:after="0"/>
        <w:tabs>
          <w:tab w:leader="none" w:pos="1920"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assignment does not conflict with Applicable Law; and</w:t>
      </w:r>
    </w:p>
    <w:p>
      <w:pPr>
        <w:spacing w:after="0" w:line="187" w:lineRule="exact"/>
        <w:rPr>
          <w:rFonts w:ascii="Times New Roman" w:cs="Times New Roman" w:eastAsia="Times New Roman" w:hAnsi="Times New Roman"/>
          <w:sz w:val="21"/>
          <w:szCs w:val="21"/>
          <w:color w:val="auto"/>
        </w:rPr>
      </w:pPr>
    </w:p>
    <w:p>
      <w:pPr>
        <w:ind w:left="1940" w:right="20" w:hanging="646"/>
        <w:spacing w:after="0" w:line="250" w:lineRule="auto"/>
        <w:tabs>
          <w:tab w:leader="none" w:pos="1935" w:val="left"/>
        </w:tabs>
        <w:numPr>
          <w:ilvl w:val="1"/>
          <w:numId w:val="1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assignment resulting from a Lender becoming a Non-Consenting Lender, the applicable assignee shall have consented to the applicable amendment, waiver or consent.</w:t>
      </w:r>
    </w:p>
    <w:p>
      <w:pPr>
        <w:spacing w:after="0" w:line="167" w:lineRule="exact"/>
        <w:rPr>
          <w:rFonts w:ascii="Times New Roman" w:cs="Times New Roman" w:eastAsia="Times New Roman" w:hAnsi="Times New Roman"/>
          <w:sz w:val="21"/>
          <w:szCs w:val="21"/>
          <w:color w:val="auto"/>
        </w:rPr>
      </w:pPr>
    </w:p>
    <w:p>
      <w:pPr>
        <w:jc w:val="both"/>
        <w:ind w:left="1940"/>
        <w:spacing w:after="0" w:line="26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Lender shall not be required to make any such assignment or delegation if, prior thereto, as a result of a waiver by such Lender or otherwise, the circumstances entitling Borrower to require such assignment and delegation cease to apply. Upon the prepayment of all amounts owing to any such Lender and the termination of such Lender’s Revolving Loan Commitments, such Lender shall no longer constitute a “Lender” for purposes hereof;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any rights of such Lender to indemnification and to expense reimbursement hereunder shall survive as to such Lender. Each Lender agrees that, if it becomes an Increased-Cost Lender, Defaulting Lender or a Non-Consenting Lender and its rights and claims are assigned hereunder to an assignee pursuant to this </w:t>
      </w:r>
      <w:r>
        <w:rPr>
          <w:rFonts w:ascii="Times New Roman" w:cs="Times New Roman" w:eastAsia="Times New Roman" w:hAnsi="Times New Roman"/>
          <w:sz w:val="21"/>
          <w:szCs w:val="21"/>
          <w:u w:val="single" w:color="auto"/>
          <w:color w:val="auto"/>
        </w:rPr>
        <w:t>Section 3.6(b)</w:t>
      </w:r>
      <w:r>
        <w:rPr>
          <w:rFonts w:ascii="Times New Roman" w:cs="Times New Roman" w:eastAsia="Times New Roman" w:hAnsi="Times New Roman"/>
          <w:sz w:val="21"/>
          <w:szCs w:val="21"/>
          <w:color w:val="auto"/>
        </w:rPr>
        <w:t xml:space="preserve">, it shall execute and deliver to Agent an Assignment and Assumption Agreement to evidence such assignment;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failure of any Lender to execute an Assignment and Assumption Agreement shall not render such assignment invalid.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53" w:name="page154"/>
    <w:bookmarkEnd w:id="153"/>
    <w:p>
      <w:pPr>
        <w:jc w:val="both"/>
        <w:ind w:left="1300" w:hanging="649"/>
        <w:spacing w:after="0" w:line="234" w:lineRule="auto"/>
        <w:tabs>
          <w:tab w:leader="none" w:pos="1297"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Selection of Lending Office</w:t>
      </w:r>
      <w:r>
        <w:rPr>
          <w:rFonts w:ascii="Times New Roman" w:cs="Times New Roman" w:eastAsia="Times New Roman" w:hAnsi="Times New Roman"/>
          <w:sz w:val="21"/>
          <w:szCs w:val="21"/>
          <w:color w:val="auto"/>
        </w:rPr>
        <w:t xml:space="preserve">. Subject to </w:t>
      </w:r>
      <w:r>
        <w:rPr>
          <w:rFonts w:ascii="Times New Roman" w:cs="Times New Roman" w:eastAsia="Times New Roman" w:hAnsi="Times New Roman"/>
          <w:sz w:val="21"/>
          <w:szCs w:val="21"/>
          <w:u w:val="single" w:color="auto"/>
          <w:color w:val="auto"/>
        </w:rPr>
        <w:t>Section 3.6(a)</w:t>
      </w:r>
      <w:r>
        <w:rPr>
          <w:rFonts w:ascii="Times New Roman" w:cs="Times New Roman" w:eastAsia="Times New Roman" w:hAnsi="Times New Roman"/>
          <w:sz w:val="21"/>
          <w:szCs w:val="21"/>
          <w:color w:val="auto"/>
        </w:rPr>
        <w:t xml:space="preserve">, each Lender may make any Loan to Borrower through any Lending Office,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exercise of this option shall not affect the obligations of Borrower to repay the Obligations in accordance with the terms of this Agreement or otherwise alter the rights of the parties hereto.</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3.8</w:t>
      </w:r>
      <w:r>
        <w:rPr>
          <w:sz w:val="20"/>
          <w:szCs w:val="20"/>
          <w:color w:val="auto"/>
        </w:rPr>
        <w:tab/>
      </w:r>
      <w:r>
        <w:rPr>
          <w:rFonts w:ascii="Times New Roman" w:cs="Times New Roman" w:eastAsia="Times New Roman" w:hAnsi="Times New Roman"/>
          <w:sz w:val="21"/>
          <w:szCs w:val="21"/>
          <w:b w:val="1"/>
          <w:bCs w:val="1"/>
          <w:color w:val="auto"/>
        </w:rPr>
        <w:t>Commitment Fee</w:t>
      </w:r>
    </w:p>
    <w:p>
      <w:pPr>
        <w:spacing w:after="0" w:line="191" w:lineRule="exact"/>
        <w:rPr>
          <w:sz w:val="20"/>
          <w:szCs w:val="20"/>
          <w:color w:val="auto"/>
        </w:rPr>
      </w:pPr>
    </w:p>
    <w:p>
      <w:pPr>
        <w:jc w:val="both"/>
        <w:ind w:left="1300" w:hanging="649"/>
        <w:spacing w:after="0" w:line="219" w:lineRule="auto"/>
        <w:tabs>
          <w:tab w:leader="none" w:pos="1297" w:val="left"/>
        </w:tabs>
        <w:numPr>
          <w:ilvl w:val="0"/>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shall pay to Agent a commitment fee at the Applicable Margin for commitment fees, in each case calculated on the basis of a 360 day year and actual days elapsed and upon the amount by which the then applicable Revolving Loan Commitment exceeds the sum of (i) the average daily principal balance of the outstanding Revolving Loans and (ii) the average daily face amount of the Letter of Credit Accommodations during the immediately preceding Fiscal Quarter (or part thereof) while this Agreement is in effect and for so long thereafter as any of the Obligations are outstanding, which commitment fee shall be payable on the last Business Day of each Fiscal Quarter in arrears, commencing on September 30, 2025. For further clarity, no Obligations will be outstanding once this Agreement has been terminated and all non-contingent Obligations have been fully satisfied and cash collateral (or a backstop letter of credit) has been provided in the full amount then outstanding of any Letter of Credit Accommodations, if any. This commitment fee shall not be payable to a Lender during the period it is a Defaulting Lender.</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3.9</w:t>
      </w:r>
      <w:r>
        <w:rPr>
          <w:sz w:val="20"/>
          <w:szCs w:val="20"/>
          <w:color w:val="auto"/>
        </w:rPr>
        <w:tab/>
      </w:r>
      <w:r>
        <w:rPr>
          <w:rFonts w:ascii="Times New Roman" w:cs="Times New Roman" w:eastAsia="Times New Roman" w:hAnsi="Times New Roman"/>
          <w:sz w:val="21"/>
          <w:szCs w:val="21"/>
          <w:b w:val="1"/>
          <w:bCs w:val="1"/>
          <w:color w:val="auto"/>
        </w:rPr>
        <w:t>Defaulting Lenders.</w:t>
      </w:r>
    </w:p>
    <w:p>
      <w:pPr>
        <w:spacing w:after="0" w:line="191" w:lineRule="exact"/>
        <w:rPr>
          <w:sz w:val="20"/>
          <w:szCs w:val="20"/>
          <w:color w:val="auto"/>
        </w:rPr>
      </w:pPr>
    </w:p>
    <w:p>
      <w:pPr>
        <w:jc w:val="both"/>
        <w:ind w:firstLine="651"/>
        <w:spacing w:after="0" w:line="234" w:lineRule="auto"/>
        <w:tabs>
          <w:tab w:leader="none" w:pos="1284" w:val="left"/>
        </w:tabs>
        <w:numPr>
          <w:ilvl w:val="0"/>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Adjustments</w:t>
      </w:r>
      <w:r>
        <w:rPr>
          <w:rFonts w:ascii="Times New Roman" w:cs="Times New Roman" w:eastAsia="Times New Roman" w:hAnsi="Times New Roman"/>
          <w:sz w:val="21"/>
          <w:szCs w:val="21"/>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51" w:lineRule="exact"/>
        <w:rPr>
          <w:rFonts w:ascii="Times New Roman" w:cs="Times New Roman" w:eastAsia="Times New Roman" w:hAnsi="Times New Roman"/>
          <w:sz w:val="21"/>
          <w:szCs w:val="21"/>
          <w:color w:val="auto"/>
        </w:rPr>
      </w:pPr>
    </w:p>
    <w:p>
      <w:pPr>
        <w:jc w:val="both"/>
        <w:ind w:left="660" w:firstLine="634"/>
        <w:spacing w:after="0" w:line="215" w:lineRule="auto"/>
        <w:tabs>
          <w:tab w:leader="none" w:pos="1935" w:val="left"/>
        </w:tabs>
        <w:numPr>
          <w:ilvl w:val="1"/>
          <w:numId w:val="1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Waterfall</w:t>
      </w:r>
      <w:r>
        <w:rPr>
          <w:rFonts w:ascii="Times New Roman" w:cs="Times New Roman" w:eastAsia="Times New Roman" w:hAnsi="Times New Roman"/>
          <w:sz w:val="21"/>
          <w:szCs w:val="21"/>
          <w:color w:val="auto"/>
        </w:rPr>
        <w:t xml:space="preserve">. Any payment of principal, interest, fees or other amounts received by the Agent for the account of such Defaulting Lender (whether voluntary or mandatory, at maturity, pursuant to </w:t>
      </w:r>
      <w:r>
        <w:rPr>
          <w:rFonts w:ascii="Times New Roman" w:cs="Times New Roman" w:eastAsia="Times New Roman" w:hAnsi="Times New Roman"/>
          <w:sz w:val="21"/>
          <w:szCs w:val="21"/>
          <w:u w:val="single" w:color="auto"/>
          <w:color w:val="auto"/>
        </w:rPr>
        <w:t>Article 10</w:t>
      </w:r>
      <w:r>
        <w:rPr>
          <w:rFonts w:ascii="Times New Roman" w:cs="Times New Roman" w:eastAsia="Times New Roman" w:hAnsi="Times New Roman"/>
          <w:sz w:val="21"/>
          <w:szCs w:val="21"/>
          <w:color w:val="auto"/>
        </w:rPr>
        <w:t xml:space="preserve"> or otherwise) or received by the Agent from a Defaulting Lender pursuant to </w:t>
      </w:r>
      <w:r>
        <w:rPr>
          <w:rFonts w:ascii="Times New Roman" w:cs="Times New Roman" w:eastAsia="Times New Roman" w:hAnsi="Times New Roman"/>
          <w:sz w:val="21"/>
          <w:szCs w:val="21"/>
          <w:u w:val="single" w:color="auto"/>
          <w:color w:val="auto"/>
        </w:rPr>
        <w:t>Section 11.12</w:t>
      </w:r>
      <w:r>
        <w:rPr>
          <w:rFonts w:ascii="Times New Roman" w:cs="Times New Roman" w:eastAsia="Times New Roman" w:hAnsi="Times New Roman"/>
          <w:sz w:val="21"/>
          <w:szCs w:val="21"/>
          <w:color w:val="auto"/>
        </w:rPr>
        <w:t xml:space="preserve"> shall be applied at such time or times as may be determined by the Agent as follows: </w:t>
      </w:r>
      <w:r>
        <w:rPr>
          <w:rFonts w:ascii="Times New Roman" w:cs="Times New Roman" w:eastAsia="Times New Roman" w:hAnsi="Times New Roman"/>
          <w:sz w:val="21"/>
          <w:szCs w:val="21"/>
          <w:i w:val="1"/>
          <w:iCs w:val="1"/>
          <w:color w:val="auto"/>
        </w:rPr>
        <w:t>first</w:t>
      </w:r>
      <w:r>
        <w:rPr>
          <w:rFonts w:ascii="Times New Roman" w:cs="Times New Roman" w:eastAsia="Times New Roman" w:hAnsi="Times New Roman"/>
          <w:sz w:val="21"/>
          <w:szCs w:val="21"/>
          <w:color w:val="auto"/>
        </w:rPr>
        <w:t xml:space="preserve">, to the payment of any amounts owing by such Defaulting Lender to the Agent hereunder; </w:t>
      </w:r>
      <w:r>
        <w:rPr>
          <w:rFonts w:ascii="Times New Roman" w:cs="Times New Roman" w:eastAsia="Times New Roman" w:hAnsi="Times New Roman"/>
          <w:sz w:val="21"/>
          <w:szCs w:val="21"/>
          <w:i w:val="1"/>
          <w:iCs w:val="1"/>
          <w:color w:val="auto"/>
        </w:rPr>
        <w:t>second</w:t>
      </w:r>
      <w:r>
        <w:rPr>
          <w:rFonts w:ascii="Times New Roman" w:cs="Times New Roman" w:eastAsia="Times New Roman" w:hAnsi="Times New Roman"/>
          <w:sz w:val="21"/>
          <w:szCs w:val="21"/>
          <w:color w:val="auto"/>
        </w:rPr>
        <w:t xml:space="preserve">, to the payment on a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basis of any amounts owing by such Defaulting Lender to the Issuing Lender or the Swingline Lender hereunder; </w:t>
      </w:r>
      <w:r>
        <w:rPr>
          <w:rFonts w:ascii="Times New Roman" w:cs="Times New Roman" w:eastAsia="Times New Roman" w:hAnsi="Times New Roman"/>
          <w:sz w:val="21"/>
          <w:szCs w:val="21"/>
          <w:i w:val="1"/>
          <w:iCs w:val="1"/>
          <w:color w:val="auto"/>
        </w:rPr>
        <w:t>third</w:t>
      </w:r>
      <w:r>
        <w:rPr>
          <w:rFonts w:ascii="Times New Roman" w:cs="Times New Roman" w:eastAsia="Times New Roman" w:hAnsi="Times New Roman"/>
          <w:sz w:val="21"/>
          <w:szCs w:val="21"/>
          <w:color w:val="auto"/>
        </w:rPr>
        <w:t xml:space="preserve">, to cash collateralize the Fronting Exposure of the Issuing Lender and the Swingline Lender with respect to such Defaulting Lender in a manner reasonably satisfactory to the Issuing Lender or the Swingline Lender, as the case may be, </w:t>
      </w:r>
      <w:r>
        <w:rPr>
          <w:rFonts w:ascii="Times New Roman" w:cs="Times New Roman" w:eastAsia="Times New Roman" w:hAnsi="Times New Roman"/>
          <w:sz w:val="21"/>
          <w:szCs w:val="21"/>
          <w:i w:val="1"/>
          <w:iCs w:val="1"/>
          <w:color w:val="auto"/>
        </w:rPr>
        <w:t>fourth</w:t>
      </w:r>
      <w:r>
        <w:rPr>
          <w:rFonts w:ascii="Times New Roman" w:cs="Times New Roman" w:eastAsia="Times New Roman" w:hAnsi="Times New Roman"/>
          <w:sz w:val="21"/>
          <w:szCs w:val="21"/>
          <w:color w:val="auto"/>
        </w:rPr>
        <w:t xml:space="preserve">, as the Borrower may request (so long as no Default or Event of Default exists), to the funding of any Loan or funded participation in respect of which such Defaulting Lender has failed to fund its portion thereof as required by this Agreement, as determined by the Agent; </w:t>
      </w:r>
      <w:r>
        <w:rPr>
          <w:rFonts w:ascii="Times New Roman" w:cs="Times New Roman" w:eastAsia="Times New Roman" w:hAnsi="Times New Roman"/>
          <w:sz w:val="21"/>
          <w:szCs w:val="21"/>
          <w:i w:val="1"/>
          <w:iCs w:val="1"/>
          <w:color w:val="auto"/>
        </w:rPr>
        <w:t>fifth</w:t>
      </w:r>
      <w:r>
        <w:rPr>
          <w:rFonts w:ascii="Times New Roman" w:cs="Times New Roman" w:eastAsia="Times New Roman" w:hAnsi="Times New Roman"/>
          <w:sz w:val="21"/>
          <w:szCs w:val="21"/>
          <w:color w:val="auto"/>
        </w:rPr>
        <w:t xml:space="preserve">, if so determined by the Agent and the Borrower, to be held in a deposit account and released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in order to (A) satisfy such Defaulting Lender’s potential future funding obligations with respect to Loans and funded participations under this Agreement and</w:t>
      </w:r>
    </w:p>
    <w:p>
      <w:pPr>
        <w:spacing w:after="0" w:line="1" w:lineRule="exact"/>
        <w:rPr>
          <w:rFonts w:ascii="Times New Roman" w:cs="Times New Roman" w:eastAsia="Times New Roman" w:hAnsi="Times New Roman"/>
          <w:sz w:val="21"/>
          <w:szCs w:val="21"/>
          <w:color w:val="auto"/>
        </w:rPr>
      </w:pPr>
    </w:p>
    <w:p>
      <w:pPr>
        <w:jc w:val="both"/>
        <w:ind w:left="660"/>
        <w:spacing w:after="0" w:line="21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 cash collateralize the Issuing Lender’s future Fronting Exposure with respect to such Defaulting Lender with respect to future Letter of Credit Accommodations issued under this Agreement, in a manner reasonably satisfactory to the Issuing Lender; </w:t>
      </w:r>
      <w:r>
        <w:rPr>
          <w:rFonts w:ascii="Times New Roman" w:cs="Times New Roman" w:eastAsia="Times New Roman" w:hAnsi="Times New Roman"/>
          <w:sz w:val="21"/>
          <w:szCs w:val="21"/>
          <w:i w:val="1"/>
          <w:iCs w:val="1"/>
          <w:color w:val="auto"/>
        </w:rPr>
        <w:t>sixth</w:t>
      </w:r>
      <w:r>
        <w:rPr>
          <w:rFonts w:ascii="Times New Roman" w:cs="Times New Roman" w:eastAsia="Times New Roman" w:hAnsi="Times New Roman"/>
          <w:sz w:val="21"/>
          <w:szCs w:val="21"/>
          <w:color w:val="auto"/>
        </w:rPr>
        <w:t xml:space="preserve">, to the payment of any amounts owing to the Lenders, the Issuing Lender or the Swingline Lender as a result of any judgment of a court of competent jurisdiction obtained by any Lender, the Issuing Lender or the Swingline Lender against such Defaulting Lender as a result of such Defaulting Lender’s breach of its obligations under this Agreement; </w:t>
      </w:r>
      <w:r>
        <w:rPr>
          <w:rFonts w:ascii="Times New Roman" w:cs="Times New Roman" w:eastAsia="Times New Roman" w:hAnsi="Times New Roman"/>
          <w:sz w:val="21"/>
          <w:szCs w:val="21"/>
          <w:i w:val="1"/>
          <w:iCs w:val="1"/>
          <w:color w:val="auto"/>
        </w:rPr>
        <w:t>seventh</w:t>
      </w:r>
      <w:r>
        <w:rPr>
          <w:rFonts w:ascii="Times New Roman" w:cs="Times New Roman" w:eastAsia="Times New Roman" w:hAnsi="Times New Roman"/>
          <w:sz w:val="21"/>
          <w:szCs w:val="21"/>
          <w:color w:val="auto"/>
        </w:rPr>
        <w:t>, so long as no Default or Event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54" w:name="page155"/>
    <w:bookmarkEnd w:id="154"/>
    <w:p>
      <w:pPr>
        <w:jc w:val="both"/>
        <w:ind w:left="660"/>
        <w:spacing w:after="0" w:line="231" w:lineRule="auto"/>
        <w:rPr>
          <w:sz w:val="20"/>
          <w:szCs w:val="20"/>
          <w:color w:val="auto"/>
        </w:rPr>
      </w:pPr>
      <w:r>
        <w:rPr>
          <w:rFonts w:ascii="Times New Roman" w:cs="Times New Roman" w:eastAsia="Times New Roman" w:hAnsi="Times New Roman"/>
          <w:sz w:val="21"/>
          <w:szCs w:val="21"/>
          <w:color w:val="auto"/>
        </w:rPr>
        <w:t xml:space="preserve">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1"/>
          <w:szCs w:val="21"/>
          <w:i w:val="1"/>
          <w:iCs w:val="1"/>
          <w:color w:val="auto"/>
        </w:rPr>
        <w:t>eighth</w:t>
      </w:r>
      <w:r>
        <w:rPr>
          <w:rFonts w:ascii="Times New Roman" w:cs="Times New Roman" w:eastAsia="Times New Roman" w:hAnsi="Times New Roman"/>
          <w:sz w:val="21"/>
          <w:szCs w:val="21"/>
          <w:color w:val="auto"/>
        </w:rPr>
        <w:t xml:space="preserve">, to such Defaulting Lender or as otherwise directed by a court of competent jurisdiction;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(1) such payment is a payment of the principal amount of any Loans or funded participations in Letter of Credit Accommodations or Swingline Loans in respect of which such Defaulting Lender has not fully funded its appropriate share, and (2) such Loans were made or the related Letter of Credit Accommodations or Swingline Loans were issued at a time when the conditions set forth in </w:t>
      </w:r>
      <w:r>
        <w:rPr>
          <w:rFonts w:ascii="Times New Roman" w:cs="Times New Roman" w:eastAsia="Times New Roman" w:hAnsi="Times New Roman"/>
          <w:sz w:val="21"/>
          <w:szCs w:val="21"/>
          <w:u w:val="single" w:color="auto"/>
          <w:color w:val="auto"/>
        </w:rPr>
        <w:t>Section 4.2</w:t>
      </w:r>
      <w:r>
        <w:rPr>
          <w:rFonts w:ascii="Times New Roman" w:cs="Times New Roman" w:eastAsia="Times New Roman" w:hAnsi="Times New Roman"/>
          <w:sz w:val="21"/>
          <w:szCs w:val="21"/>
          <w:color w:val="auto"/>
        </w:rPr>
        <w:t xml:space="preserve"> were satisfied or waived, such payment shall be applied solely to pay the Loans of, and funded participations in Letter of Credit Accommodations or Swingline Loans owed to, all Non-Defaulting Lenders on a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basis prior to being applied to the payment of any Loans of, or funded participations in Letter of Credit Accommodations or Swingline Loans owed to, such Defaulting Lender until such time as all Loans and funded and unfunded participations in Letter of Credit Accommodations and Swingline Loans are held by the Revolving Lenders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in accordance with the Revolving Loan Commitments under the applicable Revolving Loan Facility without giving effect to </w:t>
      </w:r>
      <w:r>
        <w:rPr>
          <w:rFonts w:ascii="Times New Roman" w:cs="Times New Roman" w:eastAsia="Times New Roman" w:hAnsi="Times New Roman"/>
          <w:sz w:val="21"/>
          <w:szCs w:val="21"/>
          <w:u w:val="single" w:color="auto"/>
          <w:color w:val="auto"/>
        </w:rPr>
        <w:t>Section 3.8(a)(iii)</w:t>
      </w:r>
      <w:r>
        <w:rPr>
          <w:rFonts w:ascii="Times New Roman" w:cs="Times New Roman" w:eastAsia="Times New Roman" w:hAnsi="Times New Roman"/>
          <w:sz w:val="21"/>
          <w:szCs w:val="21"/>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1"/>
          <w:szCs w:val="21"/>
          <w:u w:val="single" w:color="auto"/>
          <w:color w:val="auto"/>
        </w:rPr>
        <w:t>Section 3.8(a)(i)</w:t>
      </w:r>
      <w:r>
        <w:rPr>
          <w:rFonts w:ascii="Times New Roman" w:cs="Times New Roman" w:eastAsia="Times New Roman" w:hAnsi="Times New Roman"/>
          <w:sz w:val="21"/>
          <w:szCs w:val="21"/>
          <w:color w:val="auto"/>
        </w:rPr>
        <w:t xml:space="preserve"> shall be deemed paid to and redirected by such Defaulting Lender, and each Lender irrevocably consents hereto.</w:t>
      </w:r>
    </w:p>
    <w:p>
      <w:pPr>
        <w:spacing w:after="0" w:line="160" w:lineRule="exact"/>
        <w:rPr>
          <w:sz w:val="20"/>
          <w:szCs w:val="20"/>
          <w:color w:val="auto"/>
        </w:rPr>
      </w:pPr>
    </w:p>
    <w:p>
      <w:pPr>
        <w:ind w:left="1940" w:hanging="646"/>
        <w:spacing w:after="0"/>
        <w:tabs>
          <w:tab w:leader="none" w:pos="1940"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Certain Fees</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left="1300" w:firstLine="638"/>
        <w:spacing w:after="0" w:line="234" w:lineRule="auto"/>
        <w:tabs>
          <w:tab w:leader="none" w:pos="2576"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spacing w:after="0" w:line="151" w:lineRule="exact"/>
        <w:rPr>
          <w:rFonts w:ascii="Times New Roman" w:cs="Times New Roman" w:eastAsia="Times New Roman" w:hAnsi="Times New Roman"/>
          <w:sz w:val="21"/>
          <w:szCs w:val="21"/>
          <w:color w:val="auto"/>
        </w:rPr>
      </w:pPr>
    </w:p>
    <w:p>
      <w:pPr>
        <w:jc w:val="both"/>
        <w:ind w:left="1300" w:firstLine="638"/>
        <w:spacing w:after="0" w:line="234" w:lineRule="auto"/>
        <w:tabs>
          <w:tab w:leader="none" w:pos="2578"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Defaulting Lender shall be entitled to receive letter of credit fees pursuant to </w:t>
      </w:r>
      <w:r>
        <w:rPr>
          <w:rFonts w:ascii="Times New Roman" w:cs="Times New Roman" w:eastAsia="Times New Roman" w:hAnsi="Times New Roman"/>
          <w:sz w:val="21"/>
          <w:szCs w:val="21"/>
          <w:u w:val="single" w:color="auto"/>
          <w:color w:val="auto"/>
        </w:rPr>
        <w:t>Section 2.2(b)</w:t>
      </w:r>
      <w:r>
        <w:rPr>
          <w:rFonts w:ascii="Times New Roman" w:cs="Times New Roman" w:eastAsia="Times New Roman" w:hAnsi="Times New Roman"/>
          <w:sz w:val="21"/>
          <w:szCs w:val="21"/>
          <w:color w:val="auto"/>
        </w:rPr>
        <w:t xml:space="preserve"> for any period during which that Lender is a Defaulting Lender only to the extent allocable to its Pro Rata Share of the stated amount of Letter of Credit Accommodations for which it has provided cash collateral.</w:t>
      </w:r>
    </w:p>
    <w:p>
      <w:pPr>
        <w:spacing w:after="0" w:line="151" w:lineRule="exact"/>
        <w:rPr>
          <w:rFonts w:ascii="Times New Roman" w:cs="Times New Roman" w:eastAsia="Times New Roman" w:hAnsi="Times New Roman"/>
          <w:sz w:val="21"/>
          <w:szCs w:val="21"/>
          <w:color w:val="auto"/>
        </w:rPr>
      </w:pPr>
    </w:p>
    <w:p>
      <w:pPr>
        <w:jc w:val="both"/>
        <w:ind w:left="1300" w:firstLine="638"/>
        <w:spacing w:after="0" w:line="221" w:lineRule="auto"/>
        <w:tabs>
          <w:tab w:leader="none" w:pos="2578"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commitment fee or letter of credit fee not required to be paid to any Defaulting Lender pursuant to clause (A) or (B) above, the Borrower shall (1) pay to each Non-Defaulting Lender that portion of any such fee otherwise payable to such Defaulting Lender with respect to such Defaulting Lender’s participation in Letter of Credit Accommodations or Swingline Loans that has been reallocated to such Non-Defaulting Lender pursuant to clause (iii) below, (2) pay to the Issuing Lender and the Swingline Lender, as applicable, the amount of any such fee otherwise payable to such Defaulting Lender to the extent allocable to the Issuing Lender’s or the Swingline Lender’s Fronting Exposure to such Defaulting Lender, and (3) not be required to pay the remaining amount of any such fee.</w:t>
      </w:r>
    </w:p>
    <w:p>
      <w:pPr>
        <w:spacing w:after="0" w:line="151" w:lineRule="exact"/>
        <w:rPr>
          <w:rFonts w:ascii="Times New Roman" w:cs="Times New Roman" w:eastAsia="Times New Roman" w:hAnsi="Times New Roman"/>
          <w:sz w:val="21"/>
          <w:szCs w:val="21"/>
          <w:color w:val="auto"/>
        </w:rPr>
      </w:pPr>
    </w:p>
    <w:p>
      <w:pPr>
        <w:jc w:val="both"/>
        <w:ind w:left="660" w:firstLine="634"/>
        <w:spacing w:after="0" w:line="226" w:lineRule="auto"/>
        <w:tabs>
          <w:tab w:leader="none" w:pos="1947"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Reallocation of Participations to Reduce Fronting Exposure</w:t>
      </w:r>
      <w:r>
        <w:rPr>
          <w:rFonts w:ascii="Times New Roman" w:cs="Times New Roman" w:eastAsia="Times New Roman" w:hAnsi="Times New Roman"/>
          <w:sz w:val="21"/>
          <w:szCs w:val="21"/>
          <w:color w:val="auto"/>
        </w:rPr>
        <w:t>. All or any part of such Defaulting Lender’s participation in Letter of Credit Accommodations and Swingline Loans shall be reallocated among the Non-Defaulting Lenders in accordance with their respective Pro Rata Shares (calculated without regard to such Defaulting Lender’s Revolving Loan Commitment) but only to the extent that such reallocation does not cause the aggregate Revolving Loan Exposure of any Non-Defaulting Lender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55" w:name="page156"/>
    <w:bookmarkEnd w:id="155"/>
    <w:p>
      <w:pPr>
        <w:jc w:val="both"/>
        <w:ind w:left="660"/>
        <w:spacing w:after="0" w:line="229" w:lineRule="auto"/>
        <w:rPr>
          <w:sz w:val="20"/>
          <w:szCs w:val="20"/>
          <w:color w:val="auto"/>
        </w:rPr>
      </w:pPr>
      <w:r>
        <w:rPr>
          <w:rFonts w:ascii="Times New Roman" w:cs="Times New Roman" w:eastAsia="Times New Roman" w:hAnsi="Times New Roman"/>
          <w:sz w:val="21"/>
          <w:szCs w:val="21"/>
          <w:color w:val="auto"/>
        </w:rPr>
        <w:t xml:space="preserve">exceed such Non-Defaulting Lender’s Revolving Loan Commitment. Subject to </w:t>
      </w:r>
      <w:r>
        <w:rPr>
          <w:rFonts w:ascii="Times New Roman" w:cs="Times New Roman" w:eastAsia="Times New Roman" w:hAnsi="Times New Roman"/>
          <w:sz w:val="21"/>
          <w:szCs w:val="21"/>
          <w:u w:val="single" w:color="auto"/>
          <w:color w:val="auto"/>
        </w:rPr>
        <w:t>Section 13.9</w:t>
      </w:r>
      <w:r>
        <w:rPr>
          <w:rFonts w:ascii="Times New Roman" w:cs="Times New Roman" w:eastAsia="Times New Roman" w:hAnsi="Times New Roman"/>
          <w:sz w:val="21"/>
          <w:szCs w:val="21"/>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51" w:lineRule="exact"/>
        <w:rPr>
          <w:sz w:val="20"/>
          <w:szCs w:val="20"/>
          <w:color w:val="auto"/>
        </w:rPr>
      </w:pPr>
    </w:p>
    <w:p>
      <w:pPr>
        <w:jc w:val="both"/>
        <w:ind w:left="660" w:firstLine="634"/>
        <w:spacing w:after="0"/>
        <w:tabs>
          <w:tab w:leader="none" w:pos="1935" w:val="left"/>
        </w:tabs>
        <w:numPr>
          <w:ilvl w:val="1"/>
          <w:numId w:val="1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Collateral, Repayment of Swingline Loans</w:t>
      </w:r>
      <w:r>
        <w:rPr>
          <w:rFonts w:ascii="Times New Roman" w:cs="Times New Roman" w:eastAsia="Times New Roman" w:hAnsi="Times New Roman"/>
          <w:sz w:val="21"/>
          <w:szCs w:val="21"/>
          <w:color w:val="auto"/>
        </w:rPr>
        <w:t xml:space="preserve">. If the reallocation described in clause (iii) above cannot, or can only partially, be effected, the Borrower shall, without prejudice to any right or remedy available to it hereunder or under law, (x) </w:t>
      </w: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xml:space="preserve">, repay Swingline Loans in an amount equal to the Swingline Lenders’ Fronting Exposure and (y) </w:t>
      </w: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cash collateralize the Issuing Lender’s Fronting Exposure in a manner reasonably satisfactory to the Issuing Lender.</w:t>
      </w:r>
    </w:p>
    <w:p>
      <w:pPr>
        <w:spacing w:after="0" w:line="320" w:lineRule="exact"/>
        <w:rPr>
          <w:rFonts w:ascii="Times New Roman" w:cs="Times New Roman" w:eastAsia="Times New Roman" w:hAnsi="Times New Roman"/>
          <w:sz w:val="21"/>
          <w:szCs w:val="21"/>
          <w:color w:val="auto"/>
        </w:rPr>
      </w:pPr>
    </w:p>
    <w:p>
      <w:pPr>
        <w:jc w:val="both"/>
        <w:ind w:firstLine="651"/>
        <w:spacing w:after="0" w:line="219" w:lineRule="auto"/>
        <w:tabs>
          <w:tab w:leader="none" w:pos="1282" w:val="left"/>
        </w:tabs>
        <w:numPr>
          <w:ilvl w:val="0"/>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Defaulting Lender Cure</w:t>
      </w:r>
      <w:r>
        <w:rPr>
          <w:rFonts w:ascii="Times New Roman" w:cs="Times New Roman" w:eastAsia="Times New Roman" w:hAnsi="Times New Roman"/>
          <w:sz w:val="21"/>
          <w:szCs w:val="21"/>
          <w:color w:val="auto"/>
        </w:rPr>
        <w:t xml:space="preserve">. If the Borrower, the Agent, the Issuing Lender and the Swingline Lender agree in writing that a Lender is no longer a Defaulting Lender, the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Agent may determine to be necessary to cause the Loans and funded and unfunded participations in Letter of Credit Accommodations and Swingline Loans to be held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by the Lenders in accordance with their respective Revolving Loan Commitments (without giving effect to </w:t>
      </w:r>
      <w:r>
        <w:rPr>
          <w:rFonts w:ascii="Times New Roman" w:cs="Times New Roman" w:eastAsia="Times New Roman" w:hAnsi="Times New Roman"/>
          <w:sz w:val="21"/>
          <w:szCs w:val="21"/>
          <w:u w:val="single" w:color="auto"/>
          <w:color w:val="auto"/>
        </w:rPr>
        <w:t>Section 3.8(a)(iii)</w:t>
      </w:r>
      <w:r>
        <w:rPr>
          <w:rFonts w:ascii="Times New Roman" w:cs="Times New Roman" w:eastAsia="Times New Roman" w:hAnsi="Times New Roman"/>
          <w:sz w:val="21"/>
          <w:szCs w:val="21"/>
          <w:color w:val="auto"/>
        </w:rPr>
        <w:t xml:space="preserve">), whereupon such Lender will cease to be a Defaulting Lender;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further</w:t>
      </w:r>
      <w:r>
        <w:rPr>
          <w:rFonts w:ascii="Times New Roman" w:cs="Times New Roman" w:eastAsia="Times New Roman" w:hAnsi="Times New Roman"/>
          <w:sz w:val="21"/>
          <w:szCs w:val="21"/>
          <w:color w:val="auto"/>
        </w:rPr>
        <w:t>, that except to the extent otherwise expressly agreed by the affected parties, no change hereunder from Defaulting Lender to Non-Defaulting Lender will constitute a waiver or release of any claim of any party hereunder arising from that Lender’s having been a Defaulting Lender.</w:t>
      </w:r>
    </w:p>
    <w:p>
      <w:pPr>
        <w:spacing w:after="0" w:line="1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4</w:t>
      </w:r>
    </w:p>
    <w:p>
      <w:pPr>
        <w:spacing w:after="0" w:line="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1"/>
          <w:szCs w:val="21"/>
          <w:b w:val="1"/>
          <w:bCs w:val="1"/>
          <w:u w:val="single" w:color="auto"/>
          <w:color w:val="auto"/>
        </w:rPr>
        <w:t>CONDITIONS PRECEDENT</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4.1</w:t>
      </w:r>
      <w:r>
        <w:rPr>
          <w:sz w:val="20"/>
          <w:szCs w:val="20"/>
          <w:color w:val="auto"/>
        </w:rPr>
        <w:tab/>
      </w:r>
      <w:r>
        <w:rPr>
          <w:rFonts w:ascii="Times New Roman" w:cs="Times New Roman" w:eastAsia="Times New Roman" w:hAnsi="Times New Roman"/>
          <w:sz w:val="21"/>
          <w:szCs w:val="21"/>
          <w:b w:val="1"/>
          <w:bCs w:val="1"/>
          <w:color w:val="auto"/>
        </w:rPr>
        <w:t>Conditions Precedent to the Availability of Revolving Loans and Letter of Credit Accommodations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 xml:space="preserve">Except for those items that are permitted to be satisfied on a post-closing basis pursuant to </w:t>
      </w:r>
      <w:r>
        <w:rPr>
          <w:rFonts w:ascii="Times New Roman" w:cs="Times New Roman" w:eastAsia="Times New Roman" w:hAnsi="Times New Roman"/>
          <w:sz w:val="21"/>
          <w:szCs w:val="21"/>
          <w:u w:val="single" w:color="auto"/>
          <w:color w:val="auto"/>
        </w:rPr>
        <w:t>Section 7.16</w:t>
      </w:r>
      <w:r>
        <w:rPr>
          <w:rFonts w:ascii="Times New Roman" w:cs="Times New Roman" w:eastAsia="Times New Roman" w:hAnsi="Times New Roman"/>
          <w:sz w:val="21"/>
          <w:szCs w:val="21"/>
          <w:color w:val="auto"/>
        </w:rPr>
        <w:t>, each of the following is a condition precedent to Lenders making available the Revolving Loans and making available the Letter of Credit Accommodations hereunder on and after the Restatement Effective Date:</w:t>
      </w:r>
    </w:p>
    <w:p>
      <w:pPr>
        <w:spacing w:after="0" w:line="147" w:lineRule="exact"/>
        <w:rPr>
          <w:sz w:val="20"/>
          <w:szCs w:val="20"/>
          <w:color w:val="auto"/>
        </w:rPr>
      </w:pPr>
    </w:p>
    <w:p>
      <w:pPr>
        <w:ind w:left="1300" w:hanging="649"/>
        <w:spacing w:after="0" w:line="250" w:lineRule="auto"/>
        <w:tabs>
          <w:tab w:leader="none" w:pos="1297"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have received the following documents, all in form and substance satisfactory to Agent on or prior to the Restatement Effective Date:</w:t>
      </w:r>
    </w:p>
    <w:p>
      <w:pPr>
        <w:spacing w:after="0" w:line="140" w:lineRule="exact"/>
        <w:rPr>
          <w:rFonts w:ascii="Times New Roman" w:cs="Times New Roman" w:eastAsia="Times New Roman" w:hAnsi="Times New Roman"/>
          <w:sz w:val="21"/>
          <w:szCs w:val="21"/>
          <w:color w:val="auto"/>
        </w:rPr>
      </w:pPr>
    </w:p>
    <w:p>
      <w:pPr>
        <w:ind w:left="1920" w:hanging="626"/>
        <w:spacing w:after="0"/>
        <w:tabs>
          <w:tab w:leader="none" w:pos="1920"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omnibus Information Certificate from each of the Credit Parties;</w:t>
      </w:r>
    </w:p>
    <w:p>
      <w:pPr>
        <w:spacing w:after="0" w:line="187" w:lineRule="exact"/>
        <w:rPr>
          <w:rFonts w:ascii="Times New Roman" w:cs="Times New Roman" w:eastAsia="Times New Roman" w:hAnsi="Times New Roman"/>
          <w:sz w:val="21"/>
          <w:szCs w:val="21"/>
          <w:color w:val="auto"/>
        </w:rPr>
      </w:pPr>
    </w:p>
    <w:p>
      <w:pPr>
        <w:ind w:left="1940" w:hanging="646"/>
        <w:spacing w:after="0"/>
        <w:tabs>
          <w:tab w:leader="none" w:pos="1940"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w:t>
      </w:r>
    </w:p>
    <w:p>
      <w:pPr>
        <w:spacing w:after="0" w:line="187" w:lineRule="exact"/>
        <w:rPr>
          <w:rFonts w:ascii="Times New Roman" w:cs="Times New Roman" w:eastAsia="Times New Roman" w:hAnsi="Times New Roman"/>
          <w:sz w:val="21"/>
          <w:szCs w:val="21"/>
          <w:color w:val="auto"/>
        </w:rPr>
      </w:pPr>
    </w:p>
    <w:p>
      <w:pPr>
        <w:ind w:left="1940" w:hanging="646"/>
        <w:spacing w:after="0" w:line="250" w:lineRule="auto"/>
        <w:tabs>
          <w:tab w:leader="none" w:pos="1940"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confirmation of existing guarantees and security between the Credit Parties and Agent, acting as agent for and on behalf of the Secured Parties;</w:t>
      </w:r>
    </w:p>
    <w:p>
      <w:pPr>
        <w:spacing w:after="0" w:line="140" w:lineRule="exact"/>
        <w:rPr>
          <w:rFonts w:ascii="Times New Roman" w:cs="Times New Roman" w:eastAsia="Times New Roman" w:hAnsi="Times New Roman"/>
          <w:sz w:val="21"/>
          <w:szCs w:val="21"/>
          <w:color w:val="auto"/>
        </w:rPr>
      </w:pPr>
    </w:p>
    <w:p>
      <w:pPr>
        <w:ind w:left="1940" w:hanging="646"/>
        <w:spacing w:after="0" w:line="250" w:lineRule="auto"/>
        <w:tabs>
          <w:tab w:leader="none" w:pos="1928" w:val="left"/>
        </w:tabs>
        <w:numPr>
          <w:ilvl w:val="1"/>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deed of confirmation granted by IMAX Ireland in favor of Agent, acting as agent for and on behalf of the Secured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56" w:name="page157"/>
    <w:bookmarkEnd w:id="156"/>
    <w:p>
      <w:pPr>
        <w:ind w:left="1940" w:right="20" w:hanging="646"/>
        <w:spacing w:after="0" w:line="250" w:lineRule="auto"/>
        <w:tabs>
          <w:tab w:leader="none" w:pos="1935"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equitable share mortgage by and between IMAX Barbados and Agent acting as agent for and on behalf of the Secured Parties;</w:t>
      </w:r>
    </w:p>
    <w:p>
      <w:pPr>
        <w:spacing w:after="0" w:line="140" w:lineRule="exact"/>
        <w:rPr>
          <w:rFonts w:ascii="Times New Roman" w:cs="Times New Roman" w:eastAsia="Times New Roman" w:hAnsi="Times New Roman"/>
          <w:sz w:val="21"/>
          <w:szCs w:val="21"/>
          <w:color w:val="auto"/>
        </w:rPr>
      </w:pPr>
    </w:p>
    <w:p>
      <w:pPr>
        <w:jc w:val="both"/>
        <w:ind w:left="1940" w:hanging="646"/>
        <w:spacing w:after="0" w:line="226" w:lineRule="auto"/>
        <w:tabs>
          <w:tab w:leader="none" w:pos="1928"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resolutions of the Board of Directors or similar governing body of each Credit Party approving and authorizing the execution, delivery and performance of this Agreement and the other Financing Agreements to which it is a party, certified as of the Restatement Effective Date by its officer as being executed and delivered and in full force and effect without modification or amendment or, if not applicable under the Applicable Laws of the relevant jurisdiction, in a similar form;</w:t>
      </w:r>
    </w:p>
    <w:p>
      <w:pPr>
        <w:spacing w:after="0" w:line="149" w:lineRule="exact"/>
        <w:rPr>
          <w:rFonts w:ascii="Times New Roman" w:cs="Times New Roman" w:eastAsia="Times New Roman" w:hAnsi="Times New Roman"/>
          <w:sz w:val="21"/>
          <w:szCs w:val="21"/>
          <w:color w:val="auto"/>
        </w:rPr>
      </w:pPr>
    </w:p>
    <w:p>
      <w:pPr>
        <w:jc w:val="both"/>
        <w:ind w:left="1940" w:hanging="646"/>
        <w:spacing w:after="0" w:line="229" w:lineRule="auto"/>
        <w:tabs>
          <w:tab w:leader="none" w:pos="1934"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customary written opinions of (i) Latham &amp; Watkins LLP, U.S. counsel for Credit Parties, (ii) McCarthy Tétrault LLP, Canadian counsel for Credit Parties, (iii) Clarke Gittens Farmer, Barbados counsel for Lenders, (iv) Walkers (located in The Cayman Islands), Cayman counsel for Lenders, and (v) Walkers (located in Ireland), Irish counsel for Lenders;</w:t>
      </w:r>
    </w:p>
    <w:p>
      <w:pPr>
        <w:spacing w:after="0" w:line="150" w:lineRule="exact"/>
        <w:rPr>
          <w:rFonts w:ascii="Times New Roman" w:cs="Times New Roman" w:eastAsia="Times New Roman" w:hAnsi="Times New Roman"/>
          <w:sz w:val="21"/>
          <w:szCs w:val="21"/>
          <w:color w:val="auto"/>
        </w:rPr>
      </w:pPr>
    </w:p>
    <w:p>
      <w:pPr>
        <w:jc w:val="both"/>
        <w:ind w:left="1940" w:hanging="646"/>
        <w:spacing w:after="0" w:line="223" w:lineRule="auto"/>
        <w:tabs>
          <w:tab w:leader="none" w:pos="194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documents and instruments required to perfect or evidence Agent’s security interest in and liens on the Collateral (including, without limitation, all certificates evidencing pledged capital stock or membership or partnership interests, as applicable, with accompanying executed stock powers, all PPSA and UCC financing statements to be filed in the applicable government PPSA and UCC filing offices and all intellectual property security agreements to be filed with the Intellectual Property Offices in Canada and the United States, as applicable);</w:t>
      </w:r>
    </w:p>
    <w:p>
      <w:pPr>
        <w:spacing w:after="0" w:line="155" w:lineRule="exact"/>
        <w:rPr>
          <w:rFonts w:ascii="Times New Roman" w:cs="Times New Roman" w:eastAsia="Times New Roman" w:hAnsi="Times New Roman"/>
          <w:sz w:val="21"/>
          <w:szCs w:val="21"/>
          <w:color w:val="auto"/>
        </w:rPr>
      </w:pPr>
    </w:p>
    <w:p>
      <w:pPr>
        <w:ind w:left="1920" w:hanging="626"/>
        <w:spacing w:after="0"/>
        <w:tabs>
          <w:tab w:leader="none" w:pos="192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PPSA, UCC and other lien searches, intellectual property searches and insurance policies;</w:t>
      </w:r>
    </w:p>
    <w:p>
      <w:pPr>
        <w:spacing w:after="0" w:line="187" w:lineRule="exact"/>
        <w:rPr>
          <w:rFonts w:ascii="Times New Roman" w:cs="Times New Roman" w:eastAsia="Times New Roman" w:hAnsi="Times New Roman"/>
          <w:sz w:val="21"/>
          <w:szCs w:val="21"/>
          <w:color w:val="auto"/>
        </w:rPr>
      </w:pPr>
    </w:p>
    <w:p>
      <w:pPr>
        <w:jc w:val="both"/>
        <w:ind w:left="1940" w:hanging="646"/>
        <w:spacing w:after="0"/>
        <w:tabs>
          <w:tab w:leader="none" w:pos="1935"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respect of any written request made no less than five (5) Business Days prior to the Restatement Effective Date, all documentation and other information required by regulatory authorities under applicable “know your customer” and anti-money-laundering rules and regulations, including, without limitation, the </w:t>
      </w:r>
      <w:r>
        <w:rPr>
          <w:rFonts w:ascii="Times New Roman" w:cs="Times New Roman" w:eastAsia="Times New Roman" w:hAnsi="Times New Roman"/>
          <w:sz w:val="21"/>
          <w:szCs w:val="21"/>
          <w:i w:val="1"/>
          <w:iCs w:val="1"/>
          <w:color w:val="auto"/>
        </w:rPr>
        <w:t>Patriot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Act</w:t>
      </w:r>
      <w:r>
        <w:rPr>
          <w:rFonts w:ascii="Times New Roman" w:cs="Times New Roman" w:eastAsia="Times New Roman" w:hAnsi="Times New Roman"/>
          <w:sz w:val="21"/>
          <w:szCs w:val="21"/>
          <w:color w:val="auto"/>
        </w:rPr>
        <w:t>;</w:t>
      </w:r>
    </w:p>
    <w:p>
      <w:pPr>
        <w:spacing w:after="0" w:line="347" w:lineRule="exact"/>
        <w:rPr>
          <w:rFonts w:ascii="Times New Roman" w:cs="Times New Roman" w:eastAsia="Times New Roman" w:hAnsi="Times New Roman"/>
          <w:sz w:val="21"/>
          <w:szCs w:val="21"/>
          <w:color w:val="auto"/>
        </w:rPr>
      </w:pPr>
    </w:p>
    <w:p>
      <w:pPr>
        <w:jc w:val="both"/>
        <w:ind w:left="1940" w:hanging="646"/>
        <w:spacing w:after="0" w:line="222" w:lineRule="auto"/>
        <w:tabs>
          <w:tab w:leader="none" w:pos="1928"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certificate from a Responsible Officer of the Borrower to the effect that (A) all representations and warranties of the Credit Parties contained in this Agreement and the other Financing Agreements are true, correct and complete in all material respects (except to the extent any such representation and warranty is qualified by materiality or reference to Material Adverse Effect, in which case, such representation and warranty shall be true, correct and complete in all respects); (B) after giving effect to the transactions contemplated hereby, no Default or Event of Default has occurred and is continuing; and (C) after giving effect to the transactions contemplated hereby, the condition set forth in </w:t>
      </w:r>
      <w:r>
        <w:rPr>
          <w:rFonts w:ascii="Times New Roman" w:cs="Times New Roman" w:eastAsia="Times New Roman" w:hAnsi="Times New Roman"/>
          <w:sz w:val="21"/>
          <w:szCs w:val="21"/>
          <w:u w:val="single" w:color="auto"/>
          <w:color w:val="auto"/>
        </w:rPr>
        <w:t>Section 4.1(b)</w:t>
      </w:r>
      <w:r>
        <w:rPr>
          <w:rFonts w:ascii="Times New Roman" w:cs="Times New Roman" w:eastAsia="Times New Roman" w:hAnsi="Times New Roman"/>
          <w:sz w:val="21"/>
          <w:szCs w:val="21"/>
          <w:color w:val="auto"/>
        </w:rPr>
        <w:t xml:space="preserve"> is satisfied;</w:t>
      </w:r>
    </w:p>
    <w:p>
      <w:pPr>
        <w:spacing w:after="0" w:line="152" w:lineRule="exact"/>
        <w:rPr>
          <w:rFonts w:ascii="Times New Roman" w:cs="Times New Roman" w:eastAsia="Times New Roman" w:hAnsi="Times New Roman"/>
          <w:sz w:val="21"/>
          <w:szCs w:val="21"/>
          <w:color w:val="auto"/>
        </w:rPr>
      </w:pPr>
    </w:p>
    <w:p>
      <w:pPr>
        <w:jc w:val="both"/>
        <w:ind w:left="1940" w:hanging="646"/>
        <w:spacing w:after="0" w:line="226" w:lineRule="auto"/>
        <w:tabs>
          <w:tab w:leader="none" w:pos="1934"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certificate of a Responsible Officer of each Credit Party certifying as to the incumbency and genuineness of the signature of each officer of such Credit Party executing Financing Agreements to which it is a party and certifying that attached thereto is a true and correct copy of (A) the articles or certificate of incorporation or formation (or equivalent), as applicable, of such Credit Party and all amendments thereto, certified (save in the case of IMAX Ireland) as of a recent date by the appropriate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21"/>
          <w:szCs w:val="21"/>
          <w:color w:val="auto"/>
        </w:rPr>
        <w:t>Authority in its jurisdiction of incorporation, organization or formation (or equivalent), as applicable,</w:t>
      </w:r>
    </w:p>
    <w:p>
      <w:pPr>
        <w:jc w:val="both"/>
        <w:ind w:left="1940" w:hanging="2"/>
        <w:spacing w:after="0" w:line="221" w:lineRule="auto"/>
        <w:tabs>
          <w:tab w:leader="none" w:pos="2299" w:val="left"/>
        </w:tabs>
        <w:numPr>
          <w:ilvl w:val="2"/>
          <w:numId w:val="1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bylaws, constitution or governing documents of such Credit Party as in effect on the Restatement Effective Date, (C) resolutions duly adopted by the board of directors (or other governing body) of such Credit Party described in clause (ix) above and (D) where applicable, a certificate of a recent date of the good standing of each Credit Party under the laws of its jurisdiction of incorporation, organization or formation (or equivalent), as applicable; and</w:t>
      </w:r>
    </w:p>
    <w:p>
      <w:pPr>
        <w:spacing w:after="0" w:line="151" w:lineRule="exact"/>
        <w:rPr>
          <w:rFonts w:ascii="Times New Roman" w:cs="Times New Roman" w:eastAsia="Times New Roman" w:hAnsi="Times New Roman"/>
          <w:sz w:val="21"/>
          <w:szCs w:val="21"/>
          <w:color w:val="auto"/>
        </w:rPr>
      </w:pPr>
    </w:p>
    <w:p>
      <w:pPr>
        <w:jc w:val="both"/>
        <w:ind w:left="1940" w:hanging="646"/>
        <w:spacing w:after="0" w:line="229" w:lineRule="auto"/>
        <w:tabs>
          <w:tab w:leader="none" w:pos="1940" w:val="left"/>
        </w:tabs>
        <w:numPr>
          <w:ilvl w:val="1"/>
          <w:numId w:val="1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evidence of property, business interruption and liability insurance covering each Credit Party (with appropriate endorsements naming the Agent as lender’s loss payee on all policies for property hazard insurance and as additional insured on all policies for liability insurance), in each case in form and substance reasonably satisfactory to the Agent.</w:t>
      </w:r>
    </w:p>
    <w:p>
      <w:pPr>
        <w:spacing w:after="0" w:line="150"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since December 31, 2024, there shall not have occurred any event or condition that has had or could be reasonably expected, either individually or in the aggregate, to have a Material Adverse Effect;</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97"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fees and reasonable out-of-pocket expenses due on the Restatement Effective Date to the Lenders, Agent and counsel to Agent for which an invoice has been presented at least two (2) Business Days prior to the Restatement Effective Date (or such shorter period as may be reasonably requested by Agent and acceptable to Borrower, acting reasonably) or as set forth on a settlement statement or funds flow approved by the Borrower, will be paid; and</w:t>
      </w:r>
    </w:p>
    <w:p>
      <w:pPr>
        <w:spacing w:after="0" w:line="150"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Arranger will have received, in form and substance reasonably satisfactory to the Arranger, projections prepared by Borrower of balance sheets, income statements and cashflow statements of Borrower and its Subsidiaries.</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4.2</w:t>
      </w:r>
      <w:r>
        <w:rPr>
          <w:sz w:val="20"/>
          <w:szCs w:val="20"/>
          <w:color w:val="auto"/>
        </w:rPr>
        <w:tab/>
      </w:r>
      <w:r>
        <w:rPr>
          <w:rFonts w:ascii="Times New Roman" w:cs="Times New Roman" w:eastAsia="Times New Roman" w:hAnsi="Times New Roman"/>
          <w:sz w:val="21"/>
          <w:szCs w:val="21"/>
          <w:b w:val="1"/>
          <w:bCs w:val="1"/>
          <w:color w:val="auto"/>
        </w:rPr>
        <w:t>Conditions Precedent to the Availability of All Loans and Letter of Credit Accommodations</w:t>
      </w:r>
    </w:p>
    <w:p>
      <w:pPr>
        <w:spacing w:after="0" w:line="2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13.13</w:t>
      </w:r>
      <w:r>
        <w:rPr>
          <w:rFonts w:ascii="Times New Roman" w:cs="Times New Roman" w:eastAsia="Times New Roman" w:hAnsi="Times New Roman"/>
          <w:sz w:val="21"/>
          <w:szCs w:val="21"/>
          <w:color w:val="auto"/>
        </w:rPr>
        <w:t xml:space="preserve"> solely with respect to any Incremental Term Loan incurred to finance a Limited Condition Acquisition, each of the following is an additional condition precedent to Lenders making available the Loans and/or making available Letter of Credit Accommodations to Borrower, including the initial Loans and Letter of Credit Accommodations and any future Loans and Letter of Credit Accommodations:</w:t>
      </w:r>
    </w:p>
    <w:p>
      <w:pPr>
        <w:spacing w:after="0" w:line="133" w:lineRule="exact"/>
        <w:rPr>
          <w:sz w:val="20"/>
          <w:szCs w:val="20"/>
          <w:color w:val="auto"/>
        </w:rPr>
      </w:pPr>
    </w:p>
    <w:p>
      <w:pPr>
        <w:ind w:left="1300" w:right="20" w:hanging="649"/>
        <w:spacing w:after="0" w:line="250" w:lineRule="auto"/>
        <w:tabs>
          <w:tab w:leader="none" w:pos="1297"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steps required with respect to notice and request for the making available of the Loans and/or making available Letter of Credit Accommodations to Borrower set out or contemplated herein have been completed;</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22" w:lineRule="auto"/>
        <w:tabs>
          <w:tab w:leader="none" w:pos="1295" w:val="left"/>
        </w:tabs>
        <w:numPr>
          <w:ilvl w:val="0"/>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representations and warranties contained in the Financing Agreements shall be true and correct (i) in all material respects if not subject to materiality or Material Adverse Effect qualifications or (ii) in all respects if subject to materiality or Material Adverse Effect qualifications in each case with the same effect as though such representations and warranties had been made on and as of the date of the making of each such Loan or providing each such Letter of Credit Accommodation (except for any such representation and warranty that by its terms is made only as of an earlier date, which representation and warranty shall remain true and correct in all material respects if not subject to materiality or Material Adverse Effect qualifications as of such earlier date, except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3" w:right="339" w:bottom="1440" w:gutter="0" w:footer="0" w:header="0"/>
        </w:sectPr>
      </w:pPr>
    </w:p>
    <w:bookmarkStart w:id="158" w:name="page159"/>
    <w:bookmarkEnd w:id="158"/>
    <w:p>
      <w:pPr>
        <w:jc w:val="both"/>
        <w:ind w:left="1300"/>
        <w:spacing w:after="0" w:line="234" w:lineRule="auto"/>
        <w:rPr>
          <w:sz w:val="20"/>
          <w:szCs w:val="20"/>
          <w:color w:val="auto"/>
        </w:rPr>
      </w:pPr>
      <w:r>
        <w:rPr>
          <w:rFonts w:ascii="Times New Roman" w:cs="Times New Roman" w:eastAsia="Times New Roman" w:hAnsi="Times New Roman"/>
          <w:sz w:val="21"/>
          <w:szCs w:val="21"/>
          <w:color w:val="auto"/>
        </w:rPr>
        <w:t>representation and warranty that is qualified by materiality or reference to Material Adverse Effect, which such representation and warranty shall be true and correct in all respects as of such earlier date) and after giving effect thereto;</w:t>
      </w:r>
    </w:p>
    <w:p>
      <w:pPr>
        <w:spacing w:after="0" w:line="152" w:lineRule="exact"/>
        <w:rPr>
          <w:sz w:val="20"/>
          <w:szCs w:val="20"/>
          <w:color w:val="auto"/>
        </w:rPr>
      </w:pPr>
    </w:p>
    <w:p>
      <w:pPr>
        <w:jc w:val="both"/>
        <w:ind w:left="1300" w:right="20" w:hanging="649"/>
        <w:spacing w:after="0"/>
        <w:tabs>
          <w:tab w:leader="none" w:pos="1297"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Event of Default or Default shall have occurred and be continuing on and as of the date of the making of such Loan or providing, amending or extending each such Letter of Credit Accommodation and after giving effect thereto;</w:t>
      </w:r>
    </w:p>
    <w:p>
      <w:pPr>
        <w:spacing w:after="0" w:line="374" w:lineRule="exact"/>
        <w:rPr>
          <w:rFonts w:ascii="Times New Roman" w:cs="Times New Roman" w:eastAsia="Times New Roman" w:hAnsi="Times New Roman"/>
          <w:sz w:val="21"/>
          <w:szCs w:val="21"/>
          <w:color w:val="auto"/>
        </w:rPr>
      </w:pPr>
    </w:p>
    <w:p>
      <w:pPr>
        <w:jc w:val="both"/>
        <w:ind w:left="1300" w:hanging="649"/>
        <w:spacing w:after="0" w:line="223" w:lineRule="auto"/>
        <w:tabs>
          <w:tab w:leader="none" w:pos="1295"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each Revolving Loan and Letter of Credit Accommodation, (i) the Revolving Loan Outstandings shall not exceed the Revolving Loan Commitment, (ii) the Revolving Loan Exposure of any Lender shall not exceed such Lender’s Revolving Loan Commitment, (iii) the aggregate outstanding amount of the Letter of Credit Accommodations shall not exceed the Letter of Credit Accommodations Sublimit and (iv) the aggregate principal amount (using the Dollar Equivalent thereof) of all Alternate Currency Loans shall not exceed the Alternate Currency Revolving Loan Sublimit; and</w:t>
      </w:r>
    </w:p>
    <w:p>
      <w:pPr>
        <w:spacing w:after="0" w:line="155" w:lineRule="exact"/>
        <w:rPr>
          <w:rFonts w:ascii="Times New Roman" w:cs="Times New Roman" w:eastAsia="Times New Roman" w:hAnsi="Times New Roman"/>
          <w:sz w:val="21"/>
          <w:szCs w:val="21"/>
          <w:color w:val="auto"/>
        </w:rPr>
      </w:pPr>
    </w:p>
    <w:p>
      <w:pPr>
        <w:ind w:left="1300" w:right="20" w:hanging="649"/>
        <w:spacing w:after="0" w:line="250" w:lineRule="auto"/>
        <w:tabs>
          <w:tab w:leader="none" w:pos="1297" w:val="left"/>
        </w:tabs>
        <w:numPr>
          <w:ilvl w:val="0"/>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giving effect to each Incremental Term Loan, the Incremental Term Loans of any Term Lender shall not exceed such Term Lender’s Incremental Term Loan Commitment.</w:t>
      </w:r>
    </w:p>
    <w:p>
      <w:pPr>
        <w:spacing w:after="0" w:line="1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5</w:t>
      </w:r>
    </w:p>
    <w:p>
      <w:pPr>
        <w:spacing w:after="0" w:line="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1"/>
          <w:szCs w:val="21"/>
          <w:b w:val="1"/>
          <w:bCs w:val="1"/>
          <w:u w:val="single" w:color="auto"/>
          <w:color w:val="auto"/>
        </w:rPr>
        <w:t>COLLECTION AND ADMINISTRATION</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5.1</w:t>
      </w:r>
      <w:r>
        <w:rPr>
          <w:sz w:val="20"/>
          <w:szCs w:val="20"/>
          <w:color w:val="auto"/>
        </w:rPr>
        <w:tab/>
      </w:r>
      <w:r>
        <w:rPr>
          <w:rFonts w:ascii="Times New Roman" w:cs="Times New Roman" w:eastAsia="Times New Roman" w:hAnsi="Times New Roman"/>
          <w:sz w:val="21"/>
          <w:szCs w:val="21"/>
          <w:b w:val="1"/>
          <w:bCs w:val="1"/>
          <w:color w:val="auto"/>
        </w:rPr>
        <w:t>Borrower’s Loan Account</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Agent shall maintain one or more loan account(s) on its books in which shall be recorded: (a) all Loans, Letter of Credit Accommodations and other Obligations and the Collateral; (b) all payments made by or on behalf of Borrower; and (c) all other appropriate debits and credits as provided in this Agreement, including fees, charges, costs, expenses and interest. All entries in the loan account(s) shall be made in accordance with Agent’s customary practices as in effect from time to time. The accounts or records maintained by the Agent and each Lender or the Issuing Lender shall be conclusive absent manifest error of the amount of the Loans and Letter of Credit Accommodations made by the Lenders or the Issuing Lender to the Borrower and its Subsidiaries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or the Issuing Lender and the accounts and records of the Agent in respect of such matters, the accounts and records of the Agent shall control in the absence of manifest error. Upon the request of any Lender made through the Agent, the Borrower shall execute and deliver to such Lender (through the Agent) a promissory note, which shall evidence such Lender’s Loans in addition to such accounts or records. Each Lender may attach schedules to its notes and endorse thereon the date, amount and maturity of its Loans and payments with respect thereto.</w:t>
      </w:r>
    </w:p>
    <w:p>
      <w:pPr>
        <w:spacing w:after="0" w:line="17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1"/>
          <w:szCs w:val="21"/>
          <w:color w:val="auto"/>
        </w:rPr>
        <w:t>In addition to the accounts and records referred to in the prior paragraph, each Revolving Lender and the Agent shall maintain in accordance with its usual practice accounts or records evidencing the purchases and sales by such Revolving Lender of participations in Letter of Credit Accommodations and Swingline Loans. In the event of any conflict between the accounts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59" w:name="page160"/>
    <w:bookmarkEnd w:id="159"/>
    <w:p>
      <w:pPr>
        <w:jc w:val="both"/>
        <w:ind w:right="20"/>
        <w:spacing w:after="0" w:line="290" w:lineRule="auto"/>
        <w:rPr>
          <w:sz w:val="20"/>
          <w:szCs w:val="20"/>
          <w:color w:val="auto"/>
        </w:rPr>
      </w:pPr>
      <w:r>
        <w:rPr>
          <w:rFonts w:ascii="Times New Roman" w:cs="Times New Roman" w:eastAsia="Times New Roman" w:hAnsi="Times New Roman"/>
          <w:sz w:val="21"/>
          <w:szCs w:val="21"/>
          <w:color w:val="auto"/>
        </w:rPr>
        <w:t>records maintained by the Agent and the accounts and records of any Revolving Lender in respect of such matters, the accounts and records of the Agent shall control in the absence of manifest error.</w:t>
      </w:r>
    </w:p>
    <w:p>
      <w:pPr>
        <w:spacing w:after="0" w:line="1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5.2</w:t>
      </w:r>
      <w:r>
        <w:rPr>
          <w:sz w:val="20"/>
          <w:szCs w:val="20"/>
          <w:color w:val="auto"/>
        </w:rPr>
        <w:tab/>
      </w:r>
      <w:r>
        <w:rPr>
          <w:rFonts w:ascii="Times New Roman" w:cs="Times New Roman" w:eastAsia="Times New Roman" w:hAnsi="Times New Roman"/>
          <w:sz w:val="21"/>
          <w:szCs w:val="21"/>
          <w:b w:val="1"/>
          <w:bCs w:val="1"/>
          <w:color w:val="auto"/>
        </w:rPr>
        <w:t>Statements</w:t>
      </w:r>
    </w:p>
    <w:p>
      <w:pPr>
        <w:spacing w:after="0" w:line="2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1"/>
          <w:szCs w:val="21"/>
          <w:color w:val="auto"/>
        </w:rPr>
        <w:t>Borrower may from time to time request and Agent shall promptly provide to Borrower, within a reasonable period of time following such request, statements setting forth the balance in the Borrower’s loan accounts maintained by the Agent pursuant to the provisions of this Agreement, including principal and interest amounts and accrued and unpaid fees.</w:t>
      </w:r>
    </w:p>
    <w:p>
      <w:pPr>
        <w:spacing w:after="0" w:line="1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5.3</w:t>
      </w:r>
      <w:r>
        <w:rPr>
          <w:sz w:val="20"/>
          <w:szCs w:val="20"/>
          <w:color w:val="auto"/>
        </w:rPr>
        <w:tab/>
      </w:r>
      <w:r>
        <w:rPr>
          <w:rFonts w:ascii="Times New Roman" w:cs="Times New Roman" w:eastAsia="Times New Roman" w:hAnsi="Times New Roman"/>
          <w:sz w:val="21"/>
          <w:szCs w:val="21"/>
          <w:b w:val="1"/>
          <w:bCs w:val="1"/>
          <w:color w:val="auto"/>
        </w:rPr>
        <w:t>Payments</w:t>
      </w:r>
    </w:p>
    <w:p>
      <w:pPr>
        <w:spacing w:after="0" w:line="191" w:lineRule="exact"/>
        <w:rPr>
          <w:sz w:val="20"/>
          <w:szCs w:val="20"/>
          <w:color w:val="auto"/>
        </w:rPr>
      </w:pPr>
    </w:p>
    <w:p>
      <w:pPr>
        <w:jc w:val="both"/>
        <w:ind w:left="1300" w:hanging="649"/>
        <w:spacing w:after="0" w:line="234" w:lineRule="auto"/>
        <w:tabs>
          <w:tab w:leader="none" w:pos="1297"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(other than obligations, liabilities and indebtedness in connection with any Secured Hedge Agreement (which shall be paid in accordance with the terms thereof)) shall be payable to Agent as it may designate from time to time.</w:t>
      </w:r>
    </w:p>
    <w:p>
      <w:pPr>
        <w:spacing w:after="0" w:line="151"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shall apply payments received or collected from Credit Parties or for the account of Credit Parties (including the monetary proceeds of collections or of realization upon any Collateral) as follows:</w:t>
      </w:r>
    </w:p>
    <w:p>
      <w:pPr>
        <w:spacing w:after="0" w:line="140" w:lineRule="exact"/>
        <w:rPr>
          <w:rFonts w:ascii="Times New Roman" w:cs="Times New Roman" w:eastAsia="Times New Roman" w:hAnsi="Times New Roman"/>
          <w:sz w:val="21"/>
          <w:szCs w:val="21"/>
          <w:color w:val="auto"/>
        </w:rPr>
      </w:pPr>
    </w:p>
    <w:p>
      <w:pPr>
        <w:ind w:left="1940" w:hanging="646"/>
        <w:spacing w:after="0" w:line="250" w:lineRule="auto"/>
        <w:tabs>
          <w:tab w:leader="none" w:pos="1928"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first</w:t>
      </w:r>
      <w:r>
        <w:rPr>
          <w:rFonts w:ascii="Times New Roman" w:cs="Times New Roman" w:eastAsia="Times New Roman" w:hAnsi="Times New Roman"/>
          <w:sz w:val="21"/>
          <w:szCs w:val="21"/>
          <w:color w:val="auto"/>
        </w:rPr>
        <w:t>, ratably, to pay any fees, indemnities or expense reimbursements then due to Agent and Lenders from Credit Parties;</w:t>
      </w:r>
    </w:p>
    <w:p>
      <w:pPr>
        <w:spacing w:after="0" w:line="140" w:lineRule="exact"/>
        <w:rPr>
          <w:rFonts w:ascii="Times New Roman" w:cs="Times New Roman" w:eastAsia="Times New Roman" w:hAnsi="Times New Roman"/>
          <w:sz w:val="21"/>
          <w:szCs w:val="21"/>
          <w:color w:val="auto"/>
        </w:rPr>
      </w:pPr>
    </w:p>
    <w:p>
      <w:pPr>
        <w:ind w:left="1940" w:hanging="646"/>
        <w:spacing w:after="0"/>
        <w:tabs>
          <w:tab w:leader="none" w:pos="1940"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second</w:t>
      </w:r>
      <w:r>
        <w:rPr>
          <w:rFonts w:ascii="Times New Roman" w:cs="Times New Roman" w:eastAsia="Times New Roman" w:hAnsi="Times New Roman"/>
          <w:sz w:val="21"/>
          <w:szCs w:val="21"/>
          <w:color w:val="auto"/>
        </w:rPr>
        <w:t>, to pay interest then due in respect of any Loans;</w:t>
      </w:r>
    </w:p>
    <w:p>
      <w:pPr>
        <w:spacing w:after="0" w:line="187" w:lineRule="exact"/>
        <w:rPr>
          <w:rFonts w:ascii="Times New Roman" w:cs="Times New Roman" w:eastAsia="Times New Roman" w:hAnsi="Times New Roman"/>
          <w:sz w:val="21"/>
          <w:szCs w:val="21"/>
          <w:color w:val="auto"/>
        </w:rPr>
      </w:pPr>
    </w:p>
    <w:p>
      <w:pPr>
        <w:ind w:left="1940" w:hanging="646"/>
        <w:spacing w:after="0" w:line="250" w:lineRule="auto"/>
        <w:tabs>
          <w:tab w:leader="none" w:pos="1940"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third</w:t>
      </w:r>
      <w:r>
        <w:rPr>
          <w:rFonts w:ascii="Times New Roman" w:cs="Times New Roman" w:eastAsia="Times New Roman" w:hAnsi="Times New Roman"/>
          <w:sz w:val="21"/>
          <w:szCs w:val="21"/>
          <w:color w:val="auto"/>
        </w:rPr>
        <w:t>, to pay principal then due in respect of the Loans and outstanding obligations due under Secured Hedge Agreements and Secured Cash Management Agreements; and</w:t>
      </w:r>
    </w:p>
    <w:p>
      <w:pPr>
        <w:spacing w:after="0" w:line="140" w:lineRule="exact"/>
        <w:rPr>
          <w:rFonts w:ascii="Times New Roman" w:cs="Times New Roman" w:eastAsia="Times New Roman" w:hAnsi="Times New Roman"/>
          <w:sz w:val="21"/>
          <w:szCs w:val="21"/>
          <w:color w:val="auto"/>
        </w:rPr>
      </w:pPr>
    </w:p>
    <w:p>
      <w:pPr>
        <w:jc w:val="both"/>
        <w:ind w:left="1940" w:hanging="646"/>
        <w:spacing w:after="0" w:line="229" w:lineRule="auto"/>
        <w:tabs>
          <w:tab w:leader="none" w:pos="1928" w:val="left"/>
        </w:tabs>
        <w:numPr>
          <w:ilvl w:val="1"/>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fourth</w:t>
      </w:r>
      <w:r>
        <w:rPr>
          <w:rFonts w:ascii="Times New Roman" w:cs="Times New Roman" w:eastAsia="Times New Roman" w:hAnsi="Times New Roman"/>
          <w:sz w:val="21"/>
          <w:szCs w:val="21"/>
          <w:color w:val="auto"/>
        </w:rPr>
        <w:t>, to pay the outstanding Loans and cash collateralize outstanding Letter of Credit Accommodations, Secured Hedge Agreements, and Secured Cash Management Agreements and after the occurrence of and during the continuance of an Event of Default, to pay or pre-pay such of the Obligations, whether or not then due, in such order and manner as Agent determines.</w:t>
      </w:r>
    </w:p>
    <w:p>
      <w:pPr>
        <w:spacing w:after="0" w:line="150" w:lineRule="exact"/>
        <w:rPr>
          <w:rFonts w:ascii="Times New Roman" w:cs="Times New Roman" w:eastAsia="Times New Roman" w:hAnsi="Times New Roman"/>
          <w:sz w:val="21"/>
          <w:szCs w:val="21"/>
          <w:color w:val="auto"/>
        </w:rPr>
      </w:pPr>
    </w:p>
    <w:p>
      <w:pPr>
        <w:jc w:val="both"/>
        <w:ind w:left="1300" w:hanging="649"/>
        <w:spacing w:after="0" w:line="222" w:lineRule="auto"/>
        <w:tabs>
          <w:tab w:leader="none" w:pos="1297"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above, Obligations arising under Secured Hedge Agreements and Secured Cash Management Agreements shall be excluded from the application described above if Agent has not received written notice thereof, together with such supporting documentation as Agent may request, from the applicable Hedge Bank or Cash Management Bank, as the case may be. Each Hedge Bank or Cash Management Bank not a party to this Agreement that has given the notice contemplated by the preceding sentence shall, by such notice, be deemed to have acknowledged and accepted the appointment of Agent pursuant to the terms of </w:t>
      </w:r>
      <w:r>
        <w:rPr>
          <w:rFonts w:ascii="Times New Roman" w:cs="Times New Roman" w:eastAsia="Times New Roman" w:hAnsi="Times New Roman"/>
          <w:sz w:val="21"/>
          <w:szCs w:val="21"/>
          <w:u w:val="single" w:color="auto"/>
          <w:color w:val="auto"/>
        </w:rPr>
        <w:t>Article 11</w:t>
      </w:r>
      <w:r>
        <w:rPr>
          <w:rFonts w:ascii="Times New Roman" w:cs="Times New Roman" w:eastAsia="Times New Roman" w:hAnsi="Times New Roman"/>
          <w:sz w:val="21"/>
          <w:szCs w:val="21"/>
          <w:color w:val="auto"/>
        </w:rPr>
        <w:t xml:space="preserve"> for itself and its Affiliates as if a “Lender” party hereto.</w:t>
      </w:r>
    </w:p>
    <w:p>
      <w:pPr>
        <w:spacing w:after="0" w:line="152"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95"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and collections received in any currency other than Canadian Dollars, Euros and U.S. Dollars will be accepted and/or applied at the sole discretion of Agent. At Agent’s option, and to the extent such amounts are overdue, all principal, interest, fees, costs, expenses and other charges provided for in the Financing Agreements, the Secured Hedge Agreements or the Secured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60" w:name="page161"/>
    <w:bookmarkEnd w:id="160"/>
    <w:p>
      <w:pPr>
        <w:jc w:val="both"/>
        <w:ind w:left="1300"/>
        <w:spacing w:after="0" w:line="236" w:lineRule="auto"/>
        <w:rPr>
          <w:sz w:val="20"/>
          <w:szCs w:val="20"/>
          <w:color w:val="auto"/>
        </w:rPr>
      </w:pPr>
      <w:r>
        <w:rPr>
          <w:rFonts w:ascii="Times New Roman" w:cs="Times New Roman" w:eastAsia="Times New Roman" w:hAnsi="Times New Roman"/>
          <w:sz w:val="21"/>
          <w:szCs w:val="21"/>
          <w:color w:val="auto"/>
        </w:rPr>
        <w:t xml:space="preserve">Management Agreements may be charged directly to the loan account(s) of Borrower. Subject to </w:t>
      </w:r>
      <w:r>
        <w:rPr>
          <w:rFonts w:ascii="Times New Roman" w:cs="Times New Roman" w:eastAsia="Times New Roman" w:hAnsi="Times New Roman"/>
          <w:sz w:val="21"/>
          <w:szCs w:val="21"/>
          <w:u w:val="single" w:color="auto"/>
          <w:color w:val="auto"/>
        </w:rPr>
        <w:t>Section 3.5</w:t>
      </w:r>
      <w:r>
        <w:rPr>
          <w:rFonts w:ascii="Times New Roman" w:cs="Times New Roman" w:eastAsia="Times New Roman" w:hAnsi="Times New Roman"/>
          <w:sz w:val="21"/>
          <w:szCs w:val="21"/>
          <w:color w:val="auto"/>
        </w:rPr>
        <w:t xml:space="preserve"> and except as otherwise required by Applicable Law, Borrower shall make all payments to Agent on the Obligations free and clear of, and without deduction or withholding for or on account of, any set-off, counterclaim, defense, duties, taxes, levies, imposts, fees, deductions, withholding, restrictions or conditions of any kind. If after receipt of any payment of, or proceeds of Collateral applied to the payment of, any of the Obligations, Agent or any Lender is required to surrender or return such payment or proceeds to any Person for any reason, then the Obligations intended to be satisfied by such payment or proceeds shall be reinstated and continue and this Agreement shall continue in full force and effect as if such payment or proceeds had not been received by Agent. Borrower shall be liable to pay to Agent and each Lender, and does hereby indemnify and hold Agent and each Lender harmless for, the amount of any payments or proceeds surrendered or returned. This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shall remain effective notwithstanding any contrary action which may be taken by Agent or any Lender in reliance upon such payment or proceeds. The indemnification in the second preceding sentence shall survive the payment of the Obligations and the termination of this Agreement.</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5.4</w:t>
      </w:r>
      <w:r>
        <w:rPr>
          <w:sz w:val="20"/>
          <w:szCs w:val="20"/>
          <w:color w:val="auto"/>
        </w:rPr>
        <w:tab/>
      </w:r>
      <w:r>
        <w:rPr>
          <w:rFonts w:ascii="Times New Roman" w:cs="Times New Roman" w:eastAsia="Times New Roman" w:hAnsi="Times New Roman"/>
          <w:sz w:val="21"/>
          <w:szCs w:val="21"/>
          <w:b w:val="1"/>
          <w:bCs w:val="1"/>
          <w:color w:val="auto"/>
        </w:rPr>
        <w:t>Authorization to Make Loans and Letter of Credit Accommodations</w:t>
      </w:r>
    </w:p>
    <w:p>
      <w:pPr>
        <w:spacing w:after="0" w:line="2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Each Lender is authorized to make the Loans and provide the Letter of Credit Accommodations based upon written instructions received by Agent from the persons authorized by Borrower as notified in writing by Borrower to Agent from time to time or, at the discretion of Lenders, if such Loans are necessary to satisfy any Obligations that are overdue. All Loans and Letter of Credit Accommodations under this Agreement shall be conclusively presumed to have been made to, and at the request of and for the benefit of, Borrower when deposited to the credit of Borrower or otherwise disbursed or established in accordance with the instructions of Borrower or in accordance with the terms and conditions of this Agreement.</w:t>
      </w:r>
    </w:p>
    <w:p>
      <w:pPr>
        <w:spacing w:after="0" w:line="13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5.5</w:t>
      </w:r>
      <w:r>
        <w:rPr>
          <w:sz w:val="20"/>
          <w:szCs w:val="20"/>
          <w:color w:val="auto"/>
        </w:rPr>
        <w:tab/>
      </w:r>
      <w:r>
        <w:rPr>
          <w:rFonts w:ascii="Times New Roman" w:cs="Times New Roman" w:eastAsia="Times New Roman" w:hAnsi="Times New Roman"/>
          <w:sz w:val="21"/>
          <w:szCs w:val="21"/>
          <w:b w:val="1"/>
          <w:bCs w:val="1"/>
          <w:color w:val="auto"/>
        </w:rPr>
        <w:t>Use of Proceeds</w:t>
      </w:r>
    </w:p>
    <w:p>
      <w:pPr>
        <w:spacing w:after="0" w:line="2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Borrower shall use the proceeds of the Loans provided by Lenders to Borrower hereunder to (a) pay costs, expenses and fees in connection with the preparation, negotiation, execution and delivery of the Financing Agreements and (b) finance ongoing working capital requirements and other general corporate purposes of Borrower and its Subsidiaries, including the financing of permitted acquisitions and other permitted investments, permitted stock buybacks and dividends.</w:t>
      </w:r>
    </w:p>
    <w:p>
      <w:pPr>
        <w:spacing w:after="0" w:line="1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5.6</w:t>
      </w:r>
      <w:r>
        <w:rPr>
          <w:sz w:val="20"/>
          <w:szCs w:val="20"/>
          <w:color w:val="auto"/>
        </w:rPr>
        <w:tab/>
      </w:r>
      <w:r>
        <w:rPr>
          <w:rFonts w:ascii="Times New Roman" w:cs="Times New Roman" w:eastAsia="Times New Roman" w:hAnsi="Times New Roman"/>
          <w:sz w:val="21"/>
          <w:szCs w:val="21"/>
          <w:b w:val="1"/>
          <w:bCs w:val="1"/>
          <w:i w:val="1"/>
          <w:iCs w:val="1"/>
          <w:color w:val="auto"/>
        </w:rPr>
        <w:t xml:space="preserve">Pro Rata </w:t>
      </w:r>
      <w:r>
        <w:rPr>
          <w:rFonts w:ascii="Times New Roman" w:cs="Times New Roman" w:eastAsia="Times New Roman" w:hAnsi="Times New Roman"/>
          <w:sz w:val="21"/>
          <w:szCs w:val="21"/>
          <w:b w:val="1"/>
          <w:bCs w:val="1"/>
          <w:color w:val="auto"/>
        </w:rPr>
        <w:t>Treatment</w:t>
      </w:r>
    </w:p>
    <w:p>
      <w:pPr>
        <w:spacing w:after="0" w:line="22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Except to the extent otherwise provided in this Agreement, (a) the making and conversion of Revolving Loans shall be made by Revolving Lenders based on their respective Pro Rata Shares as to the Revolving Loans and (b) each payment on account of any Obligations to or for the account of one or more of Lenders or their respective Affiliates in respect of any Obligations due on a particular day shall be allocated among the Lenders and their respective Affiliates, as applicable, entitled to such payments based on their respective Pro Rata Shares and shall be distributed accordingly by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61" w:name="page162"/>
    <w:bookmarkEnd w:id="161"/>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5.7</w:t>
      </w:r>
      <w:r>
        <w:rPr>
          <w:sz w:val="20"/>
          <w:szCs w:val="20"/>
          <w:color w:val="auto"/>
        </w:rPr>
        <w:tab/>
      </w:r>
      <w:r>
        <w:rPr>
          <w:rFonts w:ascii="Times New Roman" w:cs="Times New Roman" w:eastAsia="Times New Roman" w:hAnsi="Times New Roman"/>
          <w:sz w:val="21"/>
          <w:szCs w:val="21"/>
          <w:b w:val="1"/>
          <w:bCs w:val="1"/>
          <w:color w:val="auto"/>
        </w:rPr>
        <w:t>Obligations Several; Independent Nature of Lenders’ Rights</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The obligations of each Lender hereunder are several, and no Lender shall be responsible for the obligations or commitment of any other Lender hereunder. Nothing contained in this Agreement or any of the other Financing Agreements and no action taken by the Lenders pursuant hereto or thereto shall be deemed to constitute the Lenders to be a partnership, an association, a joint venture or any other kind of entity. The amounts payable at any time hereunder to each Lender shall be a separate and independent debt, and subject to </w:t>
      </w:r>
      <w:r>
        <w:rPr>
          <w:rFonts w:ascii="Times New Roman" w:cs="Times New Roman" w:eastAsia="Times New Roman" w:hAnsi="Times New Roman"/>
          <w:sz w:val="21"/>
          <w:szCs w:val="21"/>
          <w:u w:val="single" w:color="auto"/>
          <w:color w:val="auto"/>
        </w:rPr>
        <w:t>Section 11.13(f)</w:t>
      </w:r>
      <w:r>
        <w:rPr>
          <w:rFonts w:ascii="Times New Roman" w:cs="Times New Roman" w:eastAsia="Times New Roman" w:hAnsi="Times New Roman"/>
          <w:sz w:val="21"/>
          <w:szCs w:val="21"/>
          <w:color w:val="auto"/>
        </w:rPr>
        <w:t xml:space="preserve"> hereof, each Lender shall be entitled to protect and enforce its rights arising out of this Agreement and it shall not be necessary for any other Lender to be joined as an additional party in any proceeding for such purpose.</w:t>
      </w:r>
    </w:p>
    <w:p>
      <w:pPr>
        <w:spacing w:after="0" w:line="39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6</w:t>
      </w:r>
    </w:p>
    <w:p>
      <w:pPr>
        <w:spacing w:after="0" w:line="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1"/>
          <w:szCs w:val="21"/>
          <w:b w:val="1"/>
          <w:bCs w:val="1"/>
          <w:u w:val="single" w:color="auto"/>
          <w:color w:val="auto"/>
        </w:rPr>
        <w:t>REPRESENTATIONS AND WARRANTIES</w:t>
      </w:r>
    </w:p>
    <w:p>
      <w:pPr>
        <w:spacing w:after="0" w:line="19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21"/>
          <w:szCs w:val="21"/>
          <w:color w:val="auto"/>
        </w:rPr>
        <w:t>Each Credit Party hereby represents and warrants to Agent and each Lender the following (which shall survive the execution and delivery of this Agreement):</w:t>
      </w:r>
    </w:p>
    <w:p>
      <w:pPr>
        <w:spacing w:after="0" w:line="9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6.1</w:t>
      </w:r>
      <w:r>
        <w:rPr>
          <w:sz w:val="20"/>
          <w:szCs w:val="20"/>
          <w:color w:val="auto"/>
        </w:rPr>
        <w:tab/>
      </w:r>
      <w:r>
        <w:rPr>
          <w:rFonts w:ascii="Times New Roman" w:cs="Times New Roman" w:eastAsia="Times New Roman" w:hAnsi="Times New Roman"/>
          <w:sz w:val="21"/>
          <w:szCs w:val="21"/>
          <w:b w:val="1"/>
          <w:bCs w:val="1"/>
          <w:color w:val="auto"/>
        </w:rPr>
        <w:t>Existence, Power and Authority; Subsidiaries; Solvency</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Each Credit Party and each Subsidiary thereof (a) is a Person duly incorporated or organized and validly existing under the laws of its jurisdiction of incorporation or organization and (b) is duly qualified or registered as a foreign or extra-provincial corporation in all provinces, states or other jurisdictions where the nature and extent of the business transacted by it or the ownership of assets makes such qualification necessary, except in each case referred to in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(other than with respect to each Credit Party) and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xml:space="preserve"> to the extent that failure to do so could not reasonably be expected to have a Material Adverse Effect. The execution, delivery and performance of the Financing Agreements and the transactions contemplated thereunder (a) are all within each Credit Party’s and each of its Subsidiaries’ corporate or other powers, (b) have been duly authorized, and (c) are not in contravention of law or the terms of its certificate of incorporation, by-laws, or other organizational documentation, or any indenture, agreement or undertaking to which it is a party or by which it or its property are bound except, in each case, with respect to any contravention of any such law, indenture, agreement or undertaking, to the extent that such contravention could not reasonably be expected to have a Material Adverse Effect. The Financing Agreements constitute legal, valid and binding obligations of each Credit Party which is a party thereto enforceable in accordance with their respective terms, except as such enforceability may be limited by bankruptcy, insolvency, reorganization, examinorship, receivership, moratorium or other laws affecting creditors’ rights generally and by general principles of equity. As of the Restatement Effective Date, each Credit Party does not have any Subsidiaries except as set forth on the corporate structure chart attached as </w:t>
      </w:r>
      <w:r>
        <w:rPr>
          <w:rFonts w:ascii="Times New Roman" w:cs="Times New Roman" w:eastAsia="Times New Roman" w:hAnsi="Times New Roman"/>
          <w:sz w:val="21"/>
          <w:szCs w:val="21"/>
          <w:u w:val="single" w:color="auto"/>
          <w:color w:val="auto"/>
        </w:rPr>
        <w:t>Schedule 6.1</w:t>
      </w:r>
      <w:r>
        <w:rPr>
          <w:rFonts w:ascii="Times New Roman" w:cs="Times New Roman" w:eastAsia="Times New Roman" w:hAnsi="Times New Roman"/>
          <w:sz w:val="21"/>
          <w:szCs w:val="21"/>
          <w:color w:val="auto"/>
        </w:rPr>
        <w:t>. Credit Parties and their Subsidiaries, taken as a whole, on a consolidated basis, are Solvent. No Credit Party is an Affected Financial Institution.</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6.2</w:t>
      </w:r>
      <w:r>
        <w:rPr>
          <w:sz w:val="20"/>
          <w:szCs w:val="20"/>
          <w:color w:val="auto"/>
        </w:rPr>
        <w:tab/>
      </w:r>
      <w:r>
        <w:rPr>
          <w:rFonts w:ascii="Times New Roman" w:cs="Times New Roman" w:eastAsia="Times New Roman" w:hAnsi="Times New Roman"/>
          <w:sz w:val="21"/>
          <w:szCs w:val="21"/>
          <w:b w:val="1"/>
          <w:bCs w:val="1"/>
          <w:color w:val="auto"/>
        </w:rPr>
        <w:t>Financial Statements; No Material Adverse Change</w:t>
      </w:r>
    </w:p>
    <w:p>
      <w:pPr>
        <w:spacing w:after="0" w:line="21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1"/>
          <w:szCs w:val="21"/>
          <w:color w:val="auto"/>
        </w:rPr>
        <w:t xml:space="preserve">The audited consolidated financial statements relating to Borrower most recently delivered by Borrower to Agent pursuant to </w:t>
      </w:r>
      <w:r>
        <w:rPr>
          <w:rFonts w:ascii="Times New Roman" w:cs="Times New Roman" w:eastAsia="Times New Roman" w:hAnsi="Times New Roman"/>
          <w:sz w:val="21"/>
          <w:szCs w:val="21"/>
          <w:u w:val="single" w:color="auto"/>
          <w:color w:val="auto"/>
        </w:rPr>
        <w:t>Section 7.6(a)(ii)</w:t>
      </w:r>
      <w:r>
        <w:rPr>
          <w:rFonts w:ascii="Times New Roman" w:cs="Times New Roman" w:eastAsia="Times New Roman" w:hAnsi="Times New Roman"/>
          <w:sz w:val="21"/>
          <w:szCs w:val="21"/>
          <w:color w:val="auto"/>
        </w:rPr>
        <w:t xml:space="preserve"> have been prepared in accordance with GAAP,</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2" w:right="339" w:bottom="1440" w:gutter="0" w:footer="0" w:header="0"/>
        </w:sectPr>
      </w:pPr>
    </w:p>
    <w:bookmarkStart w:id="162" w:name="page163"/>
    <w:bookmarkEnd w:id="162"/>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except as otherwise expressly noted therein, and fairly present in all material respects its financial condition and the results of its operation as at the dates and for the periods set forth therein, except as otherwise expressly noted therein. The unaudited consolidated financial statements relating to Borrower most recently delivered by Borrower to Agent pursuant to </w:t>
      </w:r>
      <w:r>
        <w:rPr>
          <w:rFonts w:ascii="Times New Roman" w:cs="Times New Roman" w:eastAsia="Times New Roman" w:hAnsi="Times New Roman"/>
          <w:sz w:val="21"/>
          <w:szCs w:val="21"/>
          <w:u w:val="single" w:color="auto"/>
          <w:color w:val="auto"/>
        </w:rPr>
        <w:t>Section 7.6(a)(i)</w:t>
      </w:r>
      <w:r>
        <w:rPr>
          <w:rFonts w:ascii="Times New Roman" w:cs="Times New Roman" w:eastAsia="Times New Roman" w:hAnsi="Times New Roman"/>
          <w:sz w:val="21"/>
          <w:szCs w:val="21"/>
          <w:color w:val="auto"/>
        </w:rPr>
        <w:t xml:space="preserve"> have been prepared in accordance with GAAP, except as expressly noted therein, and fairly present in all material respects its financial condition and the results of its operation as at the dates and for the periods set forth therein, subject in each case to the absence of footnotes and to normal year-end audit adjustments. The projections relating to Borrower most recently delivered by Borrower to Agent pursuant to </w:t>
      </w:r>
      <w:r>
        <w:rPr>
          <w:rFonts w:ascii="Times New Roman" w:cs="Times New Roman" w:eastAsia="Times New Roman" w:hAnsi="Times New Roman"/>
          <w:sz w:val="21"/>
          <w:szCs w:val="21"/>
          <w:u w:val="single" w:color="auto"/>
          <w:color w:val="auto"/>
        </w:rPr>
        <w:t>Section 4.1</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7.6(a)(iv)</w:t>
      </w:r>
      <w:r>
        <w:rPr>
          <w:rFonts w:ascii="Times New Roman" w:cs="Times New Roman" w:eastAsia="Times New Roman" w:hAnsi="Times New Roman"/>
          <w:sz w:val="21"/>
          <w:szCs w:val="21"/>
          <w:color w:val="auto"/>
        </w:rPr>
        <w:t xml:space="preserve"> were prepared in good faith based upon assumptions believed to be reasonable at the time of preparation and delivery (it being understood that such projections may vary from actual results and that such variances may be material). Since December 31, 2024, there has been no event or circumstance, either individually or in the aggregate, that has had or could reasonably be expected to have a Material Adverse Effect.</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6.3</w:t>
      </w:r>
      <w:r>
        <w:rPr>
          <w:sz w:val="20"/>
          <w:szCs w:val="20"/>
          <w:color w:val="auto"/>
        </w:rPr>
        <w:tab/>
      </w:r>
      <w:r>
        <w:rPr>
          <w:rFonts w:ascii="Times New Roman" w:cs="Times New Roman" w:eastAsia="Times New Roman" w:hAnsi="Times New Roman"/>
          <w:sz w:val="21"/>
          <w:szCs w:val="21"/>
          <w:b w:val="1"/>
          <w:bCs w:val="1"/>
          <w:color w:val="auto"/>
        </w:rPr>
        <w:t>Chief Executive Office; Collateral Locations</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As of the Restatement Effective Date, (a) the chief executive office of each Credit Party is located in the jurisdiction set forth on its Information Certificate and (b) the only locations of Collateral with a value in excess of $1,500,000 of any of the Credit Parties (other than vehicles and assets temporarily in transit or sent for repair), if any, are the addresses set forth in its Information Certificate.</w:t>
      </w:r>
    </w:p>
    <w:p>
      <w:pPr>
        <w:spacing w:after="0" w:line="14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6.4</w:t>
      </w:r>
      <w:r>
        <w:rPr>
          <w:sz w:val="20"/>
          <w:szCs w:val="20"/>
          <w:color w:val="auto"/>
        </w:rPr>
        <w:tab/>
      </w:r>
      <w:r>
        <w:rPr>
          <w:rFonts w:ascii="Times New Roman" w:cs="Times New Roman" w:eastAsia="Times New Roman" w:hAnsi="Times New Roman"/>
          <w:sz w:val="21"/>
          <w:szCs w:val="21"/>
          <w:b w:val="1"/>
          <w:bCs w:val="1"/>
          <w:color w:val="auto"/>
        </w:rPr>
        <w:t>Priority of Liens; Title to Properties; Intellectual Property Matters</w:t>
      </w:r>
    </w:p>
    <w:p>
      <w:pPr>
        <w:spacing w:after="0" w:line="2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The Liens granted to Agent under the applicable Financing Agreements constitute valid Liens in favor of Agent for the benefit of the Secured Parties in and upon the Collateral and when (a) financing statements and other filings in appropriate form are filed in the applicable offices of each Credit Party’s jurisdiction of organization or formation and in each jurisdiction in which it has assets located (if required by Applicable Law) and applicable documents are filed and recorded, as applicable, in the Intellectual Property Offices in Canada and the United States and (b) upon the taking of possession or control by Agent of such Collateral with respect to which a security interest may be perfected only by possession or control (which possession or control shall be given to Agent to the extent possession or control by Agent is required by the applicable Financing Agreement), the Liens created by the applicable Financing Agreements shall constitute fully perfected first priority Liens so far as possible under Applicable Law on, and security interests in (to the extent intended to be created thereby and required to be perfected under the applicable Financing Agreements), all right, title and interest of the grantors in such Collateral in each case free and clear of any Liens other than Permitted Liens. Each Credit Party and each Subsidiary thereof has good and marketable title in fee simple (or local law equivalent) to, or valid leasehold interests in, all real property necessary in the ordinary conduct of its business, free and clear of all Liens except for minor defects in title that do not materially interfere with its ability to conduct its business thereon or to utilize such assets for their intended purposes and Permitted Liens. Each Credit Party and each Subsidiary thereof owns or possesses rights to use all material franchises, licenses, copyrights, copyright applications, patents, patent rights or licenses, patent applications, trademarks, trademark rights, service mark, service 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3" w:right="339" w:bottom="1440" w:gutter="0" w:footer="0" w:header="0"/>
        </w:sectPr>
      </w:pPr>
    </w:p>
    <w:bookmarkStart w:id="163" w:name="page164"/>
    <w:bookmarkEnd w:id="163"/>
    <w:p>
      <w:pPr>
        <w:jc w:val="both"/>
        <w:spacing w:after="0" w:line="264" w:lineRule="auto"/>
        <w:rPr>
          <w:sz w:val="20"/>
          <w:szCs w:val="20"/>
          <w:color w:val="auto"/>
        </w:rPr>
      </w:pPr>
      <w:r>
        <w:rPr>
          <w:rFonts w:ascii="Times New Roman" w:cs="Times New Roman" w:eastAsia="Times New Roman" w:hAnsi="Times New Roman"/>
          <w:sz w:val="21"/>
          <w:szCs w:val="21"/>
          <w:color w:val="auto"/>
        </w:rPr>
        <w:t>rights, trade names, trade name rights, copyrights and other intellectual property rights (collectively, “</w:t>
      </w:r>
      <w:r>
        <w:rPr>
          <w:rFonts w:ascii="Times New Roman" w:cs="Times New Roman" w:eastAsia="Times New Roman" w:hAnsi="Times New Roman"/>
          <w:sz w:val="21"/>
          <w:szCs w:val="21"/>
          <w:b w:val="1"/>
          <w:bCs w:val="1"/>
          <w:color w:val="auto"/>
        </w:rPr>
        <w:t>IP Rights</w:t>
      </w:r>
      <w:r>
        <w:rPr>
          <w:rFonts w:ascii="Times New Roman" w:cs="Times New Roman" w:eastAsia="Times New Roman" w:hAnsi="Times New Roman"/>
          <w:sz w:val="21"/>
          <w:szCs w:val="21"/>
          <w:color w:val="auto"/>
        </w:rPr>
        <w:t>”) with respect to the foregoing which are necessary to conduct its business, as currently conducted, except to the extent such failure to own or possess, either individually or in the aggregate, could not reasonably be expected to have a Material Adverse Effect. The conduct of the business of any Credit Party or any Subsidiary as currently conducted or as contemplated to be conducted does not infringe upon or violate any IP Rights held by any other Person except for such infringements and violations which, individually or in the aggregate, could not reasonably be expected to have a Material Adverse Effect.</w:t>
      </w:r>
    </w:p>
    <w:p>
      <w:pPr>
        <w:spacing w:after="0" w:line="13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6.5</w:t>
      </w:r>
      <w:r>
        <w:rPr>
          <w:sz w:val="20"/>
          <w:szCs w:val="20"/>
          <w:color w:val="auto"/>
        </w:rPr>
        <w:tab/>
      </w:r>
      <w:r>
        <w:rPr>
          <w:rFonts w:ascii="Times New Roman" w:cs="Times New Roman" w:eastAsia="Times New Roman" w:hAnsi="Times New Roman"/>
          <w:sz w:val="20"/>
          <w:szCs w:val="20"/>
          <w:b w:val="1"/>
          <w:bCs w:val="1"/>
          <w:color w:val="auto"/>
        </w:rPr>
        <w:t>Tax Returns</w:t>
      </w: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Borrower and its Subsidiaries have filed, or caused to be filed, in a timely manner (with extensions) all Tax returns, reports and declarations which are required to be filed by it (except those in respect of Taxes the calculation or payment of which are being contested in good faith by appropriate proceedings diligently pursued and available to it and except for those returns for those jurisdictions in which failure to do so would not have a Material Adverse Effect). All information in such Tax returns, reports and declarations is complete and accurate in all material respects. Borrower and its Subsidiaries have paid or caused to be paid all Taxes due and payable or claimed due and payable in any assessment received by it, except Taxes (a) the validity of which are being contested in good faith by appropriate proceedings diligently pursued and available to it and with respect to which adequate reserves have been set aside on its books or (b) for which the failure to pay would not have a Material Adverse Effect. Adequate provision has been made by Borrower and its Subsidiaries for the payment of all accrued and unpaid Taxes whether or not yet due and payable and whether or not disputed.</w:t>
      </w:r>
    </w:p>
    <w:p>
      <w:pPr>
        <w:spacing w:after="0" w:line="14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6.6</w:t>
      </w:r>
      <w:r>
        <w:rPr>
          <w:sz w:val="20"/>
          <w:szCs w:val="20"/>
          <w:color w:val="auto"/>
        </w:rPr>
        <w:tab/>
      </w:r>
      <w:r>
        <w:rPr>
          <w:rFonts w:ascii="Times New Roman" w:cs="Times New Roman" w:eastAsia="Times New Roman" w:hAnsi="Times New Roman"/>
          <w:sz w:val="21"/>
          <w:szCs w:val="21"/>
          <w:b w:val="1"/>
          <w:bCs w:val="1"/>
          <w:color w:val="auto"/>
        </w:rPr>
        <w:t>Litigation</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Except as disclosed in Borrower’s Form 10-K, to its knowledge, there is no action, suit, proceeding or claim by any Person pending or threatened in writing against any Credit Party and each Subsidiary thereof or its assets or business, which in each of the foregoing cases, could reasonably be expected to result in a Material Adverse Effect.</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6.7</w:t>
      </w:r>
      <w:r>
        <w:rPr>
          <w:sz w:val="20"/>
          <w:szCs w:val="20"/>
          <w:color w:val="auto"/>
        </w:rPr>
        <w:tab/>
      </w:r>
      <w:r>
        <w:rPr>
          <w:rFonts w:ascii="Times New Roman" w:cs="Times New Roman" w:eastAsia="Times New Roman" w:hAnsi="Times New Roman"/>
          <w:sz w:val="21"/>
          <w:szCs w:val="21"/>
          <w:b w:val="1"/>
          <w:bCs w:val="1"/>
          <w:color w:val="auto"/>
        </w:rPr>
        <w:t>Compliance with Applicable Laws; Approvals</w:t>
      </w:r>
    </w:p>
    <w:p>
      <w:pPr>
        <w:spacing w:after="0" w:line="2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Each Credit Party and each Subsidiary thereof is in compliance in all respects with all Applicable Laws, licenses, permits, approvals and orders of any Governmental Authority except in such instances in which (a) such Applicable Law or license, permit, approval or order is being contested in good faith by appropriate proceedings diligently conducted or (b) the lack of compliance could not reasonably be expected to have a Material Adverse Effect. The execution, delivery and performance by each Credit Party of the Financing Agreements to which it is a party do not and will not (a) require any governmental approval where the failure to obtain such approval could reasonably be expected to have a Material Adverse Effect or (b) require any consent or authorization of, filing with, or other act in respect of, a Governmental Authority and no consent of any other Person is required in connection with such execution, delivery and performance other than (x) consents, authorizations, filings or other acts or consents for which the failure to obtain or make could not, individually or in the aggregate, reasonably be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9" w:right="339" w:bottom="1440" w:gutter="0" w:footer="0" w:header="0"/>
        </w:sectPr>
      </w:pPr>
    </w:p>
    <w:bookmarkStart w:id="164" w:name="page165"/>
    <w:bookmarkEnd w:id="164"/>
    <w:p>
      <w:pPr>
        <w:jc w:val="both"/>
        <w:spacing w:after="0" w:line="271" w:lineRule="auto"/>
        <w:rPr>
          <w:sz w:val="20"/>
          <w:szCs w:val="20"/>
          <w:color w:val="auto"/>
        </w:rPr>
      </w:pPr>
      <w:r>
        <w:rPr>
          <w:rFonts w:ascii="Times New Roman" w:cs="Times New Roman" w:eastAsia="Times New Roman" w:hAnsi="Times New Roman"/>
          <w:sz w:val="21"/>
          <w:szCs w:val="21"/>
          <w:color w:val="auto"/>
        </w:rPr>
        <w:t>to have a Material Adverse Effect, (y) consents, authorizations, filings or other acts or consents which have been duly obtained, taken, given or made and are in full force and effect and (z) notices and filings made in connection with the security interests granted under the Financing Agreements.</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6.8</w:t>
      </w:r>
      <w:r>
        <w:rPr>
          <w:sz w:val="20"/>
          <w:szCs w:val="20"/>
          <w:color w:val="auto"/>
        </w:rPr>
        <w:tab/>
      </w:r>
      <w:r>
        <w:rPr>
          <w:rFonts w:ascii="Times New Roman" w:cs="Times New Roman" w:eastAsia="Times New Roman" w:hAnsi="Times New Roman"/>
          <w:sz w:val="21"/>
          <w:szCs w:val="21"/>
          <w:color w:val="auto"/>
        </w:rPr>
        <w:t>[Reserved]</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6.9</w:t>
      </w:r>
      <w:r>
        <w:rPr>
          <w:sz w:val="20"/>
          <w:szCs w:val="20"/>
          <w:color w:val="auto"/>
        </w:rPr>
        <w:tab/>
      </w:r>
      <w:r>
        <w:rPr>
          <w:rFonts w:ascii="Times New Roman" w:cs="Times New Roman" w:eastAsia="Times New Roman" w:hAnsi="Times New Roman"/>
          <w:sz w:val="21"/>
          <w:szCs w:val="21"/>
          <w:b w:val="1"/>
          <w:bCs w:val="1"/>
          <w:color w:val="auto"/>
        </w:rPr>
        <w:t>Accuracy of Information</w:t>
      </w:r>
    </w:p>
    <w:p>
      <w:pPr>
        <w:spacing w:after="0" w:line="218" w:lineRule="exact"/>
        <w:rPr>
          <w:sz w:val="20"/>
          <w:szCs w:val="20"/>
          <w:color w:val="auto"/>
        </w:rPr>
      </w:pPr>
    </w:p>
    <w:p>
      <w:pPr>
        <w:jc w:val="both"/>
        <w:ind w:firstLine="7"/>
        <w:spacing w:after="0" w:line="259" w:lineRule="auto"/>
        <w:tabs>
          <w:tab w:leader="none" w:pos="640" w:val="left"/>
        </w:tabs>
        <w:numPr>
          <w:ilvl w:val="0"/>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of the Restatement Effective Date, no information, taken as a whole, furnished by or on behalf of each Credit Party (other than projected financial information, pro forma financial information and information of a general economic or industry nature) in writing to Agent or a Lender in connection with any of the Financing Agreements or any transaction contemplated hereby or thereby (as modified or supplemented by other written information so furnished), when taken as a whole, contains any material misstatement of fact or omits to state any material fact necessary to make the statements therein (when taken as a whole), in the light of the circumstances under which they were made, not materially misleading;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with respect to projected and pro forma financial information, Borrower represents only that such information was prepared in good faith based upon assumptions believed to be reasonable at the time of preparation and delivery, it being understood that such projections may vary from actual results and that such variances may be material.</w:t>
      </w:r>
    </w:p>
    <w:p>
      <w:pPr>
        <w:spacing w:after="0" w:line="1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6.10</w:t>
        <w:tab/>
        <w:t>Status of Pension Plans and ERISA</w:t>
      </w:r>
    </w:p>
    <w:p>
      <w:pPr>
        <w:spacing w:after="0" w:line="21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1"/>
          <w:szCs w:val="21"/>
          <w:color w:val="auto"/>
        </w:rPr>
        <w:t>Except as would not reasonably be expected to result in material liability to the Borrower and its Subsidiaries or except as disclosed in the Borrower’s Form 10-K:</w:t>
      </w:r>
    </w:p>
    <w:p>
      <w:pPr>
        <w:spacing w:after="0" w:line="127" w:lineRule="exact"/>
        <w:rPr>
          <w:sz w:val="20"/>
          <w:szCs w:val="20"/>
          <w:color w:val="auto"/>
        </w:rPr>
      </w:pPr>
    </w:p>
    <w:p>
      <w:pPr>
        <w:ind w:left="1300" w:hanging="649"/>
        <w:spacing w:after="0" w:line="250" w:lineRule="auto"/>
        <w:tabs>
          <w:tab w:leader="none" w:pos="1297"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Pension Plans are duly registered under all applicable provincial pension benefits legislation and there are no other Canadian pension plans of any Credit Party or any Subsidiary thereof other than the Pension Plans.</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95"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obligations of each Credit Party and each Subsidiary thereof (including fiduciary, funding, investment and administration obligations) required to be performed in connection with the Pension Plans or the funding agreements therefor have been performed in a timely fashion. There are no outstanding disputes concerning the assets held pursuant to any such funding agreement.</w:t>
      </w:r>
    </w:p>
    <w:p>
      <w:pPr>
        <w:spacing w:after="0" w:line="150" w:lineRule="exact"/>
        <w:rPr>
          <w:rFonts w:ascii="Times New Roman" w:cs="Times New Roman" w:eastAsia="Times New Roman" w:hAnsi="Times New Roman"/>
          <w:sz w:val="21"/>
          <w:szCs w:val="21"/>
          <w:color w:val="auto"/>
        </w:rPr>
      </w:pPr>
    </w:p>
    <w:p>
      <w:pPr>
        <w:ind w:left="1300" w:hanging="649"/>
        <w:spacing w:after="0" w:line="250" w:lineRule="auto"/>
        <w:tabs>
          <w:tab w:leader="none" w:pos="1297"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contributions or premiums required to be made by any Credit Party and any Subsidiary thereof to the Pension Plans have been made in a timely fashion in accordance with the terms of the Pension Plans and Applicable Laws.</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employee contributions to the Pension Plans required to be made by way of authorized payroll deduction have been properly withheld by each Credit Party and each Subsidiary thereof and fully paid into the Pension Plans in a timely fashion in accordance with the terms of the Pension Plans and Applicable Laws.</w:t>
      </w:r>
    </w:p>
    <w:p>
      <w:pPr>
        <w:spacing w:after="0" w:line="151" w:lineRule="exact"/>
        <w:rPr>
          <w:rFonts w:ascii="Times New Roman" w:cs="Times New Roman" w:eastAsia="Times New Roman" w:hAnsi="Times New Roman"/>
          <w:sz w:val="21"/>
          <w:szCs w:val="21"/>
          <w:color w:val="auto"/>
        </w:rPr>
      </w:pPr>
    </w:p>
    <w:p>
      <w:pPr>
        <w:ind w:left="1300" w:hanging="649"/>
        <w:spacing w:after="0" w:line="250" w:lineRule="auto"/>
        <w:tabs>
          <w:tab w:leader="none" w:pos="1297" w:val="left"/>
        </w:tabs>
        <w:numPr>
          <w:ilvl w:val="0"/>
          <w:numId w:val="1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reports and disclosures relating to the Pension Plans required by any Applicable Laws have been filed or distributed in a timely fashion.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3" w:right="339" w:bottom="1440" w:gutter="0" w:footer="0" w:header="0"/>
        </w:sectPr>
      </w:pPr>
    </w:p>
    <w:bookmarkStart w:id="165" w:name="page166"/>
    <w:bookmarkEnd w:id="165"/>
    <w:p>
      <w:pPr>
        <w:ind w:left="1300" w:hanging="649"/>
        <w:spacing w:after="0"/>
        <w:tabs>
          <w:tab w:leader="none" w:pos="130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have been no improper withdrawals, or applications of, the assets of any of the Pension Plans.</w:t>
      </w:r>
    </w:p>
    <w:p>
      <w:pPr>
        <w:spacing w:after="0" w:line="187"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amount is owing by any of the Pension Plans under the ITA or any provincial taxation statute.</w:t>
      </w:r>
    </w:p>
    <w:p>
      <w:pPr>
        <w:spacing w:after="0" w:line="187"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Pension Plans is a defined benefit registered or unregistered pension plan or contains any “defined benefit provision” as defined in subsection 147.1(1) of the ITA.</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8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 of the Pension Plans is the subject of an investigation or any other proceeding, action or claim and there exists no state of facts which after notice or lapse of time or both could reasonably be expected to give rise to any such proceeding, action or claim.</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22" w:lineRule="auto"/>
        <w:tabs>
          <w:tab w:leader="none" w:pos="128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Plan is in compliance in all material respects with the applicable provisions of ERISA, the Code and other U.S. federal or state law. Each Plan which is intended to qualify under </w:t>
      </w:r>
      <w:r>
        <w:rPr>
          <w:rFonts w:ascii="Times New Roman" w:cs="Times New Roman" w:eastAsia="Times New Roman" w:hAnsi="Times New Roman"/>
          <w:sz w:val="21"/>
          <w:szCs w:val="21"/>
          <w:u w:val="single" w:color="auto"/>
          <w:color w:val="auto"/>
        </w:rPr>
        <w:t>Section 401(a)</w:t>
      </w:r>
      <w:r>
        <w:rPr>
          <w:rFonts w:ascii="Times New Roman" w:cs="Times New Roman" w:eastAsia="Times New Roman" w:hAnsi="Times New Roman"/>
          <w:sz w:val="21"/>
          <w:szCs w:val="21"/>
          <w:color w:val="auto"/>
        </w:rPr>
        <w:t xml:space="preserve"> of the Code has received a favorable determination letter from the Internal Revenue Service and, to the best of each Credit Party’s knowledge, nothing has occurred which would cause the loss of such qualification where such loss, when combined with other such occurrences or failures to comply, has or could reasonably be expected to have a Material Adverse Effect. Each Credit Party and its ERISA Affiliates have made all required contributions to any Plan subject to </w:t>
      </w:r>
      <w:r>
        <w:rPr>
          <w:rFonts w:ascii="Times New Roman" w:cs="Times New Roman" w:eastAsia="Times New Roman" w:hAnsi="Times New Roman"/>
          <w:sz w:val="21"/>
          <w:szCs w:val="21"/>
          <w:u w:val="single" w:color="auto"/>
          <w:color w:val="auto"/>
        </w:rPr>
        <w:t>Section 412</w:t>
      </w:r>
      <w:r>
        <w:rPr>
          <w:rFonts w:ascii="Times New Roman" w:cs="Times New Roman" w:eastAsia="Times New Roman" w:hAnsi="Times New Roman"/>
          <w:sz w:val="21"/>
          <w:szCs w:val="21"/>
          <w:color w:val="auto"/>
        </w:rPr>
        <w:t xml:space="preserve"> of the Code, and no application for a funding waiver has been made with respect to any Plan.</w:t>
      </w:r>
    </w:p>
    <w:p>
      <w:pPr>
        <w:spacing w:after="0" w:line="152" w:lineRule="exact"/>
        <w:rPr>
          <w:rFonts w:ascii="Times New Roman" w:cs="Times New Roman" w:eastAsia="Times New Roman" w:hAnsi="Times New Roman"/>
          <w:sz w:val="21"/>
          <w:szCs w:val="21"/>
          <w:color w:val="auto"/>
        </w:rPr>
      </w:pPr>
    </w:p>
    <w:p>
      <w:pPr>
        <w:jc w:val="both"/>
        <w:ind w:left="1300" w:hanging="649"/>
        <w:spacing w:after="0"/>
        <w:tabs>
          <w:tab w:leader="none" w:pos="1295"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pending, or to the best of each Credit Party’s knowledge, threatened claims, actions or lawsuits, or action by any Governmental Authority, with respect to any Plan and there has been no prohibited transaction or violation of the fiduciary responsibility rules that would reasonably be expected to result in a material liability to the Plan.</w:t>
      </w:r>
    </w:p>
    <w:p>
      <w:pPr>
        <w:spacing w:after="0" w:line="347" w:lineRule="exact"/>
        <w:rPr>
          <w:rFonts w:ascii="Times New Roman" w:cs="Times New Roman" w:eastAsia="Times New Roman" w:hAnsi="Times New Roman"/>
          <w:sz w:val="21"/>
          <w:szCs w:val="21"/>
          <w:color w:val="auto"/>
        </w:rPr>
      </w:pPr>
    </w:p>
    <w:p>
      <w:pPr>
        <w:jc w:val="both"/>
        <w:ind w:left="1300" w:hanging="649"/>
        <w:spacing w:after="0" w:line="222" w:lineRule="auto"/>
        <w:tabs>
          <w:tab w:leader="none" w:pos="128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No ERISA Event has occurred or is reasonably expected to occur; (ii) each Credit Party and its ERISA Affiliates have not incurred and do not reasonably expect to incur, any liability under </w:t>
      </w:r>
      <w:r>
        <w:rPr>
          <w:rFonts w:ascii="Times New Roman" w:cs="Times New Roman" w:eastAsia="Times New Roman" w:hAnsi="Times New Roman"/>
          <w:sz w:val="21"/>
          <w:szCs w:val="21"/>
          <w:u w:val="single" w:color="auto"/>
          <w:color w:val="auto"/>
        </w:rPr>
        <w:t>Title IV</w:t>
      </w:r>
      <w:r>
        <w:rPr>
          <w:rFonts w:ascii="Times New Roman" w:cs="Times New Roman" w:eastAsia="Times New Roman" w:hAnsi="Times New Roman"/>
          <w:sz w:val="21"/>
          <w:szCs w:val="21"/>
          <w:color w:val="auto"/>
        </w:rPr>
        <w:t xml:space="preserve"> of ERISA with respect to any Plan (other than premiums due and not delinquent under </w:t>
      </w:r>
      <w:r>
        <w:rPr>
          <w:rFonts w:ascii="Times New Roman" w:cs="Times New Roman" w:eastAsia="Times New Roman" w:hAnsi="Times New Roman"/>
          <w:sz w:val="21"/>
          <w:szCs w:val="21"/>
          <w:u w:val="single" w:color="auto"/>
          <w:color w:val="auto"/>
        </w:rPr>
        <w:t>Section 4007</w:t>
      </w:r>
      <w:r>
        <w:rPr>
          <w:rFonts w:ascii="Times New Roman" w:cs="Times New Roman" w:eastAsia="Times New Roman" w:hAnsi="Times New Roman"/>
          <w:sz w:val="21"/>
          <w:szCs w:val="21"/>
          <w:color w:val="auto"/>
        </w:rPr>
        <w:t xml:space="preserve"> of ERISA); (iii) each Credit Party and its ERISA Affiliates have not incurred and do not reasonably expect to incur any liability (and no event has occurred which, with the giving of notice under </w:t>
      </w:r>
      <w:r>
        <w:rPr>
          <w:rFonts w:ascii="Times New Roman" w:cs="Times New Roman" w:eastAsia="Times New Roman" w:hAnsi="Times New Roman"/>
          <w:sz w:val="21"/>
          <w:szCs w:val="21"/>
          <w:u w:val="single" w:color="auto"/>
          <w:color w:val="auto"/>
        </w:rPr>
        <w:t>Section 4219</w:t>
      </w:r>
      <w:r>
        <w:rPr>
          <w:rFonts w:ascii="Times New Roman" w:cs="Times New Roman" w:eastAsia="Times New Roman" w:hAnsi="Times New Roman"/>
          <w:sz w:val="21"/>
          <w:szCs w:val="21"/>
          <w:color w:val="auto"/>
        </w:rPr>
        <w:t xml:space="preserve"> of ERISA, would result in such liability) under </w:t>
      </w:r>
      <w:r>
        <w:rPr>
          <w:rFonts w:ascii="Times New Roman" w:cs="Times New Roman" w:eastAsia="Times New Roman" w:hAnsi="Times New Roman"/>
          <w:sz w:val="21"/>
          <w:szCs w:val="21"/>
          <w:u w:val="single" w:color="auto"/>
          <w:color w:val="auto"/>
        </w:rPr>
        <w:t>Section 4201</w:t>
      </w:r>
      <w:r>
        <w:rPr>
          <w:rFonts w:ascii="Times New Roman" w:cs="Times New Roman" w:eastAsia="Times New Roman" w:hAnsi="Times New Roman"/>
          <w:sz w:val="21"/>
          <w:szCs w:val="21"/>
          <w:color w:val="auto"/>
        </w:rPr>
        <w:t xml:space="preserve"> of ERISA with respect to a Multiemployer Plan; and (iv) each Credit Party and its ERISA Affiliates have not engaged in a transaction that would be subject to </w:t>
      </w:r>
      <w:r>
        <w:rPr>
          <w:rFonts w:ascii="Times New Roman" w:cs="Times New Roman" w:eastAsia="Times New Roman" w:hAnsi="Times New Roman"/>
          <w:sz w:val="21"/>
          <w:szCs w:val="21"/>
          <w:u w:val="single" w:color="auto"/>
          <w:color w:val="auto"/>
        </w:rPr>
        <w:t>Section 4069</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4212(c)</w:t>
      </w:r>
      <w:r>
        <w:rPr>
          <w:rFonts w:ascii="Times New Roman" w:cs="Times New Roman" w:eastAsia="Times New Roman" w:hAnsi="Times New Roman"/>
          <w:sz w:val="21"/>
          <w:szCs w:val="21"/>
          <w:color w:val="auto"/>
        </w:rPr>
        <w:t xml:space="preserve"> of ERISA.</w:t>
      </w:r>
    </w:p>
    <w:p>
      <w:pPr>
        <w:spacing w:after="0" w:line="152"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8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Restatement Effective Date the Borrower is not nor will be using “plan assets” (within the meaning of 29 CFR § 2510.3-101, as modified by Section 3(42) of ERISA) of one or more Benefit Plans in connection with the Loans, the Letter of Credit Accommodations or the Commitments.</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6.11</w:t>
        <w:tab/>
        <w:t>Environmental Compliance</w:t>
      </w:r>
    </w:p>
    <w:p>
      <w:pPr>
        <w:spacing w:after="0" w:line="191" w:lineRule="exact"/>
        <w:rPr>
          <w:sz w:val="20"/>
          <w:szCs w:val="20"/>
          <w:color w:val="auto"/>
        </w:rPr>
      </w:pPr>
    </w:p>
    <w:p>
      <w:pPr>
        <w:jc w:val="both"/>
        <w:ind w:left="1300" w:hanging="649"/>
        <w:spacing w:after="0" w:line="234" w:lineRule="auto"/>
        <w:tabs>
          <w:tab w:leader="none" w:pos="1297" w:val="left"/>
        </w:tabs>
        <w:numPr>
          <w:ilvl w:val="0"/>
          <w:numId w:val="1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could not, individually or in the aggregate, reasonably be expected to have a Material Adverse Effect, all Hazardous Materials generated, used, treated, handled, or stored at, or transported or arranged for transport to or from, any property or facility currently or, to the knowledge of Borrower, formerly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66" w:name="page167"/>
    <w:bookmarkEnd w:id="166"/>
    <w:p>
      <w:pPr>
        <w:ind w:left="1300" w:right="20"/>
        <w:spacing w:after="0" w:line="250" w:lineRule="auto"/>
        <w:rPr>
          <w:sz w:val="20"/>
          <w:szCs w:val="20"/>
          <w:color w:val="auto"/>
        </w:rPr>
      </w:pPr>
      <w:r>
        <w:rPr>
          <w:rFonts w:ascii="Times New Roman" w:cs="Times New Roman" w:eastAsia="Times New Roman" w:hAnsi="Times New Roman"/>
          <w:sz w:val="21"/>
          <w:szCs w:val="21"/>
          <w:color w:val="auto"/>
        </w:rPr>
        <w:t>or operated by any Credit Party or any of its Subsidiaries have been disposed of in a manner that would not reasonably be expected to result in any Environmental Liability.</w:t>
      </w:r>
    </w:p>
    <w:p>
      <w:pPr>
        <w:spacing w:after="0" w:line="140" w:lineRule="exact"/>
        <w:rPr>
          <w:sz w:val="20"/>
          <w:szCs w:val="20"/>
          <w:color w:val="auto"/>
        </w:rPr>
      </w:pPr>
    </w:p>
    <w:p>
      <w:pPr>
        <w:jc w:val="both"/>
        <w:ind w:left="1300" w:hanging="649"/>
        <w:spacing w:after="0" w:line="229" w:lineRule="auto"/>
        <w:tabs>
          <w:tab w:leader="none" w:pos="1295"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could not, individually or in the aggregate, reasonably be expected to have a Material Adverse Effect, there are no Environmental Claims against any Credit Party or any of its Subsidiaries relating to their respective businesses, operations and properties, and their respective businesses, operations and properties are in compliance with applicable Environmental Laws.</w:t>
      </w:r>
    </w:p>
    <w:p>
      <w:pPr>
        <w:spacing w:after="0" w:line="150" w:lineRule="exact"/>
        <w:rPr>
          <w:rFonts w:ascii="Times New Roman" w:cs="Times New Roman" w:eastAsia="Times New Roman" w:hAnsi="Times New Roman"/>
          <w:sz w:val="21"/>
          <w:szCs w:val="21"/>
          <w:color w:val="auto"/>
        </w:rPr>
      </w:pPr>
    </w:p>
    <w:p>
      <w:pPr>
        <w:jc w:val="both"/>
        <w:ind w:left="1300" w:hanging="649"/>
        <w:spacing w:after="0" w:line="226" w:lineRule="auto"/>
        <w:tabs>
          <w:tab w:leader="none" w:pos="1297"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could not, individually or in the aggregate, reasonably be expected to have a Material Adverse Effect, the properties currently or, to the knowledge of the Credit Parties, formerly owned or operated by any Credit Party or any of its Subsidiaries do not contain any Hazardous Materials in amounts or concentrations which (i) constitute a violation of, (ii) require response or other corrective action under, or (iii) could be reasonably expected to give rise to liability under, Environmental Laws.</w:t>
      </w:r>
    </w:p>
    <w:p>
      <w:pPr>
        <w:spacing w:after="0" w:line="149"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1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could not, individually or in the aggregate, reasonably be expected to have a Material Adverse Effect, each Credit Party and each Subsidiary thereof has all licenses, permits, certificates, approvals or similar authorizations required to be obtained or filed in connection with its operations under any Environmental Law.</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6.12</w:t>
        <w:tab/>
        <w:t>Specific Legislation</w:t>
      </w:r>
    </w:p>
    <w:p>
      <w:pPr>
        <w:spacing w:after="0" w:line="218" w:lineRule="exact"/>
        <w:rPr>
          <w:sz w:val="20"/>
          <w:szCs w:val="20"/>
          <w:color w:val="auto"/>
        </w:rPr>
      </w:pPr>
    </w:p>
    <w:p>
      <w:pPr>
        <w:ind w:left="640" w:hanging="633"/>
        <w:spacing w:after="0"/>
        <w:tabs>
          <w:tab w:leader="none" w:pos="640" w:val="left"/>
        </w:tabs>
        <w:numPr>
          <w:ilvl w:val="0"/>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Section 6.7:</w:t>
      </w:r>
    </w:p>
    <w:p>
      <w:pPr>
        <w:spacing w:after="0" w:line="200" w:lineRule="exact"/>
        <w:rPr>
          <w:rFonts w:ascii="Times New Roman" w:cs="Times New Roman" w:eastAsia="Times New Roman" w:hAnsi="Times New Roman"/>
          <w:sz w:val="21"/>
          <w:szCs w:val="21"/>
          <w:color w:val="auto"/>
        </w:rPr>
      </w:pPr>
    </w:p>
    <w:p>
      <w:pPr>
        <w:jc w:val="both"/>
        <w:ind w:left="1300" w:hanging="649"/>
        <w:spacing w:after="0" w:line="219" w:lineRule="auto"/>
        <w:tabs>
          <w:tab w:leader="none" w:pos="1297"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Credit Party and each Subsidiary or Affiliate is in compliance in material respects with applicable sanctions administered and enforced by OFAC, Global Affairs Canada, the United Nations Security Council, the European Union, any member state of the European Union or the United Kingdom. No Credit Party or any Subsidiary or Affiliate thereof (i) is a Sanctioned Person or a Sanctioned Entity, (ii) has any of its assets in Sanctioned Entities, or</w:t>
      </w:r>
    </w:p>
    <w:p>
      <w:pPr>
        <w:jc w:val="both"/>
        <w:ind w:left="1300" w:hanging="6"/>
        <w:spacing w:after="0" w:line="217" w:lineRule="auto"/>
        <w:tabs>
          <w:tab w:leader="none" w:pos="1740" w:val="left"/>
        </w:tabs>
        <w:numPr>
          <w:ilvl w:val="2"/>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derives any of its operating income from investments in, or transactions with, Sanctioned Persons or Sanctioned Entities, in each case, in violation of applicable sanctions. The proceeds of the Loans and other financial accommodation hereunder will (i) not be used and have not been used to fund any operations in, finance any investments or activities in, or make any payments to, a Sanctioned Person or a Sanctioned Entity, in each case, in violation of applicable sanctions and (ii) comply with sanctions administered and enforced by OFAC, Global Affairs Canada or, to the extent not in conflict with sanctions administered and enforced by OFAC or Global Affairs Canada, any other applicable sanctions authority in any jurisdiction (A) in which the Borrower or any of its Subsidiaries or Affiliates is located or conducts business, (B) in which any of the proceeds of the Loans or the Letter of Credit Accommodations will be used, or (C) from which repayment of the Loans or Letter of Credit Accommodations will be derived.</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95" w:val="left"/>
        </w:tabs>
        <w:numPr>
          <w:ilvl w:val="1"/>
          <w:numId w:val="1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Credit Party, their Subsidiaries, and their respective directors, officers and employees, and, to the knowledge of each Credit Party, the Affiliates of each Credit Party, are in compliance with the </w:t>
      </w:r>
      <w:r>
        <w:rPr>
          <w:rFonts w:ascii="Times New Roman" w:cs="Times New Roman" w:eastAsia="Times New Roman" w:hAnsi="Times New Roman"/>
          <w:sz w:val="21"/>
          <w:szCs w:val="21"/>
          <w:i w:val="1"/>
          <w:iCs w:val="1"/>
          <w:color w:val="auto"/>
        </w:rPr>
        <w:t>Foreign Corrupt Practices Act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of 1977 </w:t>
      </w:r>
      <w:r>
        <w:rPr>
          <w:rFonts w:ascii="Times New Roman" w:cs="Times New Roman" w:eastAsia="Times New Roman" w:hAnsi="Times New Roman"/>
          <w:sz w:val="21"/>
          <w:szCs w:val="21"/>
          <w:color w:val="auto"/>
        </w:rPr>
        <w:t>and any other applicable anti-corruption law in all material respects. The Credit Parties have instituted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maintain policies and procedures reasonably designed to ensure compliance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67" w:name="page168"/>
    <w:bookmarkEnd w:id="167"/>
    <w:p>
      <w:pPr>
        <w:jc w:val="both"/>
        <w:ind w:left="1300" w:hanging="649"/>
        <w:spacing w:after="0" w:line="223" w:lineRule="auto"/>
        <w:tabs>
          <w:tab w:leader="none" w:pos="1297"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part of the proceeds of the Loans or other financial accommodations made or provided hereunder will be used by any Credit Party or any Subsidiary or Affiliate thereof,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w:t>
      </w:r>
      <w:r>
        <w:rPr>
          <w:rFonts w:ascii="Times New Roman" w:cs="Times New Roman" w:eastAsia="Times New Roman" w:hAnsi="Times New Roman"/>
          <w:sz w:val="21"/>
          <w:szCs w:val="21"/>
          <w:i w:val="1"/>
          <w:iCs w:val="1"/>
          <w:color w:val="auto"/>
        </w:rPr>
        <w:t>United States Foreign Corrupt Practices Act of 1977</w:t>
      </w:r>
      <w:r>
        <w:rPr>
          <w:rFonts w:ascii="Times New Roman" w:cs="Times New Roman" w:eastAsia="Times New Roman" w:hAnsi="Times New Roman"/>
          <w:sz w:val="21"/>
          <w:szCs w:val="21"/>
          <w:color w:val="auto"/>
        </w:rPr>
        <w:t>, as amended or any other anti-corruption law or Anti-Money Laundering Laws in any material respect.</w:t>
      </w:r>
    </w:p>
    <w:p>
      <w:pPr>
        <w:spacing w:after="0" w:line="155" w:lineRule="exact"/>
        <w:rPr>
          <w:rFonts w:ascii="Times New Roman" w:cs="Times New Roman" w:eastAsia="Times New Roman" w:hAnsi="Times New Roman"/>
          <w:sz w:val="21"/>
          <w:szCs w:val="21"/>
          <w:color w:val="auto"/>
        </w:rPr>
      </w:pPr>
    </w:p>
    <w:p>
      <w:pPr>
        <w:jc w:val="both"/>
        <w:ind w:left="1300" w:hanging="649"/>
        <w:spacing w:after="0" w:line="223" w:lineRule="auto"/>
        <w:tabs>
          <w:tab w:leader="none" w:pos="1295"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part of the proceeds of the Loans will be used for any purpose that violates the provisions of any of Regulation T, U, or X of the Board of Governors of the Federal Reserve System of the United States of America or to purchase or carry any margin stock or to extend credit to others for the purpose of purchasing or carrying any margin stock and Borrower is not engaged, principally or as one of its important activities, in the business of purchasing or carrying margin stock or extending credit for the purpose of purchasing or carrying margin stock within the meaning of Regulation U of the Board of Governors of the Federal Reserve System.</w:t>
      </w:r>
    </w:p>
    <w:p>
      <w:pPr>
        <w:spacing w:after="0" w:line="155" w:lineRule="exact"/>
        <w:rPr>
          <w:rFonts w:ascii="Times New Roman" w:cs="Times New Roman" w:eastAsia="Times New Roman" w:hAnsi="Times New Roman"/>
          <w:sz w:val="21"/>
          <w:szCs w:val="21"/>
          <w:color w:val="auto"/>
        </w:rPr>
      </w:pPr>
    </w:p>
    <w:p>
      <w:pPr>
        <w:jc w:val="both"/>
        <w:ind w:left="1300" w:hanging="649"/>
        <w:spacing w:after="0" w:line="221" w:lineRule="auto"/>
        <w:tabs>
          <w:tab w:leader="none" w:pos="1297"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Borrower nor any of its Subsidiaries (i) is a “covered foreign person” as that term is used in the Outbound Investment Rules or (ii) currently engages, or has any present intention to engage in the future, directly or indirectly, in (A) a “covered activity” or a “covered transaction”, as each such term is defined in the Outbound Investment Rules, (B) any activity or transaction that would constitute a “covered activity” or a “covered transaction”, as each such term is defined in the Outbound Investment Rules, if Borrower were a United States Person or (C) any other activity that would cause the Agent or the Lenders to be in violation of the Outbound Investment Rules or cause the Agent or the Lenders to be legally prohibited by the Outbound Investment Rules from performing under this Agreement.</w:t>
      </w:r>
    </w:p>
    <w:p>
      <w:pPr>
        <w:spacing w:after="0" w:line="147"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Credit Party is an “investment company” (as defined in the </w:t>
      </w:r>
      <w:r>
        <w:rPr>
          <w:rFonts w:ascii="Times New Roman" w:cs="Times New Roman" w:eastAsia="Times New Roman" w:hAnsi="Times New Roman"/>
          <w:sz w:val="21"/>
          <w:szCs w:val="21"/>
          <w:i w:val="1"/>
          <w:iCs w:val="1"/>
          <w:color w:val="auto"/>
        </w:rPr>
        <w:t>Investment Company Act of 1940</w:t>
      </w:r>
      <w:r>
        <w:rPr>
          <w:rFonts w:ascii="Times New Roman" w:cs="Times New Roman" w:eastAsia="Times New Roman" w:hAnsi="Times New Roman"/>
          <w:sz w:val="21"/>
          <w:szCs w:val="21"/>
          <w:color w:val="auto"/>
        </w:rPr>
        <w:t>, as amended).</w:t>
      </w:r>
    </w:p>
    <w:p>
      <w:pPr>
        <w:spacing w:after="0" w:line="191" w:lineRule="exact"/>
        <w:rPr>
          <w:rFonts w:ascii="Times New Roman" w:cs="Times New Roman" w:eastAsia="Times New Roman" w:hAnsi="Times New Roman"/>
          <w:sz w:val="21"/>
          <w:szCs w:val="21"/>
          <w:color w:val="auto"/>
        </w:rPr>
      </w:pPr>
    </w:p>
    <w:p>
      <w:pPr>
        <w:jc w:val="both"/>
        <w:ind w:left="1300" w:hanging="649"/>
        <w:spacing w:after="0" w:line="222" w:lineRule="auto"/>
        <w:tabs>
          <w:tab w:leader="none" w:pos="1295" w:val="left"/>
        </w:tabs>
        <w:numPr>
          <w:ilvl w:val="0"/>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representations, warranties and covenants given in this </w:t>
      </w:r>
      <w:r>
        <w:rPr>
          <w:rFonts w:ascii="Times New Roman" w:cs="Times New Roman" w:eastAsia="Times New Roman" w:hAnsi="Times New Roman"/>
          <w:sz w:val="21"/>
          <w:szCs w:val="21"/>
          <w:u w:val="single" w:color="auto"/>
          <w:color w:val="auto"/>
        </w:rPr>
        <w:t>Section 6.12</w:t>
      </w:r>
      <w:r>
        <w:rPr>
          <w:rFonts w:ascii="Times New Roman" w:cs="Times New Roman" w:eastAsia="Times New Roman" w:hAnsi="Times New Roman"/>
          <w:sz w:val="21"/>
          <w:szCs w:val="21"/>
          <w:color w:val="auto"/>
        </w:rPr>
        <w:t xml:space="preserve"> shall not be made by nor apply to any Person that is a corporation that is registered or incorporated under the laws of Canada or any province thereof and that carries on business in whole or in part in Canada within the meaning of Section 2 of the </w:t>
      </w:r>
      <w:r>
        <w:rPr>
          <w:rFonts w:ascii="Times New Roman" w:cs="Times New Roman" w:eastAsia="Times New Roman" w:hAnsi="Times New Roman"/>
          <w:sz w:val="21"/>
          <w:szCs w:val="21"/>
          <w:i w:val="1"/>
          <w:iCs w:val="1"/>
          <w:color w:val="auto"/>
        </w:rPr>
        <w:t>Foreign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Extraterritorial Measures (United States) Order, 1992 </w:t>
      </w:r>
      <w:r>
        <w:rPr>
          <w:rFonts w:ascii="Times New Roman" w:cs="Times New Roman" w:eastAsia="Times New Roman" w:hAnsi="Times New Roman"/>
          <w:sz w:val="21"/>
          <w:szCs w:val="21"/>
          <w:color w:val="auto"/>
        </w:rPr>
        <w:t>passed under</w:t>
      </w:r>
      <w:r>
        <w:rPr>
          <w:rFonts w:ascii="Times New Roman" w:cs="Times New Roman" w:eastAsia="Times New Roman" w:hAnsi="Times New Roman"/>
          <w:sz w:val="21"/>
          <w:szCs w:val="21"/>
          <w:i w:val="1"/>
          <w:iCs w:val="1"/>
          <w:color w:val="auto"/>
        </w:rPr>
        <w:t xml:space="preserve"> the Foreign Extraterritorial Measures Act (Canada)</w:t>
      </w:r>
      <w:r>
        <w:rPr>
          <w:rFonts w:ascii="Times New Roman" w:cs="Times New Roman" w:eastAsia="Times New Roman" w:hAnsi="Times New Roman"/>
          <w:sz w:val="21"/>
          <w:szCs w:val="21"/>
          <w:color w:val="auto"/>
        </w:rPr>
        <w:t>, or any director, officer, manager or employee in a position of authority of such Person, in so far as such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representations, warranties or covenants would result in a violation of or conflict with the </w:t>
      </w:r>
      <w:r>
        <w:rPr>
          <w:rFonts w:ascii="Times New Roman" w:cs="Times New Roman" w:eastAsia="Times New Roman" w:hAnsi="Times New Roman"/>
          <w:sz w:val="21"/>
          <w:szCs w:val="21"/>
          <w:i w:val="1"/>
          <w:iCs w:val="1"/>
          <w:color w:val="auto"/>
        </w:rPr>
        <w:t>Foreign Exterritorial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Measures Act (Canada</w:t>
      </w:r>
      <w:r>
        <w:rPr>
          <w:rFonts w:ascii="Times New Roman" w:cs="Times New Roman" w:eastAsia="Times New Roman" w:hAnsi="Times New Roman"/>
          <w:sz w:val="21"/>
          <w:szCs w:val="21"/>
          <w:color w:val="auto"/>
        </w:rPr>
        <w:t>) or the</w:t>
      </w:r>
      <w:r>
        <w:rPr>
          <w:rFonts w:ascii="Times New Roman" w:cs="Times New Roman" w:eastAsia="Times New Roman" w:hAnsi="Times New Roman"/>
          <w:sz w:val="21"/>
          <w:szCs w:val="21"/>
          <w:i w:val="1"/>
          <w:iCs w:val="1"/>
          <w:color w:val="auto"/>
        </w:rPr>
        <w:t xml:space="preserve"> Foreign Extraterritorial Measures (United States) Order, 1992</w:t>
      </w:r>
      <w:r>
        <w:rPr>
          <w:rFonts w:ascii="Times New Roman" w:cs="Times New Roman" w:eastAsia="Times New Roman" w:hAnsi="Times New Roman"/>
          <w:sz w:val="21"/>
          <w:szCs w:val="21"/>
          <w:color w:val="auto"/>
        </w:rPr>
        <w:t>.</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6.13</w:t>
        <w:tab/>
        <w:t>Material Subsidiaries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As of the Restatement Effective Date, Guarantors are the only Material Subsidiaries of Borrower.</w:t>
      </w:r>
    </w:p>
    <w:p>
      <w:pPr>
        <w:spacing w:after="0" w:line="19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6.14</w:t>
        <w:tab/>
        <w:t>Employee Relations</w:t>
      </w:r>
    </w:p>
    <w:p>
      <w:pPr>
        <w:spacing w:after="0" w:line="21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1"/>
          <w:szCs w:val="21"/>
          <w:color w:val="auto"/>
        </w:rPr>
        <w:t>As of the Restatement Effective Date, no Credit Party or Subsidiary thereof is party to any collective bargaining agreement and no labor union has been recognized as the representative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68" w:name="page169"/>
    <w:bookmarkEnd w:id="168"/>
    <w:p>
      <w:pPr>
        <w:jc w:val="both"/>
        <w:spacing w:after="0" w:line="271" w:lineRule="auto"/>
        <w:rPr>
          <w:sz w:val="20"/>
          <w:szCs w:val="20"/>
          <w:color w:val="auto"/>
        </w:rPr>
      </w:pPr>
      <w:r>
        <w:rPr>
          <w:rFonts w:ascii="Times New Roman" w:cs="Times New Roman" w:eastAsia="Times New Roman" w:hAnsi="Times New Roman"/>
          <w:sz w:val="21"/>
          <w:szCs w:val="21"/>
          <w:color w:val="auto"/>
        </w:rPr>
        <w:t>any material portion of its employees. Each Credit Party knows of no pending, threatened or contemplated strikes, work stoppage or other collective labor disputes involving its employees or those of its Subsidiaries which could reasonably be expected to have a Material Adverse Effect.</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6.15</w:t>
      </w:r>
      <w:r>
        <w:rPr>
          <w:sz w:val="20"/>
          <w:szCs w:val="20"/>
          <w:color w:val="auto"/>
        </w:rPr>
        <w:tab/>
      </w:r>
      <w:r>
        <w:rPr>
          <w:rFonts w:ascii="Times New Roman" w:cs="Times New Roman" w:eastAsia="Times New Roman" w:hAnsi="Times New Roman"/>
          <w:sz w:val="21"/>
          <w:szCs w:val="21"/>
          <w:color w:val="auto"/>
        </w:rPr>
        <w:t>[Reserved]</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6.16</w:t>
        <w:tab/>
        <w:t>Absence of Defaults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 event, circumstance or omission has occurred or is continuing which constitutes a Default or an Event of Default.</w:t>
      </w:r>
    </w:p>
    <w:p>
      <w:pPr>
        <w:spacing w:after="0" w:line="19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1"/>
          <w:szCs w:val="21"/>
          <w:b w:val="1"/>
          <w:bCs w:val="1"/>
          <w:color w:val="auto"/>
        </w:rPr>
        <w:t>6.17</w:t>
        <w:tab/>
        <w:t>Senior Indebtedness Status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The Obligations rank and shall continue to rank senior in priority of payment to all subordinated Debt of each Credit Party and shall be designated as “Senior Indebtedness” under all instruments and documents, now or in the future, relating to all subordinated Debt of such Credit Party.</w:t>
      </w:r>
    </w:p>
    <w:p>
      <w:pPr>
        <w:spacing w:after="0" w:line="13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6.18</w:t>
        <w:tab/>
        <w:t>Flood Hazard Insurance</w:t>
      </w:r>
    </w:p>
    <w:p>
      <w:pPr>
        <w:spacing w:after="0" w:line="2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1"/>
          <w:szCs w:val="21"/>
          <w:color w:val="auto"/>
        </w:rPr>
        <w:t>With respect to each parcel of real property owned by a Credit Party subject to a Mortgage and located in the United States (and no such parcel exists as of the Restatement Effective Date), all flood hazard insurance policies required hereunder have been obtained and remain in full force and effect, and the premiums thereon have been paid in accordance with the requirements hereunder.</w:t>
      </w:r>
    </w:p>
    <w:p>
      <w:pPr>
        <w:spacing w:after="0" w:line="39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6.19</w:t>
        <w:tab/>
        <w:t>Survival of Warranties; Cumulative</w:t>
      </w:r>
    </w:p>
    <w:p>
      <w:pPr>
        <w:spacing w:after="0" w:line="2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All representations and warranties contained in any of the Financing Agreements shall survive the execution and delivery of this Agreement and shall be deemed to have been made again to Agent and each Lender on the date of each additional borrowing or other credit accommodation hereunder and shall be conclusively presumed to have been relied on by Agent and each Lender regardless of any investigation made or information possessed by Agent or any Lender. The representations and warranties set forth herein shall be cumulative and in addition to any other representations or warranties which any Credit Party or any Subsidiary thereof shall now or hereafter give, or cause to be given, to Agent or any Lender.</w:t>
      </w:r>
    </w:p>
    <w:p>
      <w:pPr>
        <w:spacing w:after="0" w:line="13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7</w:t>
      </w:r>
    </w:p>
    <w:p>
      <w:pPr>
        <w:spacing w:after="0" w:line="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1"/>
          <w:szCs w:val="21"/>
          <w:b w:val="1"/>
          <w:bCs w:val="1"/>
          <w:u w:val="single" w:color="auto"/>
          <w:color w:val="auto"/>
        </w:rPr>
        <w:t>AFFIRMATIVE COVENANTS</w:t>
      </w:r>
    </w:p>
    <w:p>
      <w:pPr>
        <w:spacing w:after="0" w:line="19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21"/>
          <w:szCs w:val="21"/>
          <w:color w:val="auto"/>
        </w:rPr>
        <w:t>Until all of the non-contingent Obligations have been paid and satisfied in full, all Letter of Credit Accommodations have been terminated or expired (or been cash collateralized or backstopped on terms satisfactory to Agent) and the Commitment terminated, each Credit Party will, and will cause each of its Subsidiaries to:</w:t>
      </w:r>
    </w:p>
    <w:p>
      <w:pPr>
        <w:spacing w:after="0" w:line="1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7.1</w:t>
      </w:r>
      <w:r>
        <w:rPr>
          <w:sz w:val="20"/>
          <w:szCs w:val="20"/>
          <w:color w:val="auto"/>
        </w:rPr>
        <w:tab/>
      </w:r>
      <w:r>
        <w:rPr>
          <w:rFonts w:ascii="Times New Roman" w:cs="Times New Roman" w:eastAsia="Times New Roman" w:hAnsi="Times New Roman"/>
          <w:sz w:val="21"/>
          <w:szCs w:val="21"/>
          <w:b w:val="1"/>
          <w:bCs w:val="1"/>
          <w:color w:val="auto"/>
        </w:rPr>
        <w:t>Maintenance of Existence</w:t>
      </w:r>
    </w:p>
    <w:p>
      <w:pPr>
        <w:spacing w:after="0" w:line="21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1"/>
          <w:szCs w:val="21"/>
          <w:color w:val="auto"/>
        </w:rPr>
        <w:t>Except to the extent otherwise permitted herein, preserve, renew and keep in full, force and effect (a) its legal existence and (b) its material rights and franchises, permits, licenses,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3" w:right="339" w:bottom="1440" w:gutter="0" w:footer="0" w:header="0"/>
        </w:sectPr>
      </w:pPr>
    </w:p>
    <w:bookmarkStart w:id="169" w:name="page170"/>
    <w:bookmarkEnd w:id="169"/>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approvals, authorizations, leases and contracts necessary to carry on the business as presently or proposed to be conducted;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no Subsidiary (other than a Credit Party) shall be required to preserve any such existence and no Credit Party or a Subsidiary thereof shall be required to preserve any such right or franchise, permit, license, approval, authorization, lease and contract if such Person shall determine that the preservation thereof is no longer desirable in the conduct of the business of such Person, and that the loss thereof is not disadvantageous in any material respect to such Person or to Lenders. Each Credit Party shall give Agent prompt written notice of any change in its legal name, which notice shall set forth the new name and it shall deliver to Agent a certified copy of the articles of amendment providing for the name change immediately following its filing.</w:t>
      </w:r>
    </w:p>
    <w:p>
      <w:pPr>
        <w:spacing w:after="0" w:line="14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7.2</w:t>
      </w:r>
      <w:r>
        <w:rPr>
          <w:sz w:val="20"/>
          <w:szCs w:val="20"/>
          <w:color w:val="auto"/>
        </w:rPr>
        <w:tab/>
      </w:r>
      <w:r>
        <w:rPr>
          <w:rFonts w:ascii="Times New Roman" w:cs="Times New Roman" w:eastAsia="Times New Roman" w:hAnsi="Times New Roman"/>
          <w:sz w:val="21"/>
          <w:szCs w:val="21"/>
          <w:b w:val="1"/>
          <w:bCs w:val="1"/>
          <w:color w:val="auto"/>
        </w:rPr>
        <w:t>New Collateral Locations</w:t>
      </w:r>
    </w:p>
    <w:p>
      <w:pPr>
        <w:spacing w:after="0" w:line="2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1"/>
          <w:szCs w:val="21"/>
          <w:color w:val="auto"/>
        </w:rPr>
        <w:t>Give Agent reasonable prior written notice if a Credit Party intends to have assets (other than goods in transit) with fair market value in excess of $1,000,000 located in a Province of Canada not set forth in the Information Certificates as of the Restatement Effective Date.</w:t>
      </w:r>
    </w:p>
    <w:p>
      <w:pPr>
        <w:spacing w:after="0" w:line="1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7.3</w:t>
      </w:r>
      <w:r>
        <w:rPr>
          <w:sz w:val="20"/>
          <w:szCs w:val="20"/>
          <w:color w:val="auto"/>
        </w:rPr>
        <w:tab/>
      </w:r>
      <w:r>
        <w:rPr>
          <w:rFonts w:ascii="Times New Roman" w:cs="Times New Roman" w:eastAsia="Times New Roman" w:hAnsi="Times New Roman"/>
          <w:sz w:val="21"/>
          <w:szCs w:val="21"/>
          <w:b w:val="1"/>
          <w:bCs w:val="1"/>
          <w:color w:val="auto"/>
        </w:rPr>
        <w:t>Compliance with Laws</w:t>
      </w:r>
    </w:p>
    <w:p>
      <w:pPr>
        <w:spacing w:after="0" w:line="191" w:lineRule="exact"/>
        <w:rPr>
          <w:sz w:val="20"/>
          <w:szCs w:val="20"/>
          <w:color w:val="auto"/>
        </w:rPr>
      </w:pPr>
    </w:p>
    <w:p>
      <w:pPr>
        <w:jc w:val="both"/>
        <w:ind w:left="1300" w:hanging="649"/>
        <w:spacing w:after="0" w:line="229" w:lineRule="auto"/>
        <w:tabs>
          <w:tab w:leader="none" w:pos="1297"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Comply in all respects with all Applicable Law and duly observe all requirements of any Governmental Authority, including all Applicable Laws relating to environmental pollution and employee health and safety, including all of the Environmental Laws except for any matter (i) that it is contesting in good faith by appropriate proceedings diligently pursued or (ii) which is not reasonably expected to have a Material Adverse Effect.</w:t>
      </w:r>
    </w:p>
    <w:p>
      <w:pPr>
        <w:spacing w:after="0" w:line="15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prompt action necessary to respond to any violation of any applicable Environmental Laws by such Credit Party or its Subsidiaries that would reasonably be expected to have, individually or in the aggregate, a Material Adverse Effect.</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97" w:val="left"/>
        </w:tabs>
        <w:numPr>
          <w:ilvl w:val="0"/>
          <w:numId w:val="1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Notify the Agent and each Lender in the event that the Borrower no longer qualifies for an express exclusion to the “legal entity customer” definition under the Beneficial Ownership Regulation and upon receipt of notice from the Agent or any Lender, provide directly to the Agent or such Lender a Beneficial Ownership Certification in compliance with the Beneficial Ownership Regulation.</w:t>
      </w:r>
    </w:p>
    <w:p>
      <w:pPr>
        <w:spacing w:after="0" w:line="1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7.4</w:t>
      </w:r>
      <w:r>
        <w:rPr>
          <w:sz w:val="20"/>
          <w:szCs w:val="20"/>
          <w:color w:val="auto"/>
        </w:rPr>
        <w:tab/>
      </w:r>
      <w:r>
        <w:rPr>
          <w:rFonts w:ascii="Times New Roman" w:cs="Times New Roman" w:eastAsia="Times New Roman" w:hAnsi="Times New Roman"/>
          <w:sz w:val="21"/>
          <w:szCs w:val="21"/>
          <w:b w:val="1"/>
          <w:bCs w:val="1"/>
          <w:color w:val="auto"/>
        </w:rPr>
        <w:t>Payment of Taxes</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Duly pay and discharge all Taxes, upon or against it or its properties or assets, except for (a) Taxes, the validity of which are being contested in good faith by appropriate proceedings diligently pursued and available to it and with respect to which adequate reserves have been set aside on its books;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execution or other enforcement of any Lien with respect to such contested Taxes is effectively stayed or otherwise not occurring during such proceedings or (b) Taxes, for which the failure to pay is not reasonably expected to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3" w:right="339" w:bottom="1440" w:gutter="0" w:footer="0" w:header="0"/>
        </w:sectPr>
      </w:pPr>
    </w:p>
    <w:bookmarkStart w:id="170" w:name="page171"/>
    <w:bookmarkEnd w:id="170"/>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7.5</w:t>
      </w:r>
      <w:r>
        <w:rPr>
          <w:sz w:val="20"/>
          <w:szCs w:val="20"/>
          <w:color w:val="auto"/>
        </w:rPr>
        <w:tab/>
      </w:r>
      <w:r>
        <w:rPr>
          <w:rFonts w:ascii="Times New Roman" w:cs="Times New Roman" w:eastAsia="Times New Roman" w:hAnsi="Times New Roman"/>
          <w:sz w:val="21"/>
          <w:szCs w:val="21"/>
          <w:b w:val="1"/>
          <w:bCs w:val="1"/>
          <w:color w:val="auto"/>
        </w:rPr>
        <w:t>Insurance</w:t>
      </w:r>
    </w:p>
    <w:p>
      <w:pPr>
        <w:spacing w:after="0" w:line="191" w:lineRule="exact"/>
        <w:rPr>
          <w:sz w:val="20"/>
          <w:szCs w:val="20"/>
          <w:color w:val="auto"/>
        </w:rPr>
      </w:pPr>
    </w:p>
    <w:p>
      <w:pPr>
        <w:jc w:val="both"/>
        <w:ind w:left="1300" w:hanging="649"/>
        <w:spacing w:after="0"/>
        <w:tabs>
          <w:tab w:leader="none" w:pos="1297"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with financially sound and reputable insurers, insurance with respect to the properties and businesses of the Credit Parties and their Subsidiaries as may customarily be insured against or carried by Persons engaged in the same or similar businesses and similarly situated, in each case in such amounts (giving effect to self-insurance), with such deductibles, covering such risks and otherwise on such terms and conditions as shall be customary for such Persons.</w:t>
      </w:r>
    </w:p>
    <w:p>
      <w:pPr>
        <w:spacing w:after="0" w:line="32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Furnish certificates, policies or endorsements to Agent as Agent shall reasonably require as proof of such insurance, and, if such Credit Party or Subsidiary fails to do so Agent is authorized, but not required, to obtain such insurance at the expense of such Credit Party.</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21" w:lineRule="auto"/>
        <w:tabs>
          <w:tab w:leader="none" w:pos="1297"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Agent to be named as a lender’s loss payee and/or an additional insured, as applicable (but without any liability for any premiums) under such insurance policies (other than worker’s compensation, directors and officers liability or other insurance where such endorsements or additions are not customarily available) and, in the case of</w:t>
      </w:r>
    </w:p>
    <w:p>
      <w:pPr>
        <w:jc w:val="both"/>
        <w:ind w:left="1300" w:hanging="6"/>
        <w:spacing w:after="0" w:line="226" w:lineRule="auto"/>
        <w:tabs>
          <w:tab w:leader="none" w:pos="1610" w:val="left"/>
        </w:tabs>
        <w:numPr>
          <w:ilvl w:val="1"/>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property hazard insurance policy, and if available, obtain a lender’s loss payee (and mortgagee, as applicable) clause or endorsement and (ii) each liability insurance policy, and if available, obtain an additional insured clause or endorsement, each in form and substance reasonably satisfactory to Agent.</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19" w:lineRule="auto"/>
        <w:tabs>
          <w:tab w:leader="none" w:pos="1295" w:val="left"/>
        </w:tabs>
        <w:numPr>
          <w:ilvl w:val="0"/>
          <w:numId w:val="1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foregoing, if any portion of any Material Real Property subject to a Mortgage is at any time located in an area identified by the Federal Emergency Management Agency (or any successor agency) as a special flood hazard area with respect to which flood insurance has been made available under the Flood Insurance Laws, then Borrower shall, or shall cause the applicable Credit Party to, (i) maintain, or cause to be maintained, flood insurance in an amount and otherwise sufficient to comply with all applicable rules and regulations promulgated pursuant to the Flood Insurance Laws, (ii) reasonably cooperate with Agent and provide information reasonably required to comply with the Flood Insurance Laws, (iii) deliver to Agent evidence of such compliance, including evidence of annual renewals of such insurance and (iv) furnish to Agent prompt written notice of any re-designation of any such Material Real Property subject to a Mortgage into or out of a special flood hazard area if, and only if, the applicable Credit Party receives written notice of any such re-designation.</w:t>
      </w:r>
    </w:p>
    <w:p>
      <w:pPr>
        <w:spacing w:after="0" w:line="15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7.6</w:t>
      </w:r>
      <w:r>
        <w:rPr>
          <w:sz w:val="20"/>
          <w:szCs w:val="20"/>
          <w:color w:val="auto"/>
        </w:rPr>
        <w:tab/>
      </w:r>
      <w:r>
        <w:rPr>
          <w:rFonts w:ascii="Times New Roman" w:cs="Times New Roman" w:eastAsia="Times New Roman" w:hAnsi="Times New Roman"/>
          <w:sz w:val="21"/>
          <w:szCs w:val="21"/>
          <w:b w:val="1"/>
          <w:bCs w:val="1"/>
          <w:color w:val="auto"/>
        </w:rPr>
        <w:t>Financial Statements and Other Information</w:t>
      </w:r>
    </w:p>
    <w:p>
      <w:pPr>
        <w:spacing w:after="0" w:line="191" w:lineRule="exact"/>
        <w:rPr>
          <w:sz w:val="20"/>
          <w:szCs w:val="20"/>
          <w:color w:val="auto"/>
        </w:rPr>
      </w:pPr>
    </w:p>
    <w:p>
      <w:pPr>
        <w:jc w:val="both"/>
        <w:ind w:left="1300" w:right="20" w:hanging="649"/>
        <w:spacing w:after="0" w:line="234" w:lineRule="auto"/>
        <w:tabs>
          <w:tab w:leader="none" w:pos="1297" w:val="left"/>
        </w:tabs>
        <w:numPr>
          <w:ilvl w:val="0"/>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Keep proper books and records in which true and correct entries shall be made of all financial transactions of or in relation to the Collateral and its business in accordance with GAAP and Borrower shall furnish or cause to be furnished to Agent (for further distribution to the Lenders):</w:t>
      </w:r>
    </w:p>
    <w:p>
      <w:pPr>
        <w:spacing w:after="0" w:line="151" w:lineRule="exact"/>
        <w:rPr>
          <w:rFonts w:ascii="Times New Roman" w:cs="Times New Roman" w:eastAsia="Times New Roman" w:hAnsi="Times New Roman"/>
          <w:sz w:val="21"/>
          <w:szCs w:val="21"/>
          <w:color w:val="auto"/>
        </w:rPr>
      </w:pPr>
    </w:p>
    <w:p>
      <w:pPr>
        <w:jc w:val="both"/>
        <w:ind w:left="1940" w:hanging="646"/>
        <w:spacing w:after="0" w:line="226" w:lineRule="auto"/>
        <w:tabs>
          <w:tab w:leader="none" w:pos="1928" w:val="left"/>
        </w:tabs>
        <w:numPr>
          <w:ilvl w:val="1"/>
          <w:numId w:val="1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45 days after the end of each of the first 3 Fiscal Quarters of each Fiscal Year, quarterly unaudited consolidated financial statements (including in each case balance sheets, statements of income and loss, statements of cash flow and statements of shareholders’ equity with comparisons to the same period in the previous Fiscal Year), all in reasonable detail, fairly presenting, in all material respects, the results of the operations and financial condition of Borrower and its Subsidiaries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2" w:right="339" w:bottom="1440" w:gutter="0" w:footer="0" w:header="0"/>
        </w:sectPr>
      </w:pPr>
    </w:p>
    <w:bookmarkStart w:id="171" w:name="page172"/>
    <w:bookmarkEnd w:id="171"/>
    <w:p>
      <w:pPr>
        <w:ind w:left="1940"/>
        <w:spacing w:after="0" w:line="250" w:lineRule="auto"/>
        <w:rPr>
          <w:sz w:val="20"/>
          <w:szCs w:val="20"/>
          <w:color w:val="auto"/>
        </w:rPr>
      </w:pPr>
      <w:r>
        <w:rPr>
          <w:rFonts w:ascii="Times New Roman" w:cs="Times New Roman" w:eastAsia="Times New Roman" w:hAnsi="Times New Roman"/>
          <w:sz w:val="21"/>
          <w:szCs w:val="21"/>
          <w:color w:val="auto"/>
        </w:rPr>
        <w:t>of the end of and for the Fiscal Quarter then ended together with a customary management discussion of such financial position and results;</w:t>
      </w:r>
    </w:p>
    <w:p>
      <w:pPr>
        <w:spacing w:after="0" w:line="140" w:lineRule="exact"/>
        <w:rPr>
          <w:sz w:val="20"/>
          <w:szCs w:val="20"/>
          <w:color w:val="auto"/>
        </w:rPr>
      </w:pPr>
    </w:p>
    <w:p>
      <w:pPr>
        <w:jc w:val="both"/>
        <w:ind w:left="1940" w:hanging="646"/>
        <w:spacing w:after="0" w:line="218" w:lineRule="auto"/>
        <w:tabs>
          <w:tab w:leader="none" w:pos="1934"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within 90 days after the end of each Fiscal Year, audited consolidated financial statements of Borrower and its Subsidiaries (including in each case balance sheets, statements of income and loss, statements of changes in financial position and statements of shareholders’ equity), and the accompanying notes thereto, all in reasonable detail, and the opinion of independent chartered accountants, which accountants shall be an independent accounting firm selected by Borrower, which opinion shall be unqualified as to going concern and scope of audit (other than any exception or explanatory paragraph, but not a qualification, that is with respect to, or resulting from (x) an upcoming maturity date of any Debt under this Agreement or any other Debt, in each case, that is scheduled to occur within one year from the time such report and opinion are delivered or (y) any potential inability to satisfy a financial maintenance covenant, including the financial covenant contained in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on a future date or future period), and shall state that such financial statements have been prepared in accordance with GAAP, and present fairly, in all material respects, the results of operations and financial condition of Borrower and its Subsidiaries as of the end of and for the Fiscal Year then ended;</w:t>
      </w:r>
    </w:p>
    <w:p>
      <w:pPr>
        <w:spacing w:after="0" w:line="151" w:lineRule="exact"/>
        <w:rPr>
          <w:rFonts w:ascii="Times New Roman" w:cs="Times New Roman" w:eastAsia="Times New Roman" w:hAnsi="Times New Roman"/>
          <w:sz w:val="21"/>
          <w:szCs w:val="21"/>
          <w:color w:val="auto"/>
        </w:rPr>
      </w:pPr>
    </w:p>
    <w:p>
      <w:pPr>
        <w:ind w:left="1940" w:right="20" w:hanging="646"/>
        <w:spacing w:after="0" w:line="250" w:lineRule="auto"/>
        <w:tabs>
          <w:tab w:leader="none" w:pos="1940"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together with each delivery of financial statements pursuant to </w:t>
      </w:r>
      <w:r>
        <w:rPr>
          <w:rFonts w:ascii="Times New Roman" w:cs="Times New Roman" w:eastAsia="Times New Roman" w:hAnsi="Times New Roman"/>
          <w:sz w:val="21"/>
          <w:szCs w:val="21"/>
          <w:u w:val="single" w:color="auto"/>
          <w:color w:val="auto"/>
        </w:rPr>
        <w:t>Sections 7.6(a)(i)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a duly executed and completed Compliance Certificate duly executed by the chief financial officer of Borrower;</w:t>
      </w:r>
    </w:p>
    <w:p>
      <w:pPr>
        <w:spacing w:after="0" w:line="140" w:lineRule="exact"/>
        <w:rPr>
          <w:rFonts w:ascii="Times New Roman" w:cs="Times New Roman" w:eastAsia="Times New Roman" w:hAnsi="Times New Roman"/>
          <w:sz w:val="21"/>
          <w:szCs w:val="21"/>
          <w:color w:val="auto"/>
        </w:rPr>
      </w:pPr>
    </w:p>
    <w:p>
      <w:pPr>
        <w:ind w:left="1940" w:hanging="646"/>
        <w:spacing w:after="0" w:line="250" w:lineRule="auto"/>
        <w:tabs>
          <w:tab w:leader="none" w:pos="1928"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soon as practicable and in any event no later than 90 days after the end of each Fiscal Year, projections for the Fiscal Year following such Fiscal Year then ended; and</w:t>
      </w:r>
    </w:p>
    <w:p>
      <w:pPr>
        <w:spacing w:after="0" w:line="140"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35" w:val="left"/>
        </w:tabs>
        <w:numPr>
          <w:ilvl w:val="1"/>
          <w:numId w:val="1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Agent may from time to time reasonably request, and provided that Borrower prepares such information in the ordinary course of business, budgets, forecasts, cash flows and other information respecting the Collateral and the business of each Credit Party.</w:t>
      </w:r>
    </w:p>
    <w:p>
      <w:pPr>
        <w:spacing w:after="0" w:line="151" w:lineRule="exact"/>
        <w:rPr>
          <w:rFonts w:ascii="Times New Roman" w:cs="Times New Roman" w:eastAsia="Times New Roman" w:hAnsi="Times New Roman"/>
          <w:sz w:val="21"/>
          <w:szCs w:val="21"/>
          <w:color w:val="auto"/>
        </w:rPr>
      </w:pPr>
    </w:p>
    <w:p>
      <w:pPr>
        <w:jc w:val="both"/>
        <w:ind w:left="1300" w:hanging="649"/>
        <w:spacing w:after="0"/>
        <w:tabs>
          <w:tab w:leader="none" w:pos="1295"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an officer of any Credit Party has obtained knowledge thereof, notify Agent in writing of the details of (i) the institution of any material litigation not previously disclosed by Credit Parties to Agent, or any material development in any material litigation that is reasonably likely to be adversely determined, and would, in either case, if adversely determined be reasonably expected to have a Material Adverse Effect; (ii) the occurrence of any Event of Default or Default; or (iii) any other event that could reasonably be expected to have a Material Adverse Effect.</w:t>
      </w:r>
    </w:p>
    <w:p>
      <w:pPr>
        <w:spacing w:after="0" w:line="293"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97"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after the sending or filing thereof, furnish or cause to be furnished to Agent copies of all reports which it sends to all shareholders generally and copies of all reports and registration statements which it files with any national securities commission or securities exchange, and in any case not otherwise required to be delivered to Agent pursuant hereto.</w:t>
      </w:r>
    </w:p>
    <w:p>
      <w:pPr>
        <w:spacing w:after="0" w:line="15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Promptly upon the request thereof, such other information and documentation required under applicable “know your customer” rules and regulations, the </w:t>
      </w:r>
      <w:r>
        <w:rPr>
          <w:rFonts w:ascii="Times New Roman" w:cs="Times New Roman" w:eastAsia="Times New Roman" w:hAnsi="Times New Roman"/>
          <w:sz w:val="21"/>
          <w:szCs w:val="21"/>
          <w:i w:val="1"/>
          <w:iCs w:val="1"/>
          <w:color w:val="auto"/>
        </w:rPr>
        <w:t>PATRIOT Act</w:t>
      </w:r>
      <w:r>
        <w:rPr>
          <w:rFonts w:ascii="Times New Roman" w:cs="Times New Roman" w:eastAsia="Times New Roman" w:hAnsi="Times New Roman"/>
          <w:sz w:val="21"/>
          <w:szCs w:val="21"/>
          <w:color w:val="auto"/>
        </w:rPr>
        <w:t xml:space="preserve"> or any applicable Anti-Money Laundering Laws, in each case as from time to time reasonably requested by the Agent or any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72" w:name="page173"/>
    <w:bookmarkEnd w:id="172"/>
    <w:p>
      <w:pPr>
        <w:jc w:val="both"/>
        <w:ind w:firstLine="7"/>
        <w:spacing w:after="0" w:line="260" w:lineRule="auto"/>
        <w:tabs>
          <w:tab w:leader="none" w:pos="640" w:val="left"/>
        </w:tabs>
        <w:numPr>
          <w:ilvl w:val="0"/>
          <w:numId w:val="1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 in the event that Borrower delivers to Agent an Annual Report for Borrower on Form 10-K for such Fiscal Year within ninety (90) days after the end of such Fiscal Year, such Form 10-K shall satisfy all requirements of </w:t>
      </w:r>
      <w:r>
        <w:rPr>
          <w:rFonts w:ascii="Times New Roman" w:cs="Times New Roman" w:eastAsia="Times New Roman" w:hAnsi="Times New Roman"/>
          <w:sz w:val="21"/>
          <w:szCs w:val="21"/>
          <w:u w:val="single" w:color="auto"/>
          <w:color w:val="auto"/>
        </w:rPr>
        <w:t>paragraph (a)(ii)</w:t>
      </w:r>
      <w:r>
        <w:rPr>
          <w:rFonts w:ascii="Times New Roman" w:cs="Times New Roman" w:eastAsia="Times New Roman" w:hAnsi="Times New Roman"/>
          <w:sz w:val="21"/>
          <w:szCs w:val="21"/>
          <w:color w:val="auto"/>
        </w:rPr>
        <w:t xml:space="preserve"> of this Section to the extent that it does not contain any “going concern” or like qualification, exception or explanatory paragraph or qualification or any exception or explanatory paragraph as to the scope of such audit (other than any such exception or explanatory paragraph, but not a qualification, expressly permitted to be contained therein under </w:t>
      </w:r>
      <w:r>
        <w:rPr>
          <w:rFonts w:ascii="Times New Roman" w:cs="Times New Roman" w:eastAsia="Times New Roman" w:hAnsi="Times New Roman"/>
          <w:sz w:val="21"/>
          <w:szCs w:val="21"/>
          <w:u w:val="single" w:color="auto"/>
          <w:color w:val="auto"/>
        </w:rPr>
        <w:t>clause (a)(ii)</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xml:space="preserve">) and (ii) in the event that Borrower delivers to Agent a Quarterly Report for Borrower on Form 10-Q for such Fiscal Quarter within forty five (45) days after the end of such Fiscal Quarter, such Form 10-Q shall satisfy all requirements of </w:t>
      </w:r>
      <w:r>
        <w:rPr>
          <w:rFonts w:ascii="Times New Roman" w:cs="Times New Roman" w:eastAsia="Times New Roman" w:hAnsi="Times New Roman"/>
          <w:sz w:val="21"/>
          <w:szCs w:val="21"/>
          <w:u w:val="single" w:color="auto"/>
          <w:color w:val="auto"/>
        </w:rPr>
        <w:t>paragraph (a)(i)</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7.7</w:t>
      </w:r>
      <w:r>
        <w:rPr>
          <w:sz w:val="20"/>
          <w:szCs w:val="20"/>
          <w:color w:val="auto"/>
        </w:rPr>
        <w:tab/>
      </w:r>
      <w:r>
        <w:rPr>
          <w:rFonts w:ascii="Times New Roman" w:cs="Times New Roman" w:eastAsia="Times New Roman" w:hAnsi="Times New Roman"/>
          <w:sz w:val="21"/>
          <w:szCs w:val="21"/>
          <w:b w:val="1"/>
          <w:bCs w:val="1"/>
          <w:color w:val="auto"/>
        </w:rPr>
        <w:t>Intellectual Property</w:t>
      </w:r>
    </w:p>
    <w:p>
      <w:pPr>
        <w:spacing w:after="0" w:line="191" w:lineRule="exact"/>
        <w:rPr>
          <w:sz w:val="20"/>
          <w:szCs w:val="20"/>
          <w:color w:val="auto"/>
        </w:rPr>
      </w:pPr>
    </w:p>
    <w:p>
      <w:pPr>
        <w:jc w:val="both"/>
        <w:ind w:left="1300" w:hanging="649"/>
        <w:spacing w:after="0" w:line="234" w:lineRule="auto"/>
        <w:tabs>
          <w:tab w:leader="none" w:pos="1297"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Together with the delivery of each Compliance Certificate pursuant to </w:t>
      </w:r>
      <w:r>
        <w:rPr>
          <w:rFonts w:ascii="Times New Roman" w:cs="Times New Roman" w:eastAsia="Times New Roman" w:hAnsi="Times New Roman"/>
          <w:sz w:val="21"/>
          <w:szCs w:val="21"/>
          <w:u w:val="single" w:color="auto"/>
          <w:color w:val="auto"/>
        </w:rPr>
        <w:t>Section 7.6(a)</w:t>
      </w:r>
      <w:r>
        <w:rPr>
          <w:rFonts w:ascii="Times New Roman" w:cs="Times New Roman" w:eastAsia="Times New Roman" w:hAnsi="Times New Roman"/>
          <w:sz w:val="21"/>
          <w:szCs w:val="21"/>
          <w:color w:val="auto"/>
        </w:rPr>
        <w:t>, notify Agent in the event any Credit Party obtains or applies for any material intellectual property rights or obtains any material licenses with respect thereto.</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Agent’s request, promptly execute and deliver to Agent an intellectual property security agreement granting to Agent a security interest in such intellectual property rights of a Credit Party in form and substance satisfactory to Agent.</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7.8</w:t>
      </w:r>
      <w:r>
        <w:rPr>
          <w:sz w:val="20"/>
          <w:szCs w:val="20"/>
          <w:color w:val="auto"/>
        </w:rPr>
        <w:tab/>
      </w:r>
      <w:r>
        <w:rPr>
          <w:rFonts w:ascii="Times New Roman" w:cs="Times New Roman" w:eastAsia="Times New Roman" w:hAnsi="Times New Roman"/>
          <w:sz w:val="21"/>
          <w:szCs w:val="21"/>
          <w:b w:val="1"/>
          <w:bCs w:val="1"/>
          <w:color w:val="auto"/>
        </w:rPr>
        <w:t>Operation of Pension Plans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Except as would not reasonably be expected to result in material liability to the Borrower and its Subsidiaries:</w:t>
      </w:r>
    </w:p>
    <w:p>
      <w:pPr>
        <w:spacing w:after="0" w:line="201" w:lineRule="exact"/>
        <w:rPr>
          <w:sz w:val="20"/>
          <w:szCs w:val="20"/>
          <w:color w:val="auto"/>
        </w:rPr>
      </w:pPr>
    </w:p>
    <w:p>
      <w:pPr>
        <w:ind w:left="1300" w:hanging="649"/>
        <w:spacing w:after="0" w:line="250" w:lineRule="auto"/>
        <w:tabs>
          <w:tab w:leader="none" w:pos="1297"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administer the Pension Plans in accordance with the requirements of the applicable pension plan texts, funding agreements, the ITA and applicable provincial pension benefits legislation;</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use commercially reasonable efforts to obtain and to deliver to Agent, upon Agent’s request, an undertaking of the funding agent for each of the Pension Plans stating that the funding agent will notify Agent within 30 days of such Credit Party’s or its Subsidiary’s failure to make any required contribution to the applicable Pension Plan;</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97"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accept payment or the benefit of any amount from any of the Pension Plans without the prior written consent of Agent other than the amount of any forfeitures in connection with terminated employees to be set-off against future contribution obligations that are authorized by (i) Applicable Law or (ii) the prior written consent of any applicable Governmental Authority;</w:t>
      </w:r>
    </w:p>
    <w:p>
      <w:pPr>
        <w:spacing w:after="0" w:line="150"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terminate, or cause to be terminated, any of the Pension Plans, if such plan would have a solvency or wind up deficiency on termination;</w:t>
      </w:r>
    </w:p>
    <w:p>
      <w:pPr>
        <w:spacing w:after="0" w:line="140"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provide Agent with any documentation relating to any of the Pension Plans as Agent may request; and</w:t>
      </w:r>
    </w:p>
    <w:p>
      <w:pPr>
        <w:spacing w:after="0" w:line="187" w:lineRule="exact"/>
        <w:rPr>
          <w:rFonts w:ascii="Times New Roman" w:cs="Times New Roman" w:eastAsia="Times New Roman" w:hAnsi="Times New Roman"/>
          <w:sz w:val="21"/>
          <w:szCs w:val="21"/>
          <w:color w:val="auto"/>
        </w:rPr>
      </w:pPr>
    </w:p>
    <w:p>
      <w:pPr>
        <w:ind w:left="1300" w:hanging="649"/>
        <w:spacing w:after="0" w:line="250" w:lineRule="auto"/>
        <w:tabs>
          <w:tab w:leader="none" w:pos="1300" w:val="left"/>
        </w:tabs>
        <w:numPr>
          <w:ilvl w:val="0"/>
          <w:numId w:val="1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promptly notify Agent within 30 days of: (i) a material increase in the liabilities of any of the Pension Plans; (ii) the establishment of a new registered pension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3" w:right="339" w:bottom="1440" w:gutter="0" w:footer="0" w:header="0"/>
        </w:sectPr>
      </w:pPr>
    </w:p>
    <w:bookmarkStart w:id="173" w:name="page174"/>
    <w:bookmarkEnd w:id="173"/>
    <w:p>
      <w:pPr>
        <w:jc w:val="both"/>
        <w:ind w:left="1300" w:hanging="6"/>
        <w:spacing w:after="0"/>
        <w:tabs>
          <w:tab w:leader="none" w:pos="1680" w:val="left"/>
        </w:tabs>
        <w:numPr>
          <w:ilvl w:val="0"/>
          <w:numId w:val="1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commencing payment of contributions to a Pension Plan to which a Credit Party or any Subsidiary thereof had not previously been contributing; and (iv) any failure to make any required contribution to a Pension Plan when due.</w:t>
      </w:r>
    </w:p>
    <w:p>
      <w:pPr>
        <w:spacing w:after="0" w:line="3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7.9</w:t>
      </w:r>
      <w:r>
        <w:rPr>
          <w:sz w:val="20"/>
          <w:szCs w:val="20"/>
          <w:color w:val="auto"/>
        </w:rPr>
        <w:tab/>
      </w:r>
      <w:r>
        <w:rPr>
          <w:rFonts w:ascii="Times New Roman" w:cs="Times New Roman" w:eastAsia="Times New Roman" w:hAnsi="Times New Roman"/>
          <w:sz w:val="20"/>
          <w:szCs w:val="20"/>
          <w:b w:val="1"/>
          <w:bCs w:val="1"/>
          <w:color w:val="auto"/>
        </w:rPr>
        <w:t>ERISA</w:t>
      </w:r>
    </w:p>
    <w:p>
      <w:pPr>
        <w:spacing w:after="0" w:line="218" w:lineRule="exact"/>
        <w:rPr>
          <w:sz w:val="20"/>
          <w:szCs w:val="20"/>
          <w:color w:val="auto"/>
        </w:rPr>
      </w:pPr>
    </w:p>
    <w:p>
      <w:pPr>
        <w:jc w:val="both"/>
        <w:ind w:firstLine="7"/>
        <w:spacing w:after="0" w:line="261" w:lineRule="auto"/>
        <w:tabs>
          <w:tab w:leader="none" w:pos="633" w:val="left"/>
        </w:tabs>
        <w:numPr>
          <w:ilvl w:val="0"/>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Not terminate any U.S. Pension Plan so as to incur any liability to the Pension Benefit Guaranty Corporation, (b) make all required contributions to any Plan which it is obligated to pay under </w:t>
      </w:r>
      <w:r>
        <w:rPr>
          <w:rFonts w:ascii="Times New Roman" w:cs="Times New Roman" w:eastAsia="Times New Roman" w:hAnsi="Times New Roman"/>
          <w:sz w:val="21"/>
          <w:szCs w:val="21"/>
          <w:u w:val="single" w:color="auto"/>
          <w:color w:val="auto"/>
        </w:rPr>
        <w:t>Section 302</w:t>
      </w:r>
      <w:r>
        <w:rPr>
          <w:rFonts w:ascii="Times New Roman" w:cs="Times New Roman" w:eastAsia="Times New Roman" w:hAnsi="Times New Roman"/>
          <w:sz w:val="21"/>
          <w:szCs w:val="21"/>
          <w:color w:val="auto"/>
        </w:rPr>
        <w:t xml:space="preserve"> of ERISA, </w:t>
      </w:r>
      <w:r>
        <w:rPr>
          <w:rFonts w:ascii="Times New Roman" w:cs="Times New Roman" w:eastAsia="Times New Roman" w:hAnsi="Times New Roman"/>
          <w:sz w:val="21"/>
          <w:szCs w:val="21"/>
          <w:u w:val="single" w:color="auto"/>
          <w:color w:val="auto"/>
        </w:rPr>
        <w:t>Section 412</w:t>
      </w:r>
      <w:r>
        <w:rPr>
          <w:rFonts w:ascii="Times New Roman" w:cs="Times New Roman" w:eastAsia="Times New Roman" w:hAnsi="Times New Roman"/>
          <w:sz w:val="21"/>
          <w:szCs w:val="21"/>
          <w:color w:val="auto"/>
        </w:rPr>
        <w:t xml:space="preserve"> of the Code or the terms of such Plan, (c) not engage in a transaction that could be subject to </w:t>
      </w:r>
      <w:r>
        <w:rPr>
          <w:rFonts w:ascii="Times New Roman" w:cs="Times New Roman" w:eastAsia="Times New Roman" w:hAnsi="Times New Roman"/>
          <w:sz w:val="21"/>
          <w:szCs w:val="21"/>
          <w:u w:val="single" w:color="auto"/>
          <w:color w:val="auto"/>
        </w:rPr>
        <w:t>Section 4069</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4212(c)</w:t>
      </w:r>
      <w:r>
        <w:rPr>
          <w:rFonts w:ascii="Times New Roman" w:cs="Times New Roman" w:eastAsia="Times New Roman" w:hAnsi="Times New Roman"/>
          <w:sz w:val="21"/>
          <w:szCs w:val="21"/>
          <w:color w:val="auto"/>
        </w:rPr>
        <w:t xml:space="preserve"> of ERISA, or (d) not allow or suffer to exist any occurrence of a reportable event or any other event or condition which presents a risk of termination by the Pension Benefit Guaranty Corporation of any Plan that is a single employer plan, which termination could result in any liability to the Pension Benefit Guaranty Corporation, except, in each case, as would not reasonably be expected to result in material liability to the Borrower and its Subsidiaries.</w:t>
      </w:r>
    </w:p>
    <w:p>
      <w:pPr>
        <w:spacing w:after="0" w:line="14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7.10</w:t>
        <w:tab/>
        <w:t>IP Collateral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respect to the IP Collateral:</w:t>
      </w:r>
    </w:p>
    <w:p>
      <w:pPr>
        <w:spacing w:after="0" w:line="214" w:lineRule="exact"/>
        <w:rPr>
          <w:sz w:val="20"/>
          <w:szCs w:val="20"/>
          <w:color w:val="auto"/>
        </w:rPr>
      </w:pPr>
    </w:p>
    <w:p>
      <w:pPr>
        <w:ind w:left="1300" w:right="20" w:hanging="649"/>
        <w:spacing w:after="0" w:line="250" w:lineRule="auto"/>
        <w:tabs>
          <w:tab w:leader="none" w:pos="1297"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where the failure to do so could not reasonably be expected to have a Material Adverse Effect, notify Agent forthwith in writing upon obtaining knowledge:</w:t>
      </w:r>
    </w:p>
    <w:p>
      <w:pPr>
        <w:spacing w:after="0" w:line="140" w:lineRule="exact"/>
        <w:rPr>
          <w:rFonts w:ascii="Times New Roman" w:cs="Times New Roman" w:eastAsia="Times New Roman" w:hAnsi="Times New Roman"/>
          <w:sz w:val="21"/>
          <w:szCs w:val="21"/>
          <w:color w:val="auto"/>
        </w:rPr>
      </w:pPr>
    </w:p>
    <w:p>
      <w:pPr>
        <w:jc w:val="both"/>
        <w:ind w:left="1940" w:hanging="646"/>
        <w:spacing w:after="0" w:line="220" w:lineRule="auto"/>
        <w:tabs>
          <w:tab w:leader="none" w:pos="1928"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any reason any patent, patent application, patent registration, trademark, trademark application, trademark registration, copyright, copyright application, copyright registration, industrial design application or industrial design registration forming part of the material IP Collateral or any other application, registration or proceeding relating to any of the material IP Collateral may become barred, abandoned, refused, rejected, forfeited, withdrawn, expired, lapsed, cancelled, expunged, opposed or dedicated or of any adverse determination or development (including the institution of any proceeding in any Intellectual Property Office or any court or tribunal) regarding any Credit Party’s ownership of or rights in any of the material IP Collateral, its right to register or otherwise protect the same, or to keep and maintain the exclusive rights in same, or the validity of same; or</w:t>
      </w:r>
    </w:p>
    <w:p>
      <w:pPr>
        <w:spacing w:after="0" w:line="152" w:lineRule="exact"/>
        <w:rPr>
          <w:rFonts w:ascii="Times New Roman" w:cs="Times New Roman" w:eastAsia="Times New Roman" w:hAnsi="Times New Roman"/>
          <w:sz w:val="21"/>
          <w:szCs w:val="21"/>
          <w:color w:val="auto"/>
        </w:rPr>
      </w:pPr>
    </w:p>
    <w:p>
      <w:pPr>
        <w:ind w:left="1940" w:hanging="646"/>
        <w:spacing w:after="0" w:line="250" w:lineRule="auto"/>
        <w:tabs>
          <w:tab w:leader="none" w:pos="1934"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any action, proceeding, or allegation that the IP Collateral infringes upon, misappropriates, violates, or otherwise interferes with the rights of any Person;</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where the failure to do so could not reasonably be expected to have a Material Adverse Effect, do everything commercially necessary to preserve and maintain the material IP Collateral including (unless Borrower receives the prior written consent of Agent):</w:t>
      </w:r>
    </w:p>
    <w:p>
      <w:pPr>
        <w:spacing w:after="0" w:line="151" w:lineRule="exact"/>
        <w:rPr>
          <w:rFonts w:ascii="Times New Roman" w:cs="Times New Roman" w:eastAsia="Times New Roman" w:hAnsi="Times New Roman"/>
          <w:sz w:val="21"/>
          <w:szCs w:val="21"/>
          <w:color w:val="auto"/>
        </w:rPr>
      </w:pPr>
    </w:p>
    <w:p>
      <w:pPr>
        <w:ind w:left="1920" w:hanging="626"/>
        <w:spacing w:after="0"/>
        <w:tabs>
          <w:tab w:leader="none" w:pos="1920"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all obligations pursuant to the License Agreements;</w:t>
      </w:r>
    </w:p>
    <w:p>
      <w:pPr>
        <w:spacing w:after="0" w:line="187" w:lineRule="exact"/>
        <w:rPr>
          <w:rFonts w:ascii="Times New Roman" w:cs="Times New Roman" w:eastAsia="Times New Roman" w:hAnsi="Times New Roman"/>
          <w:sz w:val="21"/>
          <w:szCs w:val="21"/>
          <w:color w:val="auto"/>
        </w:rPr>
      </w:pPr>
    </w:p>
    <w:p>
      <w:pPr>
        <w:ind w:left="1940" w:hanging="646"/>
        <w:spacing w:after="0" w:line="250" w:lineRule="auto"/>
        <w:tabs>
          <w:tab w:leader="none" w:pos="1934" w:val="left"/>
        </w:tabs>
        <w:numPr>
          <w:ilvl w:val="1"/>
          <w:numId w:val="1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commence and prosecute such suits, proceedings or other actions for infringement, passing off, unfair competition, dilution or other damage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74" w:name="page175"/>
    <w:bookmarkEnd w:id="174"/>
    <w:p>
      <w:pPr>
        <w:ind w:left="1940"/>
        <w:spacing w:after="0"/>
        <w:rPr>
          <w:sz w:val="20"/>
          <w:szCs w:val="20"/>
          <w:color w:val="auto"/>
        </w:rPr>
      </w:pPr>
      <w:r>
        <w:rPr>
          <w:rFonts w:ascii="Times New Roman" w:cs="Times New Roman" w:eastAsia="Times New Roman" w:hAnsi="Times New Roman"/>
          <w:sz w:val="21"/>
          <w:szCs w:val="21"/>
          <w:color w:val="auto"/>
        </w:rPr>
        <w:t>are, in its reasonable business judgment, necessary to protect the IP Collateral;</w:t>
      </w:r>
    </w:p>
    <w:p>
      <w:pPr>
        <w:spacing w:after="0" w:line="187" w:lineRule="exact"/>
        <w:rPr>
          <w:sz w:val="20"/>
          <w:szCs w:val="20"/>
          <w:color w:val="auto"/>
        </w:rPr>
      </w:pPr>
    </w:p>
    <w:p>
      <w:pPr>
        <w:ind w:left="1940" w:hanging="646"/>
        <w:spacing w:after="0" w:line="250" w:lineRule="auto"/>
        <w:tabs>
          <w:tab w:leader="none" w:pos="1940"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enforce its rights under any agreements (including the License Agreements) which materially enhance the value of and/or protect the material IP Collateral; and</w:t>
      </w:r>
    </w:p>
    <w:p>
      <w:pPr>
        <w:spacing w:after="0" w:line="140" w:lineRule="exact"/>
        <w:rPr>
          <w:rFonts w:ascii="Times New Roman" w:cs="Times New Roman" w:eastAsia="Times New Roman" w:hAnsi="Times New Roman"/>
          <w:sz w:val="21"/>
          <w:szCs w:val="21"/>
          <w:color w:val="auto"/>
        </w:rPr>
      </w:pPr>
    </w:p>
    <w:p>
      <w:pPr>
        <w:jc w:val="both"/>
        <w:ind w:left="1940" w:hanging="646"/>
        <w:spacing w:after="0" w:line="229" w:lineRule="auto"/>
        <w:tabs>
          <w:tab w:leader="none" w:pos="1928"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all necessary filings and recordings in the Intellectual Property Offices and elsewhere necessary to protect its interest in the material IP Collateral or any new material IP Collateral, including making, maintaining and pursuing (including proceedings before Intellectual Property Offices) each application and registration with respect thereto;</w:t>
      </w:r>
    </w:p>
    <w:p>
      <w:pPr>
        <w:spacing w:after="0" w:line="150"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jc w:val="both"/>
        <w:ind w:left="1300" w:hanging="649"/>
        <w:spacing w:after="0"/>
        <w:tabs>
          <w:tab w:leader="none" w:pos="1295"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at Borrower’s sole cost and expense, all acts and execute all documents, including grants of security interests or assignments in forms suitable for filing with the Intellectual Property Offices in Canada and the United States, as may be reasonably requested by Agent at any time and from time to time to evidence, perfect, maintain, record and enforce Agent’s Liens in the IP Collateral, or otherwise in furtherance of the provisions of this Agreement;</w:t>
      </w:r>
    </w:p>
    <w:p>
      <w:pPr>
        <w:spacing w:after="0" w:line="320"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97"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Agent consents in writing otherwise, or unless such act or failure to act could not reasonably be expected to have a Material Adverse Effect, not do any act or omit to do any act, other than in the ordinary course of its business, whereby any of the IP Collateral, may lapse, become abandoned or dedicated to the public, enter the public domain, lose its quality of confidence, become indistinct, or become unenforceable;</w:t>
      </w:r>
    </w:p>
    <w:p>
      <w:pPr>
        <w:spacing w:after="0" w:line="150" w:lineRule="exact"/>
        <w:rPr>
          <w:rFonts w:ascii="Times New Roman" w:cs="Times New Roman" w:eastAsia="Times New Roman" w:hAnsi="Times New Roman"/>
          <w:sz w:val="21"/>
          <w:szCs w:val="21"/>
          <w:color w:val="auto"/>
        </w:rPr>
      </w:pPr>
    </w:p>
    <w:p>
      <w:pPr>
        <w:ind w:left="1300" w:hanging="649"/>
        <w:spacing w:after="0" w:line="250" w:lineRule="auto"/>
        <w:tabs>
          <w:tab w:leader="none" w:pos="1300"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Agent consents in writing otherwise, or unless the failure to so act would not reasonably be expected to have a Material Adverse Effect, with respect to any Trade-mark forming part of the Collateral:</w:t>
      </w:r>
    </w:p>
    <w:p>
      <w:pPr>
        <w:spacing w:after="0" w:line="140" w:lineRule="exact"/>
        <w:rPr>
          <w:rFonts w:ascii="Times New Roman" w:cs="Times New Roman" w:eastAsia="Times New Roman" w:hAnsi="Times New Roman"/>
          <w:sz w:val="21"/>
          <w:szCs w:val="21"/>
          <w:color w:val="auto"/>
        </w:rPr>
      </w:pPr>
    </w:p>
    <w:p>
      <w:pPr>
        <w:ind w:left="1940" w:right="20" w:hanging="646"/>
        <w:spacing w:after="0" w:line="250" w:lineRule="auto"/>
        <w:tabs>
          <w:tab w:leader="none" w:pos="1928"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continue the use of any such Trade-marks in order to maintain all of the Trade-marks in full force free from any claim of abandonment;</w:t>
      </w:r>
    </w:p>
    <w:p>
      <w:pPr>
        <w:spacing w:after="0" w:line="140"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34" w:val="left"/>
        </w:tabs>
        <w:numPr>
          <w:ilvl w:val="1"/>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maintain as in the past the character and quality of the wares and services offered in association with such Trade-marks, and use its reasonable best efforts to require its licensees to maintain as in the past the character and quality of the wares and services offered in association with such Trade-marks; and</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where the failure to do so could not reasonably be expected to have a Material Adverse Effect, require that all use by any Person of any such Trade-marks shall be pursuant to a license that provides it with the requisite control and other provisions to maintain the distinctiveness of such Trade-marks.</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7.11</w:t>
        <w:tab/>
        <w:t>Visits and Inspections</w:t>
      </w:r>
    </w:p>
    <w:p>
      <w:pPr>
        <w:spacing w:after="0" w:line="191" w:lineRule="exact"/>
        <w:rPr>
          <w:sz w:val="20"/>
          <w:szCs w:val="20"/>
          <w:color w:val="auto"/>
        </w:rPr>
      </w:pPr>
    </w:p>
    <w:p>
      <w:pPr>
        <w:jc w:val="both"/>
        <w:ind w:left="1300" w:hanging="649"/>
        <w:spacing w:after="0" w:line="229" w:lineRule="auto"/>
        <w:tabs>
          <w:tab w:leader="none" w:pos="1297" w:val="left"/>
        </w:tabs>
        <w:numPr>
          <w:ilvl w:val="0"/>
          <w:numId w:val="1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time to time as requested by Agent, at the cost and expense of Borrower: (i) provide Agent, any Lender or its designee complete access to all of its premises during normal business hours and after reasonable notice to such Person, or at any time if an Event of Default has occurred and is continuing, for the purposes of inspecting, verifying and auditing the Collateral and all of such Person’s books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75" w:name="page176"/>
    <w:bookmarkEnd w:id="175"/>
    <w:p>
      <w:pPr>
        <w:jc w:val="both"/>
        <w:ind w:left="1300"/>
        <w:spacing w:after="0" w:line="222" w:lineRule="auto"/>
        <w:rPr>
          <w:sz w:val="20"/>
          <w:szCs w:val="20"/>
          <w:color w:val="auto"/>
        </w:rPr>
      </w:pPr>
      <w:r>
        <w:rPr>
          <w:rFonts w:ascii="Times New Roman" w:cs="Times New Roman" w:eastAsia="Times New Roman" w:hAnsi="Times New Roman"/>
          <w:sz w:val="21"/>
          <w:szCs w:val="21"/>
          <w:color w:val="auto"/>
        </w:rPr>
        <w:t xml:space="preserve">and records, including the Records; and (ii) promptly furnish to Agent and such Lender such copies of such books and records or extracts therefrom as Agent or such Lender may reasonably request, and (iii) permit Agent, any Lender or its designee to use during normal business hours such of such Person’s personnel, equipment, supplies and premises as may be reasonably necessary for the foregoing and, if an Event of Default has occurred and is continuing, for the realization of the Collateral;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all such visits and inspections shall be coordinated through Agent and Borrower shall pay only for costs and expenses of one such inspection or visit per calendar year in the absence of a Payment/Insolvency Event of Default.</w:t>
      </w:r>
    </w:p>
    <w:p>
      <w:pPr>
        <w:spacing w:after="0" w:line="152" w:lineRule="exact"/>
        <w:rPr>
          <w:sz w:val="20"/>
          <w:szCs w:val="20"/>
          <w:color w:val="auto"/>
        </w:rPr>
      </w:pPr>
    </w:p>
    <w:p>
      <w:pPr>
        <w:jc w:val="both"/>
        <w:ind w:left="1300" w:hanging="649"/>
        <w:spacing w:after="0" w:line="225" w:lineRule="auto"/>
        <w:tabs>
          <w:tab w:leader="none" w:pos="1295" w:val="left"/>
        </w:tabs>
        <w:numPr>
          <w:ilvl w:val="0"/>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Agent and each Lender shall keep confidential, in accordance with its customary procedures for handling confidential information and safe and sound lending practices, any non-public information made available to Agent or such Lender pursuant to this Agreement, including </w:t>
      </w:r>
      <w:r>
        <w:rPr>
          <w:rFonts w:ascii="Times New Roman" w:cs="Times New Roman" w:eastAsia="Times New Roman" w:hAnsi="Times New Roman"/>
          <w:sz w:val="21"/>
          <w:szCs w:val="21"/>
          <w:u w:val="single" w:color="auto"/>
          <w:color w:val="auto"/>
        </w:rPr>
        <w:t>Section 7.6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7.11(a)</w:t>
      </w:r>
      <w:r>
        <w:rPr>
          <w:rFonts w:ascii="Times New Roman" w:cs="Times New Roman" w:eastAsia="Times New Roman" w:hAnsi="Times New Roman"/>
          <w:sz w:val="21"/>
          <w:szCs w:val="21"/>
          <w:color w:val="auto"/>
        </w:rPr>
        <w:t xml:space="preserve">, and all copies thereof;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nothing in this Section shall limit the disclosure of any such information: (i) to the extent required by Applicable Law (and Agent and each Lender shall provide Borrower with prior notice of such required disclosure to the extent permitted by Applicable Law); (ii) to bank examiners and other regulators, auditors and/or accountants; (iii) in connection with any litigation to which Agent or a Lender is a party; (iv) to any assignee or participant (or prospective assignee or participant), in each case, other than to a Prohibited Transferee, so long as such assignee or participant (or prospective assignee or participant), as applicable, shall have first agreed in writing to treat such information as confidential in accordance with this Section; (v) to counsel for Agent or any Lender or any participant or assignee (or prospective participant or assignee other than a Prohibited Transferee) on a confidential basis; and (vi) to any Person with the prior written consent of Borrower. In no event shall this Section, or any other provision of this Agreement or any Applicable Law be deemed to: (i) apply to or restrict disclosure of information that has been or is made public by any Credit Party or Subsidiary thereof or any third party without breach by Agent or any Lender of this Section or otherwise becomes generally available to the public other than as a result of a disclosure in violation hereof; (ii) apply to or restrict disclosure of information that was or becomes available to Agent or any Lender on a non-confidential basis from a person other than a Credit Party of a Subsidiary thereof so long as Agent or such Lender has determined in its good faith judgment that such information is not confidential; (iii) require Agent or any Lender to return any materials furnished by any Credit Party or Subsidiary thereof to Agent; or (iv) prevent Agent from responding to routine informational requests in accordance with applicable industry standards relating to the exchange of credit information. For the avoidance of doubt, nothing herein prohibits any individual from communicating or disclosing information regarding suspected violations of laws, rules, or regulations to a governmental, regulatory, or self-regulatory authority without any notification to any Person.</w:t>
      </w:r>
    </w:p>
    <w:p>
      <w:pPr>
        <w:spacing w:after="0" w:line="15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7.12</w:t>
        <w:tab/>
        <w:t>Material Subsidiaries and Real Property Collateral</w:t>
      </w:r>
    </w:p>
    <w:p>
      <w:pPr>
        <w:spacing w:after="0" w:line="191" w:lineRule="exact"/>
        <w:rPr>
          <w:sz w:val="20"/>
          <w:szCs w:val="20"/>
          <w:color w:val="auto"/>
        </w:rPr>
      </w:pPr>
    </w:p>
    <w:p>
      <w:pPr>
        <w:jc w:val="both"/>
        <w:ind w:left="1300" w:hanging="649"/>
        <w:spacing w:after="0" w:line="226" w:lineRule="auto"/>
        <w:tabs>
          <w:tab w:leader="none" w:pos="1297" w:val="left"/>
        </w:tabs>
        <w:numPr>
          <w:ilvl w:val="0"/>
          <w:numId w:val="1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Notify Agent of the existence of a Material Subsidiary (including by division) and promptly thereafter (and in any event within thirty (30) days after such notice or such longer period, as Agent may agree in its sole discretion), cause such Material Subsidiary to (i) become a Guarantor hereunder by delivering to Agent such agreements as Agent shall deem appropriate for such purpose, (ii) take, whatever action (including, without limitation, the filing of UCC or PPSA financing statements) may be necessary or advisable in the reasonable opinion of Agent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76" w:name="page177"/>
    <w:bookmarkEnd w:id="176"/>
    <w:p>
      <w:pPr>
        <w:jc w:val="both"/>
        <w:ind w:left="1300"/>
        <w:spacing w:after="0" w:line="223" w:lineRule="auto"/>
        <w:rPr>
          <w:sz w:val="20"/>
          <w:szCs w:val="20"/>
          <w:color w:val="auto"/>
        </w:rPr>
      </w:pPr>
      <w:r>
        <w:rPr>
          <w:rFonts w:ascii="Times New Roman" w:cs="Times New Roman" w:eastAsia="Times New Roman" w:hAnsi="Times New Roman"/>
          <w:sz w:val="21"/>
          <w:szCs w:val="21"/>
          <w:color w:val="auto"/>
        </w:rPr>
        <w:t xml:space="preserve">vest in Agent valid and subsisting first priority Liens similar to those provided by the existing Credit Parties on the assets of such Person, (iii) subject to </w:t>
      </w:r>
      <w:r>
        <w:rPr>
          <w:rFonts w:ascii="Times New Roman" w:cs="Times New Roman" w:eastAsia="Times New Roman" w:hAnsi="Times New Roman"/>
          <w:sz w:val="21"/>
          <w:szCs w:val="21"/>
          <w:u w:val="single" w:color="auto"/>
          <w:color w:val="auto"/>
        </w:rPr>
        <w:t>Section 7.13</w:t>
      </w:r>
      <w:r>
        <w:rPr>
          <w:rFonts w:ascii="Times New Roman" w:cs="Times New Roman" w:eastAsia="Times New Roman" w:hAnsi="Times New Roman"/>
          <w:sz w:val="21"/>
          <w:szCs w:val="21"/>
          <w:color w:val="auto"/>
        </w:rPr>
        <w:t>, deliver to Agent such original Equity Interests or other certificates and stock or other transfer powers evidencing the Equity Interests of such Person, (iv) deliver to Agent such updated schedules to the Financing Agreements as reasonably requested by Agent with respect to such Person, and (v) deliver to Agent such other documents as may be reasonably requested by Agent, all in form and substance reasonably satisfactory to Agent.</w:t>
      </w:r>
    </w:p>
    <w:p>
      <w:pPr>
        <w:spacing w:after="0" w:line="155" w:lineRule="exact"/>
        <w:rPr>
          <w:sz w:val="20"/>
          <w:szCs w:val="20"/>
          <w:color w:val="auto"/>
        </w:rPr>
      </w:pPr>
    </w:p>
    <w:p>
      <w:pPr>
        <w:ind w:left="1280" w:hanging="629"/>
        <w:spacing w:after="0"/>
        <w:tabs>
          <w:tab w:leader="none" w:pos="1280"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23" w:lineRule="auto"/>
        <w:tabs>
          <w:tab w:leader="none" w:pos="1297"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Promptly after the acquisition of any Material Real Property by any Credit Party that is not subject to a Mortgage (and, in any event, within twenty (20) days after such acquisition, as such time period may be extended by Agent in its sole discretion), notify Agent and (ii) promptly thereafter (and in any event, within ninety (90) days of such acquisition (as such time period may be extended by Agent, or such requirement is waived by Agent, in each case in its sole discretion)), deliver a Mortgage, and, to the extent customary in the relevant jurisdiction, title insurance policies, environmental reports, flood hazard determinations, flood insurance (if required), surveys and other documents reasonably requested by Agent as reasonably necessary in connection with granting and perfecting a first priority Lien, other than Permitted Liens, on such Material Real Property in favor of Agent, for the ratable benefit of the Secured Parties, all in form and substance acceptable to Agent. The parties hereto agree that Credit Parties and their respective Subsidiaries shall not be required at any time to execute and deliver a Mortgage granting Agent a Lien on the Mississauga Property or the Playa Vista Property. Notwithstanding the foregoing, Agent shall not enter into any Mortgage in respect of any improved Material Real Property acquired by the Borrower or any other Credit Party after the Restatement Effective Date until the earlier of (1) the date that occurs fifteen (15) Business Days after delivery to the Lenders (which may be delivered electronically and which the Agent shall deliver as promptly as reasonably practicable after receipt from the applicable Credit Party) of the following documents in respect of such improved Material Real Property: (A) a completed flood hazard determination from a third party vendor; (B) if such real property has any improvements that are located in a “special flood hazard area”, (I) a notification to the Borrower (or applicable Credit Party) of that fact and (if applicable) notification to the Borrower (or applicable Credit Party) that flood insurance coverage is not available and (II) evidence of the receipt by the Borrower (or applicable Credit Party) of such notice; and (C) if such notice is required to be provided to the Borrower (or applicable Credit Party) and flood insurance is available in the community in which such real property is located, evidence of required flood insurance and (2) Agent shall have received written confirmation from each of the Lenders that flood insurance due diligence and flood insurance compliance has been completed by the Lenders (such written confirmation not to be unreasonably conditioned, withheld or delayed); provided, however, that so long as the Credit Parties have otherwise satisfied the requirements of this </w:t>
      </w:r>
      <w:r>
        <w:rPr>
          <w:rFonts w:ascii="Times New Roman" w:cs="Times New Roman" w:eastAsia="Times New Roman" w:hAnsi="Times New Roman"/>
          <w:sz w:val="21"/>
          <w:szCs w:val="21"/>
          <w:u w:val="single" w:color="auto"/>
          <w:color w:val="auto"/>
        </w:rPr>
        <w:t>Section 7.12(c)</w:t>
      </w:r>
      <w:r>
        <w:rPr>
          <w:rFonts w:ascii="Times New Roman" w:cs="Times New Roman" w:eastAsia="Times New Roman" w:hAnsi="Times New Roman"/>
          <w:sz w:val="21"/>
          <w:szCs w:val="21"/>
          <w:color w:val="auto"/>
        </w:rPr>
        <w:t xml:space="preserve"> but for the requirements of this sentence, the Credit Party’s obligations under this </w:t>
      </w:r>
      <w:r>
        <w:rPr>
          <w:rFonts w:ascii="Times New Roman" w:cs="Times New Roman" w:eastAsia="Times New Roman" w:hAnsi="Times New Roman"/>
          <w:sz w:val="21"/>
          <w:szCs w:val="21"/>
          <w:u w:val="single" w:color="auto"/>
          <w:color w:val="auto"/>
        </w:rPr>
        <w:t>Section 7.12(c)</w:t>
      </w:r>
      <w:r>
        <w:rPr>
          <w:rFonts w:ascii="Times New Roman" w:cs="Times New Roman" w:eastAsia="Times New Roman" w:hAnsi="Times New Roman"/>
          <w:sz w:val="21"/>
          <w:szCs w:val="21"/>
          <w:color w:val="auto"/>
        </w:rPr>
        <w:t xml:space="preserve"> to grant a Mortgage with respect to any improved Material Real Property within the 90-day time period described herein shall be extended for so long as is required to ensure compliance with the requirements of this sentence.</w:t>
      </w:r>
    </w:p>
    <w:p>
      <w:pPr>
        <w:spacing w:after="0" w:line="151"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any Lender determines, acting reasonably, that any applicable law has made it unlawful, or that any Governmental Authority has asserted that it is unlawful,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77" w:name="page178"/>
    <w:bookmarkEnd w:id="177"/>
    <w:p>
      <w:pPr>
        <w:jc w:val="both"/>
        <w:ind w:left="1300"/>
        <w:spacing w:after="0" w:line="234" w:lineRule="auto"/>
        <w:rPr>
          <w:sz w:val="20"/>
          <w:szCs w:val="20"/>
          <w:color w:val="auto"/>
        </w:rPr>
      </w:pPr>
      <w:r>
        <w:rPr>
          <w:rFonts w:ascii="Times New Roman" w:cs="Times New Roman" w:eastAsia="Times New Roman" w:hAnsi="Times New Roman"/>
          <w:sz w:val="21"/>
          <w:szCs w:val="21"/>
          <w:color w:val="auto"/>
        </w:rPr>
        <w:t>such Lender to hold or benefit from a Lien over real property, such Lender may notify Agent and disclaim any benefit of such Lien to the extent of such illegality; provided, that such determination or disclaimer shall not invalidate or render unenforceable such Lien for the benefit of Agent, any other Lender or Secured Party.</w:t>
      </w:r>
    </w:p>
    <w:p>
      <w:pPr>
        <w:spacing w:after="0" w:line="1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7.13</w:t>
        <w:tab/>
        <w:t>Grant of Equitable Mortgage by IMAX Barbados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the case of IMAX Barbados (or any successor entity that is the Borrower or, directly or indirectly, wholly-owned by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Borrower (a “</w:t>
      </w:r>
      <w:r>
        <w:rPr>
          <w:rFonts w:ascii="Times New Roman" w:cs="Times New Roman" w:eastAsia="Times New Roman" w:hAnsi="Times New Roman"/>
          <w:sz w:val="21"/>
          <w:szCs w:val="21"/>
          <w:b w:val="1"/>
          <w:bCs w:val="1"/>
          <w:color w:val="auto"/>
        </w:rPr>
        <w:t>Successor Entity</w:t>
      </w:r>
      <w:r>
        <w:rPr>
          <w:rFonts w:ascii="Times New Roman" w:cs="Times New Roman" w:eastAsia="Times New Roman" w:hAnsi="Times New Roman"/>
          <w:sz w:val="21"/>
          <w:szCs w:val="21"/>
          <w:color w:val="auto"/>
        </w:rPr>
        <w:t>”)), at all times:</w:t>
      </w:r>
    </w:p>
    <w:p>
      <w:pPr>
        <w:spacing w:after="0" w:line="177" w:lineRule="exact"/>
        <w:rPr>
          <w:sz w:val="20"/>
          <w:szCs w:val="20"/>
          <w:color w:val="auto"/>
        </w:rPr>
      </w:pPr>
    </w:p>
    <w:p>
      <w:pPr>
        <w:jc w:val="both"/>
        <w:ind w:left="1300" w:hanging="649"/>
        <w:spacing w:after="0" w:line="229" w:lineRule="auto"/>
        <w:tabs>
          <w:tab w:leader="none" w:pos="1297"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IMAX Barbados (or any Successor Entity) shall own not less than 70% of all of the issued and outstanding Equity Interests of IMAX Cayman;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following the consummation of the Specified Transaction, if applicable, IMAX Barbados (or any Successor Entity) shall own not less than 100% of all of the issued and outstanding Equity Interests of IMAX Cayman;</w:t>
      </w:r>
    </w:p>
    <w:p>
      <w:pPr>
        <w:spacing w:after="0" w:line="150"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95"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IMAX Barbados (or any Successor Entity) shall control IMAX Cayman (and, for purposes of this </w:t>
      </w:r>
      <w:r>
        <w:rPr>
          <w:rFonts w:ascii="Times New Roman" w:cs="Times New Roman" w:eastAsia="Times New Roman" w:hAnsi="Times New Roman"/>
          <w:sz w:val="21"/>
          <w:szCs w:val="21"/>
          <w:u w:val="single" w:color="auto"/>
          <w:color w:val="auto"/>
        </w:rPr>
        <w:t>clause (b)</w:t>
      </w:r>
      <w:r>
        <w:rPr>
          <w:rFonts w:ascii="Times New Roman" w:cs="Times New Roman" w:eastAsia="Times New Roman" w:hAnsi="Times New Roman"/>
          <w:sz w:val="21"/>
          <w:szCs w:val="21"/>
          <w:color w:val="auto"/>
        </w:rPr>
        <w:t>, “control” means the possession of the power to direct or cause the direction of the management or policies of IMAX Cayman and elect a majority of the board of directors of, or Persons performing similar functions in respect of, IMAX Cayman);</w:t>
      </w:r>
    </w:p>
    <w:p>
      <w:pPr>
        <w:spacing w:after="0" w:line="150" w:lineRule="exact"/>
        <w:rPr>
          <w:rFonts w:ascii="Times New Roman" w:cs="Times New Roman" w:eastAsia="Times New Roman" w:hAnsi="Times New Roman"/>
          <w:sz w:val="21"/>
          <w:szCs w:val="21"/>
          <w:color w:val="auto"/>
        </w:rPr>
      </w:pPr>
    </w:p>
    <w:p>
      <w:pPr>
        <w:jc w:val="both"/>
        <w:ind w:left="1300" w:hanging="649"/>
        <w:spacing w:after="0" w:line="221" w:lineRule="auto"/>
        <w:tabs>
          <w:tab w:leader="none" w:pos="1297"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IMAX Barbados (or any Successor Entity) shall mortgage or pledge in favor of Agent (and deliver (but only to the extent such original Equity Interests are in certificated form) to Agent such original Equity Interests or other certificates and stock or other transfer powers evidencing the grant of a mortgage or pledge over) not less than 70% of all of the issued and outstanding Equity Interests of IMAX Cayman;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within sixty (60) days (or such later date as may be agreed to by the Agent in its sole discretion) following the consummation of the Specified Transaction, if applicable, IMAX Barbados (or any Successor Entity) shall mortgage or pledge in favor of Agent (and take such actions noted above) not less than 100% of the issued and outstanding Equity Interests of IMAX Cayman; and</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1"/>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IMAX Barbados (or any Successor Entity) shall deliver to Agent such other agreements and make such registrations and filings in connection therewith, in each case, as Agent shall deem necessary or desirable to preserve, protect or perfect such first priority Lien.</w:t>
      </w:r>
    </w:p>
    <w:p>
      <w:pPr>
        <w:spacing w:after="0" w:line="178" w:lineRule="exact"/>
        <w:rPr>
          <w:rFonts w:ascii="Times New Roman" w:cs="Times New Roman" w:eastAsia="Times New Roman" w:hAnsi="Times New Roman"/>
          <w:sz w:val="21"/>
          <w:szCs w:val="21"/>
          <w:color w:val="auto"/>
        </w:rPr>
      </w:pPr>
    </w:p>
    <w:p>
      <w:pPr>
        <w:jc w:val="both"/>
        <w:ind w:firstLine="7"/>
        <w:spacing w:after="0" w:line="270" w:lineRule="auto"/>
        <w:tabs>
          <w:tab w:leader="none" w:pos="640"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From time to time, Borrower may request that Agent release Agent’s mortgage or pledge and Lien in the Equity Interests of IMAX Cayman and Agent shall so release (without requiring any consent or approval of any Secured Party) if Agent is satisfied that its remaining mortgage or pledge and Lien in the Equity Interests of IMAX Cayman complies with </w:t>
      </w:r>
      <w:r>
        <w:rPr>
          <w:rFonts w:ascii="Times New Roman" w:cs="Times New Roman" w:eastAsia="Times New Roman" w:hAnsi="Times New Roman"/>
          <w:sz w:val="21"/>
          <w:szCs w:val="21"/>
          <w:u w:val="single" w:color="auto"/>
          <w:color w:val="auto"/>
        </w:rPr>
        <w:t>Section 7.13(a)</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above.</w:t>
      </w:r>
    </w:p>
    <w:p>
      <w:pPr>
        <w:spacing w:after="0" w:line="1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7.14</w:t>
        <w:tab/>
        <w:t>[Reserved]</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7.15</w:t>
        <w:tab/>
        <w:t>Flood Insurance Matters.</w:t>
      </w:r>
    </w:p>
    <w:p>
      <w:pPr>
        <w:spacing w:after="0" w:line="21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1"/>
          <w:szCs w:val="21"/>
          <w:color w:val="auto"/>
        </w:rPr>
        <w:t>The parties hereto acknowledge and agree that, if there is any improved Material Real Property subject to a Mortgage, any increase, extension, or renewal of any of the Loans or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78" w:name="page179"/>
    <w:bookmarkEnd w:id="178"/>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(including any Incremental Term Loan and any Incremental Revolving Loan Increase, but excluding (a) any continuation or conversion of borrowings, (b) the making of any Revolving Loans or Swingline Loans or (c) the issuance, renewal or extension of Letter of Credit Accommodations) shall be subject to (and conditioned upon): (i) the prior delivery of all flood zone determination certifications, acknowledgements and evidence of flood insurance and other flood-related documentation with respect to such improved Material Real Property subject to a Mortgage reasonably sufficient to evidence compliance with Flood Insurance Laws and (ii) the earlier to occur of (A) the date that occurs fifteen (15) Business Days after delivery to the Lenders of the documentation set forth in clause (i) of this Section to the Lenders (which may be delivered electronically and which the Agent shall deliver as promptly as reasonably practicable after receipt from the applicable Credit Party) or (B) Agent’s receipt of written confirmation from each of the Lenders that flood insurance due diligence and flood insurance compliance has been completed by such Lender (such written confirmation not to be unreasonably withheld, conditioned or delayed) prior to the expiration of such thirty (30) day period;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however, that so long as the Credit Parties have otherwise satisfied the requirements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7.12(c)</w:t>
      </w:r>
      <w:r>
        <w:rPr>
          <w:rFonts w:ascii="Times New Roman" w:cs="Times New Roman" w:eastAsia="Times New Roman" w:hAnsi="Times New Roman"/>
          <w:sz w:val="21"/>
          <w:szCs w:val="21"/>
          <w:color w:val="auto"/>
        </w:rPr>
        <w:t xml:space="preserve"> but for the requirements of this </w:t>
      </w:r>
      <w:r>
        <w:rPr>
          <w:rFonts w:ascii="Times New Roman" w:cs="Times New Roman" w:eastAsia="Times New Roman" w:hAnsi="Times New Roman"/>
          <w:sz w:val="21"/>
          <w:szCs w:val="21"/>
          <w:u w:val="single" w:color="auto"/>
          <w:color w:val="auto"/>
        </w:rPr>
        <w:t>Section 7.15</w:t>
      </w:r>
      <w:r>
        <w:rPr>
          <w:rFonts w:ascii="Times New Roman" w:cs="Times New Roman" w:eastAsia="Times New Roman" w:hAnsi="Times New Roman"/>
          <w:sz w:val="21"/>
          <w:szCs w:val="21"/>
          <w:color w:val="auto"/>
        </w:rPr>
        <w:t xml:space="preserve">, the Credit Parties’ obligations under </w:t>
      </w:r>
      <w:r>
        <w:rPr>
          <w:rFonts w:ascii="Times New Roman" w:cs="Times New Roman" w:eastAsia="Times New Roman" w:hAnsi="Times New Roman"/>
          <w:sz w:val="21"/>
          <w:szCs w:val="21"/>
          <w:u w:val="single" w:color="auto"/>
          <w:color w:val="auto"/>
        </w:rPr>
        <w:t>Section 7.12(c)</w:t>
      </w:r>
      <w:r>
        <w:rPr>
          <w:rFonts w:ascii="Times New Roman" w:cs="Times New Roman" w:eastAsia="Times New Roman" w:hAnsi="Times New Roman"/>
          <w:sz w:val="21"/>
          <w:szCs w:val="21"/>
          <w:color w:val="auto"/>
        </w:rPr>
        <w:t xml:space="preserve"> to grant a Mortgage with respect to any improved Material Real Property within the 90-day time period described therein shall be extended for so long as is required to ensure compliance with the requirements of this </w:t>
      </w:r>
      <w:r>
        <w:rPr>
          <w:rFonts w:ascii="Times New Roman" w:cs="Times New Roman" w:eastAsia="Times New Roman" w:hAnsi="Times New Roman"/>
          <w:sz w:val="21"/>
          <w:szCs w:val="21"/>
          <w:u w:val="single" w:color="auto"/>
          <w:color w:val="auto"/>
        </w:rPr>
        <w:t>Section 7.15</w:t>
      </w:r>
      <w:r>
        <w:rPr>
          <w:rFonts w:ascii="Times New Roman" w:cs="Times New Roman" w:eastAsia="Times New Roman" w:hAnsi="Times New Roman"/>
          <w:sz w:val="21"/>
          <w:szCs w:val="21"/>
          <w:color w:val="auto"/>
        </w:rPr>
        <w:t>.</w:t>
      </w:r>
    </w:p>
    <w:p>
      <w:pPr>
        <w:spacing w:after="0" w:line="15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7.16</w:t>
        <w:tab/>
        <w:t>Post-Closing Matters.</w:t>
      </w:r>
    </w:p>
    <w:p>
      <w:pPr>
        <w:spacing w:after="0" w:line="21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21"/>
          <w:szCs w:val="21"/>
          <w:color w:val="auto"/>
        </w:rPr>
        <w:t xml:space="preserve">Execute and deliver the documents, take the actions and complete the tasks set forth on </w:t>
      </w:r>
      <w:r>
        <w:rPr>
          <w:rFonts w:ascii="Times New Roman" w:cs="Times New Roman" w:eastAsia="Times New Roman" w:hAnsi="Times New Roman"/>
          <w:sz w:val="21"/>
          <w:szCs w:val="21"/>
          <w:u w:val="single" w:color="auto"/>
          <w:color w:val="auto"/>
        </w:rPr>
        <w:t>Schedule 7.16</w:t>
      </w:r>
      <w:r>
        <w:rPr>
          <w:rFonts w:ascii="Times New Roman" w:cs="Times New Roman" w:eastAsia="Times New Roman" w:hAnsi="Times New Roman"/>
          <w:sz w:val="21"/>
          <w:szCs w:val="21"/>
          <w:color w:val="auto"/>
        </w:rPr>
        <w:t>, in each case within the applicable corresponding time limits specified on such schedule (as such times may be extended by the Agent).</w:t>
      </w:r>
    </w:p>
    <w:p>
      <w:pPr>
        <w:spacing w:after="0" w:line="10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8</w:t>
      </w:r>
    </w:p>
    <w:p>
      <w:pPr>
        <w:spacing w:after="0" w:line="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b w:val="1"/>
          <w:bCs w:val="1"/>
          <w:u w:val="single" w:color="auto"/>
          <w:color w:val="auto"/>
        </w:rPr>
        <w:t>NEGATIVE COVENANTS</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Until all of the non-contingent Obligations have been paid and satisfied in full, all Letter of Credit Accommodations have been terminated or expired (or been cash collateralized or backstopped on terms satisfactory to Agent) and the Commitments terminated, the Credit Parties will not, and will not permit any of their respective Subsidiaries to:</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8.1</w:t>
      </w:r>
      <w:r>
        <w:rPr>
          <w:sz w:val="20"/>
          <w:szCs w:val="20"/>
          <w:color w:val="auto"/>
        </w:rPr>
        <w:tab/>
      </w:r>
      <w:r>
        <w:rPr>
          <w:rFonts w:ascii="Times New Roman" w:cs="Times New Roman" w:eastAsia="Times New Roman" w:hAnsi="Times New Roman"/>
          <w:sz w:val="21"/>
          <w:szCs w:val="21"/>
          <w:b w:val="1"/>
          <w:bCs w:val="1"/>
          <w:color w:val="auto"/>
        </w:rPr>
        <w:t>Merger, Sale of Assets, Dissolution, Etc.</w:t>
      </w:r>
    </w:p>
    <w:p>
      <w:pPr>
        <w:spacing w:after="0" w:line="191" w:lineRule="exact"/>
        <w:rPr>
          <w:sz w:val="20"/>
          <w:szCs w:val="20"/>
          <w:color w:val="auto"/>
        </w:rPr>
      </w:pPr>
    </w:p>
    <w:p>
      <w:pPr>
        <w:jc w:val="both"/>
        <w:ind w:left="1300" w:hanging="649"/>
        <w:spacing w:after="0" w:line="229" w:lineRule="auto"/>
        <w:tabs>
          <w:tab w:leader="none" w:pos="1297"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Directly or indirectly: (i) merge, amalgamate or consolidate with any other Person or permit any other Person to merge, amalgamate or consolidate with it, (ii) sell, assign, lease, transfer, abandon or otherwise dispose of any Collateral, assets or property (including by way of a sale-leaseback or a division) to any other Person (each an “</w:t>
      </w:r>
      <w:r>
        <w:rPr>
          <w:rFonts w:ascii="Times New Roman" w:cs="Times New Roman" w:eastAsia="Times New Roman" w:hAnsi="Times New Roman"/>
          <w:sz w:val="21"/>
          <w:szCs w:val="21"/>
          <w:b w:val="1"/>
          <w:bCs w:val="1"/>
          <w:color w:val="auto"/>
        </w:rPr>
        <w:t>Asset Sale</w:t>
      </w:r>
      <w:r>
        <w:rPr>
          <w:rFonts w:ascii="Times New Roman" w:cs="Times New Roman" w:eastAsia="Times New Roman" w:hAnsi="Times New Roman"/>
          <w:sz w:val="21"/>
          <w:szCs w:val="21"/>
          <w:color w:val="auto"/>
        </w:rPr>
        <w:t>”), (iii) wind up, liquidate or dissolve or (iv) agree to do any of the foregoing.</w:t>
      </w:r>
    </w:p>
    <w:p>
      <w:pPr>
        <w:spacing w:after="0" w:line="150" w:lineRule="exact"/>
        <w:rPr>
          <w:rFonts w:ascii="Times New Roman" w:cs="Times New Roman" w:eastAsia="Times New Roman" w:hAnsi="Times New Roman"/>
          <w:sz w:val="21"/>
          <w:szCs w:val="21"/>
          <w:color w:val="auto"/>
        </w:rPr>
      </w:pPr>
    </w:p>
    <w:p>
      <w:pPr>
        <w:jc w:val="both"/>
        <w:ind w:left="1300" w:hanging="649"/>
        <w:spacing w:after="0"/>
        <w:tabs>
          <w:tab w:leader="none" w:pos="1295"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8.1(a)</w:t>
      </w:r>
      <w:r>
        <w:rPr>
          <w:rFonts w:ascii="Times New Roman" w:cs="Times New Roman" w:eastAsia="Times New Roman" w:hAnsi="Times New Roman"/>
          <w:sz w:val="21"/>
          <w:szCs w:val="21"/>
          <w:color w:val="auto"/>
        </w:rPr>
        <w:t xml:space="preserve"> hereof and provided that an Event of Default does not then exist and would not occur as a result thereof (determined upon the earlier to occur of (A) the execution of definitive documentation with respect to such transaction and (B) such transaction), each Credit Party or any Subsidiary thereof shall be permitted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179" w:name="page180"/>
    <w:bookmarkEnd w:id="179"/>
    <w:p>
      <w:pPr>
        <w:jc w:val="both"/>
        <w:ind w:left="1940" w:hanging="646"/>
        <w:spacing w:after="0" w:line="229" w:lineRule="auto"/>
        <w:tabs>
          <w:tab w:leader="none" w:pos="1928"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 assign, lease, transfer or otherwise dispose assets or property for fair market value (as determined in good faith by Borrower) so long as (A) such assignment, lease transfer or disposal does not comprise all or substantially all of the assets and properties of Borrower and its Subsidiaries and (B) at least 75% of the consideration for any such sale in excess of $10,000,000 shall consist of cash and Cash Equivalents;</w:t>
      </w:r>
    </w:p>
    <w:p>
      <w:pPr>
        <w:spacing w:after="0" w:line="150" w:lineRule="exact"/>
        <w:rPr>
          <w:rFonts w:ascii="Times New Roman" w:cs="Times New Roman" w:eastAsia="Times New Roman" w:hAnsi="Times New Roman"/>
          <w:sz w:val="21"/>
          <w:szCs w:val="21"/>
          <w:color w:val="auto"/>
        </w:rPr>
      </w:pPr>
    </w:p>
    <w:p>
      <w:pPr>
        <w:ind w:left="1940" w:hanging="646"/>
        <w:spacing w:after="0"/>
        <w:tabs>
          <w:tab w:leader="none" w:pos="194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disposals of obsolete, worn out or surplus property;</w:t>
      </w:r>
    </w:p>
    <w:p>
      <w:pPr>
        <w:spacing w:after="0" w:line="187" w:lineRule="exact"/>
        <w:rPr>
          <w:rFonts w:ascii="Times New Roman" w:cs="Times New Roman" w:eastAsia="Times New Roman" w:hAnsi="Times New Roman"/>
          <w:sz w:val="21"/>
          <w:szCs w:val="21"/>
          <w:color w:val="auto"/>
        </w:rPr>
      </w:pPr>
    </w:p>
    <w:p>
      <w:pPr>
        <w:ind w:left="1940" w:hanging="646"/>
        <w:spacing w:after="0" w:line="250" w:lineRule="auto"/>
        <w:tabs>
          <w:tab w:leader="none" w:pos="194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leasing, occupancy agreements or subleasing of property in the ordinary course of business and which do not materially interfere with the business of Borrower or its Subsidiaries;</w:t>
      </w:r>
    </w:p>
    <w:p>
      <w:pPr>
        <w:spacing w:after="0" w:line="140" w:lineRule="exact"/>
        <w:rPr>
          <w:rFonts w:ascii="Times New Roman" w:cs="Times New Roman" w:eastAsia="Times New Roman" w:hAnsi="Times New Roman"/>
          <w:sz w:val="21"/>
          <w:szCs w:val="21"/>
          <w:color w:val="auto"/>
        </w:rPr>
      </w:pPr>
    </w:p>
    <w:p>
      <w:pPr>
        <w:jc w:val="both"/>
        <w:ind w:left="1940" w:hanging="646"/>
        <w:spacing w:after="0" w:line="226" w:lineRule="auto"/>
        <w:tabs>
          <w:tab w:leader="none" w:pos="1928"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transfers of property subject to condemnation, takings or casualty events, including transfers of condemned property as a result of the exercise of “eminent domain” or other similar policies to the respective Governmental Authority or agency that has condemned the same (whether by deed in lieu of condemnation or otherwise), and transfers of properties that have been subject to a casualty to the respective insurer of such property as part of an insurance settlement;</w:t>
      </w:r>
    </w:p>
    <w:p>
      <w:pPr>
        <w:spacing w:after="0" w:line="149"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35"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transfer for at least fair value of property (including Equity Interests of Subsidiaries) to another Person in connection with a joint venture arrangement with respect to the transferred property;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such transfer is permitted under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ind w:left="1920" w:hanging="626"/>
        <w:spacing w:after="0"/>
        <w:tabs>
          <w:tab w:leader="none" w:pos="192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ind w:left="1940" w:hanging="646"/>
        <w:spacing w:after="0"/>
        <w:tabs>
          <w:tab w:leader="none" w:pos="194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sale of cash or Cash Equivalents in the ordinary course of business;</w:t>
      </w:r>
    </w:p>
    <w:p>
      <w:pPr>
        <w:spacing w:after="0" w:line="187"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40"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51"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28"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non-exclusive licenses, sublicenses or cross-licenses of intellectual property or other general intangibles and exclusive licenses, sublicenses or cross-licenses of intellectual property or other IP Rights or other general intangibles, in each case, in the ordinary course of business of Borrower and its Subsidiaries;</w:t>
      </w:r>
    </w:p>
    <w:p>
      <w:pPr>
        <w:spacing w:after="0" w:line="151"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35"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dispositions of property between or among Borrower and/or its Subsidiaries as a substantially concurrent interim disposition in connection with a disposition otherwise permitted pursuant to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(viii)</w:t>
      </w:r>
      <w:r>
        <w:rPr>
          <w:rFonts w:ascii="Times New Roman" w:cs="Times New Roman" w:eastAsia="Times New Roman" w:hAnsi="Times New Roman"/>
          <w:sz w:val="21"/>
          <w:szCs w:val="21"/>
          <w:color w:val="auto"/>
        </w:rPr>
        <w:t xml:space="preserve"> above and </w:t>
      </w:r>
      <w:r>
        <w:rPr>
          <w:rFonts w:ascii="Times New Roman" w:cs="Times New Roman" w:eastAsia="Times New Roman" w:hAnsi="Times New Roman"/>
          <w:sz w:val="21"/>
          <w:szCs w:val="21"/>
          <w:u w:val="single" w:color="auto"/>
          <w:color w:val="auto"/>
        </w:rPr>
        <w:t>(xiv)</w:t>
      </w:r>
      <w:r>
        <w:rPr>
          <w:rFonts w:ascii="Times New Roman" w:cs="Times New Roman" w:eastAsia="Times New Roman" w:hAnsi="Times New Roman"/>
          <w:sz w:val="21"/>
          <w:szCs w:val="21"/>
          <w:color w:val="auto"/>
        </w:rPr>
        <w:t xml:space="preserve"> below;</w:t>
      </w:r>
    </w:p>
    <w:p>
      <w:pPr>
        <w:spacing w:after="0" w:line="151"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28"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merge, amalgamate or consolidate with an Affiliate;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in the case of any such transaction involving a Credit Party, the surviving, amalgamated or consolidated Person shall continue to be a Credit Party under the Financing Agreements;</w:t>
      </w:r>
    </w:p>
    <w:p>
      <w:pPr>
        <w:spacing w:after="0" w:line="151" w:lineRule="exact"/>
        <w:rPr>
          <w:rFonts w:ascii="Times New Roman" w:cs="Times New Roman" w:eastAsia="Times New Roman" w:hAnsi="Times New Roman"/>
          <w:sz w:val="21"/>
          <w:szCs w:val="21"/>
          <w:color w:val="auto"/>
        </w:rPr>
      </w:pPr>
    </w:p>
    <w:p>
      <w:pPr>
        <w:ind w:left="1940" w:hanging="646"/>
        <w:spacing w:after="0" w:line="250" w:lineRule="auto"/>
        <w:tabs>
          <w:tab w:leader="none" w:pos="1934"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case of single purpose Subsidiaries formed or acquired for the purpose of entering into the joint ventures and the third party productions permitted pursuant to </w:t>
      </w:r>
      <w:r>
        <w:rPr>
          <w:rFonts w:ascii="Times New Roman" w:cs="Times New Roman" w:eastAsia="Times New Roman" w:hAnsi="Times New Roman"/>
          <w:sz w:val="21"/>
          <w:szCs w:val="21"/>
          <w:u w:val="single" w:color="auto"/>
          <w:color w:val="auto"/>
        </w:rPr>
        <w:t>Section 8.4(d)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8.4(h)</w:t>
      </w:r>
      <w:r>
        <w:rPr>
          <w:rFonts w:ascii="Times New Roman" w:cs="Times New Roman" w:eastAsia="Times New Roman" w:hAnsi="Times New Roman"/>
          <w:sz w:val="21"/>
          <w:szCs w:val="21"/>
          <w:color w:val="auto"/>
        </w:rPr>
        <w:t xml:space="preserve"> hereof,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80" w:name="page181"/>
    <w:bookmarkEnd w:id="180"/>
    <w:p>
      <w:pPr>
        <w:ind w:left="1940"/>
        <w:spacing w:after="0" w:line="250" w:lineRule="auto"/>
        <w:rPr>
          <w:sz w:val="20"/>
          <w:szCs w:val="20"/>
          <w:color w:val="auto"/>
        </w:rPr>
      </w:pPr>
      <w:r>
        <w:rPr>
          <w:rFonts w:ascii="Times New Roman" w:cs="Times New Roman" w:eastAsia="Times New Roman" w:hAnsi="Times New Roman"/>
          <w:sz w:val="21"/>
          <w:szCs w:val="21"/>
          <w:color w:val="auto"/>
        </w:rPr>
        <w:t>Subsidiary which is a joint venture or third party production may issue Equity Interests in such Subsidiary to the other parties thereto in the ordinary course of business;</w:t>
      </w:r>
    </w:p>
    <w:p>
      <w:pPr>
        <w:spacing w:after="0" w:line="140" w:lineRule="exact"/>
        <w:rPr>
          <w:sz w:val="20"/>
          <w:szCs w:val="20"/>
          <w:color w:val="auto"/>
        </w:rPr>
      </w:pPr>
    </w:p>
    <w:p>
      <w:pPr>
        <w:jc w:val="both"/>
        <w:ind w:left="1940" w:hanging="646"/>
        <w:spacing w:after="0" w:line="234" w:lineRule="auto"/>
        <w:tabs>
          <w:tab w:leader="none" w:pos="194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transfer all of its property to another Credit Party prior to such first Credit Party’s or Subsidiary’s winding-up, liquidation or dissolution;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such transferred property becomes subject to a first priority Lien in favor of Agent (subject to Permitted Liens);</w:t>
      </w:r>
    </w:p>
    <w:p>
      <w:pPr>
        <w:spacing w:after="0" w:line="151"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28"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sell, assign, lease, transfer, or otherwise dispose of property (including Equity Interests) to any Credit Party;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such sold, assigned, leased, transferred or disposed property is subject to all then existing first priority Liens of Agent (subject to Permitted Liens);</w:t>
      </w:r>
    </w:p>
    <w:p>
      <w:pPr>
        <w:spacing w:after="0" w:line="151" w:lineRule="exact"/>
        <w:rPr>
          <w:rFonts w:ascii="Times New Roman" w:cs="Times New Roman" w:eastAsia="Times New Roman" w:hAnsi="Times New Roman"/>
          <w:sz w:val="21"/>
          <w:szCs w:val="21"/>
          <w:color w:val="auto"/>
        </w:rPr>
      </w:pPr>
    </w:p>
    <w:p>
      <w:pPr>
        <w:ind w:left="1940" w:hanging="646"/>
        <w:spacing w:after="0"/>
        <w:tabs>
          <w:tab w:leader="none" w:pos="194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issue Equity Interests of IMAX Cayman;</w:t>
      </w:r>
    </w:p>
    <w:p>
      <w:pPr>
        <w:spacing w:after="0" w:line="187" w:lineRule="exact"/>
        <w:rPr>
          <w:rFonts w:ascii="Times New Roman" w:cs="Times New Roman" w:eastAsia="Times New Roman" w:hAnsi="Times New Roman"/>
          <w:sz w:val="21"/>
          <w:szCs w:val="21"/>
          <w:color w:val="auto"/>
        </w:rPr>
      </w:pPr>
    </w:p>
    <w:p>
      <w:pPr>
        <w:ind w:left="1940" w:hanging="646"/>
        <w:spacing w:after="0" w:line="250" w:lineRule="auto"/>
        <w:tabs>
          <w:tab w:leader="none" w:pos="1928"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Permitted Investments made in accordance with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 xml:space="preserve"> and Restricted Payments made in accordance with </w:t>
      </w:r>
      <w:r>
        <w:rPr>
          <w:rFonts w:ascii="Times New Roman" w:cs="Times New Roman" w:eastAsia="Times New Roman" w:hAnsi="Times New Roman"/>
          <w:sz w:val="21"/>
          <w:szCs w:val="21"/>
          <w:u w:val="single" w:color="auto"/>
          <w:color w:val="auto"/>
        </w:rPr>
        <w:t>Section 8.5</w:t>
      </w:r>
      <w:r>
        <w:rPr>
          <w:rFonts w:ascii="Times New Roman" w:cs="Times New Roman" w:eastAsia="Times New Roman" w:hAnsi="Times New Roman"/>
          <w:sz w:val="21"/>
          <w:szCs w:val="21"/>
          <w:color w:val="auto"/>
        </w:rPr>
        <w:t>;</w:t>
      </w:r>
    </w:p>
    <w:p>
      <w:pPr>
        <w:spacing w:after="0" w:line="140" w:lineRule="exact"/>
        <w:rPr>
          <w:rFonts w:ascii="Times New Roman" w:cs="Times New Roman" w:eastAsia="Times New Roman" w:hAnsi="Times New Roman"/>
          <w:sz w:val="21"/>
          <w:szCs w:val="21"/>
          <w:color w:val="auto"/>
        </w:rPr>
      </w:pPr>
    </w:p>
    <w:p>
      <w:pPr>
        <w:ind w:left="1940" w:hanging="646"/>
        <w:spacing w:after="0"/>
        <w:tabs>
          <w:tab w:leader="none" w:pos="194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4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any Subsidiary of Borrower (other than a Guarantor, IMAX China Multimedia, IMAX China Theatre or IMAX China HK), issue Equity Interests to employees, directors, consultants and other Persons in the ordinary course of business;</w:t>
      </w:r>
    </w:p>
    <w:p>
      <w:pPr>
        <w:spacing w:after="0" w:line="151" w:lineRule="exact"/>
        <w:rPr>
          <w:rFonts w:ascii="Times New Roman" w:cs="Times New Roman" w:eastAsia="Times New Roman" w:hAnsi="Times New Roman"/>
          <w:sz w:val="21"/>
          <w:szCs w:val="21"/>
          <w:color w:val="auto"/>
        </w:rPr>
      </w:pPr>
    </w:p>
    <w:p>
      <w:pPr>
        <w:ind w:left="1920" w:hanging="626"/>
        <w:spacing w:after="0"/>
        <w:tabs>
          <w:tab w:leader="none" w:pos="192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 equipment at fair market value in the ordinary course of business;</w:t>
      </w:r>
    </w:p>
    <w:p>
      <w:pPr>
        <w:spacing w:after="0" w:line="187" w:lineRule="exact"/>
        <w:rPr>
          <w:rFonts w:ascii="Times New Roman" w:cs="Times New Roman" w:eastAsia="Times New Roman" w:hAnsi="Times New Roman"/>
          <w:sz w:val="21"/>
          <w:szCs w:val="21"/>
          <w:color w:val="auto"/>
        </w:rPr>
      </w:pPr>
    </w:p>
    <w:p>
      <w:pPr>
        <w:ind w:left="1940" w:hanging="646"/>
        <w:spacing w:after="0"/>
        <w:tabs>
          <w:tab w:leader="none" w:pos="194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mergers, amalgamations or consolidations among Subsidiaries that are not Credit Parties; and</w:t>
      </w:r>
    </w:p>
    <w:p>
      <w:pPr>
        <w:spacing w:after="0" w:line="187" w:lineRule="exact"/>
        <w:rPr>
          <w:rFonts w:ascii="Times New Roman" w:cs="Times New Roman" w:eastAsia="Times New Roman" w:hAnsi="Times New Roman"/>
          <w:sz w:val="21"/>
          <w:szCs w:val="21"/>
          <w:color w:val="auto"/>
        </w:rPr>
      </w:pPr>
    </w:p>
    <w:p>
      <w:pPr>
        <w:ind w:left="1920" w:hanging="626"/>
        <w:spacing w:after="0"/>
        <w:tabs>
          <w:tab w:leader="none" w:pos="192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sale leaseback with respect to the Playa Vista Property.</w:t>
      </w:r>
    </w:p>
    <w:p>
      <w:pPr>
        <w:spacing w:after="0" w:line="214" w:lineRule="exact"/>
        <w:rPr>
          <w:sz w:val="20"/>
          <w:szCs w:val="20"/>
          <w:color w:val="auto"/>
        </w:rPr>
      </w:pPr>
    </w:p>
    <w:p>
      <w:pPr>
        <w:jc w:val="both"/>
        <w:ind w:firstLine="7"/>
        <w:spacing w:after="0" w:line="270" w:lineRule="auto"/>
        <w:tabs>
          <w:tab w:leader="none" w:pos="718"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avoidance of doubt, nothing in this </w:t>
      </w:r>
      <w:r>
        <w:rPr>
          <w:rFonts w:ascii="Times New Roman" w:cs="Times New Roman" w:eastAsia="Times New Roman" w:hAnsi="Times New Roman"/>
          <w:sz w:val="21"/>
          <w:szCs w:val="21"/>
          <w:u w:val="single" w:color="auto"/>
          <w:color w:val="auto"/>
        </w:rPr>
        <w:t>Section 8.1</w:t>
      </w:r>
      <w:r>
        <w:rPr>
          <w:rFonts w:ascii="Times New Roman" w:cs="Times New Roman" w:eastAsia="Times New Roman" w:hAnsi="Times New Roman"/>
          <w:sz w:val="21"/>
          <w:szCs w:val="21"/>
          <w:color w:val="auto"/>
        </w:rPr>
        <w:t xml:space="preserve"> shall limit or restrict (a) the sale of any Permitted Convertible Debt by the Borrower, (b) the sale of any Permitted Warrant Transaction by the Borrower, (c) the purchase of any Permitted Bond Hedge Transaction nor (d) the performance by Borrower of its obligations under any Permitted Convertible Debt, any Permitted Warrant Transaction or any Permitted Bond Hedge Transaction.</w:t>
      </w:r>
    </w:p>
    <w:p>
      <w:pPr>
        <w:spacing w:after="0" w:line="1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8.2</w:t>
      </w:r>
      <w:r>
        <w:rPr>
          <w:sz w:val="20"/>
          <w:szCs w:val="20"/>
          <w:color w:val="auto"/>
        </w:rPr>
        <w:tab/>
      </w:r>
      <w:r>
        <w:rPr>
          <w:rFonts w:ascii="Times New Roman" w:cs="Times New Roman" w:eastAsia="Times New Roman" w:hAnsi="Times New Roman"/>
          <w:sz w:val="21"/>
          <w:szCs w:val="21"/>
          <w:b w:val="1"/>
          <w:bCs w:val="1"/>
          <w:color w:val="auto"/>
        </w:rPr>
        <w:t>Liens</w:t>
      </w:r>
    </w:p>
    <w:p>
      <w:pPr>
        <w:spacing w:after="0" w:line="218"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21"/>
          <w:szCs w:val="21"/>
          <w:color w:val="auto"/>
        </w:rPr>
        <w:t>Create, incur, assume or suffer to exist any Lien on any of its assets or properties (other than the Playa Vista Property), including the Collateral and the Mississauga Property except:</w:t>
      </w:r>
    </w:p>
    <w:p>
      <w:pPr>
        <w:spacing w:after="0" w:line="113" w:lineRule="exact"/>
        <w:rPr>
          <w:sz w:val="20"/>
          <w:szCs w:val="20"/>
          <w:color w:val="auto"/>
        </w:rPr>
      </w:pPr>
    </w:p>
    <w:p>
      <w:pPr>
        <w:ind w:left="1300" w:hanging="649"/>
        <w:spacing w:after="0"/>
        <w:tabs>
          <w:tab w:leader="none" w:pos="1300"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Agent to secure the Obligations;</w:t>
      </w:r>
    </w:p>
    <w:p>
      <w:pPr>
        <w:spacing w:after="0" w:line="187"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securing the payment of Taxes, either not yet overdue or the validity of which are being contested in good faith by appropriate proceedings diligently pursued and available to such Credit Party or Subsidiary;</w:t>
      </w:r>
    </w:p>
    <w:p>
      <w:pPr>
        <w:spacing w:after="0" w:line="140" w:lineRule="exact"/>
        <w:rPr>
          <w:rFonts w:ascii="Times New Roman" w:cs="Times New Roman" w:eastAsia="Times New Roman" w:hAnsi="Times New Roman"/>
          <w:sz w:val="21"/>
          <w:szCs w:val="21"/>
          <w:color w:val="auto"/>
        </w:rPr>
      </w:pPr>
    </w:p>
    <w:p>
      <w:pPr>
        <w:ind w:left="1300" w:hanging="649"/>
        <w:spacing w:after="0" w:line="250" w:lineRule="auto"/>
        <w:tabs>
          <w:tab w:leader="none" w:pos="1297" w:val="left"/>
        </w:tabs>
        <w:numPr>
          <w:ilvl w:val="0"/>
          <w:numId w:val="1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non-consensual statutory Liens (other than Liens securing the payment of taxes) arising in the ordinary course of its business to the extent: (i) such Liens secure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81" w:name="page182"/>
    <w:bookmarkEnd w:id="181"/>
    <w:p>
      <w:pPr>
        <w:jc w:val="both"/>
        <w:ind w:left="1300"/>
        <w:spacing w:after="0" w:line="226" w:lineRule="auto"/>
        <w:rPr>
          <w:sz w:val="20"/>
          <w:szCs w:val="20"/>
          <w:color w:val="auto"/>
        </w:rPr>
      </w:pPr>
      <w:r>
        <w:rPr>
          <w:rFonts w:ascii="Times New Roman" w:cs="Times New Roman" w:eastAsia="Times New Roman" w:hAnsi="Times New Roman"/>
          <w:sz w:val="21"/>
          <w:szCs w:val="21"/>
          <w:color w:val="auto"/>
        </w:rPr>
        <w:t>indebtedness which is not overdue or (ii) such Liens secure indebtedness relating to claims or liabilities which are fully insured and being defended at the sole cost and expense and at the sole risk of the insurer or being contested in good faith by appropriate proceedings diligently pursued and available to it, in each case prior to the commencement of foreclosure or other similar proceedings and with respect to which adequate reserves have been set aside on its books;</w:t>
      </w:r>
    </w:p>
    <w:p>
      <w:pPr>
        <w:spacing w:after="0" w:line="150" w:lineRule="exact"/>
        <w:rPr>
          <w:sz w:val="20"/>
          <w:szCs w:val="20"/>
          <w:color w:val="auto"/>
        </w:rPr>
      </w:pPr>
    </w:p>
    <w:p>
      <w:pPr>
        <w:jc w:val="both"/>
        <w:ind w:left="1300" w:hanging="649"/>
        <w:spacing w:after="0" w:line="229" w:lineRule="auto"/>
        <w:tabs>
          <w:tab w:leader="none" w:pos="1295"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zoning restrictions, rights-of-way, easements, licenses, covenants and other restrictions affecting the use of real property which do not interfere in any material respect with the use of such real property or ordinary conduct of its business as presently conducted thereon or materially impair the value of the real property which may be subject thereto;</w:t>
      </w:r>
    </w:p>
    <w:p>
      <w:pPr>
        <w:spacing w:after="0" w:line="15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7"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purchase money security interests and mortgages (including capital or finance leases) to secure Permitted Debt incurred pursuant to </w:t>
      </w:r>
      <w:r>
        <w:rPr>
          <w:rFonts w:ascii="Times New Roman" w:cs="Times New Roman" w:eastAsia="Times New Roman" w:hAnsi="Times New Roman"/>
          <w:sz w:val="21"/>
          <w:szCs w:val="21"/>
          <w:u w:val="single" w:color="auto"/>
          <w:color w:val="auto"/>
        </w:rPr>
        <w:t>Section 8.3(c)</w:t>
      </w:r>
      <w:r>
        <w:rPr>
          <w:rFonts w:ascii="Times New Roman" w:cs="Times New Roman" w:eastAsia="Times New Roman" w:hAnsi="Times New Roman"/>
          <w:sz w:val="21"/>
          <w:szCs w:val="21"/>
          <w:color w:val="auto"/>
        </w:rPr>
        <w:t xml:space="preserve"> and so long as such security interests and mortgages do not apply to any property of a Credit Party or Subsidiary thereof other than the acquired property;</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30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set forth on </w:t>
      </w:r>
      <w:r>
        <w:rPr>
          <w:rFonts w:ascii="Times New Roman" w:cs="Times New Roman" w:eastAsia="Times New Roman" w:hAnsi="Times New Roman"/>
          <w:sz w:val="21"/>
          <w:szCs w:val="21"/>
          <w:u w:val="single" w:color="auto"/>
          <w:color w:val="auto"/>
        </w:rPr>
        <w:t>Schedule 8.2</w:t>
      </w:r>
      <w:r>
        <w:rPr>
          <w:rFonts w:ascii="Times New Roman" w:cs="Times New Roman" w:eastAsia="Times New Roman" w:hAnsi="Times New Roman"/>
          <w:sz w:val="21"/>
          <w:szCs w:val="21"/>
          <w:color w:val="auto"/>
        </w:rPr>
        <w:t xml:space="preserve"> hereto and any modifications, replacements, renewals or extensions thereof;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Lien does not extend to any additional property other than after-acquired property that is affixed or incorporated into the property covered by such Lien or proceeds and products thereof;</w:t>
      </w:r>
    </w:p>
    <w:p>
      <w:pPr>
        <w:spacing w:after="0" w:line="151" w:lineRule="exact"/>
        <w:rPr>
          <w:rFonts w:ascii="Times New Roman" w:cs="Times New Roman" w:eastAsia="Times New Roman" w:hAnsi="Times New Roman"/>
          <w:sz w:val="21"/>
          <w:szCs w:val="21"/>
          <w:color w:val="auto"/>
        </w:rPr>
      </w:pPr>
    </w:p>
    <w:p>
      <w:pPr>
        <w:ind w:left="1300" w:right="20" w:hanging="649"/>
        <w:spacing w:after="0" w:line="250" w:lineRule="auto"/>
        <w:tabs>
          <w:tab w:leader="none" w:pos="1295"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securing performance of bids, contracts, statutory obligations, surety, performance and appeal bonds and other like obligations incurred in the ordinary course of business;</w:t>
      </w:r>
    </w:p>
    <w:p>
      <w:pPr>
        <w:spacing w:after="0" w:line="140"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pledges or deposits made in the ordinary course of business in connection with workers’ compensation, unemployment insurance and other types of social security legislation;</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26" w:lineRule="auto"/>
        <w:tabs>
          <w:tab w:leader="none" w:pos="1288"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securing Permitted Debt in </w:t>
      </w:r>
      <w:r>
        <w:rPr>
          <w:rFonts w:ascii="Times New Roman" w:cs="Times New Roman" w:eastAsia="Times New Roman" w:hAnsi="Times New Roman"/>
          <w:sz w:val="21"/>
          <w:szCs w:val="21"/>
          <w:u w:val="single" w:color="auto"/>
          <w:color w:val="auto"/>
        </w:rPr>
        <w:t>Section 8.3(n)</w:t>
      </w:r>
      <w:r>
        <w:rPr>
          <w:rFonts w:ascii="Times New Roman" w:cs="Times New Roman" w:eastAsia="Times New Roman" w:hAnsi="Times New Roman"/>
          <w:sz w:val="21"/>
          <w:szCs w:val="21"/>
          <w:color w:val="auto"/>
        </w:rPr>
        <w:t xml:space="preserve"> so long as (i) after giving effect to the incurrence thereof Borrower is in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compliance with the Senior Secured Net Leverage Ratio in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as demonstrated in writing by Borrower to Agent prior to any such incurrence being made, and (ii) such Liens were in existence prior to the date of such acquisition, merger, amalgamation or consolidation and were not incurred in anticipation thereof and do not extend to assets other than those acquired;</w:t>
      </w:r>
    </w:p>
    <w:p>
      <w:pPr>
        <w:spacing w:after="0" w:line="149" w:lineRule="exact"/>
        <w:rPr>
          <w:rFonts w:ascii="Times New Roman" w:cs="Times New Roman" w:eastAsia="Times New Roman" w:hAnsi="Times New Roman"/>
          <w:sz w:val="21"/>
          <w:szCs w:val="21"/>
          <w:color w:val="auto"/>
        </w:rPr>
      </w:pPr>
    </w:p>
    <w:p>
      <w:pPr>
        <w:ind w:left="1300" w:right="20" w:hanging="649"/>
        <w:spacing w:after="0" w:line="250" w:lineRule="auto"/>
        <w:tabs>
          <w:tab w:leader="none" w:pos="1288"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granted over the assets and properties of the Playa Vista Borrower to secure the Permitted Debt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8.3(g)</w:t>
      </w:r>
      <w:r>
        <w:rPr>
          <w:rFonts w:ascii="Times New Roman" w:cs="Times New Roman" w:eastAsia="Times New Roman" w:hAnsi="Times New Roman"/>
          <w:sz w:val="21"/>
          <w:szCs w:val="21"/>
          <w:color w:val="auto"/>
        </w:rPr>
        <w:t>;</w:t>
      </w:r>
    </w:p>
    <w:p>
      <w:pPr>
        <w:spacing w:after="0" w:line="140"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ind w:left="1300" w:hanging="649"/>
        <w:spacing w:after="0" w:line="250" w:lineRule="auto"/>
        <w:tabs>
          <w:tab w:leader="none" w:pos="1288"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granted over the assets and properties of IMAX China Multimedia and/or IMAX China HK to secure the Permitted Debt in </w:t>
      </w:r>
      <w:r>
        <w:rPr>
          <w:rFonts w:ascii="Times New Roman" w:cs="Times New Roman" w:eastAsia="Times New Roman" w:hAnsi="Times New Roman"/>
          <w:sz w:val="21"/>
          <w:szCs w:val="21"/>
          <w:u w:val="single" w:color="auto"/>
          <w:color w:val="auto"/>
        </w:rPr>
        <w:t>Section 8.3(i)</w:t>
      </w:r>
      <w:r>
        <w:rPr>
          <w:rFonts w:ascii="Times New Roman" w:cs="Times New Roman" w:eastAsia="Times New Roman" w:hAnsi="Times New Roman"/>
          <w:sz w:val="21"/>
          <w:szCs w:val="21"/>
          <w:color w:val="auto"/>
        </w:rPr>
        <w:t>;</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88"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in favor of EDC over deposits of collateral given by Borrower in favor of EDC pursuant to the terms of the EDC Indemnity Agreement;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Liens and interest of EDC in such collateral shall at all times be subject to and subordinate to any and all interests and Liens of Agent in such collateral;</w:t>
      </w:r>
    </w:p>
    <w:p>
      <w:pPr>
        <w:spacing w:after="0" w:line="151"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82" w:name="page183"/>
    <w:bookmarkEnd w:id="182"/>
    <w:p>
      <w:pPr>
        <w:jc w:val="both"/>
        <w:ind w:left="1300" w:hanging="649"/>
        <w:spacing w:after="0" w:line="223" w:lineRule="auto"/>
        <w:tabs>
          <w:tab w:leader="none" w:pos="1295"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securing the Incremental Loans and/or Incremental Equivalent Debt so long as such Liens are only on the Collateral and, such Liens are secured either (i)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basis with respect to the Obligations, or (ii) on a junior basis with respect to the Obligations, and, additionally, in the case of all Liens securing Incremental Equivalent Debt, such Liens shall be subject to an Intercreditor Agreement, which such Intercreditor Agreement shall provide that any Liens securing such Incremental Equivalent Debt shall rank no higher in priority than the Liens securing the Obligations;</w:t>
      </w:r>
    </w:p>
    <w:p>
      <w:pPr>
        <w:spacing w:after="0" w:line="155"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securing Permitted Debt not to exceed in the aggregate at any time, the greater of (i) $50,000,000 and (ii) six percent (6%) of Consolidated Total Assets;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if such Liens are on the Collateral, such Liens shall be subject to an Intercreditor Agreement;</w:t>
      </w:r>
    </w:p>
    <w:p>
      <w:pPr>
        <w:spacing w:after="0" w:line="151"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Liens securing Permitted Debt in </w:t>
      </w:r>
      <w:r>
        <w:rPr>
          <w:rFonts w:ascii="Times New Roman" w:cs="Times New Roman" w:eastAsia="Times New Roman" w:hAnsi="Times New Roman"/>
          <w:sz w:val="21"/>
          <w:szCs w:val="21"/>
          <w:u w:val="single" w:color="auto"/>
          <w:color w:val="auto"/>
        </w:rPr>
        <w:t>Section 8.3(q)</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interest or title of a lessor or sublessor under any lease or sublease permitted hereunder;</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88"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Liens solely on any cash earnest money deposits made by Borrower or any of its Subsidiaries in connection with any letter of intent or purchase agreement permitted hereunder or (ii) Liens on advances of cash or Cash Equivalents in favor of the seller of any property to be acquired in a Permitted Investment to be applied against the purchase price for such Permitted Investment;</w:t>
      </w:r>
    </w:p>
    <w:p>
      <w:pPr>
        <w:spacing w:after="0" w:line="150"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purported Liens evidenced by the filing of precautionary PPSA and/or UCC financing statements relating solely to operating leases of personal property entered into in the ordinary course of business;</w:t>
      </w:r>
    </w:p>
    <w:p>
      <w:pPr>
        <w:spacing w:after="0" w:line="140"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in favor of customs and revenue authorities arising as a matter of Applicable Law to secure payment of customs duties in connection with the importation of goods;</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89"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zoning or similar law or right reserved to or vested in any Governmental Authority to control or regulate the use of any real property and other land use restrictions, including, site plan agreements, development agreements and contract zoning agreements;</w:t>
      </w:r>
    </w:p>
    <w:p>
      <w:pPr>
        <w:spacing w:after="0" w:line="151" w:lineRule="exact"/>
        <w:rPr>
          <w:rFonts w:ascii="Times New Roman" w:cs="Times New Roman" w:eastAsia="Times New Roman" w:hAnsi="Times New Roman"/>
          <w:sz w:val="21"/>
          <w:szCs w:val="21"/>
          <w:color w:val="auto"/>
        </w:rPr>
      </w:pPr>
    </w:p>
    <w:p>
      <w:pPr>
        <w:ind w:left="1300" w:right="20" w:hanging="649"/>
        <w:spacing w:after="0" w:line="250" w:lineRule="auto"/>
        <w:tabs>
          <w:tab w:leader="none" w:pos="1295"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licenses of IP Rights granted by Borrower or any of its Subsidiaries in the ordinary course of business and not interfering in any respect with the ordinary conduct of the business of Borrower or such Subsidiary;</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registered agreements with any municipal, provincial or federal governments or authorities and any public utilities or private suppliers of services, including subdivision agreements, development agreements, engineering, grading or landscaping agreements and similar agreements;</w:t>
      </w:r>
    </w:p>
    <w:p>
      <w:pPr>
        <w:spacing w:after="0" w:line="151" w:lineRule="exact"/>
        <w:rPr>
          <w:rFonts w:ascii="Times New Roman" w:cs="Times New Roman" w:eastAsia="Times New Roman" w:hAnsi="Times New Roman"/>
          <w:sz w:val="21"/>
          <w:szCs w:val="21"/>
          <w:color w:val="auto"/>
        </w:rPr>
      </w:pPr>
    </w:p>
    <w:p>
      <w:pPr>
        <w:jc w:val="both"/>
        <w:ind w:left="1300" w:hanging="649"/>
        <w:spacing w:after="0"/>
        <w:tabs>
          <w:tab w:leader="none" w:pos="1297" w:val="left"/>
        </w:tabs>
        <w:numPr>
          <w:ilvl w:val="0"/>
          <w:numId w:val="1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deposits made or other security provided in the ordinary course of business and the proceeds thereof to secure liability to insurance carriers for insurance premiums or under self-insurance arrangements in respect of such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83" w:name="page184"/>
    <w:bookmarkEnd w:id="183"/>
    <w:p>
      <w:pPr>
        <w:jc w:val="both"/>
        <w:ind w:left="1300" w:hanging="649"/>
        <w:spacing w:after="0" w:line="226" w:lineRule="auto"/>
        <w:tabs>
          <w:tab w:leader="none" w:pos="1298" w:val="left"/>
        </w:tabs>
        <w:numPr>
          <w:ilvl w:val="0"/>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that are contractual rights of set-off (i) relating to the establishment of depository relations with banks or other Persons not given in connection with the incurrence of Debt; (ii) relating to pooled deposit or sweep accounts of any Credit Party to permit satisfaction of overdraft or similar obligations incurred in the ordinary course of business of the Credit Parties; or (iii) relating to purchase orders and other agreements entered into with customers of any Credit Party in the ordinary course of business; and</w:t>
      </w:r>
    </w:p>
    <w:p>
      <w:pPr>
        <w:spacing w:after="0" w:line="150" w:lineRule="exact"/>
        <w:rPr>
          <w:sz w:val="20"/>
          <w:szCs w:val="20"/>
          <w:color w:val="auto"/>
        </w:rPr>
      </w:pPr>
    </w:p>
    <w:p>
      <w:pPr>
        <w:ind w:left="1300" w:hanging="643"/>
        <w:spacing w:after="0" w:line="250" w:lineRule="auto"/>
        <w:tabs>
          <w:tab w:leader="none" w:pos="1280" w:val="left"/>
        </w:tabs>
        <w:rPr>
          <w:sz w:val="20"/>
          <w:szCs w:val="20"/>
          <w:color w:val="auto"/>
        </w:rPr>
      </w:pPr>
      <w:r>
        <w:rPr>
          <w:rFonts w:ascii="Times New Roman" w:cs="Times New Roman" w:eastAsia="Times New Roman" w:hAnsi="Times New Roman"/>
          <w:sz w:val="21"/>
          <w:szCs w:val="21"/>
          <w:color w:val="auto"/>
        </w:rPr>
        <w:t>(ab)</w:t>
        <w:tab/>
        <w:t>Liens arising solely by virtue of any statutory or common law provision or customary business provision relating to banker’s liens, rights of set off or similar rights.</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8.3</w:t>
      </w:r>
      <w:r>
        <w:rPr>
          <w:sz w:val="20"/>
          <w:szCs w:val="20"/>
          <w:color w:val="auto"/>
        </w:rPr>
        <w:tab/>
      </w:r>
      <w:r>
        <w:rPr>
          <w:rFonts w:ascii="Times New Roman" w:cs="Times New Roman" w:eastAsia="Times New Roman" w:hAnsi="Times New Roman"/>
          <w:sz w:val="21"/>
          <w:szCs w:val="21"/>
          <w:b w:val="1"/>
          <w:bCs w:val="1"/>
          <w:color w:val="auto"/>
        </w:rPr>
        <w:t>Debt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Incur, create, assume, become or be liable in any manner with respect to, or permit to exist, any Debt except:</w:t>
      </w:r>
    </w:p>
    <w:p>
      <w:pPr>
        <w:spacing w:after="0" w:line="201" w:lineRule="exact"/>
        <w:rPr>
          <w:sz w:val="20"/>
          <w:szCs w:val="20"/>
          <w:color w:val="auto"/>
        </w:rPr>
      </w:pPr>
    </w:p>
    <w:p>
      <w:pPr>
        <w:ind w:left="1300" w:hanging="649"/>
        <w:spacing w:after="0" w:line="250" w:lineRule="auto"/>
        <w:tabs>
          <w:tab w:leader="none" w:pos="1297"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Obligations including obligations, liabilities and indebtedness under or in connection with Secured Hedge Agreements and the Secured Cash Management Agreements;</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trade obligations and normal accruals in the ordinary course of business not yet due and payable, or with respect to which such Credit Party is contesting in good faith the amount or validity thereof by appropriate proceedings diligently pursued and available to it, and with respect to which adequate reserves have been set aside on its books;</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23" w:lineRule="auto"/>
        <w:tabs>
          <w:tab w:leader="none" w:pos="1297"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purchase money Debt (including Capital Lease Obligations and any refinancings, extensions, renewals or replacements of such Debt) not to exceed at any time, the greater of (i) $25,000,000 and (ii) three percent (3%) of Consolidated Total Assets,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Debt does not exceed the cost of the acquired property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in the case of any such refinancings, extensions, renewals or replacements of such Debt, any accrued and unpaid interest thereon being refinanced, extended, renewed or replaced plus any other reasonable amounts paid and reasonable fees and expenses incurred in connection with such refinancing, extension, renewal or replacement;</w:t>
      </w:r>
    </w:p>
    <w:p>
      <w:pPr>
        <w:spacing w:after="0" w:line="155" w:lineRule="exact"/>
        <w:rPr>
          <w:rFonts w:ascii="Times New Roman" w:cs="Times New Roman" w:eastAsia="Times New Roman" w:hAnsi="Times New Roman"/>
          <w:sz w:val="21"/>
          <w:szCs w:val="21"/>
          <w:color w:val="auto"/>
        </w:rPr>
      </w:pPr>
    </w:p>
    <w:p>
      <w:pPr>
        <w:jc w:val="both"/>
        <w:ind w:left="1300" w:hanging="649"/>
        <w:spacing w:after="0" w:line="223" w:lineRule="auto"/>
        <w:tabs>
          <w:tab w:leader="none" w:pos="1295"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Debt set forth on </w:t>
      </w:r>
      <w:r>
        <w:rPr>
          <w:rFonts w:ascii="Times New Roman" w:cs="Times New Roman" w:eastAsia="Times New Roman" w:hAnsi="Times New Roman"/>
          <w:sz w:val="21"/>
          <w:szCs w:val="21"/>
          <w:u w:val="single" w:color="auto"/>
          <w:color w:val="auto"/>
        </w:rPr>
        <w:t>Schedule 8.3(d)</w:t>
      </w:r>
      <w:r>
        <w:rPr>
          <w:rFonts w:ascii="Times New Roman" w:cs="Times New Roman" w:eastAsia="Times New Roman" w:hAnsi="Times New Roman"/>
          <w:sz w:val="21"/>
          <w:szCs w:val="21"/>
          <w:color w:val="auto"/>
        </w:rPr>
        <w:t xml:space="preserve"> hereto, including any refinancings, extensions, renewals or replacements of such Debt;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refinancings extensions, renewals or replacements of such Debt shall not (i) include Debt of an obligor that was not an obligor with respect to the Debt being refinanced, extended, renewed or replaced or (ii) exceed in a principal amount the Debt and any accrued and unpaid interest thereon being refinanced, extended, renewed or replaced </w:t>
      </w:r>
      <w:r>
        <w:rPr>
          <w:rFonts w:ascii="Times New Roman" w:cs="Times New Roman" w:eastAsia="Times New Roman" w:hAnsi="Times New Roman"/>
          <w:sz w:val="21"/>
          <w:szCs w:val="21"/>
          <w:i w:val="1"/>
          <w:iCs w:val="1"/>
          <w:color w:val="auto"/>
        </w:rPr>
        <w:t>plus</w:t>
      </w:r>
      <w:r>
        <w:rPr>
          <w:rFonts w:ascii="Times New Roman" w:cs="Times New Roman" w:eastAsia="Times New Roman" w:hAnsi="Times New Roman"/>
          <w:sz w:val="21"/>
          <w:szCs w:val="21"/>
          <w:color w:val="auto"/>
        </w:rPr>
        <w:t xml:space="preserve"> any other reasonable amounts paid and reasonable fees and expenses incurred in connection with such refinancing, extension, renewal replacement;</w:t>
      </w:r>
    </w:p>
    <w:p>
      <w:pPr>
        <w:spacing w:after="0" w:line="155"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7"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Debt incurred pursuant to the BMO and National Bank Facilities;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Debt of Borrower under (i) the LC Facility shall not exceed $5,000,000 and (ii) the Mastercard Facility shall not exceed CDN$175,000, in each case, as may be replaced by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84" w:name="page185"/>
    <w:bookmarkEnd w:id="184"/>
    <w:p>
      <w:pPr>
        <w:jc w:val="both"/>
        <w:ind w:left="1300" w:hanging="649"/>
        <w:spacing w:after="0" w:line="234" w:lineRule="auto"/>
        <w:tabs>
          <w:tab w:leader="none" w:pos="130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Debt and indemnity obligations incurred pursuant to the EDC Indemnity Agreement;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such Debt and indemnity obligations shall relate solely to Indemnity Bonding Products (as defined in the EDC Indemnity Agreement) issued by EDC in support of the LC Facility and not to exceed $10,000,000 in the aggregate;</w:t>
      </w:r>
    </w:p>
    <w:p>
      <w:pPr>
        <w:spacing w:after="0" w:line="151"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Debt of the Playa Vista Borrower;</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16" w:lineRule="auto"/>
        <w:tabs>
          <w:tab w:leader="none" w:pos="1295"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unsecured Debt (including Permitted Convertible Debt) of the Borrower or any other Credit Party in an aggregate principal amount of up to $290,000,000 at any time outstanding;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from and after the incurrence of any Debt pursuant to this </w:t>
      </w:r>
      <w:r>
        <w:rPr>
          <w:rFonts w:ascii="Times New Roman" w:cs="Times New Roman" w:eastAsia="Times New Roman" w:hAnsi="Times New Roman"/>
          <w:sz w:val="21"/>
          <w:szCs w:val="21"/>
          <w:u w:val="single" w:color="auto"/>
          <w:color w:val="auto"/>
        </w:rPr>
        <w:t>Section 8.3(h)</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8.3(m)</w:t>
      </w:r>
      <w:r>
        <w:rPr>
          <w:rFonts w:ascii="Times New Roman" w:cs="Times New Roman" w:eastAsia="Times New Roman" w:hAnsi="Times New Roman"/>
          <w:sz w:val="21"/>
          <w:szCs w:val="21"/>
          <w:color w:val="auto"/>
        </w:rPr>
        <w:t xml:space="preserve"> occurring after the Restatement Effective Date until the repayment, conversion or refinancing of the 2026 Notes in full (including at maturity thereof), the aggregate principal amount outstanding under the 2026 Notes shall be deemed excluded for purposes of calculating the amount of Debt incurred under this subclause (i);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(A) no Default or Event of Default shall have occurred and be continuing or would be caused by the incurrence of such Debt; (B) such Debt does not mature, require any scheduled payment of principal, require any mandatory payment, redemption or repurchase prior to the date that is 91 days after the latest of the maturity dates of all Loans or Commitments in effect at the time of issuance of such Debt;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neither (1) any provision of such Debt requiring an offer to purchase such Debt as a result of a change of control, delisting or asset sale or other fundamental change nor (2) any early conversion or exchange of (or the ability to convert or exchange early) any Permitted Convertible Debt in accordance with the terms of the documentation governing such Permitted Convertible Debt shall violate this clause (i)(B); </w:t>
      </w: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it is acknowledged and agreed that with respect to the Borrower’s 0.500% Convertible Senior Notes due 2026 (the “</w:t>
      </w:r>
      <w:r>
        <w:rPr>
          <w:rFonts w:ascii="Times New Roman" w:cs="Times New Roman" w:eastAsia="Times New Roman" w:hAnsi="Times New Roman"/>
          <w:sz w:val="21"/>
          <w:szCs w:val="21"/>
          <w:u w:val="single" w:color="auto"/>
          <w:color w:val="auto"/>
        </w:rPr>
        <w:t>2026 Notes</w:t>
      </w:r>
      <w:r>
        <w:rPr>
          <w:rFonts w:ascii="Times New Roman" w:cs="Times New Roman" w:eastAsia="Times New Roman" w:hAnsi="Times New Roman"/>
          <w:sz w:val="21"/>
          <w:szCs w:val="21"/>
          <w:color w:val="auto"/>
          <w:highlight w:val="white"/>
        </w:rPr>
        <w:t>”), which were issued on March 19, 2021, the applicable latest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auto"/>
          <w:highlight w:val="white"/>
        </w:rPr>
        <w:t xml:space="preserve">maturity date of the Loans and Commitments for purposes of this clause (B) is June 28, 2023 </w:t>
      </w:r>
      <w:r>
        <w:rPr>
          <w:rFonts w:ascii="Times New Roman" w:cs="Times New Roman" w:eastAsia="Times New Roman" w:hAnsi="Times New Roman"/>
          <w:sz w:val="21"/>
          <w:szCs w:val="21"/>
          <w:color w:val="auto"/>
        </w:rPr>
        <w:t>and (C) such Debt</w:t>
      </w:r>
      <w:r>
        <w:rPr>
          <w:rFonts w:ascii="Times New Roman" w:cs="Times New Roman" w:eastAsia="Times New Roman" w:hAnsi="Times New Roman"/>
          <w:sz w:val="21"/>
          <w:szCs w:val="21"/>
          <w:color w:val="auto"/>
          <w:highlight w:val="white"/>
        </w:rPr>
        <w:t xml:space="preserve"> </w:t>
      </w:r>
      <w:r>
        <w:rPr>
          <w:rFonts w:ascii="Times New Roman" w:cs="Times New Roman" w:eastAsia="Times New Roman" w:hAnsi="Times New Roman"/>
          <w:sz w:val="21"/>
          <w:szCs w:val="21"/>
          <w:color w:val="auto"/>
        </w:rPr>
        <w:t xml:space="preserve">does not include any financial performance “maintenance” covenants (whether stated as a covenant, default or otherwise, although “incurrence-based” financial tests may be included) or cross-defaults (but may include cross-payment defaults and cross-defaults at the final stated maturity thereof and cross-acceleration); and (ii) any Permitted Refinancings in respect of any Debt incurred under this </w:t>
      </w:r>
      <w:r>
        <w:rPr>
          <w:rFonts w:ascii="Times New Roman" w:cs="Times New Roman" w:eastAsia="Times New Roman" w:hAnsi="Times New Roman"/>
          <w:sz w:val="21"/>
          <w:szCs w:val="21"/>
          <w:u w:val="single" w:color="auto"/>
          <w:color w:val="auto"/>
        </w:rPr>
        <w:t>clause (h)</w:t>
      </w:r>
      <w:r>
        <w:rPr>
          <w:rFonts w:ascii="Times New Roman" w:cs="Times New Roman" w:eastAsia="Times New Roman" w:hAnsi="Times New Roman"/>
          <w:sz w:val="21"/>
          <w:szCs w:val="21"/>
          <w:color w:val="auto"/>
        </w:rPr>
        <w:t>;</w:t>
      </w:r>
    </w:p>
    <w:p>
      <w:pPr>
        <w:spacing w:after="0" w:line="157" w:lineRule="exact"/>
        <w:rPr>
          <w:rFonts w:ascii="Times New Roman" w:cs="Times New Roman" w:eastAsia="Times New Roman" w:hAnsi="Times New Roman"/>
          <w:sz w:val="21"/>
          <w:szCs w:val="21"/>
          <w:color w:val="auto"/>
        </w:rPr>
      </w:pPr>
    </w:p>
    <w:p>
      <w:pPr>
        <w:ind w:left="1300" w:right="20" w:hanging="649"/>
        <w:spacing w:after="0" w:line="250" w:lineRule="auto"/>
        <w:tabs>
          <w:tab w:leader="none" w:pos="1288"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Debt of IMAX Cayman, IMAX China Multimedia and/or IMAX China HK with respect to the IMAX China Credit Facilities in an aggregate principal amount not to exceed $25,000,000;</w:t>
      </w:r>
    </w:p>
    <w:p>
      <w:pPr>
        <w:spacing w:after="0" w:line="140"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intercompany Debt among Borrower and any Subsidiary to the extent permitted by </w:t>
      </w:r>
      <w:r>
        <w:rPr>
          <w:rFonts w:ascii="Times New Roman" w:cs="Times New Roman" w:eastAsia="Times New Roman" w:hAnsi="Times New Roman"/>
          <w:sz w:val="21"/>
          <w:szCs w:val="21"/>
          <w:u w:val="single" w:color="auto"/>
          <w:color w:val="auto"/>
        </w:rPr>
        <w:t>Section 8.4(j)</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Debt of IMAX Cayman with respect to an unsecured revolving credit facility provided by CMB Wing Lung Bank Limited in an aggregate principal amount not to exceed $50,000,000;</w:t>
      </w:r>
    </w:p>
    <w:p>
      <w:pPr>
        <w:spacing w:after="0" w:line="140" w:lineRule="exact"/>
        <w:rPr>
          <w:rFonts w:ascii="Times New Roman" w:cs="Times New Roman" w:eastAsia="Times New Roman" w:hAnsi="Times New Roman"/>
          <w:sz w:val="21"/>
          <w:szCs w:val="21"/>
          <w:color w:val="auto"/>
        </w:rPr>
      </w:pPr>
    </w:p>
    <w:p>
      <w:pPr>
        <w:ind w:left="1300" w:hanging="649"/>
        <w:spacing w:after="0" w:line="250" w:lineRule="auto"/>
        <w:tabs>
          <w:tab w:leader="none" w:pos="1288"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Debt in an aggregate principal amount not to exceed, the greater of (i) $100,000,000 and (ii) twelve percent (12%) of Consolidated Total Assets at the time of such incurrence;</w:t>
      </w:r>
    </w:p>
    <w:p>
      <w:pPr>
        <w:spacing w:after="0" w:line="140" w:lineRule="exact"/>
        <w:rPr>
          <w:rFonts w:ascii="Times New Roman" w:cs="Times New Roman" w:eastAsia="Times New Roman" w:hAnsi="Times New Roman"/>
          <w:sz w:val="21"/>
          <w:szCs w:val="21"/>
          <w:color w:val="auto"/>
        </w:rPr>
      </w:pPr>
    </w:p>
    <w:p>
      <w:pPr>
        <w:ind w:left="1300" w:hanging="649"/>
        <w:spacing w:after="0" w:line="250" w:lineRule="auto"/>
        <w:tabs>
          <w:tab w:leader="none" w:pos="1348" w:val="left"/>
        </w:tabs>
        <w:numPr>
          <w:ilvl w:val="0"/>
          <w:numId w:val="1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Debt in any amount so long as immediately after giving effect to the incurrence thereof the Total Net Leverage Ratio is less than or equal to 4.25:1.00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85" w:name="page186"/>
    <w:bookmarkEnd w:id="185"/>
    <w:p>
      <w:pPr>
        <w:jc w:val="both"/>
        <w:ind w:left="1300"/>
        <w:spacing w:after="0" w:line="226" w:lineRule="auto"/>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b w:val="1"/>
          <w:bCs w:val="1"/>
          <w:color w:val="auto"/>
        </w:rPr>
        <w:t>Ratio Debt Test</w:t>
      </w:r>
      <w:r>
        <w:rPr>
          <w:rFonts w:ascii="Times New Roman" w:cs="Times New Roman" w:eastAsia="Times New Roman" w:hAnsi="Times New Roman"/>
          <w:sz w:val="21"/>
          <w:szCs w:val="21"/>
          <w:color w:val="auto"/>
        </w:rPr>
        <w:t>” and such Debt, “</w:t>
      </w:r>
      <w:r>
        <w:rPr>
          <w:rFonts w:ascii="Times New Roman" w:cs="Times New Roman" w:eastAsia="Times New Roman" w:hAnsi="Times New Roman"/>
          <w:sz w:val="21"/>
          <w:szCs w:val="21"/>
          <w:b w:val="1"/>
          <w:bCs w:val="1"/>
          <w:color w:val="auto"/>
        </w:rPr>
        <w:t>Ratio Debt</w:t>
      </w:r>
      <w:r>
        <w:rPr>
          <w:rFonts w:ascii="Times New Roman" w:cs="Times New Roman" w:eastAsia="Times New Roman" w:hAnsi="Times New Roman"/>
          <w:sz w:val="21"/>
          <w:szCs w:val="21"/>
          <w:color w:val="auto"/>
        </w:rPr>
        <w:t xml:space="preserve">”) as demonstrated in writing (including with calculations of </w:t>
      </w:r>
      <w:r>
        <w:rPr>
          <w:rFonts w:ascii="Times New Roman" w:cs="Times New Roman" w:eastAsia="Times New Roman" w:hAnsi="Times New Roman"/>
          <w:sz w:val="21"/>
          <w:szCs w:val="21"/>
          <w:i w:val="1"/>
          <w:iCs w:val="1"/>
          <w:color w:val="auto"/>
        </w:rPr>
        <w:t xml:space="preserve">pro forma </w:t>
      </w:r>
      <w:r>
        <w:rPr>
          <w:rFonts w:ascii="Times New Roman" w:cs="Times New Roman" w:eastAsia="Times New Roman" w:hAnsi="Times New Roman"/>
          <w:sz w:val="21"/>
          <w:szCs w:val="21"/>
          <w:color w:val="auto"/>
        </w:rPr>
        <w:t>compliance with the Total Net Leverage Ratio) by Borrower to Agent prior to any such incurrence being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made;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Debt of a Subsidiary of Borrower (other than Credit Parties) permitted to be incurred pursuant to this </w:t>
      </w:r>
      <w:r>
        <w:rPr>
          <w:rFonts w:ascii="Times New Roman" w:cs="Times New Roman" w:eastAsia="Times New Roman" w:hAnsi="Times New Roman"/>
          <w:sz w:val="21"/>
          <w:szCs w:val="21"/>
          <w:u w:val="single" w:color="auto"/>
          <w:color w:val="auto"/>
        </w:rPr>
        <w:t>clause (m)</w:t>
      </w:r>
      <w:r>
        <w:rPr>
          <w:rFonts w:ascii="Times New Roman" w:cs="Times New Roman" w:eastAsia="Times New Roman" w:hAnsi="Times New Roman"/>
          <w:sz w:val="21"/>
          <w:szCs w:val="21"/>
          <w:color w:val="auto"/>
        </w:rPr>
        <w:t xml:space="preserve"> shall not exceed in the aggregate the greater of (A) $50,000,000 and (B) six percent (6%) of Consolidated Total Assets and (ii) Permitted Refinancings of Ratio Debt subject to this </w:t>
      </w:r>
      <w:r>
        <w:rPr>
          <w:rFonts w:ascii="Times New Roman" w:cs="Times New Roman" w:eastAsia="Times New Roman" w:hAnsi="Times New Roman"/>
          <w:sz w:val="21"/>
          <w:szCs w:val="21"/>
          <w:u w:val="single" w:color="auto"/>
          <w:color w:val="auto"/>
        </w:rPr>
        <w:t>clause (m)</w:t>
      </w:r>
      <w:r>
        <w:rPr>
          <w:rFonts w:ascii="Times New Roman" w:cs="Times New Roman" w:eastAsia="Times New Roman" w:hAnsi="Times New Roman"/>
          <w:sz w:val="21"/>
          <w:szCs w:val="21"/>
          <w:color w:val="auto"/>
        </w:rPr>
        <w:t>;</w:t>
      </w:r>
    </w:p>
    <w:p>
      <w:pPr>
        <w:spacing w:after="0" w:line="154" w:lineRule="exact"/>
        <w:rPr>
          <w:sz w:val="20"/>
          <w:szCs w:val="20"/>
          <w:color w:val="auto"/>
        </w:rPr>
      </w:pPr>
    </w:p>
    <w:p>
      <w:pPr>
        <w:jc w:val="both"/>
        <w:ind w:left="1300" w:hanging="649"/>
        <w:spacing w:after="0" w:line="222" w:lineRule="auto"/>
        <w:tabs>
          <w:tab w:leader="none" w:pos="1295"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Debt of a Subsidiary acquired after the Restatement Effective Date or a Person merged into, amalgamated or consolidated with Borrower or any Subsidiary thereof after the Restatement Effective Date and Debt assumed in connection with any Permitted Investment and where, in each case, such acquisition, merger, amalgamation or consolidation is permitted by this Agreement, but only to the extent that such Debt (i) existed at the time such Person became a Subsidiary or the assets subject to such Debt were acquired, (ii) was not incurred in contemplation thereof and (iii) does not exceed in the aggregate the greater of (A) $25,000,000 and (B) three percent (3%) of Consolidated Total Assets;</w:t>
      </w:r>
    </w:p>
    <w:p>
      <w:pPr>
        <w:spacing w:after="0" w:line="152" w:lineRule="exact"/>
        <w:rPr>
          <w:rFonts w:ascii="Times New Roman" w:cs="Times New Roman" w:eastAsia="Times New Roman" w:hAnsi="Times New Roman"/>
          <w:sz w:val="21"/>
          <w:szCs w:val="21"/>
          <w:color w:val="auto"/>
        </w:rPr>
      </w:pPr>
    </w:p>
    <w:p>
      <w:pPr>
        <w:jc w:val="both"/>
        <w:ind w:left="1300" w:hanging="649"/>
        <w:spacing w:after="0" w:line="220" w:lineRule="auto"/>
        <w:tabs>
          <w:tab w:leader="none" w:pos="1357"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Debt incurred to finance any Permitted Investment in any amount so long as immediately after giving effect to the incurrence thereof (A) Borrower would be permitted to incur at least $1.00 of additional Debt pursuant to the Ratio Debt Test or (B) the Total Leverage Ratio would be less than immediately prior to such Permitted Investment (“</w:t>
      </w:r>
      <w:r>
        <w:rPr>
          <w:rFonts w:ascii="Times New Roman" w:cs="Times New Roman" w:eastAsia="Times New Roman" w:hAnsi="Times New Roman"/>
          <w:sz w:val="21"/>
          <w:szCs w:val="21"/>
          <w:b w:val="1"/>
          <w:bCs w:val="1"/>
          <w:color w:val="auto"/>
        </w:rPr>
        <w:t>Ratio Acquisitions Debt</w:t>
      </w:r>
      <w:r>
        <w:rPr>
          <w:rFonts w:ascii="Times New Roman" w:cs="Times New Roman" w:eastAsia="Times New Roman" w:hAnsi="Times New Roman"/>
          <w:sz w:val="21"/>
          <w:szCs w:val="21"/>
          <w:color w:val="auto"/>
        </w:rPr>
        <w:t xml:space="preserve">”) as demonstrated in writing (including with calculations of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compliance with the foregoing Ratio Debt Test and Total Leverage Ratio set forth in this clause) by Borrower to Agent prior to any such incurrence being made;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Debt of a Subsidiary of Borrower (other than Credit Parties) permitted to be incurred pursuant to this </w:t>
      </w:r>
      <w:r>
        <w:rPr>
          <w:rFonts w:ascii="Times New Roman" w:cs="Times New Roman" w:eastAsia="Times New Roman" w:hAnsi="Times New Roman"/>
          <w:sz w:val="21"/>
          <w:szCs w:val="21"/>
          <w:u w:val="single" w:color="auto"/>
          <w:color w:val="auto"/>
        </w:rPr>
        <w:t>clause (o)</w:t>
      </w:r>
      <w:r>
        <w:rPr>
          <w:rFonts w:ascii="Times New Roman" w:cs="Times New Roman" w:eastAsia="Times New Roman" w:hAnsi="Times New Roman"/>
          <w:sz w:val="21"/>
          <w:szCs w:val="21"/>
          <w:color w:val="auto"/>
        </w:rPr>
        <w:t xml:space="preserve"> shall not exceed in the aggregate the greater of (A) $50,000,000 and (B) six percent (6%) of Consolidated Total Assets and (ii) Permitted Refinancings of Ratio Acquisitions Debt subject to </w:t>
      </w:r>
      <w:r>
        <w:rPr>
          <w:rFonts w:ascii="Times New Roman" w:cs="Times New Roman" w:eastAsia="Times New Roman" w:hAnsi="Times New Roman"/>
          <w:sz w:val="21"/>
          <w:szCs w:val="21"/>
          <w:u w:val="single" w:color="auto"/>
          <w:color w:val="auto"/>
        </w:rPr>
        <w:t>clause (o)</w:t>
      </w:r>
      <w:r>
        <w:rPr>
          <w:rFonts w:ascii="Times New Roman" w:cs="Times New Roman" w:eastAsia="Times New Roman" w:hAnsi="Times New Roman"/>
          <w:sz w:val="21"/>
          <w:szCs w:val="21"/>
          <w:color w:val="auto"/>
        </w:rPr>
        <w:t>;</w:t>
      </w:r>
    </w:p>
    <w:p>
      <w:pPr>
        <w:spacing w:after="0" w:line="152"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Debt incurred to finance any Permitted Investment not to exceed in the aggregate, the greater of (i) $50,000,000 and (ii) six percent (6%) of Consolidated Total Assets;</w:t>
      </w:r>
    </w:p>
    <w:p>
      <w:pPr>
        <w:spacing w:after="0" w:line="140"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Debt of a Subsidiary of Borrower (other than a Credit Party) in an aggregate principal amount not to exceed the greater of (i) $50,000,000 and (ii) six percent (6%) of Consolidated Total Assets;</w:t>
      </w:r>
    </w:p>
    <w:p>
      <w:pPr>
        <w:spacing w:after="0" w:line="140" w:lineRule="exact"/>
        <w:rPr>
          <w:rFonts w:ascii="Times New Roman" w:cs="Times New Roman" w:eastAsia="Times New Roman" w:hAnsi="Times New Roman"/>
          <w:sz w:val="21"/>
          <w:szCs w:val="21"/>
          <w:color w:val="auto"/>
        </w:rPr>
      </w:pPr>
    </w:p>
    <w:p>
      <w:pPr>
        <w:ind w:left="1300" w:hanging="649"/>
        <w:spacing w:after="0" w:line="250" w:lineRule="auto"/>
        <w:tabs>
          <w:tab w:leader="none" w:pos="1300"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Debt of joint ventures of Borrower and its Subsidiaries (or guarantees with respect thereto) not to exceed in the aggregate the greater of (i) $75,000,000 and (ii) nine percent (9%) of Consolidated Total Assets;</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8"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Debt pursuant to financial guarantees and letters of credit to support Borrower’s operations in China and other financial guarantees in an aggregate amount to exceed $25,000,000 (less all amounts incurred pursuant to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8.3(i)</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ind w:left="1300" w:hanging="649"/>
        <w:spacing w:after="0" w:line="250" w:lineRule="auto"/>
        <w:tabs>
          <w:tab w:leader="none" w:pos="1288"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guaranties in the ordinary course of business of the obligations of suppliers, customers, franchisees, lessors, licensees and sub-licensees of Credit Parties and their Subsidiaries;</w:t>
      </w:r>
    </w:p>
    <w:p>
      <w:pPr>
        <w:spacing w:after="0" w:line="140" w:lineRule="exact"/>
        <w:rPr>
          <w:rFonts w:ascii="Times New Roman" w:cs="Times New Roman" w:eastAsia="Times New Roman" w:hAnsi="Times New Roman"/>
          <w:sz w:val="21"/>
          <w:szCs w:val="21"/>
          <w:color w:val="auto"/>
        </w:rPr>
      </w:pPr>
    </w:p>
    <w:p>
      <w:pPr>
        <w:ind w:left="1300" w:right="20" w:hanging="649"/>
        <w:spacing w:after="0" w:line="250" w:lineRule="auto"/>
        <w:tabs>
          <w:tab w:leader="none" w:pos="1295"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guarantee by any Credit Party or a Subsidiary thereof of Debt or other obligations of any other Credit Party or any of its Subsidiaries so long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2" w:right="339" w:bottom="1440" w:gutter="0" w:footer="0" w:header="0"/>
        </w:sectPr>
      </w:pPr>
    </w:p>
    <w:bookmarkStart w:id="186" w:name="page187"/>
    <w:bookmarkEnd w:id="186"/>
    <w:p>
      <w:pPr>
        <w:ind w:left="1300"/>
        <w:spacing w:after="0" w:line="250" w:lineRule="auto"/>
        <w:rPr>
          <w:sz w:val="20"/>
          <w:szCs w:val="20"/>
          <w:color w:val="auto"/>
        </w:rPr>
      </w:pPr>
      <w:r>
        <w:rPr>
          <w:rFonts w:ascii="Times New Roman" w:cs="Times New Roman" w:eastAsia="Times New Roman" w:hAnsi="Times New Roman"/>
          <w:sz w:val="21"/>
          <w:szCs w:val="21"/>
          <w:color w:val="auto"/>
        </w:rPr>
        <w:t>incurrence of such Debt or other obligations by such Credit Party or such Subsidiary is permitted under the terms of this Agreement;</w:t>
      </w:r>
    </w:p>
    <w:p>
      <w:pPr>
        <w:spacing w:after="0" w:line="140" w:lineRule="exact"/>
        <w:rPr>
          <w:sz w:val="20"/>
          <w:szCs w:val="20"/>
          <w:color w:val="auto"/>
        </w:rPr>
      </w:pPr>
    </w:p>
    <w:p>
      <w:pPr>
        <w:ind w:left="1280" w:hanging="629"/>
        <w:spacing w:after="0"/>
        <w:tabs>
          <w:tab w:leader="none" w:pos="128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ind w:left="1300" w:hanging="649"/>
        <w:spacing w:after="0" w:line="250" w:lineRule="auto"/>
        <w:tabs>
          <w:tab w:leader="none" w:pos="1289"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Debt pursuant to the Hong Kong JV Guarantee (which shall count against the $100,000,000 debt basket amount in </w:t>
      </w:r>
      <w:r>
        <w:rPr>
          <w:rFonts w:ascii="Times New Roman" w:cs="Times New Roman" w:eastAsia="Times New Roman" w:hAnsi="Times New Roman"/>
          <w:sz w:val="21"/>
          <w:szCs w:val="21"/>
          <w:u w:val="single" w:color="auto"/>
          <w:color w:val="auto"/>
        </w:rPr>
        <w:t>Section 8.3(l))</w:t>
      </w:r>
      <w:r>
        <w:rPr>
          <w:rFonts w:ascii="Times New Roman" w:cs="Times New Roman" w:eastAsia="Times New Roman" w:hAnsi="Times New Roman"/>
          <w:sz w:val="21"/>
          <w:szCs w:val="21"/>
          <w:color w:val="auto"/>
        </w:rPr>
        <w:t>;</w:t>
      </w:r>
    </w:p>
    <w:p>
      <w:pPr>
        <w:spacing w:after="0" w:line="140"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25" w:lineRule="auto"/>
        <w:tabs>
          <w:tab w:leader="none" w:pos="1295"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Debt in the form of secured or unsecured term notes and/or term loans (and/or commitments in respect thereof) issued or incurred by Borrower in lieu of Incremental Term Loans (such term notes or term loans, “</w:t>
      </w:r>
      <w:r>
        <w:rPr>
          <w:rFonts w:ascii="Times New Roman" w:cs="Times New Roman" w:eastAsia="Times New Roman" w:hAnsi="Times New Roman"/>
          <w:sz w:val="21"/>
          <w:szCs w:val="21"/>
          <w:b w:val="1"/>
          <w:bCs w:val="1"/>
          <w:color w:val="auto"/>
        </w:rPr>
        <w:t>Incremental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Equivalent Debt</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(i) the aggregate principal amount of such Incremental Equivalent Debt issued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or incurred shall not exceed the aggregate principal amount of Incremental Loans permitted to be incurred under </w:t>
      </w:r>
      <w:r>
        <w:rPr>
          <w:rFonts w:ascii="Times New Roman" w:cs="Times New Roman" w:eastAsia="Times New Roman" w:hAnsi="Times New Roman"/>
          <w:sz w:val="21"/>
          <w:szCs w:val="21"/>
          <w:u w:val="single" w:color="auto"/>
          <w:color w:val="auto"/>
        </w:rPr>
        <w:t>Section 2.6(a)</w:t>
      </w:r>
      <w:r>
        <w:rPr>
          <w:rFonts w:ascii="Times New Roman" w:cs="Times New Roman" w:eastAsia="Times New Roman" w:hAnsi="Times New Roman"/>
          <w:sz w:val="21"/>
          <w:szCs w:val="21"/>
          <w:color w:val="auto"/>
        </w:rPr>
        <w:t xml:space="preserve">, (ii) any Incremental Equivalent Debt shall be subject to satisfaction of the requirements of </w:t>
      </w:r>
      <w:r>
        <w:rPr>
          <w:rFonts w:ascii="Times New Roman" w:cs="Times New Roman" w:eastAsia="Times New Roman" w:hAnsi="Times New Roman"/>
          <w:sz w:val="21"/>
          <w:szCs w:val="21"/>
          <w:u w:val="single" w:color="auto"/>
          <w:color w:val="auto"/>
        </w:rPr>
        <w:t>subclauses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of </w:t>
      </w:r>
      <w:r>
        <w:rPr>
          <w:rFonts w:ascii="Times New Roman" w:cs="Times New Roman" w:eastAsia="Times New Roman" w:hAnsi="Times New Roman"/>
          <w:sz w:val="21"/>
          <w:szCs w:val="21"/>
          <w:u w:val="single" w:color="auto"/>
          <w:color w:val="auto"/>
        </w:rPr>
        <w:t>Section 2.6(d)</w:t>
      </w:r>
      <w:r>
        <w:rPr>
          <w:rFonts w:ascii="Times New Roman" w:cs="Times New Roman" w:eastAsia="Times New Roman" w:hAnsi="Times New Roman"/>
          <w:sz w:val="21"/>
          <w:szCs w:val="21"/>
          <w:color w:val="auto"/>
        </w:rPr>
        <w:t xml:space="preserve">, with all references to “Incremental Loan Commitments” and “Incremental Loan” being deemed to refer to “Incremental Equivalent Debt” and all references therein to “Increased Amount Date” being deemed to refer to the date of incurrence of such Incremental Equivalent Debt, (iii) any Incremental Equivalent Debt that is secured shall be secured only by the Collateral and on a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or junior basis with the Collateral securing the Obligations and subject to an Intercreditor Agreement, which such Intercreditor Agreement shall provide that any Liens securing such Incremental Equivalent Debt shall rank no higher in priority than the Liens securing the Obligations, (iv) the incurrence of such Incremental Equivalent Debt shall be subject to the terms and conditions applicable to Incremental Term Loans set forth in </w:t>
      </w:r>
      <w:r>
        <w:rPr>
          <w:rFonts w:ascii="Times New Roman" w:cs="Times New Roman" w:eastAsia="Times New Roman" w:hAnsi="Times New Roman"/>
          <w:sz w:val="21"/>
          <w:szCs w:val="21"/>
          <w:u w:val="single" w:color="auto"/>
          <w:color w:val="auto"/>
        </w:rPr>
        <w:t>Section 2.6(d)(vii)</w:t>
      </w:r>
      <w:r>
        <w:rPr>
          <w:rFonts w:ascii="Times New Roman" w:cs="Times New Roman" w:eastAsia="Times New Roman" w:hAnsi="Times New Roman"/>
          <w:sz w:val="21"/>
          <w:szCs w:val="21"/>
          <w:color w:val="auto"/>
        </w:rPr>
        <w:t xml:space="preserve"> (other than clause (B)) as if set forth in this </w:t>
      </w:r>
      <w:r>
        <w:rPr>
          <w:rFonts w:ascii="Times New Roman" w:cs="Times New Roman" w:eastAsia="Times New Roman" w:hAnsi="Times New Roman"/>
          <w:sz w:val="21"/>
          <w:szCs w:val="21"/>
          <w:u w:val="single" w:color="auto"/>
          <w:color w:val="auto"/>
        </w:rPr>
        <w:t>Section 8.3(y)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mutatis mutandis</w:t>
      </w:r>
      <w:r>
        <w:rPr>
          <w:rFonts w:ascii="Times New Roman" w:cs="Times New Roman" w:eastAsia="Times New Roman" w:hAnsi="Times New Roman"/>
          <w:sz w:val="21"/>
          <w:szCs w:val="21"/>
          <w:color w:val="auto"/>
        </w:rPr>
        <w:t>, (v) no Incremental Equivalent Debt may be guaranteed by any Person that is not a Credit Party or secured by any assets other than the Collateral, and (vi) prior to the incurrence of such Incremental Equivalent Debt, Borrower shall have delivered to Agent drafts of the documentation relating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at its option, Borrower may deliver a certificate to Agent in good faith at least five (5) Business Days prior to the incurrence of such Debt, together with a reasonably detailed description of the material terms and conditions of such Debt or drafts of the documentation relating thereto, stating that Borrower has determined in good faith that such terms and conditions satisfy the requirement set out in this </w:t>
      </w:r>
      <w:r>
        <w:rPr>
          <w:rFonts w:ascii="Times New Roman" w:cs="Times New Roman" w:eastAsia="Times New Roman" w:hAnsi="Times New Roman"/>
          <w:sz w:val="21"/>
          <w:szCs w:val="21"/>
          <w:u w:val="single" w:color="auto"/>
          <w:color w:val="auto"/>
        </w:rPr>
        <w:t>clause (y)</w:t>
      </w:r>
      <w:r>
        <w:rPr>
          <w:rFonts w:ascii="Times New Roman" w:cs="Times New Roman" w:eastAsia="Times New Roman" w:hAnsi="Times New Roman"/>
          <w:sz w:val="21"/>
          <w:szCs w:val="21"/>
          <w:color w:val="auto"/>
        </w:rPr>
        <w:t>, and such certificate shall be conclusive evidence that such terms and conditions satisfy such requirement unless Agent provides notice to Borrower of its objection during such five (5) Business Day period (including a reasonable description of the basis upon which it objects));</w:t>
      </w:r>
    </w:p>
    <w:p>
      <w:pPr>
        <w:spacing w:after="0" w:line="167" w:lineRule="exact"/>
        <w:rPr>
          <w:rFonts w:ascii="Times New Roman" w:cs="Times New Roman" w:eastAsia="Times New Roman" w:hAnsi="Times New Roman"/>
          <w:sz w:val="21"/>
          <w:szCs w:val="21"/>
          <w:color w:val="auto"/>
        </w:rPr>
      </w:pPr>
    </w:p>
    <w:p>
      <w:pPr>
        <w:jc w:val="both"/>
        <w:ind w:left="1300" w:hanging="649"/>
        <w:spacing w:after="0" w:line="226" w:lineRule="auto"/>
        <w:tabs>
          <w:tab w:leader="none" w:pos="1297" w:val="left"/>
        </w:tabs>
        <w:numPr>
          <w:ilvl w:val="0"/>
          <w:numId w:val="1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Debt incurred by Borrower or any of its Subsidiaries arising from agreements providing for indemnification, earn-outs, adjustment of purchase price or similar obligations, or from guaranties or letters of credit, surety bonds or performance bonds securing the performance of Borrower or any such Subsidiary pursuant to such agreements, in connection with Permitted Investments or permitted dispositions of any business, assets or Subsidiary of Borrower, in each case, to the extent not constituting debt for borrowed money;</w:t>
      </w:r>
    </w:p>
    <w:p>
      <w:pPr>
        <w:spacing w:after="0" w:line="150" w:lineRule="exact"/>
        <w:rPr>
          <w:sz w:val="20"/>
          <w:szCs w:val="20"/>
          <w:color w:val="auto"/>
        </w:rPr>
      </w:pPr>
    </w:p>
    <w:p>
      <w:pPr>
        <w:ind w:left="1300" w:hanging="649"/>
        <w:spacing w:after="0" w:line="250" w:lineRule="auto"/>
        <w:tabs>
          <w:tab w:leader="none" w:pos="1298"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Debt of Borrower or any of its Subsidiaries which may be deemed to exist pursuant to any worker’s compensation claims, self-insurance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241"/>
        </w:trPr>
        <w:tc>
          <w:tcPr>
            <w:tcW w:w="4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1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guaranties, performance, surety, statutory, appeal, custom bonds or similar obligations incurred in the ordinary</w:t>
            </w:r>
          </w:p>
        </w:tc>
      </w:tr>
      <w:tr>
        <w:trPr>
          <w:trHeight w:val="279"/>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course of business;</w:t>
            </w:r>
          </w:p>
        </w:tc>
      </w:tr>
      <w:tr>
        <w:trPr>
          <w:trHeight w:val="364"/>
        </w:trPr>
        <w:tc>
          <w:tcPr>
            <w:tcW w:w="4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(ab)</w:t>
            </w:r>
          </w:p>
        </w:tc>
        <w:tc>
          <w:tcPr>
            <w:tcW w:w="101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Debt of Borrower or any of its Subsidiaries in respect of cash management, cash pooling arrangements and related</w:t>
            </w:r>
          </w:p>
        </w:tc>
      </w:tr>
      <w:tr>
        <w:trPr>
          <w:trHeight w:val="214"/>
        </w:trPr>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00" w:type="dxa"/>
            <w:vAlign w:val="bottom"/>
          </w:tcPr>
          <w:p>
            <w:pPr>
              <w:ind w:left="160"/>
              <w:spacing w:after="0" w:line="215" w:lineRule="exact"/>
              <w:rPr>
                <w:sz w:val="20"/>
                <w:szCs w:val="20"/>
                <w:color w:val="auto"/>
              </w:rPr>
            </w:pPr>
            <w:r>
              <w:rPr>
                <w:rFonts w:ascii="Times New Roman" w:cs="Times New Roman" w:eastAsia="Times New Roman" w:hAnsi="Times New Roman"/>
                <w:sz w:val="21"/>
                <w:szCs w:val="21"/>
                <w:color w:val="auto"/>
              </w:rPr>
              <w:t>activities to manage cash balances of Borrower and its Subsidiaries and joint ventures including treasury,</w:t>
            </w:r>
          </w:p>
        </w:tc>
      </w:tr>
      <w:tr>
        <w:trPr>
          <w:trHeight w:val="214"/>
        </w:trPr>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00" w:type="dxa"/>
            <w:vAlign w:val="bottom"/>
          </w:tcPr>
          <w:p>
            <w:pPr>
              <w:ind w:left="160"/>
              <w:spacing w:after="0" w:line="215" w:lineRule="exact"/>
              <w:rPr>
                <w:sz w:val="20"/>
                <w:szCs w:val="20"/>
                <w:color w:val="auto"/>
              </w:rPr>
            </w:pPr>
            <w:r>
              <w:rPr>
                <w:rFonts w:ascii="Times New Roman" w:cs="Times New Roman" w:eastAsia="Times New Roman" w:hAnsi="Times New Roman"/>
                <w:sz w:val="21"/>
                <w:szCs w:val="21"/>
                <w:color w:val="auto"/>
              </w:rPr>
              <w:t>depository, overdraft, credit, purchasing or debit card, electronic funds transfer and other cash management</w:t>
            </w:r>
          </w:p>
        </w:tc>
      </w:tr>
      <w:tr>
        <w:trPr>
          <w:trHeight w:val="214"/>
        </w:trPr>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00" w:type="dxa"/>
            <w:vAlign w:val="bottom"/>
          </w:tcPr>
          <w:p>
            <w:pPr>
              <w:ind w:left="160"/>
              <w:spacing w:after="0" w:line="215" w:lineRule="exact"/>
              <w:rPr>
                <w:sz w:val="20"/>
                <w:szCs w:val="20"/>
                <w:color w:val="auto"/>
              </w:rPr>
            </w:pPr>
            <w:r>
              <w:rPr>
                <w:rFonts w:ascii="Times New Roman" w:cs="Times New Roman" w:eastAsia="Times New Roman" w:hAnsi="Times New Roman"/>
                <w:sz w:val="21"/>
                <w:szCs w:val="21"/>
                <w:color w:val="auto"/>
              </w:rPr>
              <w:t>arrangements, netting services, automatic clearinghouse arrangements, overdraft protections, employee credit card</w:t>
            </w:r>
          </w:p>
        </w:tc>
      </w:tr>
      <w:tr>
        <w:trPr>
          <w:trHeight w:val="214"/>
        </w:trPr>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00" w:type="dxa"/>
            <w:vAlign w:val="bottom"/>
          </w:tcPr>
          <w:p>
            <w:pPr>
              <w:ind w:left="160"/>
              <w:spacing w:after="0" w:line="215" w:lineRule="exact"/>
              <w:rPr>
                <w:sz w:val="20"/>
                <w:szCs w:val="20"/>
                <w:color w:val="auto"/>
              </w:rPr>
            </w:pPr>
            <w:r>
              <w:rPr>
                <w:rFonts w:ascii="Times New Roman" w:cs="Times New Roman" w:eastAsia="Times New Roman" w:hAnsi="Times New Roman"/>
                <w:sz w:val="21"/>
                <w:szCs w:val="21"/>
                <w:color w:val="auto"/>
              </w:rPr>
              <w:t>programs or otherwise in connection with deposit accounts or securities accounts incurred in the ordinary course of</w:t>
            </w:r>
          </w:p>
        </w:tc>
      </w:tr>
      <w:tr>
        <w:trPr>
          <w:trHeight w:val="279"/>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business;</w:t>
            </w:r>
          </w:p>
        </w:tc>
      </w:tr>
      <w:tr>
        <w:trPr>
          <w:trHeight w:val="364"/>
        </w:trPr>
        <w:tc>
          <w:tcPr>
            <w:tcW w:w="4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(ac)</w:t>
            </w:r>
          </w:p>
        </w:tc>
        <w:tc>
          <w:tcPr>
            <w:tcW w:w="101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Debt in respect of Hedge Agreements incurred in the ordinary course of business and not for speculative purposes;</w:t>
            </w:r>
          </w:p>
        </w:tc>
      </w:tr>
      <w:tr>
        <w:trPr>
          <w:trHeight w:val="279"/>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and</w:t>
            </w:r>
          </w:p>
        </w:tc>
      </w:tr>
      <w:tr>
        <w:trPr>
          <w:trHeight w:val="364"/>
        </w:trPr>
        <w:tc>
          <w:tcPr>
            <w:tcW w:w="460" w:type="dxa"/>
            <w:vAlign w:val="bottom"/>
          </w:tcPr>
          <w:p>
            <w:pPr>
              <w:spacing w:after="0"/>
              <w:rPr>
                <w:sz w:val="24"/>
                <w:szCs w:val="24"/>
                <w:color w:val="auto"/>
              </w:rPr>
            </w:pPr>
          </w:p>
        </w:tc>
        <w:tc>
          <w:tcPr>
            <w:tcW w:w="680" w:type="dxa"/>
            <w:vAlign w:val="bottom"/>
          </w:tcPr>
          <w:p>
            <w:pPr>
              <w:ind w:left="200"/>
              <w:spacing w:after="0"/>
              <w:rPr>
                <w:sz w:val="20"/>
                <w:szCs w:val="20"/>
                <w:color w:val="auto"/>
              </w:rPr>
            </w:pPr>
            <w:r>
              <w:rPr>
                <w:rFonts w:ascii="Times New Roman" w:cs="Times New Roman" w:eastAsia="Times New Roman" w:hAnsi="Times New Roman"/>
                <w:sz w:val="21"/>
                <w:szCs w:val="21"/>
                <w:color w:val="auto"/>
              </w:rPr>
              <w:t>(ad)</w:t>
            </w:r>
          </w:p>
        </w:tc>
        <w:tc>
          <w:tcPr>
            <w:tcW w:w="101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Debt incurred by a Subsidiary in connection with bankers’ acceptances, discounted bills of exchange or the</w:t>
            </w:r>
          </w:p>
        </w:tc>
      </w:tr>
      <w:tr>
        <w:trPr>
          <w:trHeight w:val="214"/>
        </w:trPr>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100" w:type="dxa"/>
            <w:vAlign w:val="bottom"/>
          </w:tcPr>
          <w:p>
            <w:pPr>
              <w:ind w:left="160"/>
              <w:spacing w:after="0" w:line="215" w:lineRule="exact"/>
              <w:rPr>
                <w:sz w:val="20"/>
                <w:szCs w:val="20"/>
                <w:color w:val="auto"/>
              </w:rPr>
            </w:pPr>
            <w:r>
              <w:rPr>
                <w:rFonts w:ascii="Times New Roman" w:cs="Times New Roman" w:eastAsia="Times New Roman" w:hAnsi="Times New Roman"/>
                <w:sz w:val="21"/>
                <w:szCs w:val="21"/>
                <w:color w:val="auto"/>
              </w:rPr>
              <w:t>discounting or factoring of receivables for credit management purposes, in each case incurred or undertaken in the</w:t>
            </w:r>
          </w:p>
        </w:tc>
      </w:tr>
      <w:tr>
        <w:trPr>
          <w:trHeight w:val="279"/>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1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ordinary course of business on arm’s-length commercial terms.</w:t>
            </w:r>
          </w:p>
        </w:tc>
      </w:tr>
      <w:tr>
        <w:trPr>
          <w:trHeight w:val="428"/>
        </w:trPr>
        <w:tc>
          <w:tcPr>
            <w:tcW w:w="460" w:type="dxa"/>
            <w:vAlign w:val="bottom"/>
          </w:tcPr>
          <w:p>
            <w:pPr>
              <w:jc w:val="right"/>
              <w:ind w:right="73"/>
              <w:spacing w:after="0"/>
              <w:rPr>
                <w:sz w:val="20"/>
                <w:szCs w:val="20"/>
                <w:color w:val="auto"/>
              </w:rPr>
            </w:pPr>
            <w:r>
              <w:rPr>
                <w:rFonts w:ascii="Times New Roman" w:cs="Times New Roman" w:eastAsia="Times New Roman" w:hAnsi="Times New Roman"/>
                <w:sz w:val="21"/>
                <w:szCs w:val="21"/>
                <w:b w:val="1"/>
                <w:bCs w:val="1"/>
                <w:color w:val="auto"/>
                <w:w w:val="98"/>
              </w:rPr>
              <w:t>8.4</w:t>
            </w:r>
          </w:p>
        </w:tc>
        <w:tc>
          <w:tcPr>
            <w:tcW w:w="10780" w:type="dxa"/>
            <w:vAlign w:val="bottom"/>
            <w:gridSpan w:val="2"/>
          </w:tcPr>
          <w:p>
            <w:pPr>
              <w:ind w:left="200"/>
              <w:spacing w:after="0"/>
              <w:rPr>
                <w:sz w:val="20"/>
                <w:szCs w:val="20"/>
                <w:color w:val="auto"/>
              </w:rPr>
            </w:pPr>
            <w:r>
              <w:rPr>
                <w:rFonts w:ascii="Times New Roman" w:cs="Times New Roman" w:eastAsia="Times New Roman" w:hAnsi="Times New Roman"/>
                <w:sz w:val="21"/>
                <w:szCs w:val="21"/>
                <w:b w:val="1"/>
                <w:bCs w:val="1"/>
                <w:color w:val="auto"/>
              </w:rPr>
              <w:t>Investments</w:t>
            </w:r>
          </w:p>
        </w:tc>
      </w:tr>
    </w:tbl>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Directly or indirectly, make any loans or advance money or property to any person, or invest in (by capital contribution, dividend or otherwise) or purchase or repurchase the Equity Interests or Debt or all or a substantial part of the assets or property of any person or consummate any Acquisition, or agree to do any of the foregoing (each, an “</w:t>
      </w:r>
      <w:r>
        <w:rPr>
          <w:rFonts w:ascii="Times New Roman" w:cs="Times New Roman" w:eastAsia="Times New Roman" w:hAnsi="Times New Roman"/>
          <w:sz w:val="21"/>
          <w:szCs w:val="21"/>
          <w:b w:val="1"/>
          <w:bCs w:val="1"/>
          <w:color w:val="auto"/>
        </w:rPr>
        <w:t>Investment</w:t>
      </w:r>
      <w:r>
        <w:rPr>
          <w:rFonts w:ascii="Times New Roman" w:cs="Times New Roman" w:eastAsia="Times New Roman" w:hAnsi="Times New Roman"/>
          <w:sz w:val="21"/>
          <w:szCs w:val="21"/>
          <w:color w:val="auto"/>
        </w:rPr>
        <w:t>”), except for:</w:t>
      </w:r>
    </w:p>
    <w:p>
      <w:pPr>
        <w:spacing w:after="0" w:line="147" w:lineRule="exact"/>
        <w:rPr>
          <w:sz w:val="20"/>
          <w:szCs w:val="20"/>
          <w:color w:val="auto"/>
        </w:rPr>
      </w:pPr>
    </w:p>
    <w:p>
      <w:pPr>
        <w:ind w:left="1300" w:hanging="649"/>
        <w:spacing w:after="0"/>
        <w:tabs>
          <w:tab w:leader="none" w:pos="130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endorsement of instruments for collection or deposit in the ordinary course of business;</w:t>
      </w:r>
    </w:p>
    <w:p>
      <w:pPr>
        <w:spacing w:after="0" w:line="187"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in cash and Cash Equivalents;</w:t>
      </w:r>
    </w:p>
    <w:p>
      <w:pPr>
        <w:spacing w:after="0" w:line="187" w:lineRule="exact"/>
        <w:rPr>
          <w:rFonts w:ascii="Times New Roman" w:cs="Times New Roman" w:eastAsia="Times New Roman" w:hAnsi="Times New Roman"/>
          <w:sz w:val="21"/>
          <w:szCs w:val="21"/>
          <w:color w:val="auto"/>
        </w:rPr>
      </w:pPr>
    </w:p>
    <w:p>
      <w:pPr>
        <w:ind w:left="1300" w:hanging="649"/>
        <w:spacing w:after="0" w:line="250" w:lineRule="auto"/>
        <w:tabs>
          <w:tab w:leader="none" w:pos="1297"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equity Investments owned as of the Restatement Effective Date in any Subsidiary and other Investments outstanding on the Restatement Effective Date, in each case, set forth on </w:t>
      </w:r>
      <w:r>
        <w:rPr>
          <w:rFonts w:ascii="Times New Roman" w:cs="Times New Roman" w:eastAsia="Times New Roman" w:hAnsi="Times New Roman"/>
          <w:sz w:val="21"/>
          <w:szCs w:val="21"/>
          <w:u w:val="single" w:color="auto"/>
          <w:color w:val="auto"/>
        </w:rPr>
        <w:t>Schedule 8.4</w:t>
      </w:r>
      <w:r>
        <w:rPr>
          <w:rFonts w:ascii="Times New Roman" w:cs="Times New Roman" w:eastAsia="Times New Roman" w:hAnsi="Times New Roman"/>
          <w:sz w:val="21"/>
          <w:szCs w:val="21"/>
          <w:color w:val="auto"/>
        </w:rPr>
        <w:t xml:space="preserve"> hereto;</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95"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in joint ventures with strategic partners for the purpose of advancing Borrower’s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such investments in such joint ventures, whether direct or indirect, shall not, at any time and in the aggregate exceed the greater of (A) $75,000,000 and (B) nine percent (9%) of Consolidated Total Assets and such investments shall not be made if an Event of Default exists and is continuing or would occur as result thereof;</w:t>
      </w:r>
    </w:p>
    <w:p>
      <w:pPr>
        <w:spacing w:after="0" w:line="150"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97"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loans or advances of money to affiliates in the ordinary course of Borrower’s business with the proceeds of issuance of Equity Interests (other than Disqualified Equity Interests) of Borrower,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such proceeds are used in the ordinary course of business and shall not, for further clarity, be subject to any other restrictions on use contained herein;</w:t>
      </w:r>
    </w:p>
    <w:p>
      <w:pPr>
        <w:spacing w:after="0" w:line="150" w:lineRule="exact"/>
        <w:rPr>
          <w:rFonts w:ascii="Times New Roman" w:cs="Times New Roman" w:eastAsia="Times New Roman" w:hAnsi="Times New Roman"/>
          <w:sz w:val="21"/>
          <w:szCs w:val="21"/>
          <w:color w:val="auto"/>
        </w:rPr>
      </w:pPr>
    </w:p>
    <w:p>
      <w:pPr>
        <w:jc w:val="both"/>
        <w:ind w:left="1300" w:right="20" w:hanging="649"/>
        <w:spacing w:after="0" w:line="234" w:lineRule="auto"/>
        <w:tabs>
          <w:tab w:leader="none" w:pos="1300" w:val="left"/>
        </w:tabs>
        <w:numPr>
          <w:ilvl w:val="0"/>
          <w:numId w:val="1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payments to employees in connection with the repurchase of phantom stock (including stock appreciation rights) in the ordinary course of business;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such payments with respect to the repurchase of phantom stock (including stock appreciation rights) not in existence on the Restatement Effective Date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60" w:right="339" w:bottom="1440" w:gutter="0" w:footer="0" w:header="0"/>
        </w:sectPr>
      </w:pPr>
    </w:p>
    <w:bookmarkStart w:id="188" w:name="page189"/>
    <w:bookmarkEnd w:id="188"/>
    <w:p>
      <w:pPr>
        <w:ind w:left="1300"/>
        <w:spacing w:after="0"/>
        <w:rPr>
          <w:sz w:val="20"/>
          <w:szCs w:val="20"/>
          <w:color w:val="auto"/>
        </w:rPr>
      </w:pPr>
      <w:r>
        <w:rPr>
          <w:rFonts w:ascii="Times New Roman" w:cs="Times New Roman" w:eastAsia="Times New Roman" w:hAnsi="Times New Roman"/>
          <w:sz w:val="21"/>
          <w:szCs w:val="21"/>
          <w:color w:val="auto"/>
        </w:rPr>
        <w:t xml:space="preserve">not exceed, together with amounts paid under </w:t>
      </w:r>
      <w:r>
        <w:rPr>
          <w:rFonts w:ascii="Times New Roman" w:cs="Times New Roman" w:eastAsia="Times New Roman" w:hAnsi="Times New Roman"/>
          <w:sz w:val="21"/>
          <w:szCs w:val="21"/>
          <w:u w:val="single" w:color="auto"/>
          <w:color w:val="auto"/>
        </w:rPr>
        <w:t>Section 8.5(c)</w:t>
      </w:r>
      <w:r>
        <w:rPr>
          <w:rFonts w:ascii="Times New Roman" w:cs="Times New Roman" w:eastAsia="Times New Roman" w:hAnsi="Times New Roman"/>
          <w:sz w:val="21"/>
          <w:szCs w:val="21"/>
          <w:color w:val="auto"/>
        </w:rPr>
        <w:t xml:space="preserve">, $1,000,000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w:t>
      </w:r>
    </w:p>
    <w:p>
      <w:pPr>
        <w:spacing w:after="0" w:line="191" w:lineRule="exact"/>
        <w:rPr>
          <w:sz w:val="20"/>
          <w:szCs w:val="20"/>
          <w:color w:val="auto"/>
        </w:rPr>
      </w:pPr>
    </w:p>
    <w:p>
      <w:pPr>
        <w:ind w:left="1280" w:hanging="629"/>
        <w:spacing w:after="0"/>
        <w:tabs>
          <w:tab w:leader="none" w:pos="128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payments to counterparties under or in connection with Hedge Agreements;</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 Investments made after the Restatement Effective Date in an aggregate principal amount not to exceed the greater of (i) $100,000,000 and (ii) twelve percent (12%) of Consolidated Total Assets so long as no Event of Default exists and is continuing or would occur as a result thereof;</w:t>
      </w:r>
    </w:p>
    <w:p>
      <w:pPr>
        <w:spacing w:after="0" w:line="151" w:lineRule="exact"/>
        <w:rPr>
          <w:rFonts w:ascii="Times New Roman" w:cs="Times New Roman" w:eastAsia="Times New Roman" w:hAnsi="Times New Roman"/>
          <w:sz w:val="21"/>
          <w:szCs w:val="21"/>
          <w:color w:val="auto"/>
        </w:rPr>
      </w:pPr>
    </w:p>
    <w:p>
      <w:pPr>
        <w:ind w:left="1300" w:hanging="649"/>
        <w:spacing w:after="0" w:line="250" w:lineRule="auto"/>
        <w:tabs>
          <w:tab w:leader="none" w:pos="1288"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loans or advances of money from a Credit Party to another Credit Party whose assets and properties are subject to the first priority Liens of Agent (subject to Permitted Liens);</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88"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Borrower and any Subsidiary may make intercompany loans to and other investments in Credit Parties, (ii) any Subsidiary (other than a Credit Party) may make intercompany loans to and other investments in any Credit Party or any Subsidiary so long as in the case of such intercompany loans to Credit Parties, all payment obligations of the respective Credit Parties are subordinated to their Obligations under the Financing Agreements on terms reasonably satisfactory to Agent, (iii) the Credit Parties may make intercompany loans to, and other Investments in, Subsidiaries that are not Credit Parties so long as the aggregate amount of outstanding loans and other Investments made pursuant to this </w:t>
      </w:r>
      <w:r>
        <w:rPr>
          <w:rFonts w:ascii="Times New Roman" w:cs="Times New Roman" w:eastAsia="Times New Roman" w:hAnsi="Times New Roman"/>
          <w:sz w:val="21"/>
          <w:szCs w:val="21"/>
          <w:u w:val="single" w:color="auto"/>
          <w:color w:val="auto"/>
        </w:rPr>
        <w:t>subclause (iii)</w:t>
      </w:r>
      <w:r>
        <w:rPr>
          <w:rFonts w:ascii="Times New Roman" w:cs="Times New Roman" w:eastAsia="Times New Roman" w:hAnsi="Times New Roman"/>
          <w:sz w:val="21"/>
          <w:szCs w:val="21"/>
          <w:color w:val="auto"/>
        </w:rPr>
        <w:t xml:space="preserve"> does not exceed the greater of $50,000,000 and six percent (6%) of Consolidated Total Assets and the proceeds were incurred as Permitted Debt pursuant to </w:t>
      </w:r>
      <w:r>
        <w:rPr>
          <w:rFonts w:ascii="Times New Roman" w:cs="Times New Roman" w:eastAsia="Times New Roman" w:hAnsi="Times New Roman"/>
          <w:sz w:val="21"/>
          <w:szCs w:val="21"/>
          <w:u w:val="single" w:color="auto"/>
          <w:color w:val="auto"/>
        </w:rPr>
        <w:t>Section 8.3(q)</w:t>
      </w:r>
      <w:r>
        <w:rPr>
          <w:rFonts w:ascii="Times New Roman" w:cs="Times New Roman" w:eastAsia="Times New Roman" w:hAnsi="Times New Roman"/>
          <w:sz w:val="21"/>
          <w:szCs w:val="21"/>
          <w:color w:val="auto"/>
        </w:rPr>
        <w:t>, (iv) any Subsidiary that is not a Credit Party may make intercompany loans to, and other Investments in, any other Subsidiary that is also not a Credit Party and (v) Credit Parties may make intercompany loans and other Investments in any Subsidiary that is not a Credit Party so long as such intercompany loans and other Investment is part of a series of simultaneous intercompany loans and other Investments by Subsidiaries in other Subsidiaries that simultaneously results in the proceeds of the initial intercompany loan and other Investment being made to or invested in one or more Credit Parties;</w:t>
      </w:r>
    </w:p>
    <w:p>
      <w:pPr>
        <w:spacing w:after="0" w:line="156"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of the Specified Transaction;</w:t>
      </w:r>
    </w:p>
    <w:p>
      <w:pPr>
        <w:spacing w:after="0" w:line="187"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ind w:left="1300" w:right="20" w:hanging="649"/>
        <w:spacing w:after="0" w:line="250" w:lineRule="auto"/>
        <w:tabs>
          <w:tab w:leader="none" w:pos="1288"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purchase of any Permitted Convertible Debt, Permitted Bond Hedge Transaction or Permitted Warrant Transaction by the Borrower or any of its Subsidiaries and the performance of its obligations thereunder;</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95"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IMAX Film Fund Put;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the fair market value to be paid by Borrower or its Subsidiary for pictures under the IMAX Film Fund Put shall be the fair market value thereof determined in accordance with the terms in the IMAX Film Fund Put, including that any appraiser determining fair market value in connection therewith shall be an investment bank or other entity experienced in determining the value of film assets;</w:t>
      </w:r>
    </w:p>
    <w:p>
      <w:pPr>
        <w:spacing w:after="0" w:line="150"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$4,000,000 preferred share investment by IMAX HK in IMAX China HK;</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1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in any amount so long as (i) immediately after giving effect to such Investment the Total Net Leverage Ratio is equal to or less than 2.75:1.00 as demonstrated in writing (including with calculations of </w:t>
      </w:r>
      <w:r>
        <w:rPr>
          <w:rFonts w:ascii="Times New Roman" w:cs="Times New Roman" w:eastAsia="Times New Roman" w:hAnsi="Times New Roman"/>
          <w:sz w:val="21"/>
          <w:szCs w:val="21"/>
          <w:i w:val="1"/>
          <w:iCs w:val="1"/>
          <w:color w:val="auto"/>
        </w:rPr>
        <w:t>pro</w:t>
      </w:r>
      <w:r>
        <w:rPr>
          <w:rFonts w:ascii="Times New Roman" w:cs="Times New Roman" w:eastAsia="Times New Roman" w:hAnsi="Times New Roman"/>
          <w:sz w:val="21"/>
          <w:szCs w:val="21"/>
          <w:color w:val="auto"/>
        </w:rPr>
        <w:t xml:space="preserve"> forma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2" w:right="339" w:bottom="1440" w:gutter="0" w:footer="0" w:header="0"/>
        </w:sectPr>
      </w:pPr>
    </w:p>
    <w:bookmarkStart w:id="189" w:name="page190"/>
    <w:bookmarkEnd w:id="189"/>
    <w:p>
      <w:pPr>
        <w:ind w:left="1300" w:right="20"/>
        <w:spacing w:after="0" w:line="250" w:lineRule="auto"/>
        <w:rPr>
          <w:sz w:val="20"/>
          <w:szCs w:val="20"/>
          <w:color w:val="auto"/>
        </w:rPr>
      </w:pPr>
      <w:r>
        <w:rPr>
          <w:rFonts w:ascii="Times New Roman" w:cs="Times New Roman" w:eastAsia="Times New Roman" w:hAnsi="Times New Roman"/>
          <w:sz w:val="21"/>
          <w:szCs w:val="21"/>
          <w:color w:val="auto"/>
        </w:rPr>
        <w:t>with the Total Net Leverage Ratio) by Borrower to Agent prior to any such Investment being made and (ii) no Event of Default exists and is continuing or would occur as a result thereof;</w:t>
      </w:r>
    </w:p>
    <w:p>
      <w:pPr>
        <w:spacing w:after="0" w:line="140" w:lineRule="exact"/>
        <w:rPr>
          <w:sz w:val="20"/>
          <w:szCs w:val="20"/>
          <w:color w:val="auto"/>
        </w:rPr>
      </w:pPr>
    </w:p>
    <w:p>
      <w:pPr>
        <w:jc w:val="both"/>
        <w:ind w:left="1300" w:hanging="649"/>
        <w:spacing w:after="0" w:line="234" w:lineRule="auto"/>
        <w:tabs>
          <w:tab w:leader="none" w:pos="1295"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loans to employees not to exceed in the aggregate the greater of (i) $2,500,000 and (ii) one percent (1%) of Consolidated Total Assets and so long as no Event of Default exists and is continuing or would occur as a result thereof;</w:t>
      </w:r>
    </w:p>
    <w:p>
      <w:pPr>
        <w:spacing w:after="0" w:line="151" w:lineRule="exact"/>
        <w:rPr>
          <w:rFonts w:ascii="Times New Roman" w:cs="Times New Roman" w:eastAsia="Times New Roman" w:hAnsi="Times New Roman"/>
          <w:sz w:val="21"/>
          <w:szCs w:val="21"/>
          <w:color w:val="auto"/>
        </w:rPr>
      </w:pPr>
    </w:p>
    <w:p>
      <w:pPr>
        <w:ind w:left="1300" w:hanging="649"/>
        <w:spacing w:after="0" w:line="250" w:lineRule="auto"/>
        <w:tabs>
          <w:tab w:leader="none" w:pos="130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Acquisitions of any single purpose Subsidiaries for the purpose of entering into the joint ventures and the third party productions permitted pursuant to </w:t>
      </w:r>
      <w:r>
        <w:rPr>
          <w:rFonts w:ascii="Times New Roman" w:cs="Times New Roman" w:eastAsia="Times New Roman" w:hAnsi="Times New Roman"/>
          <w:sz w:val="21"/>
          <w:szCs w:val="21"/>
          <w:u w:val="single" w:color="auto"/>
          <w:color w:val="auto"/>
        </w:rPr>
        <w:t>Section 8.4(d)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(h)</w:t>
      </w:r>
      <w:r>
        <w:rPr>
          <w:rFonts w:ascii="Times New Roman" w:cs="Times New Roman" w:eastAsia="Times New Roman" w:hAnsi="Times New Roman"/>
          <w:sz w:val="21"/>
          <w:szCs w:val="21"/>
          <w:color w:val="auto"/>
        </w:rPr>
        <w:t xml:space="preserve"> hereof;</w:t>
      </w:r>
    </w:p>
    <w:p>
      <w:pPr>
        <w:spacing w:after="0" w:line="140" w:lineRule="exact"/>
        <w:rPr>
          <w:rFonts w:ascii="Times New Roman" w:cs="Times New Roman" w:eastAsia="Times New Roman" w:hAnsi="Times New Roman"/>
          <w:sz w:val="21"/>
          <w:szCs w:val="21"/>
          <w:color w:val="auto"/>
        </w:rPr>
      </w:pPr>
    </w:p>
    <w:p>
      <w:pPr>
        <w:ind w:left="1300" w:hanging="649"/>
        <w:spacing w:after="0" w:line="250" w:lineRule="auto"/>
        <w:tabs>
          <w:tab w:leader="none" w:pos="1298"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Deposits, prepayments and other credits to suppliers made in the ordinary course of business consistent with the past practices of Borrower and its Subsidiaries;</w:t>
      </w:r>
    </w:p>
    <w:p>
      <w:pPr>
        <w:spacing w:after="0" w:line="140"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extensions of trade credit in the ordinary course of business;</w:t>
      </w:r>
    </w:p>
    <w:p>
      <w:pPr>
        <w:spacing w:after="0" w:line="187"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of any Person in existence at the time such Person becomes a Subsidiary;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such Investment was not created in anticipation of such Person becoming a Subsidiary;</w:t>
      </w:r>
    </w:p>
    <w:p>
      <w:pPr>
        <w:spacing w:after="0" w:line="140"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Investments made in the ordinary course and resulting from pledges and deposits referred to in </w:t>
      </w:r>
      <w:r>
        <w:rPr>
          <w:rFonts w:ascii="Times New Roman" w:cs="Times New Roman" w:eastAsia="Times New Roman" w:hAnsi="Times New Roman"/>
          <w:sz w:val="21"/>
          <w:szCs w:val="21"/>
          <w:u w:val="single" w:color="auto"/>
          <w:color w:val="auto"/>
        </w:rPr>
        <w:t>Section 8.2(h)</w:t>
      </w:r>
      <w:r>
        <w:rPr>
          <w:rFonts w:ascii="Times New Roman" w:cs="Times New Roman" w:eastAsia="Times New Roman" w:hAnsi="Times New Roman"/>
          <w:sz w:val="21"/>
          <w:szCs w:val="21"/>
          <w:color w:val="auto"/>
        </w:rPr>
        <w:t>; and</w:t>
      </w:r>
    </w:p>
    <w:p>
      <w:pPr>
        <w:spacing w:after="0" w:line="187" w:lineRule="exact"/>
        <w:rPr>
          <w:rFonts w:ascii="Times New Roman" w:cs="Times New Roman" w:eastAsia="Times New Roman" w:hAnsi="Times New Roman"/>
          <w:sz w:val="21"/>
          <w:szCs w:val="21"/>
          <w:color w:val="auto"/>
        </w:rPr>
      </w:pPr>
    </w:p>
    <w:p>
      <w:pPr>
        <w:ind w:left="1300" w:right="20" w:hanging="649"/>
        <w:spacing w:after="0" w:line="250" w:lineRule="auto"/>
        <w:tabs>
          <w:tab w:leader="none" w:pos="1289" w:val="left"/>
        </w:tabs>
        <w:numPr>
          <w:ilvl w:val="0"/>
          <w:numId w:val="1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Investments consisting of purchases and acquisitions of inventory, supplies, materials and equipment or purchases of contract rights or licenses or leases of intellectual property, in each case in the ordinary course of business.</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 xml:space="preserve">Any Future Permitted Transaction by Borrower and any investment, license, purchase or other transaction reasonably related thereto and in furtherance thereof shall be permitted hereunder and the amount of any such investment, license, purchase or other transaction shall not be included in (or count against) any of the foregoing basket amounts described in this </w:t>
      </w:r>
      <w:r>
        <w:rPr>
          <w:rFonts w:ascii="Times New Roman" w:cs="Times New Roman" w:eastAsia="Times New Roman" w:hAnsi="Times New Roman"/>
          <w:sz w:val="21"/>
          <w:szCs w:val="21"/>
          <w:u w:val="single" w:color="auto"/>
          <w:color w:val="auto"/>
        </w:rPr>
        <w:t>Section 8.4</w:t>
      </w:r>
      <w:r>
        <w:rPr>
          <w:rFonts w:ascii="Times New Roman" w:cs="Times New Roman" w:eastAsia="Times New Roman" w:hAnsi="Times New Roman"/>
          <w:sz w:val="21"/>
          <w:szCs w:val="21"/>
          <w:color w:val="auto"/>
        </w:rPr>
        <w:t>.</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8.5</w:t>
      </w:r>
      <w:r>
        <w:rPr>
          <w:sz w:val="20"/>
          <w:szCs w:val="20"/>
          <w:color w:val="auto"/>
        </w:rPr>
        <w:tab/>
      </w:r>
      <w:r>
        <w:rPr>
          <w:rFonts w:ascii="Times New Roman" w:cs="Times New Roman" w:eastAsia="Times New Roman" w:hAnsi="Times New Roman"/>
          <w:sz w:val="21"/>
          <w:szCs w:val="21"/>
          <w:b w:val="1"/>
          <w:bCs w:val="1"/>
          <w:color w:val="auto"/>
        </w:rPr>
        <w:t>Restricted Payments</w:t>
      </w:r>
    </w:p>
    <w:p>
      <w:pPr>
        <w:spacing w:after="0" w:line="2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Directly or indirectly, declare or pay any dividends on account of any of its Equity Interests now or hereafter outstanding, or redeem, retire, defease, purchase or otherwise acquire any of its Equity Interests, or make any other distribution (by reduction of capital or otherwise) in respect of any such Equity Interests or prepay, repay, redeem, purchase, defease or acquire for value (including (x) by way of depositing with any trustee with respect thereto money or securities before due for the purpose of paying when due and (y) at the maturity thereof) any (i) Permitted Convertible Debt or (ii) other unsecured Debt incurred pursuant to </w:t>
      </w:r>
      <w:r>
        <w:rPr>
          <w:rFonts w:ascii="Times New Roman" w:cs="Times New Roman" w:eastAsia="Times New Roman" w:hAnsi="Times New Roman"/>
          <w:sz w:val="21"/>
          <w:szCs w:val="21"/>
          <w:u w:val="single" w:color="auto"/>
          <w:color w:val="auto"/>
        </w:rPr>
        <w:t>Section 8.3(h)</w:t>
      </w:r>
      <w:r>
        <w:rPr>
          <w:rFonts w:ascii="Times New Roman" w:cs="Times New Roman" w:eastAsia="Times New Roman" w:hAnsi="Times New Roman"/>
          <w:sz w:val="21"/>
          <w:szCs w:val="21"/>
          <w:color w:val="auto"/>
        </w:rPr>
        <w:t xml:space="preserve"> (each, a “</w:t>
      </w:r>
      <w:r>
        <w:rPr>
          <w:rFonts w:ascii="Times New Roman" w:cs="Times New Roman" w:eastAsia="Times New Roman" w:hAnsi="Times New Roman"/>
          <w:sz w:val="21"/>
          <w:szCs w:val="21"/>
          <w:b w:val="1"/>
          <w:bCs w:val="1"/>
          <w:color w:val="auto"/>
        </w:rPr>
        <w:t>Restricted Payment</w:t>
      </w:r>
      <w:r>
        <w:rPr>
          <w:rFonts w:ascii="Times New Roman" w:cs="Times New Roman" w:eastAsia="Times New Roman" w:hAnsi="Times New Roman"/>
          <w:sz w:val="21"/>
          <w:szCs w:val="21"/>
          <w:color w:val="auto"/>
        </w:rPr>
        <w:t>”) with the exception that:</w:t>
      </w:r>
    </w:p>
    <w:p>
      <w:pPr>
        <w:spacing w:after="0" w:line="142" w:lineRule="exact"/>
        <w:rPr>
          <w:sz w:val="20"/>
          <w:szCs w:val="20"/>
          <w:color w:val="auto"/>
        </w:rPr>
      </w:pPr>
    </w:p>
    <w:p>
      <w:pPr>
        <w:ind w:left="1300" w:hanging="649"/>
        <w:spacing w:after="0" w:line="250" w:lineRule="auto"/>
        <w:tabs>
          <w:tab w:leader="none" w:pos="1297"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wholly-owned Subsidiaries of a Subsidiary or the Borrower may pay cash dividends or distributions to their respective shareholders;</w:t>
      </w:r>
    </w:p>
    <w:p>
      <w:pPr>
        <w:spacing w:after="0" w:line="140"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non wholly-owned Subsidiaries of a Subsidiary or the Borrower may pay cash dividends or distributions to its shareholders provided each shareholder receives its ratable share of such dividends or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90" w:name="page191"/>
    <w:bookmarkEnd w:id="190"/>
    <w:p>
      <w:pPr>
        <w:jc w:val="both"/>
        <w:ind w:left="1300" w:hanging="649"/>
        <w:spacing w:after="0" w:line="234" w:lineRule="auto"/>
        <w:tabs>
          <w:tab w:leader="none" w:pos="1297"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Credit Parties and their Subsidiaries may redeem or purchase their respective Equity Interests which are held by any current, future or former officers, directors or employees of such Person not to exceed, together with amounts paid under </w:t>
      </w:r>
      <w:r>
        <w:rPr>
          <w:rFonts w:ascii="Times New Roman" w:cs="Times New Roman" w:eastAsia="Times New Roman" w:hAnsi="Times New Roman"/>
          <w:sz w:val="21"/>
          <w:szCs w:val="21"/>
          <w:u w:val="single" w:color="auto"/>
          <w:color w:val="auto"/>
        </w:rPr>
        <w:t>Section 8.4(f)</w:t>
      </w:r>
      <w:r>
        <w:rPr>
          <w:rFonts w:ascii="Times New Roman" w:cs="Times New Roman" w:eastAsia="Times New Roman" w:hAnsi="Times New Roman"/>
          <w:sz w:val="21"/>
          <w:szCs w:val="21"/>
          <w:color w:val="auto"/>
        </w:rPr>
        <w:t xml:space="preserve">, $1,000,000 </w:t>
      </w:r>
      <w:r>
        <w:rPr>
          <w:rFonts w:ascii="Times New Roman" w:cs="Times New Roman" w:eastAsia="Times New Roman" w:hAnsi="Times New Roman"/>
          <w:sz w:val="21"/>
          <w:szCs w:val="21"/>
          <w:i w:val="1"/>
          <w:iCs w:val="1"/>
          <w:color w:val="auto"/>
        </w:rPr>
        <w:t>per annum</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Credit Parties and their Subsidiaries may make Restricted Payments if made by way of Qualified Equity Interests only;</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7"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may make Restricted Payments in any amount so long as (i) immediately after giving effect thereto the Total Net Leverage Ratio is equal to or less than 2.75:1.00 and (ii) in each case no Default or Event of Default exists and is continuing or would occur as a result thereof;</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17" w:lineRule="auto"/>
        <w:tabs>
          <w:tab w:leader="none" w:pos="130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Borrower (or any Credit Party that is an obligor under such Permitted Convertible Debt) may (i) make payments of interest with respect to any Permitted Convertible Debt or the payment upon maturity (or otherwise required pursuant to customary prepayment, redemption, repurchase or defeasance obligations in connection with a change of control, fundamental change or asset sale) thereof, (ii) convert or exchange any Permitted Convertible Debt in accordance with its terms into shares of common stock and make a payment of cash in lieu of fractional shares of the Borrower’s common stock deliverable upon any such conversion or exchange, (iii) deliver cash in connection with any conversion or exchange of Permitted Convertible Debt in an aggregate amount since the date of the indenture governing such Permitted Convertible Debt not to exceed the sum of (A) the principal amount of such Permitted Convertible Debt </w:t>
      </w:r>
      <w:r>
        <w:rPr>
          <w:rFonts w:ascii="Times New Roman" w:cs="Times New Roman" w:eastAsia="Times New Roman" w:hAnsi="Times New Roman"/>
          <w:sz w:val="21"/>
          <w:szCs w:val="21"/>
          <w:u w:val="single" w:color="auto"/>
          <w:color w:val="auto"/>
        </w:rPr>
        <w:t>plus</w:t>
      </w:r>
      <w:r>
        <w:rPr>
          <w:rFonts w:ascii="Times New Roman" w:cs="Times New Roman" w:eastAsia="Times New Roman" w:hAnsi="Times New Roman"/>
          <w:sz w:val="21"/>
          <w:szCs w:val="21"/>
          <w:color w:val="auto"/>
        </w:rPr>
        <w:t xml:space="preserve"> (B) any payments received by the Borrower or any of its Subsidiaries pursuant to the exercise, settlement or termination of any related Permitted Bond Hedge Transaction, (iv) make any payments in connection with a Permitted Bond Hedge Transaction and make the settlement of any related Permitted Warrant Transaction (A) by delivery of shares of the Borrower’s common stock upon settlement thereof or (B) by (1) set off against the related Permitted Bond Hedge Transaction or (2) payment of an early termination amount thereof in common stock upon any early termination thereof and (v) payments and prepayments in connection with any Permitted Refinancing of Permitted Convertible Debt permitted by </w:t>
      </w:r>
      <w:r>
        <w:rPr>
          <w:rFonts w:ascii="Times New Roman" w:cs="Times New Roman" w:eastAsia="Times New Roman" w:hAnsi="Times New Roman"/>
          <w:sz w:val="21"/>
          <w:szCs w:val="21"/>
          <w:u w:val="single" w:color="auto"/>
          <w:color w:val="auto"/>
        </w:rPr>
        <w:t>Section 8.3(h)(ii)</w:t>
      </w:r>
      <w:r>
        <w:rPr>
          <w:rFonts w:ascii="Times New Roman" w:cs="Times New Roman" w:eastAsia="Times New Roman" w:hAnsi="Times New Roman"/>
          <w:sz w:val="21"/>
          <w:szCs w:val="21"/>
          <w:color w:val="auto"/>
        </w:rPr>
        <w:t>;</w:t>
      </w:r>
    </w:p>
    <w:p>
      <w:pPr>
        <w:spacing w:after="0" w:line="156"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26" w:lineRule="auto"/>
        <w:tabs>
          <w:tab w:leader="none" w:pos="1288"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Credit Parties and their Subsidiaries may redeem or purchase their respective Equity Interests which are held by current, future or former officers, directors or employees of such Person in an amount not to exceed in the aggregate $25,000,000 in any calendar year with the ability to carry-over any unused amount in a calendar year for the next two (2) succeeding calendar years so long as in each case no Default or Event of Default exists and is continuing or would occur as a result thereof;</w:t>
      </w:r>
    </w:p>
    <w:p>
      <w:pPr>
        <w:spacing w:after="0" w:line="149" w:lineRule="exact"/>
        <w:rPr>
          <w:rFonts w:ascii="Times New Roman" w:cs="Times New Roman" w:eastAsia="Times New Roman" w:hAnsi="Times New Roman"/>
          <w:sz w:val="21"/>
          <w:szCs w:val="21"/>
          <w:color w:val="auto"/>
        </w:rPr>
      </w:pPr>
    </w:p>
    <w:p>
      <w:pPr>
        <w:jc w:val="both"/>
        <w:ind w:left="1300" w:hanging="649"/>
        <w:spacing w:after="0" w:line="226" w:lineRule="auto"/>
        <w:tabs>
          <w:tab w:leader="none" w:pos="1288" w:val="left"/>
        </w:tabs>
        <w:numPr>
          <w:ilvl w:val="0"/>
          <w:numId w:val="1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Credit Parties and their Subsidiaries may redeem or purchase their respective Equity Interests not to exceed in the aggregate in any calendar year the greater of (i) $125,000,000 and (ii) fifteen percent (15%) of Consolidated Total Assets and with the ability to carry-over any unused amount in a calendar year for the next two (2) succeeding calendar years so long as in each case no Default or Event of Default exists and is continuing or would occur as a result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91" w:name="page192"/>
    <w:bookmarkEnd w:id="191"/>
    <w:p>
      <w:pPr>
        <w:jc w:val="both"/>
        <w:ind w:left="1300" w:hanging="649"/>
        <w:spacing w:after="0" w:line="234" w:lineRule="auto"/>
        <w:tabs>
          <w:tab w:leader="none" w:pos="1295"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Credit Parties and their Subsidiaries may make Restricted Payments not to exceed in the aggregate the greater of (i) $100,000,000 and (ii) twelve percent (12%) of Consolidated Total Assets so long as in each case no Default or Event of Default exists and is continuing or would occur as a result thereof; and</w:t>
      </w:r>
    </w:p>
    <w:p>
      <w:pPr>
        <w:spacing w:after="0" w:line="151" w:lineRule="exact"/>
        <w:rPr>
          <w:rFonts w:ascii="Times New Roman" w:cs="Times New Roman" w:eastAsia="Times New Roman" w:hAnsi="Times New Roman"/>
          <w:sz w:val="21"/>
          <w:szCs w:val="21"/>
          <w:color w:val="auto"/>
        </w:rPr>
      </w:pPr>
    </w:p>
    <w:p>
      <w:pPr>
        <w:ind w:left="1300" w:hanging="649"/>
        <w:spacing w:after="0" w:line="250" w:lineRule="auto"/>
        <w:tabs>
          <w:tab w:leader="none" w:pos="1288" w:val="left"/>
        </w:tabs>
        <w:numPr>
          <w:ilvl w:val="0"/>
          <w:numId w:val="1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Credit Parties and their Subsidiaries may make Restricted Payments in connection with the purchase of fractional shares of its common stock arising out of stock dividends, splits or combinations or business combinations.</w:t>
      </w:r>
    </w:p>
    <w:p>
      <w:pPr>
        <w:spacing w:after="0" w:line="13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8.6</w:t>
      </w:r>
      <w:r>
        <w:rPr>
          <w:sz w:val="20"/>
          <w:szCs w:val="20"/>
          <w:color w:val="auto"/>
        </w:rPr>
        <w:tab/>
      </w:r>
      <w:r>
        <w:rPr>
          <w:rFonts w:ascii="Times New Roman" w:cs="Times New Roman" w:eastAsia="Times New Roman" w:hAnsi="Times New Roman"/>
          <w:sz w:val="21"/>
          <w:szCs w:val="21"/>
          <w:b w:val="1"/>
          <w:bCs w:val="1"/>
          <w:color w:val="auto"/>
        </w:rPr>
        <w:t>Transactions with Affiliates</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Directly or indirectly, (a) purchase, acquire or lease any property from, or sell, transfer or lease any property to, any officer, director, agent or other person affiliated with it, except in the ordinary course of and pursuant to the reasonable requirements of its business and upon fair and reasonable terms no less favorable to it than it would obtain in a comparable arm’s length transaction with an unaffiliated person or (b) make any payments of management, consulting or other fees for management or similar services, or of any Debt (including under the USERP) owing to any officer, employee, shareholder, director or other person affiliated with it except (i) reasonable compensation to officers, employees and directors for services rendered to it in the ordinary course of business and (ii) payments to Bradley J. Wechsler and Richard L. Gelfond in accordance with the USERP.</w:t>
      </w:r>
    </w:p>
    <w:p>
      <w:pPr>
        <w:spacing w:after="0" w:line="14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8.7</w:t>
      </w:r>
      <w:r>
        <w:rPr>
          <w:sz w:val="20"/>
          <w:szCs w:val="20"/>
          <w:color w:val="auto"/>
        </w:rPr>
        <w:tab/>
      </w:r>
      <w:r>
        <w:rPr>
          <w:rFonts w:ascii="Times New Roman" w:cs="Times New Roman" w:eastAsia="Times New Roman" w:hAnsi="Times New Roman"/>
          <w:sz w:val="21"/>
          <w:szCs w:val="21"/>
          <w:b w:val="1"/>
          <w:bCs w:val="1"/>
          <w:color w:val="auto"/>
        </w:rPr>
        <w:t>[Reserved]</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8.8</w:t>
      </w:r>
      <w:r>
        <w:rPr>
          <w:sz w:val="20"/>
          <w:szCs w:val="20"/>
          <w:color w:val="auto"/>
        </w:rPr>
        <w:tab/>
      </w:r>
      <w:r>
        <w:rPr>
          <w:rFonts w:ascii="Times New Roman" w:cs="Times New Roman" w:eastAsia="Times New Roman" w:hAnsi="Times New Roman"/>
          <w:sz w:val="21"/>
          <w:szCs w:val="21"/>
          <w:b w:val="1"/>
          <w:bCs w:val="1"/>
          <w:color w:val="auto"/>
        </w:rPr>
        <w:t>Limitations Regarding Outbound Investment Rules</w:t>
      </w:r>
    </w:p>
    <w:p>
      <w:pPr>
        <w:spacing w:after="0" w:line="218" w:lineRule="exact"/>
        <w:rPr>
          <w:sz w:val="20"/>
          <w:szCs w:val="20"/>
          <w:color w:val="auto"/>
        </w:rPr>
      </w:pPr>
    </w:p>
    <w:p>
      <w:pPr>
        <w:jc w:val="both"/>
        <w:ind w:firstLine="7"/>
        <w:spacing w:after="0" w:line="271" w:lineRule="auto"/>
        <w:tabs>
          <w:tab w:leader="none" w:pos="298" w:val="left"/>
        </w:tabs>
        <w:numPr>
          <w:ilvl w:val="0"/>
          <w:numId w:val="1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or become a “covered foreign person”, as that term is defined in the Outbound Investment Rules, or (b) engage, directly or indirectly, in (i) a “covered activity” or a “covered transaction”, as each such term is defined in the Outbound Investment Rules,</w:t>
      </w:r>
    </w:p>
    <w:p>
      <w:pPr>
        <w:spacing w:after="0" w:line="1" w:lineRule="exact"/>
        <w:rPr>
          <w:rFonts w:ascii="Times New Roman" w:cs="Times New Roman" w:eastAsia="Times New Roman" w:hAnsi="Times New Roman"/>
          <w:sz w:val="21"/>
          <w:szCs w:val="21"/>
          <w:color w:val="auto"/>
        </w:rPr>
      </w:pPr>
    </w:p>
    <w:p>
      <w:pPr>
        <w:jc w:val="both"/>
        <w:ind w:firstLine="7"/>
        <w:spacing w:after="0" w:line="257" w:lineRule="auto"/>
        <w:tabs>
          <w:tab w:leader="none" w:pos="316" w:val="left"/>
        </w:tabs>
        <w:numPr>
          <w:ilvl w:val="0"/>
          <w:numId w:val="1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activity or transaction that would constitute a “covered activity” or a “covered transaction”, as each such term is defined in the Outbound Investment Rules, if Borrower were a United States Person or (iii) any other activity that would cause the Agent or the Lenders to be in violation of the Outbound Investment Rules or cause the Agent or the Lenders to be legally prohibited by the Outbound Investment Rules from performing under this Agreement.</w:t>
      </w:r>
    </w:p>
    <w:p>
      <w:pPr>
        <w:spacing w:after="0" w:line="1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8.9</w:t>
      </w:r>
      <w:r>
        <w:rPr>
          <w:sz w:val="20"/>
          <w:szCs w:val="20"/>
          <w:color w:val="auto"/>
        </w:rPr>
        <w:tab/>
      </w:r>
      <w:r>
        <w:rPr>
          <w:rFonts w:ascii="Times New Roman" w:cs="Times New Roman" w:eastAsia="Times New Roman" w:hAnsi="Times New Roman"/>
          <w:sz w:val="21"/>
          <w:szCs w:val="21"/>
          <w:b w:val="1"/>
          <w:bCs w:val="1"/>
          <w:color w:val="auto"/>
        </w:rPr>
        <w:t>No Material Changes</w:t>
      </w:r>
    </w:p>
    <w:p>
      <w:pPr>
        <w:spacing w:after="0" w:line="218" w:lineRule="exact"/>
        <w:rPr>
          <w:sz w:val="20"/>
          <w:szCs w:val="20"/>
          <w:color w:val="auto"/>
        </w:rPr>
      </w:pPr>
    </w:p>
    <w:p>
      <w:pPr>
        <w:jc w:val="both"/>
        <w:ind w:firstLine="7"/>
        <w:spacing w:after="0" w:line="270" w:lineRule="auto"/>
        <w:tabs>
          <w:tab w:leader="none" w:pos="313" w:val="left"/>
        </w:tabs>
        <w:numPr>
          <w:ilvl w:val="0"/>
          <w:numId w:val="1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its Fiscal Quarters or its Fiscal Year, (b) make any material change to its business or the conduct thereof from that existing or being conducted as of the Restatement Effective Date, other than changes that would not be reasonably expected to have a Material Adverse Effect or (c) make any material changes to its accounting policies in effect as of the Restatement Effective Date, except as required or permitted by GAAP.</w:t>
      </w:r>
    </w:p>
    <w:p>
      <w:pPr>
        <w:spacing w:after="0" w:line="1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8.10</w:t>
        <w:tab/>
        <w:t>No Further Negative Pledges; Restrictive Agreements</w:t>
      </w:r>
    </w:p>
    <w:p>
      <w:pPr>
        <w:spacing w:after="0" w:line="191" w:lineRule="exact"/>
        <w:rPr>
          <w:sz w:val="20"/>
          <w:szCs w:val="20"/>
          <w:color w:val="auto"/>
        </w:rPr>
      </w:pPr>
    </w:p>
    <w:p>
      <w:pPr>
        <w:jc w:val="both"/>
        <w:ind w:left="1300" w:hanging="649"/>
        <w:spacing w:after="0" w:line="234" w:lineRule="auto"/>
        <w:tabs>
          <w:tab w:leader="none" w:pos="1297" w:val="left"/>
        </w:tabs>
        <w:numPr>
          <w:ilvl w:val="0"/>
          <w:numId w:val="1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Enter into, assume or be subject to any agreement prohibiting or otherwise restricting the creation or assumption of any Lien upon its properties or assets (including contractual provisions restricting the assignability thereof to Agent or to an assignee thereof upon exercise by Agent of any rights or remedies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92" w:name="page193"/>
    <w:bookmarkEnd w:id="192"/>
    <w:p>
      <w:pPr>
        <w:jc w:val="both"/>
        <w:ind w:left="1300"/>
        <w:spacing w:after="0" w:line="217" w:lineRule="auto"/>
        <w:rPr>
          <w:sz w:val="20"/>
          <w:szCs w:val="20"/>
          <w:color w:val="auto"/>
        </w:rPr>
      </w:pPr>
      <w:r>
        <w:rPr>
          <w:rFonts w:ascii="Times New Roman" w:cs="Times New Roman" w:eastAsia="Times New Roman" w:hAnsi="Times New Roman"/>
          <w:sz w:val="21"/>
          <w:szCs w:val="21"/>
          <w:color w:val="auto"/>
        </w:rPr>
        <w:t xml:space="preserve">in the Financing Agreements or at law) or requiring the grant of any security for such obligation if security is given for some other obligation, except (i) pursuant to this Agreement and the other Financing Agreements, (ii) pursuant to any document or instrument governing Debt incurred pursuant to </w:t>
      </w:r>
      <w:r>
        <w:rPr>
          <w:rFonts w:ascii="Times New Roman" w:cs="Times New Roman" w:eastAsia="Times New Roman" w:hAnsi="Times New Roman"/>
          <w:sz w:val="21"/>
          <w:szCs w:val="21"/>
          <w:u w:val="single" w:color="auto"/>
          <w:color w:val="auto"/>
        </w:rPr>
        <w:t>Section 8.3(c)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any such restriction contained therein relates only to the asset, properties or interests acquired in connection therewith, (iii) restrictions in connection with any Permitted Lien or any document or instrument governing any Permitted Lien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any such restriction contained therein relates only to the asset or properties subject to such Permitted Lien); (iv) pursuant to any document or instrument governing Permitted Debt; (v) restrictions by reason of customary provisions restricting assignments, subletting or other transfers contained in leases, licenses and similar agreements entered into in the ordinary course of business (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restrictions are limited to the property or assets secured by such Liens or the property or assets subject to such leases, licenses or similar agreements, as the case may be); (vi) customary provisions contained in joint venture agreements and other similar agreements applicable to joint ventures (to the extent only affecting the assets of, or the Equity Interests in, each such joint venture); and (vii) any agreement in effect at the time any Person becomes a Subsidiary (to the extent only affecting the assets of, or the Equity Interests in, each such Person), so long as such agreement was not entered into in contemplation of such Person becoming a Subsidiary;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8.10(a)</w:t>
      </w:r>
      <w:r>
        <w:rPr>
          <w:rFonts w:ascii="Times New Roman" w:cs="Times New Roman" w:eastAsia="Times New Roman" w:hAnsi="Times New Roman"/>
          <w:sz w:val="21"/>
          <w:szCs w:val="21"/>
          <w:color w:val="auto"/>
        </w:rPr>
        <w:t xml:space="preserve"> shall not apply to any Subsidiaries that are not Credit Parties and are not required to become Credit Parties hereunder.</w:t>
      </w:r>
    </w:p>
    <w:p>
      <w:pPr>
        <w:spacing w:after="0" w:line="153" w:lineRule="exact"/>
        <w:rPr>
          <w:sz w:val="20"/>
          <w:szCs w:val="20"/>
          <w:color w:val="auto"/>
        </w:rPr>
      </w:pPr>
    </w:p>
    <w:p>
      <w:pPr>
        <w:jc w:val="both"/>
        <w:ind w:left="1300" w:hanging="649"/>
        <w:spacing w:after="0" w:line="215" w:lineRule="auto"/>
        <w:tabs>
          <w:tab w:leader="none" w:pos="1295" w:val="left"/>
        </w:tabs>
        <w:numPr>
          <w:ilvl w:val="0"/>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Create or otherwise cause or suffer to exist or become effective any consensual encumbrance or restriction on the ability of any Credit Party or any Subsidiary thereof to (i) pay dividends or make any other distributions to any Credit Party or any Subsidiary on its Equity Interests, (ii) pay any obligations, liabilities and indebtedness owed to any Credit Party, (iii) make loans or advances to any Credit Party, (iv) sell, lease or transfer any of its properties or assets to any Credit Party or (v) act as a Guarantor pursuant to the Financing Agreements, except (in respect of any of the matters referred to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above) for such encumbrances or restrictions existing under or by reason of (A) this Agreement and the other Financing Agreements, (B) Applicable Law, (C) any document or instrument governing Debt incurred pursuant to </w:t>
      </w:r>
      <w:r>
        <w:rPr>
          <w:rFonts w:ascii="Times New Roman" w:cs="Times New Roman" w:eastAsia="Times New Roman" w:hAnsi="Times New Roman"/>
          <w:sz w:val="21"/>
          <w:szCs w:val="21"/>
          <w:u w:val="single" w:color="auto"/>
          <w:color w:val="auto"/>
        </w:rPr>
        <w:t>Section 8.3(c)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any such restriction contained therein relates only to the asset or properties acquired in connection therewith), (D) any Permitted Lien or any document or instrument governing any Permitted Lien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any such restriction contained therein relates only to the asset or properties subject to such Permitted Lien), (E) obligations that are binding on a Subsidiary at the time such Subsidiary first becomes a Subsidiary of a Credit Party, so long as such obligations are not entered into in contemplation of such Person becoming a Subsidiary, (F) any document or instrument governing Permitted Debt,</w:t>
      </w:r>
    </w:p>
    <w:p>
      <w:pPr>
        <w:jc w:val="both"/>
        <w:ind w:left="1300" w:hanging="6"/>
        <w:spacing w:after="0" w:line="218" w:lineRule="auto"/>
        <w:tabs>
          <w:tab w:leader="none" w:pos="1674" w:val="left"/>
        </w:tabs>
        <w:numPr>
          <w:ilvl w:val="1"/>
          <w:numId w:val="1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customary provisions restricting assignments, subletting or other transfers contained in leases, licenses, joint venture agreements and similar agreements entered into in the ordinary course of business, (H) customary encumbrances or restrictions that are or were created by virtue of any transfer of, agreement to transfer or option or right with respect to any property, assets or Equity Interests not otherwise prohibited under this Agreement, (I) customary encumbrances or restrictions contained in contracts or agreements for the sale of assets applicable to such assets pending consummation of such sale, including customary restrictions with respect to a Subsidiary imposed pursuant to an agreement entered into for the sale or disposition of all or substantially all the Equity Interests or assets of such Subsidiary, (J) restrictions on cash or other deposits or net worth imposed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93" w:name="page194"/>
    <w:bookmarkEnd w:id="193"/>
    <w:p>
      <w:pPr>
        <w:jc w:val="both"/>
        <w:ind w:left="1300"/>
        <w:spacing w:after="0" w:line="223" w:lineRule="auto"/>
        <w:rPr>
          <w:sz w:val="20"/>
          <w:szCs w:val="20"/>
          <w:color w:val="auto"/>
        </w:rPr>
      </w:pPr>
      <w:r>
        <w:rPr>
          <w:rFonts w:ascii="Times New Roman" w:cs="Times New Roman" w:eastAsia="Times New Roman" w:hAnsi="Times New Roman"/>
          <w:sz w:val="21"/>
          <w:szCs w:val="21"/>
          <w:color w:val="auto"/>
        </w:rPr>
        <w:t>customers under contracts entered into in the ordinary course of business, (K) customary provisions in (i) joint venture agreements entered into in the ordinary course of business with respect to the Equity Interests subject to the joint venture and (ii) operating or other similar agreements, asset sale agreements and stock sale agreements entered into in connection with the entering into of such transaction, which limitation is applicable only to the assets that are the subject of those agreements, (L) customary net worth and similar provisions in leases for real property and (M) described in the definition of “Material Subsidiary”.</w:t>
      </w:r>
    </w:p>
    <w:p>
      <w:pPr>
        <w:spacing w:after="0" w:line="15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9</w:t>
      </w:r>
    </w:p>
    <w:p>
      <w:pPr>
        <w:spacing w:after="0" w:line="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1"/>
          <w:szCs w:val="21"/>
          <w:b w:val="1"/>
          <w:bCs w:val="1"/>
          <w:u w:val="single" w:color="auto"/>
          <w:color w:val="auto"/>
        </w:rPr>
        <w:t>FINANCIAL COVENANT</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9.1</w:t>
      </w:r>
      <w:r>
        <w:rPr>
          <w:sz w:val="20"/>
          <w:szCs w:val="20"/>
          <w:color w:val="auto"/>
        </w:rPr>
        <w:tab/>
      </w:r>
      <w:r>
        <w:rPr>
          <w:rFonts w:ascii="Times New Roman" w:cs="Times New Roman" w:eastAsia="Times New Roman" w:hAnsi="Times New Roman"/>
          <w:sz w:val="21"/>
          <w:szCs w:val="21"/>
          <w:b w:val="1"/>
          <w:bCs w:val="1"/>
          <w:color w:val="auto"/>
        </w:rPr>
        <w:t>Maximum Senior Secured Net Leverage Ratio</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Borrower shall not permit the Senior Secured Net Leverage Ratio as of the last day of any Fiscal Quarter to be greater than 3.25:1.00 (which ratio will be increased by 0.5x to 3.75:1.00 for the four (4) consecutive Fiscal Quarters following a Material Acquisition), which shall be calculated and tested on the last day of each Fiscal Quarter on a trailing four (4) Fiscal Quarter basis.</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10</w:t>
      </w:r>
    </w:p>
    <w:p>
      <w:pPr>
        <w:spacing w:after="0" w:line="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1"/>
          <w:szCs w:val="21"/>
          <w:b w:val="1"/>
          <w:bCs w:val="1"/>
          <w:color w:val="auto"/>
        </w:rPr>
        <w:t>EVENTS OF DEFAULT AND REMEDIES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-22860</wp:posOffset>
            </wp:positionV>
            <wp:extent cx="25203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10.1</w:t>
        <w:tab/>
        <w:t>Events of Default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occurrence and continuation of any one or more of the following events are referred to herein individually as an “</w:t>
      </w:r>
      <w:r>
        <w:rPr>
          <w:rFonts w:ascii="Times New Roman" w:cs="Times New Roman" w:eastAsia="Times New Roman" w:hAnsi="Times New Roman"/>
          <w:sz w:val="21"/>
          <w:szCs w:val="21"/>
          <w:b w:val="1"/>
          <w:bCs w:val="1"/>
          <w:color w:val="auto"/>
        </w:rPr>
        <w:t>Event of</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Default</w:t>
      </w:r>
      <w:r>
        <w:rPr>
          <w:rFonts w:ascii="Times New Roman" w:cs="Times New Roman" w:eastAsia="Times New Roman" w:hAnsi="Times New Roman"/>
          <w:sz w:val="21"/>
          <w:szCs w:val="21"/>
          <w:color w:val="auto"/>
        </w:rPr>
        <w:t>”, and collectively as “</w:t>
      </w:r>
      <w:r>
        <w:rPr>
          <w:rFonts w:ascii="Times New Roman" w:cs="Times New Roman" w:eastAsia="Times New Roman" w:hAnsi="Times New Roman"/>
          <w:sz w:val="21"/>
          <w:szCs w:val="21"/>
          <w:b w:val="1"/>
          <w:bCs w:val="1"/>
          <w:color w:val="auto"/>
        </w:rPr>
        <w:t>Events of Default</w:t>
      </w:r>
      <w:r>
        <w:rPr>
          <w:rFonts w:ascii="Times New Roman" w:cs="Times New Roman" w:eastAsia="Times New Roman" w:hAnsi="Times New Roman"/>
          <w:sz w:val="21"/>
          <w:szCs w:val="21"/>
          <w:color w:val="auto"/>
        </w:rPr>
        <w:t>”:</w:t>
      </w:r>
    </w:p>
    <w:p>
      <w:pPr>
        <w:spacing w:after="0" w:line="177" w:lineRule="exact"/>
        <w:rPr>
          <w:sz w:val="20"/>
          <w:szCs w:val="20"/>
          <w:color w:val="auto"/>
        </w:rPr>
      </w:pPr>
    </w:p>
    <w:p>
      <w:pPr>
        <w:jc w:val="both"/>
        <w:ind w:left="1300" w:hanging="649"/>
        <w:spacing w:after="0" w:line="234" w:lineRule="auto"/>
        <w:tabs>
          <w:tab w:leader="none" w:pos="1297"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Borrower fails to (i) pay any principal due and payable hereunder; (ii) any interest on any Loan or any fee or any other amount due hereunder within three (3) Business Days after the date due; or (iii) perform the covenant contained in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of this Agreement;</w:t>
      </w:r>
    </w:p>
    <w:p>
      <w:pPr>
        <w:spacing w:after="0" w:line="151"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Credit Party or any Subsidiary thereof fails to:</w:t>
      </w:r>
    </w:p>
    <w:p>
      <w:pPr>
        <w:spacing w:after="0" w:line="187"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28"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perform any of the covenants contained in </w:t>
      </w:r>
      <w:r>
        <w:rPr>
          <w:rFonts w:ascii="Times New Roman" w:cs="Times New Roman" w:eastAsia="Times New Roman" w:hAnsi="Times New Roman"/>
          <w:sz w:val="21"/>
          <w:szCs w:val="21"/>
          <w:u w:val="single" w:color="auto"/>
          <w:color w:val="auto"/>
        </w:rPr>
        <w:t>Sections 7.1</w:t>
      </w:r>
      <w:r>
        <w:rPr>
          <w:rFonts w:ascii="Times New Roman" w:cs="Times New Roman" w:eastAsia="Times New Roman" w:hAnsi="Times New Roman"/>
          <w:sz w:val="21"/>
          <w:szCs w:val="21"/>
          <w:color w:val="auto"/>
        </w:rPr>
        <w:t xml:space="preserve"> (with respect to the Credit Parties), </w:t>
      </w:r>
      <w:r>
        <w:rPr>
          <w:rFonts w:ascii="Times New Roman" w:cs="Times New Roman" w:eastAsia="Times New Roman" w:hAnsi="Times New Roman"/>
          <w:sz w:val="21"/>
          <w:szCs w:val="21"/>
          <w:u w:val="single" w:color="auto"/>
          <w:color w:val="auto"/>
        </w:rPr>
        <w:t>7.14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8.5</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8.6</w:t>
      </w:r>
      <w:r>
        <w:rPr>
          <w:rFonts w:ascii="Times New Roman" w:cs="Times New Roman" w:eastAsia="Times New Roman" w:hAnsi="Times New Roman"/>
          <w:sz w:val="21"/>
          <w:szCs w:val="21"/>
          <w:color w:val="auto"/>
        </w:rPr>
        <w:t xml:space="preserve"> of this Agreement, where such failure to perform is not remedied to the satisfaction of Agent, in its sole discretion, within 3 days of such failure to perform; or</w:t>
      </w:r>
    </w:p>
    <w:p>
      <w:pPr>
        <w:spacing w:after="0" w:line="151"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34" w:val="left"/>
        </w:tabs>
        <w:numPr>
          <w:ilvl w:val="1"/>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perform any other terms, covenants, conditions or provisions contained in this Agreement or any of the other Financing Agreements, where such failure to perform is not remedied to the satisfaction of Agent or waived by Agent, in its sole discretion, within 30 days from receipt by any Credit Party of notice by Agent;</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26" w:lineRule="auto"/>
        <w:tabs>
          <w:tab w:leader="none" w:pos="1297" w:val="left"/>
        </w:tabs>
        <w:numPr>
          <w:ilvl w:val="0"/>
          <w:numId w:val="1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representation or warranty made by or on behalf of any Credit Party hereunder or under any other Financing Agreement proves to be false or inaccurate (i) in any material respect when made if not subject to materiality or Material Adverse Effect qualifications or (ii) in any respect if subject to materiality or Material Adverse Effect qualifications, and in each case same is not remedied to the satisfaction of Agent or waived by Agent, in its sole discretion, within 15 days from receipt by any Credit Party of notice by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94" w:name="page195"/>
    <w:bookmarkEnd w:id="194"/>
    <w:p>
      <w:pPr>
        <w:jc w:val="both"/>
        <w:ind w:left="1300" w:hanging="649"/>
        <w:spacing w:after="0" w:line="234" w:lineRule="auto"/>
        <w:tabs>
          <w:tab w:leader="none" w:pos="1295"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Credit Party shall contest the validity or enforceability of any Financing Agreement in writing or deny in writing that it has any liability, including with respect to future advances by Lenders, under any Financing Agreement to which it is a party;</w:t>
      </w:r>
    </w:p>
    <w:p>
      <w:pPr>
        <w:spacing w:after="0" w:line="151"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18" w:lineRule="auto"/>
        <w:tabs>
          <w:tab w:leader="none" w:pos="1300"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any final non-appealable judgment for the payment of money is rendered against any Credit Party or any Subsidiary thereof in excess of $25,000,000 in the aggregate and (A) shall remain undischarged or unvacated for a period in excess of 60 days or (B) execution shall at any time not be effectively stayed; or (ii) any final non-appealable judgment other than for the payment of money, or injunction, attachment, garnishment or execution is rendered against any Credit Party or any Subsidiary thereof or any of their assets that could reasonably be expected to have a Material Adverse Effect and (A) shall remain undischarged or unvacated for a period in excess of 60 days or (B) execution shall at any time not be effectively stayed;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in each case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no Event of Default shall occur if (x) the applicable judgment is paid, (y) the applicable judgment is covered by third-party insurance as to which the insurer has been notified of such judgment and has not denied full coverage thereof in writing to such Credit Party or Subsidiary or (z) the applicable judgment is covered by an enforceable indemnity by an arms-length third party, to the extent that such Credit Party or Subsidiary shall have made a claim for indemnification and the applicable indemnifying party shall not have disputed such claim;</w:t>
      </w:r>
    </w:p>
    <w:p>
      <w:pPr>
        <w:spacing w:after="0" w:line="156"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26" w:lineRule="auto"/>
        <w:tabs>
          <w:tab w:leader="none" w:pos="1288"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Insolvency Proceeding is filed or commenced against any Credit Party or Material Subsidiary thereof or all or any part of its properties and (i) such Insolvency Proceeding is not dismissed within 60 days after the date of its filing, or (ii) any Credit Party or Material Subsidiary thereof shall file any answer admitting or not contesting such Insolvency Proceeding or indicates in writing its consent to, acquiescence in or approval of, any such Insolvency Proceeding or (iii) the relief requested is granted by a court of competent jurisdiction;</w:t>
      </w:r>
    </w:p>
    <w:p>
      <w:pPr>
        <w:spacing w:after="0" w:line="149" w:lineRule="exact"/>
        <w:rPr>
          <w:rFonts w:ascii="Times New Roman" w:cs="Times New Roman" w:eastAsia="Times New Roman" w:hAnsi="Times New Roman"/>
          <w:sz w:val="21"/>
          <w:szCs w:val="21"/>
          <w:color w:val="auto"/>
        </w:rPr>
      </w:pPr>
    </w:p>
    <w:p>
      <w:pPr>
        <w:ind w:left="1300" w:hanging="649"/>
        <w:spacing w:after="0" w:line="250" w:lineRule="auto"/>
        <w:tabs>
          <w:tab w:leader="none" w:pos="1288"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Insolvency Proceeding is filed or commenced by any Credit Party or Material Subsidiary thereof for all or any part of its property including if any Credit Party or Material Subsidiary shall:</w:t>
      </w:r>
    </w:p>
    <w:p>
      <w:pPr>
        <w:spacing w:after="0" w:line="140" w:lineRule="exact"/>
        <w:rPr>
          <w:rFonts w:ascii="Times New Roman" w:cs="Times New Roman" w:eastAsia="Times New Roman" w:hAnsi="Times New Roman"/>
          <w:sz w:val="21"/>
          <w:szCs w:val="21"/>
          <w:color w:val="auto"/>
        </w:rPr>
      </w:pPr>
    </w:p>
    <w:p>
      <w:pPr>
        <w:ind w:left="1940" w:hanging="646"/>
        <w:spacing w:after="0" w:line="250" w:lineRule="auto"/>
        <w:tabs>
          <w:tab w:leader="none" w:pos="1928"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apply for or consent to the appointment of a receiver, trustee or liquidator of it or of all or a substantial part of its property and assets;</w:t>
      </w:r>
    </w:p>
    <w:p>
      <w:pPr>
        <w:spacing w:after="0" w:line="140" w:lineRule="exact"/>
        <w:rPr>
          <w:rFonts w:ascii="Times New Roman" w:cs="Times New Roman" w:eastAsia="Times New Roman" w:hAnsi="Times New Roman"/>
          <w:sz w:val="21"/>
          <w:szCs w:val="21"/>
          <w:color w:val="auto"/>
        </w:rPr>
      </w:pPr>
    </w:p>
    <w:p>
      <w:pPr>
        <w:ind w:left="1940" w:right="20" w:hanging="646"/>
        <w:spacing w:after="0" w:line="250" w:lineRule="auto"/>
        <w:tabs>
          <w:tab w:leader="none" w:pos="1934"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unable, or admit in writing its inability, to pay its debts as they mature, or commit any other act of bankruptcy;</w:t>
      </w:r>
    </w:p>
    <w:p>
      <w:pPr>
        <w:spacing w:after="0" w:line="140" w:lineRule="exact"/>
        <w:rPr>
          <w:rFonts w:ascii="Times New Roman" w:cs="Times New Roman" w:eastAsia="Times New Roman" w:hAnsi="Times New Roman"/>
          <w:sz w:val="21"/>
          <w:szCs w:val="21"/>
          <w:color w:val="auto"/>
        </w:rPr>
      </w:pPr>
    </w:p>
    <w:p>
      <w:pPr>
        <w:ind w:left="1940" w:hanging="646"/>
        <w:spacing w:after="0"/>
        <w:tabs>
          <w:tab w:leader="none" w:pos="1940"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make a general assignment for the benefit of creditors;</w:t>
      </w:r>
    </w:p>
    <w:p>
      <w:pPr>
        <w:spacing w:after="0" w:line="187" w:lineRule="exact"/>
        <w:rPr>
          <w:rFonts w:ascii="Times New Roman" w:cs="Times New Roman" w:eastAsia="Times New Roman" w:hAnsi="Times New Roman"/>
          <w:sz w:val="21"/>
          <w:szCs w:val="21"/>
          <w:color w:val="auto"/>
        </w:rPr>
      </w:pPr>
    </w:p>
    <w:p>
      <w:pPr>
        <w:ind w:left="1940" w:right="20" w:hanging="646"/>
        <w:spacing w:after="0" w:line="250" w:lineRule="auto"/>
        <w:tabs>
          <w:tab w:leader="none" w:pos="1928"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 a voluntary petition or assignment in bankruptcy or a proposal seeking a reorganization, compromise, moratorium or arrangement with its creditors;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95" w:name="page196"/>
    <w:bookmarkEnd w:id="195"/>
    <w:p>
      <w:pPr>
        <w:jc w:val="both"/>
        <w:ind w:left="1940" w:hanging="646"/>
        <w:spacing w:after="0" w:line="234" w:lineRule="auto"/>
        <w:tabs>
          <w:tab w:leader="none" w:pos="1935"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advantage of any Insolvency Law pertaining to arrangements, moratoriums, compromises or reorganizations, or admit the material allegations of a petition or application filed in respect of it in any Insolvency Proceeding; or</w:t>
      </w:r>
    </w:p>
    <w:p>
      <w:pPr>
        <w:spacing w:after="0" w:line="151" w:lineRule="exact"/>
        <w:rPr>
          <w:rFonts w:ascii="Times New Roman" w:cs="Times New Roman" w:eastAsia="Times New Roman" w:hAnsi="Times New Roman"/>
          <w:sz w:val="21"/>
          <w:szCs w:val="21"/>
          <w:color w:val="auto"/>
        </w:rPr>
      </w:pPr>
    </w:p>
    <w:p>
      <w:pPr>
        <w:ind w:left="1920" w:hanging="626"/>
        <w:spacing w:after="0"/>
        <w:tabs>
          <w:tab w:leader="none" w:pos="1920" w:val="left"/>
        </w:tabs>
        <w:numPr>
          <w:ilvl w:val="0"/>
          <w:numId w:val="1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corporate action for the purpose of effecting any of the foregoing;</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(k)</w:t>
      </w:r>
    </w:p>
    <w:p>
      <w:pPr>
        <w:jc w:val="both"/>
        <w:ind w:left="1940" w:hanging="646"/>
        <w:spacing w:after="0" w:line="223" w:lineRule="auto"/>
        <w:tabs>
          <w:tab w:leader="none" w:pos="1928"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failure of any Credit Party or any Subsidiary thereof to pay when due any principal of or interest on or any other amount payable in respect of one or more items of Debt (other than with respect to the Obligations hereunder) in an aggregate principal amount in excess of $25,000,000, which failure continues for more than the applicable cure period, if any, with respect thereto; or</w:t>
      </w:r>
    </w:p>
    <w:p>
      <w:pPr>
        <w:spacing w:after="0" w:line="150" w:lineRule="exact"/>
        <w:rPr>
          <w:rFonts w:ascii="Times New Roman" w:cs="Times New Roman" w:eastAsia="Times New Roman" w:hAnsi="Times New Roman"/>
          <w:sz w:val="21"/>
          <w:szCs w:val="21"/>
          <w:color w:val="auto"/>
        </w:rPr>
      </w:pPr>
    </w:p>
    <w:p>
      <w:pPr>
        <w:jc w:val="both"/>
        <w:ind w:left="1940" w:hanging="646"/>
        <w:spacing w:after="0" w:line="215" w:lineRule="auto"/>
        <w:tabs>
          <w:tab w:leader="none" w:pos="1934" w:val="left"/>
        </w:tabs>
        <w:numPr>
          <w:ilvl w:val="1"/>
          <w:numId w:val="1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default by any Credit Party or any Subsidiary thereof with respect to any other term of (A) one or more items of Debt in the aggregate principal amount referred to in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above or (B) any agreement, document or instrument relating to such item(s) of Debt, in each case after the expiration of the applicable cure period, if any, with respect thereto, if the effect of such default is to cause, or to permit the holder or holders of that Debt, to cause that Debt to become or be declared due and payable (or redeemable) prior to its stated maturity or the stated maturity of any underlying obligation, as the case may be;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clause (k)(ii)</w:t>
      </w:r>
      <w:r>
        <w:rPr>
          <w:rFonts w:ascii="Times New Roman" w:cs="Times New Roman" w:eastAsia="Times New Roman" w:hAnsi="Times New Roman"/>
          <w:sz w:val="21"/>
          <w:szCs w:val="21"/>
          <w:color w:val="auto"/>
        </w:rPr>
        <w:t xml:space="preserve"> shall not apply to (x) secured Debt that becomes due as a result of the sale or transfer or other disposition of the property or assets securing such Debt permitted hereunder and under the documents providing for such Debt and such Debt is repaid when required under the documents providing for such Debt, (y) any redemptions, repurchases, settlements, conversions or exchanges of (or the ability by holders to redeem, repurchase, settle, convert or exchange) any Permitted Convertible Debt as a result of (or upon the satisfaction of) a contingent trigger (including the passage of time) that does not constitute or arise from a default (other than a delisting) under the definitive documentation for such Permitted Convertible Debt or (z)(i) events of default, termination events or any other similar event under the documents governing Hedge Agreements for so long as such event of default, termination event or other similar event does not result in the occurrence of an early termination date or any acceleration or prepayment of any amounts or other Debt payable thereunder or (ii) any early payment requirement or unwinding or termination with respect to any Permitted Bond Hedge Transaction or any other derivative instrument referencing Equity Interests of the Borrower or any of its Affiliates, or satisfaction of any condition giving rise to or permitting the foregoing, in accordance with the terms thereof, so long as, in any such case, neither Borrower nor any of its Subsidiaries is the “defaulting party” (or substantially equivalent term) under the terms of such Permitted Bond Hedge Transaction or such other derivative instrument referencing Equity Interests of the Borrower or any of its Affiliates, as applicable;</w:t>
      </w:r>
    </w:p>
    <w:p>
      <w:pPr>
        <w:spacing w:after="0" w:line="172"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Change of Control shall have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96" w:name="page197"/>
    <w:bookmarkEnd w:id="196"/>
    <w:p>
      <w:pPr>
        <w:ind w:left="1280" w:hanging="629"/>
        <w:spacing w:after="0"/>
        <w:tabs>
          <w:tab w:leader="none" w:pos="1280"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Lien created by a Financing Agreement shall cease to be a valid and perfected first priority Lien (except for Permitted Liens) in favor of Agent in any material amount of the Collateral purported to be covered thereby for any reason other than the failure of Agent or any Secured Party to take any action within its control; or</w:t>
      </w:r>
    </w:p>
    <w:p>
      <w:pPr>
        <w:spacing w:after="0" w:line="151" w:lineRule="exact"/>
        <w:rPr>
          <w:rFonts w:ascii="Times New Roman" w:cs="Times New Roman" w:eastAsia="Times New Roman" w:hAnsi="Times New Roman"/>
          <w:sz w:val="21"/>
          <w:szCs w:val="21"/>
          <w:color w:val="auto"/>
        </w:rPr>
      </w:pPr>
    </w:p>
    <w:p>
      <w:pPr>
        <w:ind w:left="1300" w:hanging="649"/>
        <w:spacing w:after="0" w:line="245" w:lineRule="auto"/>
        <w:tabs>
          <w:tab w:leader="none" w:pos="1295" w:val="left"/>
        </w:tabs>
        <w:numPr>
          <w:ilvl w:val="0"/>
          <w:numId w:val="1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ERISA Event shall occur which results in or would reasonably be expected to result in a Material Adverse Effect.</w:t>
      </w:r>
    </w:p>
    <w:p>
      <w:pPr>
        <w:spacing w:after="0" w:line="39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10.2</w:t>
        <w:tab/>
        <w:t>Remedies</w:t>
      </w:r>
    </w:p>
    <w:p>
      <w:pPr>
        <w:spacing w:after="0" w:line="191" w:lineRule="exact"/>
        <w:rPr>
          <w:sz w:val="20"/>
          <w:szCs w:val="20"/>
          <w:color w:val="auto"/>
        </w:rPr>
      </w:pPr>
    </w:p>
    <w:p>
      <w:pPr>
        <w:jc w:val="both"/>
        <w:ind w:left="1300" w:hanging="649"/>
        <w:spacing w:after="0" w:line="218" w:lineRule="auto"/>
        <w:tabs>
          <w:tab w:leader="none" w:pos="1297"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any time an Event of Default has occurred and is continuing, Agent shall (at the request of, or may, with the consent of, the Required Lenders) have all rights and remedies provided in the Financing Agreements, the PPSA, UCC and other Applicable Law, all of which rights and remedies may be exercised without notice to or consent by any Credit Party, except as such notice or consent is expressly provided for hereunder or required by Applicable Law. All rights, remedies and powers granted to Agent and Lenders under any of the Financing Agreements, the PPSA, UCC or other Applicable Law, are cumulative, not exclusive and enforceable, in Agent’s or Lenders’ discretion, alternatively, successively, or concurrently on any one or more occasions, and shall include the right to apply to a court of equity for an injunction to restrain a breach or threatened breach by any Credit Party of any of the Financing Agreements. Agent shall (at the request of, or may, with the consent of, the Required Lenders) at any time or times, proceed directly against any Credit Party to collect the Obligations (except under or in connection with Secured Hedge Agreements (which shall be collected in accordance with the terms thereof)) without prior recourse to the Collateral.</w:t>
      </w:r>
    </w:p>
    <w:p>
      <w:pPr>
        <w:spacing w:after="0" w:line="156" w:lineRule="exact"/>
        <w:rPr>
          <w:rFonts w:ascii="Times New Roman" w:cs="Times New Roman" w:eastAsia="Times New Roman" w:hAnsi="Times New Roman"/>
          <w:sz w:val="21"/>
          <w:szCs w:val="21"/>
          <w:color w:val="auto"/>
        </w:rPr>
      </w:pPr>
    </w:p>
    <w:p>
      <w:pPr>
        <w:jc w:val="both"/>
        <w:ind w:left="1300" w:hanging="649"/>
        <w:spacing w:after="0" w:line="216" w:lineRule="auto"/>
        <w:tabs>
          <w:tab w:leader="none" w:pos="1295"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foregoing and subject to </w:t>
      </w:r>
      <w:r>
        <w:rPr>
          <w:rFonts w:ascii="Times New Roman" w:cs="Times New Roman" w:eastAsia="Times New Roman" w:hAnsi="Times New Roman"/>
          <w:sz w:val="21"/>
          <w:szCs w:val="21"/>
          <w:u w:val="single" w:color="auto"/>
          <w:color w:val="auto"/>
        </w:rPr>
        <w:t>Section 10.2(c)</w:t>
      </w:r>
      <w:r>
        <w:rPr>
          <w:rFonts w:ascii="Times New Roman" w:cs="Times New Roman" w:eastAsia="Times New Roman" w:hAnsi="Times New Roman"/>
          <w:sz w:val="21"/>
          <w:szCs w:val="21"/>
          <w:color w:val="auto"/>
        </w:rPr>
        <w:t xml:space="preserve"> hereof, upon the occurrence and continuation of any Event of Default, upon notice to Borrower by Agent, Agent shall (at the request of, or may, with the consent of, the Required Lenders): (i) accelerate the payment of all outstanding Obligations (other than Obligations in connection with Secured Hedge Agreements which may be terminated in accordance with their own terms)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upon the occurrence of any Event of Default described in </w:t>
      </w:r>
      <w:r>
        <w:rPr>
          <w:rFonts w:ascii="Times New Roman" w:cs="Times New Roman" w:eastAsia="Times New Roman" w:hAnsi="Times New Roman"/>
          <w:sz w:val="21"/>
          <w:szCs w:val="21"/>
          <w:u w:val="single" w:color="auto"/>
          <w:color w:val="auto"/>
        </w:rPr>
        <w:t>Section 10.1(i)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10.1(j)</w:t>
      </w:r>
      <w:r>
        <w:rPr>
          <w:rFonts w:ascii="Times New Roman" w:cs="Times New Roman" w:eastAsia="Times New Roman" w:hAnsi="Times New Roman"/>
          <w:sz w:val="21"/>
          <w:szCs w:val="21"/>
          <w:color w:val="auto"/>
        </w:rPr>
        <w:t>, all such outstanding Obligations shall automatically become due and payable without notice to Borrower or demand by Agent) and demand immediate payment thereof to Agent; (ii) with or without judicial process or the aid or assistance of others, enter upon any premises on or in which any of the Collateral may be located and take possession of the Collateral or complete processing, manufacturing and repair of all or any portion of the Collateral and carry on the business of any Credit Party; (iii) require each Credit Party, at such Credit Party’s expense, to assemble and make available to Agent any part or all of the Collateral at any place and time designated by Agent; (iv) collect, foreclose, receive, appropriate, set-off and realize upon any and all Collateral; (v) remove any or all of the Collateral from any premises on or in which the same may be located for the purpose of effecting the sale, foreclosure or other disposition thereof or for any other purpose; (vi) sell, lease, transfer, assign, deliver or otherwise dispose of any and all Collateral (including entering into contracts with respect thereto, public or private sales at any exchange, broker’s board, at any office of Agent or elsewhere) at such prices or terms as Agent may deem reasonable, for cash, upon credit or for future delivery, with Agent having the right to purchase the whole or any part of the Collateral at any such public sale, all of the foregoing being free from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97" w:name="page198"/>
    <w:bookmarkEnd w:id="197"/>
    <w:p>
      <w:pPr>
        <w:jc w:val="both"/>
        <w:ind w:left="1300"/>
        <w:spacing w:after="0" w:line="224" w:lineRule="auto"/>
        <w:rPr>
          <w:sz w:val="20"/>
          <w:szCs w:val="20"/>
          <w:color w:val="auto"/>
        </w:rPr>
      </w:pPr>
      <w:r>
        <w:rPr>
          <w:rFonts w:ascii="Times New Roman" w:cs="Times New Roman" w:eastAsia="Times New Roman" w:hAnsi="Times New Roman"/>
          <w:sz w:val="21"/>
          <w:szCs w:val="21"/>
          <w:color w:val="auto"/>
        </w:rPr>
        <w:t xml:space="preserve">right or equity of redemption of any Credit Party, which right or equity of redemption is hereby expressly waived and released by each Credit Party; (vii) without limiting </w:t>
      </w:r>
      <w:r>
        <w:rPr>
          <w:rFonts w:ascii="Times New Roman" w:cs="Times New Roman" w:eastAsia="Times New Roman" w:hAnsi="Times New Roman"/>
          <w:sz w:val="21"/>
          <w:szCs w:val="21"/>
          <w:u w:val="single" w:color="auto"/>
          <w:color w:val="auto"/>
        </w:rPr>
        <w:t>clause (vi)</w:t>
      </w:r>
      <w:r>
        <w:rPr>
          <w:rFonts w:ascii="Times New Roman" w:cs="Times New Roman" w:eastAsia="Times New Roman" w:hAnsi="Times New Roman"/>
          <w:sz w:val="21"/>
          <w:szCs w:val="21"/>
          <w:color w:val="auto"/>
        </w:rPr>
        <w:t>, grant a general, special or other license in respect of any aspect of the Collateral on an exclusive or non-exclusive basis to any person throughout the world or any part of it and on such terms and on such conditions as Agent may consider appropriate; (viii) enforce against any licensee or other person all rights and remedies of each Credit Party with respect to all or any part of the Collateral, and take or refrain from taking any action that any Credit Party might take with respect to any of those rights and remedies, and for this purpose Agent shall have the exclusive right to enforce or refrain from enforcing those rights and remedies, and may in the name of any Credit Party and at its expense retain and instruct counsel and initiate any court or other proceeding that Agent considers necessary or expedient; (ix) take any step necessary to preserve, maintain or insure the whole or any part of the Collateral or to realize upon any of it or to put it in vendable condition, and any amount paid as a result of any taking any such steps shall be a cost the payment of which is secured by the Financing Agreements; (x) borrow money and use the Collateral directly or indirectly in carrying on any Credit Party’s business or as security for loans or advances for any such purposes; (xi) require each Credit Party to immediately begin using commercially reasonable efforts to obtain all consents and to provide all notices which may be required to permit Agent to assign any agreement or contract; (xii) grant extensions of time and other indulgences, take and give up security, accept compositions, grant releases and discharges, and otherwise deal with any Credit Party, debtors of any Credit Party, sureties and others as Agent may see fit without prejudice to the liability of any Credit Party or Agent’s right to hold and realize the security interest created under any Financing Agreement; and/or (xiii) terminate this Agreement. If any of the Collateral is sold or leased by Agent upon credit terms or for future delivery, the Obligations shall not be reduced as a result thereof until payment therefor is finally collected by Agent. If notice of disposition of Collateral is required by law, ten (10) days prior notice by Agent to Borrower designating the time and place of any public sale or the time after which any private sale or other intended disposition of Collateral is to be made, shall be deemed to be reasonable notice thereof and each Credit Party waives any other notice. In the event Agent institutes an action to recover any Collateral or seeks recovery of any Collateral by way of prejudgment remedy, each Credit Party waives the posting of any bond which might otherwise be required.</w:t>
      </w:r>
    </w:p>
    <w:p>
      <w:pPr>
        <w:spacing w:after="0" w:line="156" w:lineRule="exact"/>
        <w:rPr>
          <w:sz w:val="20"/>
          <w:szCs w:val="20"/>
          <w:color w:val="auto"/>
        </w:rPr>
      </w:pPr>
    </w:p>
    <w:p>
      <w:pPr>
        <w:ind w:left="1300" w:hanging="649"/>
        <w:spacing w:after="0"/>
        <w:tabs>
          <w:tab w:leader="none" w:pos="1300"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anything to the contrary contained in this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28"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duration of the IP Grace Period, Agent shall not be permitted to enforce its security interest against the IP Collateral, or to exercise its rights under </w:t>
      </w:r>
      <w:r>
        <w:rPr>
          <w:rFonts w:ascii="Times New Roman" w:cs="Times New Roman" w:eastAsia="Times New Roman" w:hAnsi="Times New Roman"/>
          <w:sz w:val="21"/>
          <w:szCs w:val="21"/>
          <w:u w:val="single" w:color="auto"/>
          <w:color w:val="auto"/>
        </w:rPr>
        <w:t>Section 10.2(b)</w:t>
      </w:r>
      <w:r>
        <w:rPr>
          <w:rFonts w:ascii="Times New Roman" w:cs="Times New Roman" w:eastAsia="Times New Roman" w:hAnsi="Times New Roman"/>
          <w:sz w:val="21"/>
          <w:szCs w:val="21"/>
          <w:color w:val="auto"/>
        </w:rPr>
        <w:t xml:space="preserve"> with respect to the IP Collateral hereof except as permitted pursuant to the IP Collateral License Agreement;</w:t>
      </w:r>
    </w:p>
    <w:p>
      <w:pPr>
        <w:spacing w:after="0" w:line="151" w:lineRule="exact"/>
        <w:rPr>
          <w:rFonts w:ascii="Times New Roman" w:cs="Times New Roman" w:eastAsia="Times New Roman" w:hAnsi="Times New Roman"/>
          <w:sz w:val="21"/>
          <w:szCs w:val="21"/>
          <w:color w:val="auto"/>
        </w:rPr>
      </w:pPr>
    </w:p>
    <w:p>
      <w:pPr>
        <w:ind w:left="1940" w:right="20" w:hanging="646"/>
        <w:spacing w:after="0" w:line="250" w:lineRule="auto"/>
        <w:tabs>
          <w:tab w:leader="none" w:pos="1934"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duration of the IP Grace Period, Borrower shall be permitted to use the IMAX name to carry on business;</w:t>
      </w:r>
    </w:p>
    <w:p>
      <w:pPr>
        <w:spacing w:after="0" w:line="140"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40" w:val="left"/>
        </w:tabs>
        <w:numPr>
          <w:ilvl w:val="1"/>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commencement of the IP Grace Period, Agent shall have, pursuant to the IP Collateral License Agreement, a royalty-free, freely assignable perpetual license to use the IP Collateral required to enable Agent to perform the obligations of Borrower under any contract 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98" w:name="page199"/>
    <w:bookmarkEnd w:id="198"/>
    <w:p>
      <w:pPr>
        <w:jc w:val="both"/>
        <w:ind w:left="1940" w:hanging="646"/>
        <w:spacing w:after="0" w:line="234" w:lineRule="auto"/>
        <w:tabs>
          <w:tab w:leader="none" w:pos="1928" w:val="left"/>
        </w:tabs>
        <w:numPr>
          <w:ilvl w:val="1"/>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commencement of the IP Grace Period, Agent may sell, transfer, assign and/or otherwise dispose of the Collateral, other than the IP Collateral, to any transferee or assignee in accordance with the terms of the Financing Agreements; and</w:t>
      </w:r>
    </w:p>
    <w:p>
      <w:pPr>
        <w:spacing w:after="0" w:line="151" w:lineRule="exact"/>
        <w:rPr>
          <w:rFonts w:ascii="Times New Roman" w:cs="Times New Roman" w:eastAsia="Times New Roman" w:hAnsi="Times New Roman"/>
          <w:sz w:val="21"/>
          <w:szCs w:val="21"/>
          <w:color w:val="auto"/>
        </w:rPr>
      </w:pPr>
    </w:p>
    <w:p>
      <w:pPr>
        <w:jc w:val="both"/>
        <w:ind w:left="1940" w:hanging="646"/>
        <w:spacing w:after="0" w:line="223" w:lineRule="auto"/>
        <w:tabs>
          <w:tab w:leader="none" w:pos="1935" w:val="left"/>
        </w:tabs>
        <w:numPr>
          <w:ilvl w:val="1"/>
          <w:numId w:val="1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subsequent to the expiry of the IP Grace Period, provided that an Event of Default is then continuing, Agent may sell, transfer, assign and/or otherwise dispose of any of the IP Collateral up to a maximum amount equal to the outstanding Obligations together with all costs, charges and expenses incurred by Agent as a result of enforcing against the IP Collateral and Borrower hereby irrevocably designates and appoints Agent (and any officer or agent thereof) as Borrower’s true and lawful attorney-in-fact and authorizes Agent (and any officer or agent thereof) to effect the foregoing.</w:t>
      </w:r>
    </w:p>
    <w:p>
      <w:pPr>
        <w:spacing w:after="0" w:line="155"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Agent may apply the cash proceeds of Collateral actually received by Agent from any sale, lease, foreclosure or other disposition of the Collateral to payment of the Obligations in the order set forth in </w:t>
      </w:r>
      <w:r>
        <w:rPr>
          <w:rFonts w:ascii="Times New Roman" w:cs="Times New Roman" w:eastAsia="Times New Roman" w:hAnsi="Times New Roman"/>
          <w:sz w:val="21"/>
          <w:szCs w:val="21"/>
          <w:u w:val="single" w:color="auto"/>
          <w:color w:val="auto"/>
        </w:rPr>
        <w:t>Section 5.3(b)</w:t>
      </w:r>
      <w:r>
        <w:rPr>
          <w:rFonts w:ascii="Times New Roman" w:cs="Times New Roman" w:eastAsia="Times New Roman" w:hAnsi="Times New Roman"/>
          <w:sz w:val="21"/>
          <w:szCs w:val="21"/>
          <w:color w:val="auto"/>
        </w:rPr>
        <w:t>.</w:t>
      </w:r>
    </w:p>
    <w:p>
      <w:pPr>
        <w:spacing w:after="0" w:line="140"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19" w:lineRule="auto"/>
        <w:tabs>
          <w:tab w:leader="none" w:pos="130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limiting the foregoing, (1) upon the occurrence of any Event of Default described in </w:t>
      </w:r>
      <w:r>
        <w:rPr>
          <w:rFonts w:ascii="Times New Roman" w:cs="Times New Roman" w:eastAsia="Times New Roman" w:hAnsi="Times New Roman"/>
          <w:sz w:val="21"/>
          <w:szCs w:val="21"/>
          <w:u w:val="single" w:color="auto"/>
          <w:color w:val="auto"/>
        </w:rPr>
        <w:t>Section 10.1(i)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10.1(j)</w:t>
      </w:r>
      <w:r>
        <w:rPr>
          <w:rFonts w:ascii="Times New Roman" w:cs="Times New Roman" w:eastAsia="Times New Roman" w:hAnsi="Times New Roman"/>
          <w:sz w:val="21"/>
          <w:szCs w:val="21"/>
          <w:color w:val="auto"/>
        </w:rPr>
        <w:t>, automatically, Agent shall (at the request of, or may, with the consent of, the Required Lenders), and (2) upon the occurrence and continuation of any other Event of Default, upon notice to Borrower by Agent, Agent shall (at the request of, or may, with the consent of, the Required Lenders), (i) cease making Loans or arranging Letter of Credit Accommodations, (ii) terminate any provision of this Agreement providing for any future Loans or Letter of Credit Accommodations to be made by Lenders to Borrower and/or (iii) appoint, remove and reappoint any person or persons, including an employee or agent of Agent or a Lender to be a receiver (the “</w:t>
      </w:r>
      <w:r>
        <w:rPr>
          <w:rFonts w:ascii="Times New Roman" w:cs="Times New Roman" w:eastAsia="Times New Roman" w:hAnsi="Times New Roman"/>
          <w:sz w:val="21"/>
          <w:szCs w:val="21"/>
          <w:b w:val="1"/>
          <w:bCs w:val="1"/>
          <w:color w:val="auto"/>
        </w:rPr>
        <w:t>Receiver</w:t>
      </w:r>
      <w:r>
        <w:rPr>
          <w:rFonts w:ascii="Times New Roman" w:cs="Times New Roman" w:eastAsia="Times New Roman" w:hAnsi="Times New Roman"/>
          <w:sz w:val="21"/>
          <w:szCs w:val="21"/>
          <w:color w:val="auto"/>
        </w:rPr>
        <w:t xml:space="preserve">”) which term shall include a receiver and manager of, or agent for, all or any part of the Collateral (and such Receiver shall have all of the powers and rights of Agent described in this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and Agent may, either directly or through its agents or nominees, exercise any or all powers and rights of a Receiver).</w:t>
      </w:r>
    </w:p>
    <w:p>
      <w:pPr>
        <w:spacing w:after="0" w:line="155"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21" w:lineRule="auto"/>
        <w:tabs>
          <w:tab w:leader="none" w:pos="1295"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 Agent realizes upon any of the Collateral, and in particular upon any of the IP Collateral, to the extent permitted or not prohibited by any agreements relating to such IP Collateral, each Credit Party shall provide without charge its know-how and expertise relating to the use and application of the Collateral, and in particular shall instruct Agent, and any purchaser of the Collateral designated by Agent, concerning any IP Collateral including any confidential information or trade secrets of such Credit Party. For greater certainty, the parties agree that unless such confidential information or trade secrets form part of the Collateral being realized upon, such confidential information or trade secrets shall be provided for use only subject to any agreement regarding the confidentiality thereof or for the protection thereof as may be reasonably requested by a Credit Party.</w:t>
      </w:r>
    </w:p>
    <w:p>
      <w:pPr>
        <w:spacing w:after="0" w:line="151"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199" w:name="page200"/>
    <w:bookmarkEnd w:id="199"/>
    <w:p>
      <w:pPr>
        <w:jc w:val="both"/>
        <w:ind w:left="1300" w:hanging="649"/>
        <w:spacing w:after="0" w:line="215" w:lineRule="auto"/>
        <w:tabs>
          <w:tab w:leader="none" w:pos="1288"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Credit Party hereby irrevocably designates and appoints Agent (and any officer or agent thereof) as such Credit Party’s true and lawful attorney-in-fact, and authorizes Agent, in such Credit Party’s or Agent’s name, to: (a) at any time an Event of Default has occurred and is continuing: (i) demand payment on Accounts or other proceeds of the Collateral, (ii) enforce payment of Accounts by legal proceedings or otherwise, (iii) exercise all of such Credit Party’s rights and remedies to collect any Account or other Collateral, (iv) sell or assign any Account upon such terms, for such amount and at such time or times as Agent deems advisable, (v) settle, adjust, compromise, extend or renew an Account, (vi) discharge and release any Account, (vii) prepare, file and sign such Credit Party’s name on any proof of claim in bankruptcy or other similar document against an account debtor, (viii) notify the post office authorities to change the address for delivery of such Credit Party’s mail to an address designated by Agent, and open and dispose of all mail addressed to such Credit Party, (ix) do all acts and things which are necessary, in Agent’s determination, to fulfill such Credit Party’s obligations under the Financing Agreements, (x) have access to any lockbox or postal box into which such Credit Party’s mail is deposited, (xi) endorse such Credit Party’s name upon any chattel paper, document, instrument, invoice, or similar document or agreement relating to any Account or any goods pertaining thereto or any other Collateral, (xii) sign such Credit Party’s name on any verification of Accounts and notices thereof to account debtors, (xiii) endorse such Credit Party’s name upon any items of payment or proceeds thereof and deposit the same in Agent’s account for application to the Obligations; and (xiv) take control in any manner of any item of payment or proceeds thereof; and (b) at any time, to execute in such Credit Party’s name and file any PPSA, UCC or other financing statements or amendments thereto in respect of the security interests granted to Agent pursuant to any of the Financing Agreements if such Credit Party has not done so within two (2) days from Agent’s request. Neither Agent nor its officers, employees and agents shall be responsible to any Credit Party from any act or acts under this power of attorney and in furtherance thereof, whether of omission or commission, except as a result of Agent’s own gross negligence or willful misconduct or the gross negligence or willful misconduct of its officers, employees or agents, in each case, as determined pursuant to a final non-appealable order of a court of competent jurisdiction.</w:t>
      </w:r>
    </w:p>
    <w:p>
      <w:pPr>
        <w:spacing w:after="0" w:line="170" w:lineRule="exact"/>
        <w:rPr>
          <w:rFonts w:ascii="Times New Roman" w:cs="Times New Roman" w:eastAsia="Times New Roman" w:hAnsi="Times New Roman"/>
          <w:sz w:val="21"/>
          <w:szCs w:val="21"/>
          <w:color w:val="auto"/>
        </w:rPr>
      </w:pPr>
    </w:p>
    <w:p>
      <w:pPr>
        <w:jc w:val="both"/>
        <w:ind w:left="1300" w:hanging="649"/>
        <w:spacing w:after="0" w:line="219" w:lineRule="auto"/>
        <w:tabs>
          <w:tab w:leader="none" w:pos="1295" w:val="left"/>
        </w:tabs>
        <w:numPr>
          <w:ilvl w:val="0"/>
          <w:numId w:val="1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Agent may, at any time or times that an Event of Default has occurred and is continuing, at its option: (a) cure any default by any Credit Party or any Subsidiary thereof under any agreement with a third party or pay or bond on appeal any judgment entered against any Credit Party or any Subsidiary thereof; (b) discharge taxes and Liens at any time levied on or existing with respect to the Collateral; and (c) pay any amount, incur any expense or perform any act which, in Agent’s good faith judgment, is necessary or appropriate to preserve, protect, insure or maintain the Collateral and the rights of Agent with respect thereto. Agent may add any amounts so expended to the Obligations and charge Borrower’s account therefor, such amounts to be repayable by each Credit Party on demand. Agent shall be under no obligation to effect such cure, payment or bonding and shall not, by doing so, be deemed to have assumed any obligation or liability of any Credit Party or any Subsidiary thereof. Any payment made or other action taken by Agent under this Section shall be without prejudice to any right to assert an Event of Default hereunder and to proceed accordingly.</w:t>
      </w:r>
    </w:p>
    <w:p>
      <w:pPr>
        <w:spacing w:after="0" w:line="14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b w:val="1"/>
          <w:bCs w:val="1"/>
          <w:color w:val="auto"/>
        </w:rPr>
        <w:t>10.3 Agent May File Proofs of Claim</w:t>
      </w:r>
      <w:r>
        <w:rPr>
          <w:rFonts w:ascii="Times New Roman" w:cs="Times New Roman" w:eastAsia="Times New Roman" w:hAnsi="Times New Roman"/>
          <w:sz w:val="21"/>
          <w:szCs w:val="21"/>
          <w:color w:val="auto"/>
        </w:rPr>
        <w:t>. In case of the pendency of any proceeding under any Insolvency Law or any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judicial proceeding relative to any Credit Party, the Agent (irrespective of whether the principal of any Loan or Letter of Credit Accommodation shall then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00" w:name="page201"/>
    <w:bookmarkEnd w:id="200"/>
    <w:p>
      <w:pPr>
        <w:jc w:val="both"/>
        <w:spacing w:after="0" w:line="225" w:lineRule="auto"/>
        <w:rPr>
          <w:sz w:val="20"/>
          <w:szCs w:val="20"/>
          <w:color w:val="auto"/>
        </w:rPr>
      </w:pPr>
      <w:r>
        <w:rPr>
          <w:rFonts w:ascii="Times New Roman" w:cs="Times New Roman" w:eastAsia="Times New Roman" w:hAnsi="Times New Roman"/>
          <w:sz w:val="21"/>
          <w:szCs w:val="21"/>
          <w:color w:val="auto"/>
        </w:rPr>
        <w:t>be due and payable as herein expressed or by declaration or otherwise and irrespective of whether the Agent shall have made any demand on any Credit Party) shall be entitled and empowered (but not obligated) by intervention in such proceeding or otherwise:</w:t>
      </w:r>
    </w:p>
    <w:p>
      <w:pPr>
        <w:jc w:val="both"/>
        <w:ind w:firstLine="651"/>
        <w:spacing w:after="0" w:line="219" w:lineRule="auto"/>
        <w:tabs>
          <w:tab w:leader="none" w:pos="1284"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file and prove a claim for the whole amount of the principal and interest owing and unpaid in respect of the Loans, Letter of Credit Accommodations and all other Obligations that are owing and unpaid and to file such other documents as may be necessary or advisable in order to have the claims of the Lenders, the Issuing Lender and the Agent (including any claim for the reasonable compensation, expenses, disbursements and advances of the Lenders, the Issuing Lender and the Agent and their respective agents and counsel and all other amounts due the Lenders, the Issuing Lender and the Agent under </w:t>
      </w:r>
      <w:r>
        <w:rPr>
          <w:rFonts w:ascii="Times New Roman" w:cs="Times New Roman" w:eastAsia="Times New Roman" w:hAnsi="Times New Roman"/>
          <w:sz w:val="21"/>
          <w:szCs w:val="21"/>
          <w:u w:val="single" w:color="auto"/>
          <w:color w:val="auto"/>
        </w:rPr>
        <w:t>Sections 2.2(b)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12.6</w:t>
      </w:r>
      <w:r>
        <w:rPr>
          <w:rFonts w:ascii="Times New Roman" w:cs="Times New Roman" w:eastAsia="Times New Roman" w:hAnsi="Times New Roman"/>
          <w:sz w:val="21"/>
          <w:szCs w:val="21"/>
          <w:color w:val="auto"/>
        </w:rPr>
        <w:t>) allowed in such judicial proceeding; and</w:t>
      </w:r>
    </w:p>
    <w:p>
      <w:pPr>
        <w:spacing w:after="0" w:line="152"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1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collect and receive any monies or other property payable or deliverable on any such claims and to distribute the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same;</w:t>
      </w:r>
    </w:p>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and any custodian, receiver, assignee, trustee, liquidator, sequestrator or other similar official in any such judicial proceeding is hereby authorized by each Lender and the Issuing Lender to make such payments to the Agent and, in the event that the Agent shall consent to the making of such payments directly to the Lenders and the Issuing Lender, to pay to the Agent any amount due for the reasonable compensation, expenses, disbursements and advances of the Agent and its agents and counsel, and any other amounts due the Agent under </w:t>
      </w:r>
      <w:r>
        <w:rPr>
          <w:rFonts w:ascii="Times New Roman" w:cs="Times New Roman" w:eastAsia="Times New Roman" w:hAnsi="Times New Roman"/>
          <w:sz w:val="21"/>
          <w:szCs w:val="21"/>
          <w:u w:val="single" w:color="auto"/>
          <w:color w:val="auto"/>
        </w:rPr>
        <w:t>Sections 2.2(b)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12.5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12.6</w:t>
      </w:r>
      <w:r>
        <w:rPr>
          <w:rFonts w:ascii="Times New Roman" w:cs="Times New Roman" w:eastAsia="Times New Roman" w:hAnsi="Times New Roman"/>
          <w:sz w:val="21"/>
          <w:szCs w:val="21"/>
          <w:color w:val="auto"/>
        </w:rPr>
        <w:t>.</w:t>
      </w:r>
    </w:p>
    <w:p>
      <w:pPr>
        <w:spacing w:after="0" w:line="1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10.4</w:t>
        <w:tab/>
        <w:t>Credit Bidding.</w:t>
      </w:r>
    </w:p>
    <w:p>
      <w:pPr>
        <w:spacing w:after="0" w:line="191" w:lineRule="exact"/>
        <w:rPr>
          <w:sz w:val="20"/>
          <w:szCs w:val="20"/>
          <w:color w:val="auto"/>
        </w:rPr>
      </w:pPr>
    </w:p>
    <w:p>
      <w:pPr>
        <w:jc w:val="both"/>
        <w:ind w:firstLine="651"/>
        <w:spacing w:after="0" w:line="217" w:lineRule="auto"/>
        <w:tabs>
          <w:tab w:leader="none" w:pos="1284"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Agent, on behalf of itself and the Secured Parties, shall have the right, exercisable at the direction of the Required Lenders, to credit bid and purchase for the benefit of the Agent and the Secured Parties all or any portion of Collateral at any sale thereof conducted by the Agent under the provisions of the UCC, including pursuant to Sections 9-610 or 9-620 of the UCC, at any sale thereof conducted under the provisions of the United States Bankruptcy Code, including Section 363 thereof, or a sale under a plan of reorganization, or at any other sale or foreclosure conducted by the Agent (whether by judicial action or otherwise) in accordance with Applicable Law. Such credit bid or purchase may be completed through one or more acquisition vehicles formed by the Agent to make such credit bid or purchase and, in connection therewith, the Agent is authorized, on behalf of itself and the other Secured Parties, to adopt documents providing for the governance of the acquisition vehicle or vehicles, and assign the applicable Obligations to any such acquisition vehicle in exchange for Equity Interests and/or debt issued by the applicable acquisition vehicle (which shall be deemed to be held for the ratable account of the applicable Secured Parties on the basis of the Obligations so assigned by each Secured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actions by the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w:t>
      </w:r>
    </w:p>
    <w:p>
      <w:pPr>
        <w:spacing w:after="0" w:line="160" w:lineRule="exact"/>
        <w:rPr>
          <w:rFonts w:ascii="Times New Roman" w:cs="Times New Roman" w:eastAsia="Times New Roman" w:hAnsi="Times New Roman"/>
          <w:sz w:val="21"/>
          <w:szCs w:val="21"/>
          <w:color w:val="auto"/>
        </w:rPr>
      </w:pPr>
    </w:p>
    <w:p>
      <w:pPr>
        <w:jc w:val="both"/>
        <w:ind w:firstLine="651"/>
        <w:spacing w:after="0" w:line="229" w:lineRule="auto"/>
        <w:tabs>
          <w:tab w:leader="none" w:pos="1282"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hereby agrees, on behalf of itself and each of its Affiliates that is a Secured Party, that, except as otherwise provided in any Financing Agreement or with the written consent of the Agent and the Required Lenders, it will not take any enforcement action, accelerate obligations under any of the Financing Agreements or exercise any right that it might otherwise have under Applicable Law to credit bid at foreclosure sales, UCC sales or other similar dispositions of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01" w:name="page202"/>
    <w:bookmarkEnd w:id="201"/>
    <w:p>
      <w:pPr>
        <w:spacing w:after="0" w:line="15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1"/>
          <w:szCs w:val="21"/>
          <w:b w:val="1"/>
          <w:bCs w:val="1"/>
          <w:color w:val="auto"/>
        </w:rPr>
        <w:t>Article 11</w:t>
      </w:r>
    </w:p>
    <w:p>
      <w:pPr>
        <w:spacing w:after="0" w:line="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1"/>
          <w:szCs w:val="21"/>
          <w:b w:val="1"/>
          <w:bCs w:val="1"/>
          <w:u w:val="single" w:color="auto"/>
          <w:color w:val="auto"/>
        </w:rPr>
        <w:t>ASSIGNMENT AND PARTICIPATIONS: APPOINTMENT OF AGENT</w:t>
      </w:r>
    </w:p>
    <w:p>
      <w:pPr>
        <w:spacing w:after="0" w:line="15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11.1</w:t>
        <w:tab/>
        <w:t>Assignment and Participations</w:t>
      </w:r>
    </w:p>
    <w:p>
      <w:pPr>
        <w:spacing w:after="0" w:line="191" w:lineRule="exact"/>
        <w:rPr>
          <w:sz w:val="20"/>
          <w:szCs w:val="20"/>
          <w:color w:val="auto"/>
        </w:rPr>
      </w:pPr>
    </w:p>
    <w:p>
      <w:pPr>
        <w:jc w:val="both"/>
        <w:ind w:left="1300" w:hanging="649"/>
        <w:spacing w:after="0" w:line="229" w:lineRule="auto"/>
        <w:tabs>
          <w:tab w:leader="none" w:pos="1297" w:val="left"/>
        </w:tabs>
        <w:numPr>
          <w:ilvl w:val="0"/>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Subject to and in accordance with the terms of this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any Lender may make an assignment or a sale of participations in, at any time or times, the Financing Agreements, any Loans and any Commitment or any portion thereof or interest therein, including any Lender’s rights, title, interests, remedies, powers or duties thereunder. Any assignment by a Lender shall:</w:t>
      </w:r>
    </w:p>
    <w:p>
      <w:pPr>
        <w:spacing w:after="0" w:line="150" w:lineRule="exact"/>
        <w:rPr>
          <w:rFonts w:ascii="Times New Roman" w:cs="Times New Roman" w:eastAsia="Times New Roman" w:hAnsi="Times New Roman"/>
          <w:sz w:val="21"/>
          <w:szCs w:val="21"/>
          <w:color w:val="auto"/>
        </w:rPr>
      </w:pPr>
    </w:p>
    <w:p>
      <w:pPr>
        <w:ind w:left="1940" w:hanging="646"/>
        <w:spacing w:after="0" w:line="250" w:lineRule="auto"/>
        <w:tabs>
          <w:tab w:leader="none" w:pos="1928"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in a minimum amount of $5,000,000 with respect to Revolving Loans and $1,000,000 with respect to Incremental Term Loans;</w:t>
      </w:r>
    </w:p>
    <w:p>
      <w:pPr>
        <w:spacing w:after="0" w:line="140" w:lineRule="exact"/>
        <w:rPr>
          <w:rFonts w:ascii="Times New Roman" w:cs="Times New Roman" w:eastAsia="Times New Roman" w:hAnsi="Times New Roman"/>
          <w:sz w:val="21"/>
          <w:szCs w:val="21"/>
          <w:color w:val="auto"/>
        </w:rPr>
      </w:pPr>
    </w:p>
    <w:p>
      <w:pPr>
        <w:ind w:left="1940" w:hanging="646"/>
        <w:spacing w:after="0"/>
        <w:tabs>
          <w:tab w:leader="none" w:pos="1940"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require the consent of Agent, Issuing Lender, Swingline Lender and Borrower; </w:t>
      </w: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ind w:left="2580" w:hanging="642"/>
        <w:spacing w:after="0"/>
        <w:tabs>
          <w:tab w:leader="none" w:pos="2580" w:val="left"/>
        </w:tabs>
        <w:numPr>
          <w:ilvl w:val="2"/>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consent is not to be unreasonably withheld, conditioned or delayed;</w:t>
      </w:r>
    </w:p>
    <w:p>
      <w:pPr>
        <w:spacing w:after="0" w:line="187" w:lineRule="exact"/>
        <w:rPr>
          <w:rFonts w:ascii="Times New Roman" w:cs="Times New Roman" w:eastAsia="Times New Roman" w:hAnsi="Times New Roman"/>
          <w:sz w:val="21"/>
          <w:szCs w:val="21"/>
          <w:color w:val="auto"/>
        </w:rPr>
      </w:pPr>
    </w:p>
    <w:p>
      <w:pPr>
        <w:ind w:left="2580" w:right="20" w:hanging="642"/>
        <w:spacing w:after="0" w:line="250" w:lineRule="auto"/>
        <w:tabs>
          <w:tab w:leader="none" w:pos="2571" w:val="left"/>
        </w:tabs>
        <w:numPr>
          <w:ilvl w:val="2"/>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consent of Issuing Lender and Swingline Lender shall not be required with respect to assignments of Incremental Term Loans;</w:t>
      </w:r>
    </w:p>
    <w:p>
      <w:pPr>
        <w:spacing w:after="0" w:line="140" w:lineRule="exact"/>
        <w:rPr>
          <w:rFonts w:ascii="Times New Roman" w:cs="Times New Roman" w:eastAsia="Times New Roman" w:hAnsi="Times New Roman"/>
          <w:sz w:val="21"/>
          <w:szCs w:val="21"/>
          <w:color w:val="auto"/>
        </w:rPr>
      </w:pPr>
    </w:p>
    <w:p>
      <w:pPr>
        <w:ind w:left="2580" w:hanging="642"/>
        <w:spacing w:after="0"/>
        <w:tabs>
          <w:tab w:leader="none" w:pos="2580" w:val="left"/>
        </w:tabs>
        <w:numPr>
          <w:ilvl w:val="2"/>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consent of Borrower shall not be required if:</w:t>
      </w:r>
    </w:p>
    <w:p>
      <w:pPr>
        <w:spacing w:after="0" w:line="214" w:lineRule="exact"/>
        <w:rPr>
          <w:rFonts w:ascii="Times New Roman" w:cs="Times New Roman" w:eastAsia="Times New Roman" w:hAnsi="Times New Roman"/>
          <w:sz w:val="21"/>
          <w:szCs w:val="21"/>
          <w:color w:val="auto"/>
        </w:rPr>
      </w:pPr>
    </w:p>
    <w:p>
      <w:pPr>
        <w:ind w:left="3040" w:hanging="459"/>
        <w:spacing w:after="0"/>
        <w:tabs>
          <w:tab w:leader="none" w:pos="3040" w:val="left"/>
        </w:tabs>
        <w:numPr>
          <w:ilvl w:val="3"/>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Payment/Insolvency Event of Default has occurred and is continuing;</w:t>
      </w:r>
    </w:p>
    <w:p>
      <w:pPr>
        <w:spacing w:after="0" w:line="227" w:lineRule="exact"/>
        <w:rPr>
          <w:rFonts w:ascii="Times New Roman" w:cs="Times New Roman" w:eastAsia="Times New Roman" w:hAnsi="Times New Roman"/>
          <w:sz w:val="21"/>
          <w:szCs w:val="21"/>
          <w:color w:val="auto"/>
        </w:rPr>
      </w:pPr>
    </w:p>
    <w:p>
      <w:pPr>
        <w:ind w:left="3040" w:hanging="459"/>
        <w:spacing w:after="0"/>
        <w:tabs>
          <w:tab w:leader="none" w:pos="3040" w:val="left"/>
        </w:tabs>
        <w:numPr>
          <w:ilvl w:val="3"/>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assignment is to an Eligible Transferee; or</w:t>
      </w:r>
    </w:p>
    <w:p>
      <w:pPr>
        <w:spacing w:after="0" w:line="227" w:lineRule="exact"/>
        <w:rPr>
          <w:rFonts w:ascii="Times New Roman" w:cs="Times New Roman" w:eastAsia="Times New Roman" w:hAnsi="Times New Roman"/>
          <w:sz w:val="21"/>
          <w:szCs w:val="21"/>
          <w:color w:val="auto"/>
        </w:rPr>
      </w:pPr>
    </w:p>
    <w:p>
      <w:pPr>
        <w:ind w:left="3220" w:hanging="639"/>
        <w:spacing w:after="0" w:line="303" w:lineRule="auto"/>
        <w:tabs>
          <w:tab w:leader="none" w:pos="3044" w:val="left"/>
        </w:tabs>
        <w:numPr>
          <w:ilvl w:val="3"/>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does not object to such assignment within ten (10) Business Days of receipt of notice of such assignment;</w:t>
      </w:r>
    </w:p>
    <w:p>
      <w:pPr>
        <w:spacing w:after="0" w:line="100" w:lineRule="exact"/>
        <w:rPr>
          <w:rFonts w:ascii="Times New Roman" w:cs="Times New Roman" w:eastAsia="Times New Roman" w:hAnsi="Times New Roman"/>
          <w:sz w:val="21"/>
          <w:szCs w:val="21"/>
          <w:color w:val="auto"/>
        </w:rPr>
      </w:pPr>
    </w:p>
    <w:p>
      <w:pPr>
        <w:ind w:left="1940" w:hanging="646"/>
        <w:spacing w:after="0"/>
        <w:tabs>
          <w:tab w:leader="none" w:pos="1940"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be to a Prohibited Transferee;</w:t>
      </w:r>
    </w:p>
    <w:p>
      <w:pPr>
        <w:spacing w:after="0" w:line="187" w:lineRule="exact"/>
        <w:rPr>
          <w:rFonts w:ascii="Times New Roman" w:cs="Times New Roman" w:eastAsia="Times New Roman" w:hAnsi="Times New Roman"/>
          <w:sz w:val="21"/>
          <w:szCs w:val="21"/>
          <w:color w:val="auto"/>
        </w:rPr>
      </w:pPr>
    </w:p>
    <w:p>
      <w:pPr>
        <w:ind w:left="1920" w:hanging="626"/>
        <w:spacing w:after="0"/>
        <w:tabs>
          <w:tab w:leader="none" w:pos="1920"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effected by the execution of an Assignment and Assumption Agreement;</w:t>
      </w:r>
    </w:p>
    <w:p>
      <w:pPr>
        <w:spacing w:after="0" w:line="187"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35"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conditioned on such assignee Lender representing to the assigning Lender and Agent that it is purchasing the Loans to be assigned to it for its own account, for investment purposes and not with a view to the distribution thereof; and</w:t>
      </w:r>
    </w:p>
    <w:p>
      <w:pPr>
        <w:spacing w:after="0" w:line="151" w:lineRule="exact"/>
        <w:rPr>
          <w:rFonts w:ascii="Times New Roman" w:cs="Times New Roman" w:eastAsia="Times New Roman" w:hAnsi="Times New Roman"/>
          <w:sz w:val="21"/>
          <w:szCs w:val="21"/>
          <w:color w:val="auto"/>
        </w:rPr>
      </w:pPr>
    </w:p>
    <w:p>
      <w:pPr>
        <w:ind w:left="1940" w:hanging="646"/>
        <w:spacing w:after="0" w:line="250" w:lineRule="auto"/>
        <w:tabs>
          <w:tab w:leader="none" w:pos="1928" w:val="left"/>
        </w:tabs>
        <w:numPr>
          <w:ilvl w:val="1"/>
          <w:numId w:val="1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include a payment from such assignee to Agent of an assignment fee of $3,500, unless such assignment fee is waived or reduced by the Agent.</w:t>
      </w:r>
    </w:p>
    <w:p>
      <w:pPr>
        <w:spacing w:after="0" w:line="167" w:lineRule="exact"/>
        <w:rPr>
          <w:sz w:val="20"/>
          <w:szCs w:val="20"/>
          <w:color w:val="auto"/>
        </w:rPr>
      </w:pPr>
    </w:p>
    <w:p>
      <w:pPr>
        <w:jc w:val="both"/>
        <w:ind w:left="1300"/>
        <w:spacing w:after="0" w:line="265" w:lineRule="auto"/>
        <w:rPr>
          <w:sz w:val="20"/>
          <w:szCs w:val="20"/>
          <w:color w:val="auto"/>
        </w:rPr>
      </w:pPr>
      <w:r>
        <w:rPr>
          <w:rFonts w:ascii="Times New Roman" w:cs="Times New Roman" w:eastAsia="Times New Roman" w:hAnsi="Times New Roman"/>
          <w:sz w:val="21"/>
          <w:szCs w:val="21"/>
          <w:color w:val="auto"/>
        </w:rPr>
        <w:t xml:space="preserve">In the case of an assignment by a Lender under this </w:t>
      </w:r>
      <w:r>
        <w:rPr>
          <w:rFonts w:ascii="Times New Roman" w:cs="Times New Roman" w:eastAsia="Times New Roman" w:hAnsi="Times New Roman"/>
          <w:sz w:val="21"/>
          <w:szCs w:val="21"/>
          <w:u w:val="single" w:color="auto"/>
          <w:color w:val="auto"/>
        </w:rPr>
        <w:t>Section 11.1</w:t>
      </w:r>
      <w:r>
        <w:rPr>
          <w:rFonts w:ascii="Times New Roman" w:cs="Times New Roman" w:eastAsia="Times New Roman" w:hAnsi="Times New Roman"/>
          <w:sz w:val="21"/>
          <w:szCs w:val="21"/>
          <w:color w:val="auto"/>
        </w:rPr>
        <w:t>, the assignee shall have, to the extent of such assignment, the same rights, benefits and obligations as all other Lenders hereunder. The assigning Lender shall be relieved of its obligations hereunder with respect to its Commitment or assigned portion thereof from and after the date of such assignment. Borrower hereby acknowledges and agrees that any assignment shall give rise to a direct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40" w:right="339" w:bottom="1440" w:gutter="0" w:footer="0" w:header="0"/>
        </w:sectPr>
      </w:pPr>
    </w:p>
    <w:bookmarkStart w:id="202" w:name="page203"/>
    <w:bookmarkEnd w:id="202"/>
    <w:p>
      <w:pPr>
        <w:jc w:val="both"/>
        <w:ind w:left="1300"/>
        <w:spacing w:after="0" w:line="259" w:lineRule="auto"/>
        <w:rPr>
          <w:sz w:val="20"/>
          <w:szCs w:val="20"/>
          <w:color w:val="auto"/>
        </w:rPr>
      </w:pPr>
      <w:r>
        <w:rPr>
          <w:rFonts w:ascii="Times New Roman" w:cs="Times New Roman" w:eastAsia="Times New Roman" w:hAnsi="Times New Roman"/>
          <w:sz w:val="21"/>
          <w:szCs w:val="21"/>
          <w:color w:val="auto"/>
        </w:rPr>
        <w:t>of Borrower to the assignee and that the assignee shall be considered to be a “</w:t>
      </w:r>
      <w:r>
        <w:rPr>
          <w:rFonts w:ascii="Times New Roman" w:cs="Times New Roman" w:eastAsia="Times New Roman" w:hAnsi="Times New Roman"/>
          <w:sz w:val="21"/>
          <w:szCs w:val="21"/>
          <w:b w:val="1"/>
          <w:bCs w:val="1"/>
          <w:color w:val="auto"/>
        </w:rPr>
        <w:t>Lender</w:t>
      </w:r>
      <w:r>
        <w:rPr>
          <w:rFonts w:ascii="Times New Roman" w:cs="Times New Roman" w:eastAsia="Times New Roman" w:hAnsi="Times New Roman"/>
          <w:sz w:val="21"/>
          <w:szCs w:val="21"/>
          <w:color w:val="auto"/>
        </w:rPr>
        <w:t xml:space="preserve">” hereunder. In all instances, each Lender’s liability to make Loans hereunder shall be several and not joint and shall be limited to such Lender’s Pro Rata Share of the Commitment. In the event any Lender assigns or otherwise transfers all or any part of the Obligations, such Lender shall provide prior notice to Borrower and Borrower shall, upon the request of Agent or such Lender, execute new notes in exchange for the notes, if any, being assigned. Borrower agrees from time to time to execute notes (in form and substance satisfactory to Agent, acting reasonably) evidencing the Loans if requested by Agent. Notwithstanding the foregoing provisions of this </w:t>
      </w:r>
      <w:r>
        <w:rPr>
          <w:rFonts w:ascii="Times New Roman" w:cs="Times New Roman" w:eastAsia="Times New Roman" w:hAnsi="Times New Roman"/>
          <w:sz w:val="21"/>
          <w:szCs w:val="21"/>
          <w:u w:val="single" w:color="auto"/>
          <w:color w:val="auto"/>
        </w:rPr>
        <w:t>Section 11.1(a)</w:t>
      </w:r>
      <w:r>
        <w:rPr>
          <w:rFonts w:ascii="Times New Roman" w:cs="Times New Roman" w:eastAsia="Times New Roman" w:hAnsi="Times New Roman"/>
          <w:sz w:val="21"/>
          <w:szCs w:val="21"/>
          <w:color w:val="auto"/>
        </w:rPr>
        <w:t xml:space="preserve">, any Lender may at any time pledge the Obligations held by it and such Lender’s rights under this Agreement and the other Financing Agreements to a Federal Reserve Bank, the Bank of Canada or the Canada Deposit Insurance Corporation or foreign equivalent;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no such pledge shall release such Lender from such Lender’s obligations hereunder or under any other Financing Agreement or substitute any such pledgee or assignee for such Lender as a party hereto.</w:t>
      </w:r>
    </w:p>
    <w:p>
      <w:pPr>
        <w:spacing w:after="0" w:line="200" w:lineRule="exact"/>
        <w:rPr>
          <w:sz w:val="20"/>
          <w:szCs w:val="20"/>
          <w:color w:val="auto"/>
        </w:rPr>
      </w:pPr>
    </w:p>
    <w:p>
      <w:pPr>
        <w:spacing w:after="0" w:line="208" w:lineRule="exact"/>
        <w:rPr>
          <w:sz w:val="20"/>
          <w:szCs w:val="20"/>
          <w:color w:val="auto"/>
        </w:rPr>
      </w:pPr>
    </w:p>
    <w:p>
      <w:pPr>
        <w:jc w:val="both"/>
        <w:ind w:left="1300" w:hanging="649"/>
        <w:spacing w:after="0" w:line="218" w:lineRule="auto"/>
        <w:tabs>
          <w:tab w:leader="none" w:pos="1295"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sale of a participation by a Lender of all or any part of its Commitment or Loans shall be made with the understanding that all amounts payable by Borrower hereunder shall be determined as if that Lender had not sold such participation, and that the holder of any such participation shall not be entitled to require such Lender to take or omit to take any action hereunder except actions directly affecting (i) any reduction in the principal amount of, or interest rate or fees payable with respect to any Loan in which such holder participates, (ii) any extension of the scheduled amortization of the principal amount of any Loan in which such holder participates or the final maturity date thereof, and (iii) any release of all or substantially all of the Collateral (other than in accordance with the terms of this Agreement or the other Financing Agreements). Neither Agent nor any Lender (other than a Lender selling a participation) shall have any duty to any participant and may continue to deal solely with Lenders selling a participation as if no such sale had occurred. No consent of Borrower, Agent or Issuing Lender is required with respect to the sale of a participation by a Lender of all or any part of its Commitment or Loans; provided that each Lender shall provide Agent and Borrower with prior written notice of each sale of a participation. No sale of a participation by a Lender of all or any part of its Commitment or Loans shall be made to a Prohibited Transferee.</w:t>
      </w:r>
    </w:p>
    <w:p>
      <w:pPr>
        <w:spacing w:after="0" w:line="151" w:lineRule="exact"/>
        <w:rPr>
          <w:rFonts w:ascii="Times New Roman" w:cs="Times New Roman" w:eastAsia="Times New Roman" w:hAnsi="Times New Roman"/>
          <w:sz w:val="21"/>
          <w:szCs w:val="21"/>
          <w:color w:val="auto"/>
        </w:rPr>
      </w:pPr>
    </w:p>
    <w:p>
      <w:pPr>
        <w:jc w:val="both"/>
        <w:ind w:left="1300" w:hanging="649"/>
        <w:spacing w:after="0"/>
        <w:tabs>
          <w:tab w:leader="none" w:pos="1297"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Agent shall not be responsible or have any liability for, or have any duty to ascertain, inquire into, monitor or enforce, compliance with the provisions hereof relating to Disqualified Lenders. Without limiting the generality of the foregoing, the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293" w:lineRule="exact"/>
        <w:rPr>
          <w:rFonts w:ascii="Times New Roman" w:cs="Times New Roman" w:eastAsia="Times New Roman" w:hAnsi="Times New Roman"/>
          <w:sz w:val="21"/>
          <w:szCs w:val="21"/>
          <w:color w:val="auto"/>
        </w:rPr>
      </w:pPr>
    </w:p>
    <w:p>
      <w:pPr>
        <w:jc w:val="both"/>
        <w:ind w:left="1300" w:hanging="649"/>
        <w:spacing w:after="0" w:line="250" w:lineRule="auto"/>
        <w:tabs>
          <w:tab w:leader="none" w:pos="1295" w:val="left"/>
        </w:tabs>
        <w:numPr>
          <w:ilvl w:val="0"/>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Lender may furnish any information concerning a Credit Party in the possession of such Lender from time to time to assignees and participants (including prospective assignees and participants), in each case, other than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09" w:right="339" w:bottom="1440" w:gutter="0" w:footer="0" w:header="0"/>
        </w:sectPr>
      </w:pPr>
    </w:p>
    <w:bookmarkStart w:id="203" w:name="page204"/>
    <w:bookmarkEnd w:id="203"/>
    <w:p>
      <w:pPr>
        <w:ind w:left="1300" w:right="20"/>
        <w:spacing w:after="0" w:line="250" w:lineRule="auto"/>
        <w:rPr>
          <w:sz w:val="20"/>
          <w:szCs w:val="20"/>
          <w:color w:val="auto"/>
        </w:rPr>
      </w:pPr>
      <w:r>
        <w:rPr>
          <w:rFonts w:ascii="Times New Roman" w:cs="Times New Roman" w:eastAsia="Times New Roman" w:hAnsi="Times New Roman"/>
          <w:sz w:val="21"/>
          <w:szCs w:val="21"/>
          <w:color w:val="auto"/>
        </w:rPr>
        <w:t xml:space="preserve">Prohibited Transferee, provided such Persons agree to maintain the confidentiality of such information in accordance with </w:t>
      </w:r>
      <w:r>
        <w:rPr>
          <w:rFonts w:ascii="Times New Roman" w:cs="Times New Roman" w:eastAsia="Times New Roman" w:hAnsi="Times New Roman"/>
          <w:sz w:val="21"/>
          <w:szCs w:val="21"/>
          <w:u w:val="single" w:color="auto"/>
          <w:color w:val="auto"/>
        </w:rPr>
        <w:t>Section 7.11(b)</w:t>
      </w:r>
      <w:r>
        <w:rPr>
          <w:rFonts w:ascii="Times New Roman" w:cs="Times New Roman" w:eastAsia="Times New Roman" w:hAnsi="Times New Roman"/>
          <w:sz w:val="21"/>
          <w:szCs w:val="21"/>
          <w:color w:val="auto"/>
        </w:rPr>
        <w:t>.</w:t>
      </w:r>
    </w:p>
    <w:p>
      <w:pPr>
        <w:spacing w:after="0" w:line="140" w:lineRule="exact"/>
        <w:rPr>
          <w:sz w:val="20"/>
          <w:szCs w:val="20"/>
          <w:color w:val="auto"/>
        </w:rPr>
      </w:pPr>
    </w:p>
    <w:p>
      <w:pPr>
        <w:ind w:left="1300" w:hanging="649"/>
        <w:spacing w:after="0" w:line="250" w:lineRule="auto"/>
        <w:tabs>
          <w:tab w:leader="none" w:pos="1297"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Credit Party may assign its rights under the Financing Agreements and any other document referred to herein or therein without the prior written consent of Agent and all Lenders.</w:t>
      </w:r>
    </w:p>
    <w:p>
      <w:pPr>
        <w:spacing w:after="0" w:line="140" w:lineRule="exact"/>
        <w:rPr>
          <w:rFonts w:ascii="Times New Roman" w:cs="Times New Roman" w:eastAsia="Times New Roman" w:hAnsi="Times New Roman"/>
          <w:sz w:val="21"/>
          <w:szCs w:val="21"/>
          <w:color w:val="auto"/>
        </w:rPr>
      </w:pPr>
    </w:p>
    <w:p>
      <w:pPr>
        <w:jc w:val="both"/>
        <w:ind w:left="1300" w:hanging="649"/>
        <w:spacing w:after="0" w:line="217" w:lineRule="auto"/>
        <w:tabs>
          <w:tab w:leader="none" w:pos="1300"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Agent in an aggregate amount sufficient, upon distribution thereof as appropriate (which may be outright payment, purchases by the assignee of participations or subparticipations, or other compensating actions, including funding, with the consent of the Borrower and the Agent, the applicable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share of Loans previously requested, but not funded by, the Defaulting Lender, to each of which the applicable assignee and assignor hereby irrevocably consent), to (A) pay and satisfy in full all payment liabilities then owed by such Defaulting Lender to the Agent, the Issuing Lender, the Swingline Lender and each other Lender hereunder (and interest accrued thereon), and (B) acquire (and fund as appropriate) its full </w:t>
      </w:r>
      <w:r>
        <w:rPr>
          <w:rFonts w:ascii="Times New Roman" w:cs="Times New Roman" w:eastAsia="Times New Roman" w:hAnsi="Times New Roman"/>
          <w:sz w:val="21"/>
          <w:szCs w:val="21"/>
          <w:u w:val="single" w:color="auto"/>
          <w:color w:val="auto"/>
        </w:rPr>
        <w:t>pro rata</w:t>
      </w:r>
      <w:r>
        <w:rPr>
          <w:rFonts w:ascii="Times New Roman" w:cs="Times New Roman" w:eastAsia="Times New Roman" w:hAnsi="Times New Roman"/>
          <w:sz w:val="21"/>
          <w:szCs w:val="21"/>
          <w:color w:val="auto"/>
        </w:rPr>
        <w:t xml:space="preserve"> share of all Loans and participations in Letter of Credit Accommodations and Swingline Loans in accordance with its Pro Rata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Except to the extent otherwise expressly agreed by the affected parties, no assignment by a Defaulting Lender will constitute a waiver or release of any claim of any party hereunder arising from that Lender’s having been a Defaulting Lender.</w:t>
      </w:r>
    </w:p>
    <w:p>
      <w:pPr>
        <w:spacing w:after="0" w:line="152" w:lineRule="exact"/>
        <w:rPr>
          <w:rFonts w:ascii="Times New Roman" w:cs="Times New Roman" w:eastAsia="Times New Roman" w:hAnsi="Times New Roman"/>
          <w:sz w:val="21"/>
          <w:szCs w:val="21"/>
          <w:color w:val="auto"/>
        </w:rPr>
      </w:pPr>
    </w:p>
    <w:p>
      <w:pPr>
        <w:jc w:val="both"/>
        <w:ind w:left="1300" w:hanging="649"/>
        <w:spacing w:after="0"/>
        <w:tabs>
          <w:tab w:leader="none" w:pos="1295"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Agent, acting solely for this purpose as a non-fiduciary agent of the Borrower, shall maintain at one of its offices in Charlotte, North Carolina, a register for the recordation of the names and addresses of the Lenders, and the Commitments of, and principal amounts of (and stated interest on) the Loans owing to, each Lender pursuant to the terms hereof from time to time (the “</w:t>
      </w:r>
      <w:r>
        <w:rPr>
          <w:rFonts w:ascii="Times New Roman" w:cs="Times New Roman" w:eastAsia="Times New Roman" w:hAnsi="Times New Roman"/>
          <w:sz w:val="21"/>
          <w:szCs w:val="21"/>
          <w:u w:val="single" w:color="auto"/>
          <w:color w:val="auto"/>
        </w:rPr>
        <w:t>Register</w:t>
      </w:r>
      <w:r>
        <w:rPr>
          <w:rFonts w:ascii="Times New Roman" w:cs="Times New Roman" w:eastAsia="Times New Roman" w:hAnsi="Times New Roman"/>
          <w:sz w:val="21"/>
          <w:szCs w:val="21"/>
          <w:color w:val="auto"/>
        </w:rPr>
        <w:t>”). The entries in the Register shall be conclusive, absent manifest error, and the Borrower, the Agent and the Lenders shall treat each Person whose name is recorded in the Register pursuant to the terms hereof as a Lender hereunder for all purposes of this Agreement. The Register shall be available for inspection by the Borrower and any Lender (but only to the extent of entries in the Register that are applicable to such Lender), at any reasonable time and from time to time upon reasonable prior notice. The Agent shall have the right, and the Borrower hereby expressly authorizes the Agent, to provide the list of Disqualified Lenders provided by the Borrower and any updates or supplements thereto from time to time to each Lender requesting the same.</w:t>
      </w:r>
    </w:p>
    <w:p>
      <w:pPr>
        <w:spacing w:after="0" w:line="158" w:lineRule="exact"/>
        <w:rPr>
          <w:rFonts w:ascii="Times New Roman" w:cs="Times New Roman" w:eastAsia="Times New Roman" w:hAnsi="Times New Roman"/>
          <w:sz w:val="21"/>
          <w:szCs w:val="21"/>
          <w:color w:val="auto"/>
        </w:rPr>
      </w:pPr>
    </w:p>
    <w:p>
      <w:pPr>
        <w:jc w:val="both"/>
        <w:ind w:left="1300" w:hanging="649"/>
        <w:spacing w:after="0" w:line="226" w:lineRule="auto"/>
        <w:tabs>
          <w:tab w:leader="none" w:pos="1295" w:val="left"/>
        </w:tabs>
        <w:numPr>
          <w:ilvl w:val="0"/>
          <w:numId w:val="1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that sells a participation shall, acting solely for this purpose as a non-fiduciary agent of the Borrower, maintain a register on which it enters the name and address of each participant and the principal amounts of (and stated interest on) each participant’s interest in the Loans or other obligations under the Financing Agreements (the “</w:t>
      </w:r>
      <w:r>
        <w:rPr>
          <w:rFonts w:ascii="Times New Roman" w:cs="Times New Roman" w:eastAsia="Times New Roman" w:hAnsi="Times New Roman"/>
          <w:sz w:val="21"/>
          <w:szCs w:val="21"/>
          <w:u w:val="single" w:color="auto"/>
          <w:color w:val="auto"/>
        </w:rPr>
        <w:t>Participant Register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no Lender shall have any obligation to disclose all or any portion of the Participant Register (including the identity of any participant or any information relating 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04" w:name="page205"/>
    <w:bookmarkEnd w:id="204"/>
    <w:p>
      <w:pPr>
        <w:jc w:val="both"/>
        <w:ind w:left="1300"/>
        <w:spacing w:after="0" w:line="221" w:lineRule="auto"/>
        <w:rPr>
          <w:sz w:val="20"/>
          <w:szCs w:val="20"/>
          <w:color w:val="auto"/>
        </w:rPr>
      </w:pPr>
      <w:r>
        <w:rPr>
          <w:rFonts w:ascii="Times New Roman" w:cs="Times New Roman" w:eastAsia="Times New Roman" w:hAnsi="Times New Roman"/>
          <w:sz w:val="21"/>
          <w:szCs w:val="21"/>
          <w:color w:val="auto"/>
        </w:rPr>
        <w:t>participant’s interest in any commitments, loans, letters of credit or its other obligations under any Financing Agreement) to any Person except to the extent that such disclosure is necessary to establish that such commitment, loan, letter of credit or other obligation is in registered form under Section 5f.103-1(c) or proposed Section 1.163-5(b) of the United States Treasury Regulations (or, in each case,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w:t>
      </w:r>
    </w:p>
    <w:p>
      <w:pPr>
        <w:spacing w:after="0" w:line="1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11.2</w:t>
        <w:tab/>
        <w:t>Appointment of Agent</w:t>
      </w:r>
    </w:p>
    <w:p>
      <w:pPr>
        <w:spacing w:after="0" w:line="191" w:lineRule="exact"/>
        <w:rPr>
          <w:sz w:val="20"/>
          <w:szCs w:val="20"/>
          <w:color w:val="auto"/>
        </w:rPr>
      </w:pPr>
    </w:p>
    <w:p>
      <w:pPr>
        <w:jc w:val="both"/>
        <w:ind w:left="1300" w:hanging="649"/>
        <w:spacing w:after="0" w:line="228" w:lineRule="auto"/>
        <w:tabs>
          <w:tab w:leader="none" w:pos="1297"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Agent is hereby appointed to act on behalf of Secured Parties as Agent under this Agreement and the other Financing Agreements. Except as expressly provided in </w:t>
      </w:r>
      <w:r>
        <w:rPr>
          <w:rFonts w:ascii="Times New Roman" w:cs="Times New Roman" w:eastAsia="Times New Roman" w:hAnsi="Times New Roman"/>
          <w:sz w:val="21"/>
          <w:szCs w:val="21"/>
          <w:u w:val="single" w:color="auto"/>
          <w:color w:val="auto"/>
        </w:rPr>
        <w:t>Section 11.11(a)</w:t>
      </w:r>
      <w:r>
        <w:rPr>
          <w:rFonts w:ascii="Times New Roman" w:cs="Times New Roman" w:eastAsia="Times New Roman" w:hAnsi="Times New Roman"/>
          <w:sz w:val="21"/>
          <w:szCs w:val="21"/>
          <w:color w:val="auto"/>
        </w:rPr>
        <w:t xml:space="preserve">, the provisions of this </w:t>
      </w:r>
      <w:r>
        <w:rPr>
          <w:rFonts w:ascii="Times New Roman" w:cs="Times New Roman" w:eastAsia="Times New Roman" w:hAnsi="Times New Roman"/>
          <w:sz w:val="21"/>
          <w:szCs w:val="21"/>
          <w:u w:val="single" w:color="auto"/>
          <w:color w:val="auto"/>
        </w:rPr>
        <w:t>Section 11.2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Sections 11.3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11.8</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11.9</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11.15</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11.16</w:t>
      </w:r>
      <w:r>
        <w:rPr>
          <w:rFonts w:ascii="Times New Roman" w:cs="Times New Roman" w:eastAsia="Times New Roman" w:hAnsi="Times New Roman"/>
          <w:sz w:val="21"/>
          <w:szCs w:val="21"/>
          <w:color w:val="auto"/>
        </w:rPr>
        <w:t xml:space="preserve"> are solely for the benefit of Agent and Lenders and neither any Credit Party nor any other Person shall have any rights as a third party beneficiary of any of the provisions hereof. In performing its functions and duties under this Agreement and the other Financing Agreements, Agent shall act solely as an agent of Secured Parties and does not assume and shall not be deemed to have assumed any obligation toward or relationship of agency or trust with or for any Credit Party or any Person other than Secured Parties. Agent shall have no duties or responsibilities except for those expressly set forth in this Agreement and the other Financing Agreements. The duties of Agent shall be mechanical and administrative in nature and Agent shall not have, or be deemed to have, by reason of this Agreement, any other Financing Agreement or otherwise a fiduciary relationship in respect of any Secured Party. Except as expressly set forth in this Agreement and the other Financing Agreements, Agent shall not have any duty to disclose, and shall not be liable for failure to disclose, any information relating to any Credit Party or any of their respective Subsidiaries that is communicated to or obtained by Agent or any of its affiliates in any capacity. Neither Agent nor any of its affiliates nor any of their respective officers, directors, employees, agents or representatives shall be liable to any Secured Party for any action taken or omitted to be taken by it hereunder or under any other Financing Agreement, or in connection herewith or therewith, except for damages caused by its or their own gross negligence or willful misconduct as determined by a final and non-appealable judgment or court order binding on them from a court of competent jurisdiction.</w:t>
      </w:r>
    </w:p>
    <w:p>
      <w:pPr>
        <w:spacing w:after="0" w:line="160" w:lineRule="exact"/>
        <w:rPr>
          <w:rFonts w:ascii="Times New Roman" w:cs="Times New Roman" w:eastAsia="Times New Roman" w:hAnsi="Times New Roman"/>
          <w:sz w:val="21"/>
          <w:szCs w:val="21"/>
          <w:color w:val="auto"/>
        </w:rPr>
      </w:pPr>
    </w:p>
    <w:p>
      <w:pPr>
        <w:jc w:val="both"/>
        <w:ind w:left="1300" w:hanging="649"/>
        <w:spacing w:after="0" w:line="220" w:lineRule="auto"/>
        <w:tabs>
          <w:tab w:leader="none" w:pos="1295" w:val="left"/>
        </w:tabs>
        <w:numPr>
          <w:ilvl w:val="0"/>
          <w:numId w:val="2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Agent shall request instructions from all Lenders, all affected Lenders or Required Lenders, as the case may be, with respect to any act or action (including failure to act) in connection with this Agreement or any other Financing Agreement, then Agent shall be entitled to refrain from such act or taking such action unless and until Agent shall have received instructions from all Lenders, all affected Lenders or Required Lenders, as the case may be, and Agent shall not incur liability to any Person by reason of so refraining. Agent shall be fully justified in failing or refusing to take any action hereunder or under any other Financing Agreement (i) if such action would, in the opinion of Agent, be contrary to law or the terms of this Agreement or any other Financing Agreement; (ii) if such action would, in the opinion of Agent, expose Agent to liabilities under Environmental Laws; or (iii) if Agent in good faith believes such action would expose it to personal liability unless such Agent receives an indemnification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05" w:name="page206"/>
    <w:bookmarkEnd w:id="205"/>
    <w:p>
      <w:pPr>
        <w:jc w:val="both"/>
        <w:ind w:left="1300"/>
        <w:spacing w:after="0" w:line="229" w:lineRule="auto"/>
        <w:rPr>
          <w:sz w:val="20"/>
          <w:szCs w:val="20"/>
          <w:color w:val="auto"/>
        </w:rPr>
      </w:pPr>
      <w:r>
        <w:rPr>
          <w:rFonts w:ascii="Times New Roman" w:cs="Times New Roman" w:eastAsia="Times New Roman" w:hAnsi="Times New Roman"/>
          <w:sz w:val="21"/>
          <w:szCs w:val="21"/>
          <w:color w:val="auto"/>
        </w:rPr>
        <w:t>satisfactory to it from Lenders and Issuing Lender with respect to such action. Without limiting the foregoing, no Secured Party shall have any right of action whatsoever against Agent as a result of Agent acting or refraining from acting hereunder or under any other Financing Agreement in accordance with the instructions of all Lenders, all affected Lenders or Required Lenders, as the case may be.</w:t>
      </w:r>
    </w:p>
    <w:p>
      <w:pPr>
        <w:spacing w:after="0" w:line="1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11.3</w:t>
        <w:tab/>
        <w:t>Agent’s Reliance, Etc.</w:t>
      </w:r>
    </w:p>
    <w:p>
      <w:pPr>
        <w:spacing w:after="0" w:line="2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Agent: (i) may treat the payee of any note as the holder thereof until Agent receives written notice of the assignment or transfer thereof signed by such payee and in form reasonably satisfactory to Agent; (ii) may consult with legal counsel, independent public accountants and other experts selected by it; (iii) makes no warranty or representation to any Secured Party and shall not be responsible to any Secured Party for any statements, warranties or representations made in or in connection with this Agreement or the other Financing Agreements; (iv) shall not have any duty to ascertain or to inquire as to the performance or observance of any of the terms, covenants or conditions of this Agreement or the other Financing Agreements on the part of any Credit Party or to inspect the Collateral (including the books and records) of any Credit Party; (v) shall not be responsible to any Secured Party for the due execution, legality, validity, enforceability, genuineness, sufficiency or value of this Agreement or the other Financing Agreements or any other instrument or document furnished pursuant hereto or thereto; and (vi) shall incur no liability under or in respect of this Agreement or the other Financing Agreements by acting upon any notice, consent, certificate or other instrument or writing (which may be by telecopy, telegram, cable or telex) believed by it to be genuine and signed or sent by the proper party or parties.</w:t>
      </w:r>
    </w:p>
    <w:p>
      <w:pPr>
        <w:spacing w:after="0" w:line="40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11.4</w:t>
        <w:tab/>
        <w:t>Agent as Lender</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With respect to its Commitment and Loans hereunder, Agent shall have the same rights and powers under this Agreement and the other Financing Agreements as any other Lender and may exercise the same as though it were not Agent; and the term “</w:t>
      </w:r>
      <w:r>
        <w:rPr>
          <w:rFonts w:ascii="Times New Roman" w:cs="Times New Roman" w:eastAsia="Times New Roman" w:hAnsi="Times New Roman"/>
          <w:sz w:val="21"/>
          <w:szCs w:val="21"/>
          <w:b w:val="1"/>
          <w:bCs w:val="1"/>
          <w:color w:val="auto"/>
        </w:rPr>
        <w:t>Lender</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Lenders</w:t>
      </w:r>
      <w:r>
        <w:rPr>
          <w:rFonts w:ascii="Times New Roman" w:cs="Times New Roman" w:eastAsia="Times New Roman" w:hAnsi="Times New Roman"/>
          <w:sz w:val="21"/>
          <w:szCs w:val="21"/>
          <w:color w:val="auto"/>
        </w:rPr>
        <w:t>” hereunder shall, unless otherwise expressly indicated, include Agent in its individual capacity. Agent and its affiliates may lend money to, invest in, and generally engage in any kind of business with any Credit Party, any of its affiliates and any Person who may do business with or own securities of any Credit Party or any such affiliate, all as if Agent were not Agent and without any duty to account therefore to Secured Parties. Agent and its affiliates may accept fees and other consideration from any Credit Party for services in connection with this Agreement or otherwise without having to account for the same to Secured Parties. Each Secured Party acknowledges the potential conflict of interest between Agent as a Lender and Agent as agent hereunder.</w:t>
      </w:r>
    </w:p>
    <w:p>
      <w:pPr>
        <w:spacing w:after="0" w:line="200" w:lineRule="exact"/>
        <w:rPr>
          <w:sz w:val="20"/>
          <w:szCs w:val="20"/>
          <w:color w:val="auto"/>
        </w:rPr>
      </w:pP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11.5</w:t>
        <w:tab/>
        <w:t>Lender Credit Decision</w:t>
      </w:r>
    </w:p>
    <w:p>
      <w:pPr>
        <w:spacing w:after="0" w:line="2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Each Lender acknowledges that it has, independently and without reliance upon Agent or any other Lender and based on such documents and information as it has deemed appropriate, made its own credit and financial analysis of each Credit Party and its own decision to enter into this Agreement. Each Lender also acknowledges that it will, independently and without reliance upon Agent or any other Lender and based on such documents and information as it shall deem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06" w:name="page207"/>
    <w:bookmarkEnd w:id="206"/>
    <w:p>
      <w:pPr>
        <w:jc w:val="both"/>
        <w:spacing w:after="0" w:line="258" w:lineRule="auto"/>
        <w:rPr>
          <w:sz w:val="20"/>
          <w:szCs w:val="20"/>
          <w:color w:val="auto"/>
        </w:rPr>
      </w:pPr>
      <w:r>
        <w:rPr>
          <w:rFonts w:ascii="Times New Roman" w:cs="Times New Roman" w:eastAsia="Times New Roman" w:hAnsi="Times New Roman"/>
          <w:sz w:val="21"/>
          <w:szCs w:val="21"/>
          <w:color w:val="auto"/>
        </w:rPr>
        <w:t>appropriate at the time, continue to make its own credit decisions in taking or not taking action under this Agreement. Each Lender acknowledges the potential conflict of interest of each other Lender as a result of Lenders holding disproportionate interests in the Commitment and the Loans, and expressly consents to, and waives any claim based upon, such conflict of interest. Each Lender acknowledges and agrees that (a) the Financing Agreements set forth the terms of a commercial lending facility, (b) it is engaged in making, acquiring, purchasing or holding commercial loans in the ordinary course and is entering into this Agreement and the other Financing Agreements to which it is a party as a Lender for the purpose of making, acquiring, purchasing and/or holding the commercial loans set forth herein as may be applicable to it, and not for the purpose of making, acquiring, purchasing or holding any other type of financial instrument, (c) it is sophisticated with respect to decisions to make, acquire, purchase or hold the commercial loans applicable to it and either it or the Person exercising discretion in making its decisions to make, acquire, purchase or hold such commercial loans is experienced in making, acquiring, purchasing or holding commercial loans and (d) it has all licenses, permits and approvals necessary for use of the reference rates referred to herein that are applicable to the Loans and other extensions of credit required to be made by it hereunder and it will take all actions necessary to comply, preserve, renew and keep in full force and effect any such licenses, permits and approvals.</w:t>
      </w:r>
    </w:p>
    <w:p>
      <w:pPr>
        <w:spacing w:after="0" w:line="1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11.6</w:t>
        <w:tab/>
        <w:t>Indemnification</w:t>
      </w:r>
    </w:p>
    <w:p>
      <w:pPr>
        <w:spacing w:after="0" w:line="2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 xml:space="preserve">Lenders agree to indemnify Agent (to the extent not reimbursed by Credit Parties and without limiting the obligations of Credit Parties hereunder), ratably according to their respective Pro Rata Shares, from and against any and all liabilities, obligations, losses, damages, penalties, actions, judgments, suits, costs, expenses or disbursements of any kind or nature whatsoever that may be imposed on, incurred by, or asserted against Agent in any way relating to or arising out of this Agreement or any other Financing Agreement or any action taken or omitted to be taken by Agent in connection therewith;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no Lender shall be liable for any portion of such liabilities, obligations, losses, damages, penalties, actions, judgments, suits, costs, expenses or disbursements resulting from Agent’s gross negligence or willful misconduct as determined by a final and non-appealable judgment or court order binding on Agent of a court of competent jurisdiction. Without limiting the foregoing, each Lender agrees to reimburse Agent promptly upon demand for its ratable share according to its Pro Rata Share of any out-of-pocket expenses (including reasonable fees of counsel) incurred by Agent in connection with the preparation, execution, delivery, administration, modification, amendment or enforcement (whether through negotiations, legal proceedings or otherwise) of, or legal advice in respect of rights or responsibilities under, this Agreement and each other Financing Agreement, to the extent that Agent is not reimbursed for such expenses by Credit Parties.</w:t>
      </w:r>
    </w:p>
    <w:p>
      <w:pPr>
        <w:spacing w:after="0" w:line="14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11.7</w:t>
        <w:tab/>
        <w:t>Failure to Act</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Except for action expressly required of Agent hereunder and under the other Financing Agreements, Agent shall in all cases be fully justified in failing or refusing to act hereunder and thereunder unless it shall receive further assurances to its satisfaction from Lenders of their indemnification obligations under </w:t>
      </w:r>
      <w:r>
        <w:rPr>
          <w:rFonts w:ascii="Times New Roman" w:cs="Times New Roman" w:eastAsia="Times New Roman" w:hAnsi="Times New Roman"/>
          <w:sz w:val="21"/>
          <w:szCs w:val="21"/>
          <w:u w:val="single" w:color="auto"/>
          <w:color w:val="auto"/>
        </w:rPr>
        <w:t>Section 11.6</w:t>
      </w:r>
      <w:r>
        <w:rPr>
          <w:rFonts w:ascii="Times New Roman" w:cs="Times New Roman" w:eastAsia="Times New Roman" w:hAnsi="Times New Roman"/>
          <w:sz w:val="21"/>
          <w:szCs w:val="21"/>
          <w:color w:val="auto"/>
        </w:rPr>
        <w:t xml:space="preserve"> hereof against any and all liability and expense that may be incurred by it by reason of taking or continuing to take any such action or if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3"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21"/>
          <w:szCs w:val="21"/>
          <w:color w:val="auto"/>
        </w:rPr>
        <w:t>action may effect a forfeiture, modification or termination of property of a Defaulting Lender in violation of any Insolvency Law.</w:t>
      </w:r>
    </w:p>
    <w:p>
      <w:pPr>
        <w:spacing w:after="0" w:line="19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11.8</w:t>
        <w:tab/>
        <w:t>Concerning the Collateral and the Related Financing Agreements</w:t>
      </w:r>
    </w:p>
    <w:p>
      <w:pPr>
        <w:spacing w:after="0" w:line="218" w:lineRule="exact"/>
        <w:rPr>
          <w:sz w:val="20"/>
          <w:szCs w:val="20"/>
          <w:color w:val="auto"/>
        </w:rPr>
      </w:pPr>
    </w:p>
    <w:p>
      <w:pPr>
        <w:jc w:val="both"/>
        <w:ind w:firstLine="7"/>
        <w:spacing w:after="0" w:line="270" w:lineRule="auto"/>
        <w:tabs>
          <w:tab w:leader="none" w:pos="640" w:val="left"/>
        </w:tabs>
        <w:numPr>
          <w:ilvl w:val="0"/>
          <w:numId w:val="2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authorizes and directs Agent to enter into this Agreement and the other Financing Agreements. Each Lender agrees that any action taken by Agent in accordance with the terms of this Agreement or the other Financing Agreements and the exercise by Agent of its powers set forth therein or herein, together with such other powers that are reasonably incidental thereto, shall be binding upon Lenders.</w:t>
      </w:r>
    </w:p>
    <w:p>
      <w:pPr>
        <w:spacing w:after="0" w:line="12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b w:val="1"/>
          <w:bCs w:val="1"/>
          <w:color w:val="auto"/>
        </w:rPr>
        <w:t>11.9</w:t>
        <w:tab/>
        <w:t>Reports and other Information; Disclaimer by Lenders.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signing this Agreement, each Lender:</w:t>
      </w:r>
    </w:p>
    <w:p>
      <w:pPr>
        <w:spacing w:after="0" w:line="201" w:lineRule="exact"/>
        <w:rPr>
          <w:sz w:val="20"/>
          <w:szCs w:val="20"/>
          <w:color w:val="auto"/>
        </w:rPr>
      </w:pPr>
    </w:p>
    <w:p>
      <w:pPr>
        <w:jc w:val="both"/>
        <w:ind w:left="1300" w:hanging="649"/>
        <w:spacing w:after="0" w:line="229" w:lineRule="auto"/>
        <w:tabs>
          <w:tab w:leader="none" w:pos="1297"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deemed to have requested that Agent furnish such Lender, within a reasonable time after it becomes available to Agent, a copy of each report, Compliance Certificate and/or other documentation (each such report, certificate or documentation being referred to herein as a “</w:t>
      </w:r>
      <w:r>
        <w:rPr>
          <w:rFonts w:ascii="Times New Roman" w:cs="Times New Roman" w:eastAsia="Times New Roman" w:hAnsi="Times New Roman"/>
          <w:sz w:val="21"/>
          <w:szCs w:val="21"/>
          <w:b w:val="1"/>
          <w:bCs w:val="1"/>
          <w:color w:val="auto"/>
        </w:rPr>
        <w:t>Report</w:t>
      </w:r>
      <w:r>
        <w:rPr>
          <w:rFonts w:ascii="Times New Roman" w:cs="Times New Roman" w:eastAsia="Times New Roman" w:hAnsi="Times New Roman"/>
          <w:sz w:val="21"/>
          <w:szCs w:val="21"/>
          <w:color w:val="auto"/>
        </w:rPr>
        <w:t>” and collectively, “</w:t>
      </w:r>
      <w:r>
        <w:rPr>
          <w:rFonts w:ascii="Times New Roman" w:cs="Times New Roman" w:eastAsia="Times New Roman" w:hAnsi="Times New Roman"/>
          <w:sz w:val="21"/>
          <w:szCs w:val="21"/>
          <w:b w:val="1"/>
          <w:bCs w:val="1"/>
          <w:color w:val="auto"/>
        </w:rPr>
        <w:t>Reports</w:t>
      </w:r>
      <w:r>
        <w:rPr>
          <w:rFonts w:ascii="Times New Roman" w:cs="Times New Roman" w:eastAsia="Times New Roman" w:hAnsi="Times New Roman"/>
          <w:sz w:val="21"/>
          <w:szCs w:val="21"/>
          <w:color w:val="auto"/>
        </w:rPr>
        <w:t>”) provided to Agent by Credit Parties pursuant to the Financing Agreements;</w:t>
      </w:r>
    </w:p>
    <w:p>
      <w:pPr>
        <w:spacing w:after="0" w:line="150"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expressly agrees and acknowledges that Agent (i) does not make any representation or warranty as to the accuracy of any Report, or (ii) shall not be liable for any information contained in any Report; and</w:t>
      </w:r>
    </w:p>
    <w:p>
      <w:pPr>
        <w:spacing w:after="0" w:line="140" w:lineRule="exact"/>
        <w:rPr>
          <w:rFonts w:ascii="Times New Roman" w:cs="Times New Roman" w:eastAsia="Times New Roman" w:hAnsi="Times New Roman"/>
          <w:sz w:val="21"/>
          <w:szCs w:val="21"/>
          <w:color w:val="auto"/>
        </w:rPr>
      </w:pPr>
    </w:p>
    <w:p>
      <w:pPr>
        <w:ind w:left="1300" w:hanging="649"/>
        <w:spacing w:after="0"/>
        <w:tabs>
          <w:tab w:leader="none" w:pos="1300" w:val="left"/>
        </w:tabs>
        <w:numPr>
          <w:ilvl w:val="0"/>
          <w:numId w:val="2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agrees to keep all Reports confidential in accordance with </w:t>
      </w:r>
      <w:r>
        <w:rPr>
          <w:rFonts w:ascii="Times New Roman" w:cs="Times New Roman" w:eastAsia="Times New Roman" w:hAnsi="Times New Roman"/>
          <w:sz w:val="21"/>
          <w:szCs w:val="21"/>
          <w:u w:val="single" w:color="auto"/>
          <w:color w:val="auto"/>
        </w:rPr>
        <w:t>Section 7.11(b)</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11.10  Collateral Matters</w:t>
      </w:r>
    </w:p>
    <w:p>
      <w:pPr>
        <w:spacing w:after="0" w:line="191" w:lineRule="exact"/>
        <w:rPr>
          <w:sz w:val="20"/>
          <w:szCs w:val="20"/>
          <w:color w:val="auto"/>
        </w:rPr>
      </w:pPr>
    </w:p>
    <w:p>
      <w:pPr>
        <w:jc w:val="both"/>
        <w:ind w:left="1300" w:hanging="649"/>
        <w:spacing w:after="0" w:line="225" w:lineRule="auto"/>
        <w:tabs>
          <w:tab w:leader="none" w:pos="1297" w:val="left"/>
        </w:tabs>
        <w:numPr>
          <w:ilvl w:val="0"/>
          <w:numId w:val="2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Lenders (including in its or any of its Affiliate’s capacities as a potential Hedge Bank or Cash Management Bank) hereby irrevocably authorize Agent at its option and in its discretion to release any Lien upon any of the Collateral</w:t>
      </w:r>
    </w:p>
    <w:p>
      <w:pPr>
        <w:jc w:val="both"/>
        <w:ind w:left="1300"/>
        <w:spacing w:after="0" w:line="21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upon termination of the Commitment and payment and satisfaction of all of the non-contingent Obligations and delivery of cash collateral to the extent required under </w:t>
      </w:r>
      <w:r>
        <w:rPr>
          <w:rFonts w:ascii="Times New Roman" w:cs="Times New Roman" w:eastAsia="Times New Roman" w:hAnsi="Times New Roman"/>
          <w:sz w:val="21"/>
          <w:szCs w:val="21"/>
          <w:u w:val="single" w:color="auto"/>
          <w:color w:val="auto"/>
        </w:rPr>
        <w:t>Section 2.3(a)</w:t>
      </w:r>
      <w:r>
        <w:rPr>
          <w:rFonts w:ascii="Times New Roman" w:cs="Times New Roman" w:eastAsia="Times New Roman" w:hAnsi="Times New Roman"/>
          <w:sz w:val="21"/>
          <w:szCs w:val="21"/>
          <w:color w:val="auto"/>
        </w:rPr>
        <w:t xml:space="preserve">; or (ii) constituting property being sold or disposed of if such sale or disposition is permitted by this Agreement (or permitted pursuant to a waiver of or consent to a transaction otherwise prohibited by this Agreement); or (iii) constituting property in which applicable Credit Party did not own an interest at the time the Lien was granted or at any time thereafter; or (iv) if required under the terms of any of the other Financing Agreements, including any intercreditor agreement; or (v) approved, authorized or ratified in writing in accordance with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 xml:space="preserve"> hereof. Lenders hereby irrevocably authorize Agent to subordinate its Lien upon the specific Collateral on which another Person has a Lien as permitted under </w:t>
      </w:r>
      <w:r>
        <w:rPr>
          <w:rFonts w:ascii="Times New Roman" w:cs="Times New Roman" w:eastAsia="Times New Roman" w:hAnsi="Times New Roman"/>
          <w:sz w:val="21"/>
          <w:szCs w:val="21"/>
          <w:u w:val="single" w:color="auto"/>
          <w:color w:val="auto"/>
        </w:rPr>
        <w:t>Section 8.2</w:t>
      </w:r>
      <w:r>
        <w:rPr>
          <w:rFonts w:ascii="Times New Roman" w:cs="Times New Roman" w:eastAsia="Times New Roman" w:hAnsi="Times New Roman"/>
          <w:sz w:val="21"/>
          <w:szCs w:val="21"/>
          <w:color w:val="auto"/>
        </w:rPr>
        <w:t xml:space="preserve"> and if such Person will not permit Agent to retain its Lien on such Collateral, Lenders hereby irrevocably authorize Agent to release its Lien upon such Collateral. Except as provided above, Agent will not release any Lien upon any of the Collateral without the prior written authorization required in accordance with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 xml:space="preserve"> hereof. In addition, each Lender (including in its or any of its Affiliate’s capacities as a potential Hedge Bank or Cash Management Bank) hereby irrevocably authorizes Agent at its option and in its discretion to release or terminate any control agreements entered into pursuant to </w:t>
      </w:r>
      <w:r>
        <w:rPr>
          <w:rFonts w:ascii="Times New Roman" w:cs="Times New Roman" w:eastAsia="Times New Roman" w:hAnsi="Times New Roman"/>
          <w:sz w:val="21"/>
          <w:szCs w:val="21"/>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3" w:right="339" w:bottom="1440" w:gutter="0" w:footer="0" w:header="0"/>
        </w:sectPr>
      </w:pPr>
    </w:p>
    <w:bookmarkStart w:id="208" w:name="page209"/>
    <w:bookmarkEnd w:id="208"/>
    <w:p>
      <w:pPr>
        <w:jc w:val="both"/>
        <w:ind w:left="1300"/>
        <w:spacing w:after="0" w:line="234" w:lineRule="auto"/>
        <w:rPr>
          <w:sz w:val="20"/>
          <w:szCs w:val="20"/>
          <w:color w:val="auto"/>
        </w:rPr>
      </w:pPr>
      <w:r>
        <w:rPr>
          <w:rFonts w:ascii="Times New Roman" w:cs="Times New Roman" w:eastAsia="Times New Roman" w:hAnsi="Times New Roman"/>
          <w:sz w:val="21"/>
          <w:szCs w:val="21"/>
          <w:u w:val="single" w:color="auto"/>
          <w:color w:val="auto"/>
        </w:rPr>
        <w:t>7.14(b)</w:t>
      </w:r>
      <w:r>
        <w:rPr>
          <w:rFonts w:ascii="Times New Roman" w:cs="Times New Roman" w:eastAsia="Times New Roman" w:hAnsi="Times New Roman"/>
          <w:sz w:val="21"/>
          <w:szCs w:val="21"/>
          <w:color w:val="auto"/>
        </w:rPr>
        <w:t xml:space="preserve"> of the Sixth Amended and Restated Credit Agreement as contemplated by </w:t>
      </w:r>
      <w:r>
        <w:rPr>
          <w:rFonts w:ascii="Times New Roman" w:cs="Times New Roman" w:eastAsia="Times New Roman" w:hAnsi="Times New Roman"/>
          <w:sz w:val="21"/>
          <w:szCs w:val="21"/>
          <w:u w:val="single" w:color="auto"/>
          <w:color w:val="auto"/>
        </w:rPr>
        <w:t>Section 7.14(c)</w:t>
      </w:r>
      <w:r>
        <w:rPr>
          <w:rFonts w:ascii="Times New Roman" w:cs="Times New Roman" w:eastAsia="Times New Roman" w:hAnsi="Times New Roman"/>
          <w:sz w:val="21"/>
          <w:szCs w:val="21"/>
          <w:color w:val="auto"/>
        </w:rPr>
        <w:t xml:space="preserve"> of the Sixth Amended and Restated Credit Agreement without any further consent or action by such Lender or any of its Affiliates.</w:t>
      </w:r>
    </w:p>
    <w:p>
      <w:pPr>
        <w:spacing w:after="0" w:line="152" w:lineRule="exact"/>
        <w:rPr>
          <w:sz w:val="20"/>
          <w:szCs w:val="20"/>
          <w:color w:val="auto"/>
        </w:rPr>
      </w:pPr>
    </w:p>
    <w:p>
      <w:pPr>
        <w:jc w:val="both"/>
        <w:ind w:left="1300" w:hanging="649"/>
        <w:spacing w:after="0" w:line="220" w:lineRule="auto"/>
        <w:tabs>
          <w:tab w:leader="none" w:pos="1295"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Without in any manner limiting Agent’s authority to act without any specific or further authorization or consent by applicable Lenders, each Lender, as applicable, agrees to confirm in writing, upon request by Agent, the authority to release Collateral conferred upon Agent under this Agreement. Agent shall (and is hereby irrevocably authorized by Lenders to) execute and deliver to the applicable Credit Party such documents as such Credit Party may reasonably request to evidence the release of the Liens granted to Agent upon any Collateral or to evidence the release of such Credit Party from its Obligations under the Financing Agreements in each case in accordance with the terms of the Financing Agreements and this </w:t>
      </w:r>
      <w:r>
        <w:rPr>
          <w:rFonts w:ascii="Times New Roman" w:cs="Times New Roman" w:eastAsia="Times New Roman" w:hAnsi="Times New Roman"/>
          <w:sz w:val="21"/>
          <w:szCs w:val="21"/>
          <w:u w:val="single" w:color="auto"/>
          <w:color w:val="auto"/>
        </w:rPr>
        <w:t>Section 11.10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such release shall not in any manner discharge, affect or impair the Obligations or any Lien upon (or obligations of any Credit Party in respect of) the Collateral retained by such Credit Party.</w:t>
      </w:r>
    </w:p>
    <w:p>
      <w:pPr>
        <w:spacing w:after="0" w:line="152" w:lineRule="exact"/>
        <w:rPr>
          <w:rFonts w:ascii="Times New Roman" w:cs="Times New Roman" w:eastAsia="Times New Roman" w:hAnsi="Times New Roman"/>
          <w:sz w:val="21"/>
          <w:szCs w:val="21"/>
          <w:color w:val="auto"/>
        </w:rPr>
      </w:pPr>
    </w:p>
    <w:p>
      <w:pPr>
        <w:jc w:val="both"/>
        <w:ind w:left="1300" w:hanging="649"/>
        <w:spacing w:after="0" w:line="219" w:lineRule="auto"/>
        <w:tabs>
          <w:tab w:leader="none" w:pos="1297"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the exercise of reasonable care in the custody of any Collateral in its possession and the accounting for moneys actually received by it hereunder, Agent shall have no obligation whatsoever to any Lender or any other Person to investigate, confirm or assure that the Collateral exists or is owned by any Credit Party or is cared for, protected or insured or has been encumbered, or that the Liens granted to Agent pursuant hereto or any of the Financing Agreements or otherwise have been properly or sufficiently or lawfully created, perfected, protected or enforced or are entitled to any particular priority, or to exercise at all or in any particular manner or under any duty of care, disclosure or fidelity, or to continue exercising, any of the rights, authorities and powers granted or available to Agent in this Agreement or in any of the other Financing Agreements, it being understood and agreed that in respect of Collateral, or any act, omission or event related thereto, Agent may act in any manner it may deem appropriate, in its discretion, given Agent’s own interest in the Collateral as a Lender and that Agent shall have no duty or liability whatsoever to any other Lender.</w:t>
      </w:r>
    </w:p>
    <w:p>
      <w:pPr>
        <w:spacing w:after="0" w:line="149" w:lineRule="exact"/>
        <w:rPr>
          <w:rFonts w:ascii="Times New Roman" w:cs="Times New Roman" w:eastAsia="Times New Roman" w:hAnsi="Times New Roman"/>
          <w:sz w:val="21"/>
          <w:szCs w:val="21"/>
          <w:color w:val="auto"/>
        </w:rPr>
      </w:pPr>
    </w:p>
    <w:p>
      <w:pPr>
        <w:jc w:val="both"/>
        <w:ind w:left="1300" w:hanging="649"/>
        <w:spacing w:after="0" w:line="217" w:lineRule="auto"/>
        <w:tabs>
          <w:tab w:leader="none" w:pos="1295" w:val="left"/>
        </w:tabs>
        <w:numPr>
          <w:ilvl w:val="0"/>
          <w:numId w:val="2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hereunder (i) agrees that it will be bound by and will take no actions contrary to the provisions of the Intercreditor Agreement, as applicable, and (ii) authorizes and instructs Agent, to the extent required by the terms of the Financing Agreements, to enter into any Intercreditor Agreements contemplated by this Agreement as Agent on behalf of such Lender. Each Lender hereby further agrees that (i) Agent may, from time to time, without any further consent of any Lender, enter into any Intercreditor Agreement, any subordination agreement or other intercreditor agreement contemplated by this Agreement with the collateral agent or other representatives of the holders of Debt that is permitted to be secured by a Lien on the Collateral under this Agreement, in each case, in order to effect the relative priority of Liens on the Collateral and to provide for certain additional rights, obligations and limitations in respect of, any Liens permitted by the terms of this Agreement to be </w:t>
      </w:r>
      <w:r>
        <w:rPr>
          <w:rFonts w:ascii="Times New Roman" w:cs="Times New Roman" w:eastAsia="Times New Roman" w:hAnsi="Times New Roman"/>
          <w:sz w:val="21"/>
          <w:szCs w:val="21"/>
          <w:i w:val="1"/>
          <w:iCs w:val="1"/>
          <w:color w:val="auto"/>
        </w:rPr>
        <w:t>pari passu</w:t>
      </w:r>
      <w:r>
        <w:rPr>
          <w:rFonts w:ascii="Times New Roman" w:cs="Times New Roman" w:eastAsia="Times New Roman" w:hAnsi="Times New Roman"/>
          <w:sz w:val="21"/>
          <w:szCs w:val="21"/>
          <w:color w:val="auto"/>
        </w:rPr>
        <w:t xml:space="preserve"> with or junior or senior to the Liens securing the Obligations with respect to part or all of the Collateral, which are, in each case, incurred in accordance with this Agreement, and to establish certain relative rights as between the holders of the Obligations and the holders of the Debt secured by such Liens, and (ii) such Intercreditor Agreements and any other subordination agreement or intercreditor agreement referred to in the foregoing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entered into by Agent shall be binding on the Secured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09" w:name="page210"/>
    <w:bookmarkEnd w:id="209"/>
    <w:p>
      <w:pPr>
        <w:jc w:val="both"/>
        <w:ind w:left="1300" w:hanging="649"/>
        <w:spacing w:after="0" w:line="220" w:lineRule="auto"/>
        <w:tabs>
          <w:tab w:leader="none" w:pos="1297" w:val="left"/>
        </w:tabs>
        <w:numPr>
          <w:ilvl w:val="0"/>
          <w:numId w:val="2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else in this Agreement to the contrary, the Lenders hereby agree that any Liens granted to Agent or the Secured Parties (or Agent for the benefit of the Secured Parties) on (i) the proceeds of any Letter of Credit Accommodations made under the Letter of Credit Accommodations Sublimit (as increased thereunder) or, if applicable, the proceeds of any Revolving Loans, in each case, that are used to finance the Specified Transaction and any costs and expenses related thereto (such proceeds, the “</w:t>
      </w:r>
      <w:r>
        <w:rPr>
          <w:rFonts w:ascii="Times New Roman" w:cs="Times New Roman" w:eastAsia="Times New Roman" w:hAnsi="Times New Roman"/>
          <w:sz w:val="21"/>
          <w:szCs w:val="21"/>
          <w:b w:val="1"/>
          <w:bCs w:val="1"/>
          <w:color w:val="auto"/>
        </w:rPr>
        <w:t>Specified Transaction Proceeds</w:t>
      </w:r>
      <w:r>
        <w:rPr>
          <w:rFonts w:ascii="Times New Roman" w:cs="Times New Roman" w:eastAsia="Times New Roman" w:hAnsi="Times New Roman"/>
          <w:sz w:val="21"/>
          <w:szCs w:val="21"/>
          <w:color w:val="auto"/>
        </w:rPr>
        <w:t xml:space="preserve">”) and (ii) any account or accounts into which the Specified Transaction Proceeds are deposited in connection with the Specified Transaction, in each case, shall be automatically released without any further consent or action by any party (x) in the case of </w:t>
      </w:r>
      <w:r>
        <w:rPr>
          <w:rFonts w:ascii="Times New Roman" w:cs="Times New Roman" w:eastAsia="Times New Roman" w:hAnsi="Times New Roman"/>
          <w:sz w:val="21"/>
          <w:szCs w:val="21"/>
          <w:u w:val="single" w:color="auto"/>
          <w:color w:val="auto"/>
        </w:rPr>
        <w:t>clause (i)</w:t>
      </w:r>
      <w:r>
        <w:rPr>
          <w:rFonts w:ascii="Times New Roman" w:cs="Times New Roman" w:eastAsia="Times New Roman" w:hAnsi="Times New Roman"/>
          <w:sz w:val="21"/>
          <w:szCs w:val="21"/>
          <w:color w:val="auto"/>
        </w:rPr>
        <w:t xml:space="preserve">, at the time such Specified Transaction Proceeds are used in accordance therewith and (y) in the case of </w:t>
      </w:r>
      <w:r>
        <w:rPr>
          <w:rFonts w:ascii="Times New Roman" w:cs="Times New Roman" w:eastAsia="Times New Roman" w:hAnsi="Times New Roman"/>
          <w:sz w:val="21"/>
          <w:szCs w:val="21"/>
          <w:u w:val="single" w:color="auto"/>
          <w:color w:val="auto"/>
        </w:rPr>
        <w:t>clause (ii)</w:t>
      </w:r>
      <w:r>
        <w:rPr>
          <w:rFonts w:ascii="Times New Roman" w:cs="Times New Roman" w:eastAsia="Times New Roman" w:hAnsi="Times New Roman"/>
          <w:sz w:val="21"/>
          <w:szCs w:val="21"/>
          <w:color w:val="auto"/>
        </w:rPr>
        <w:t>, at the time such Specified Transaction Proceeds are deposited in accordance therewith.</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11.11  Successor Agent and Resignation of Swingline Lender</w:t>
      </w:r>
    </w:p>
    <w:p>
      <w:pPr>
        <w:spacing w:after="0" w:line="191" w:lineRule="exact"/>
        <w:rPr>
          <w:sz w:val="20"/>
          <w:szCs w:val="20"/>
          <w:color w:val="auto"/>
        </w:rPr>
      </w:pPr>
    </w:p>
    <w:p>
      <w:pPr>
        <w:jc w:val="both"/>
        <w:ind w:left="1300" w:hanging="649"/>
        <w:spacing w:after="0" w:line="223" w:lineRule="auto"/>
        <w:tabs>
          <w:tab w:leader="none" w:pos="1297" w:val="left"/>
        </w:tabs>
        <w:numPr>
          <w:ilvl w:val="0"/>
          <w:numId w:val="2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Agent may resign at any time by giving not less than thirty (30) days’ prior written notice thereof to Lenders and Borrower. If the Person serving as Agent is a Defaulting Lender pursuant to clause (d) of the definition thereof, the Required Lenders and the Borrower may, to the extent permitted by Applicable Law, by notice in writing to the Borrower, the Lenders and such Person, remove such Person as Agent. Upon any such resignation or removal, Required Lenders shall have the right to appoint a successor Agent. If no successor Agent shall have been so appointed by Required Lenders and shall have accepted such appointment within thirty (30) days after the resigning Agent’s giving notice of resignation or the date of the applicable notice of removal, then the resigning or removed Agent may, on behalf of Lenders, appoint a successor Agent, which shall be a Lender, if a Lender is willing to accept such appointment, or otherwise shall be a commercial bank or financial institution or a subsidiary of a commercial bank or financial institution if such commercial bank or financial institution or other entity whose business includes making commercial loans, in each case, is organized under the laws of Canada, the United States or any province or state thereof and has total assets in excess of $1,000,000,000, or the foreign currency equivalent thereof. If no successor Agent has been appointed pursuant to the foregoing, within 30 days after the date such notice of resignation or removal was given, such resignation or removal shall become effective and Required Lenders shall thereafter perform all the duties of Agent hereunder until such time, if any, as Required Lenders appoint a successor Agent as provided above. Any successor Agent appointed by Required Lenders hereunder shall be subject to the approval of Borrower, such approval not to be unreasonably withheld or delayed;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such approval shall not be required if a Payment/Insolvency Event of Default has occurred and is continuing. Upon the acceptance of any appointment as Agent hereunder by a successor Agent, such successor Agent shall succeed to and become vested with all the rights, powers, privileges and duties of the resigning or removed Agent. Upon the earlier of the acceptance of any appointment as Agent hereunder by a successor Agent or the effective date of the resigning Agent’s resignation or the removed Agent’s removal (as the case may be), the resigning or removed Agent shall be discharged from its duties and obligations under this Agreement and the other Financing Agreements, except that any indemnity rights or other rights in favor of such resigning or removed Agent shall continue. After any resigning or removed Agent’s resignation or removal hereunder, the provisions of this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w:t>
      </w:r>
      <w:r>
        <w:rPr>
          <w:rFonts w:ascii="Times New Roman" w:cs="Times New Roman" w:eastAsia="Times New Roman" w:hAnsi="Times New Roman"/>
          <w:sz w:val="21"/>
          <w:szCs w:val="21"/>
          <w:color w:val="auto"/>
        </w:rPr>
        <w:t xml:space="preserve"> shall inure to its benefit as to any actions taken or omitted to be taken by it while it was acting as Agent under this Agreement and the other Financing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10" w:name="page211"/>
    <w:bookmarkEnd w:id="210"/>
    <w:p>
      <w:pPr>
        <w:jc w:val="both"/>
        <w:ind w:left="1300" w:hanging="649"/>
        <w:spacing w:after="0" w:line="226" w:lineRule="auto"/>
        <w:tabs>
          <w:tab w:leader="none" w:pos="1295" w:val="left"/>
        </w:tabs>
        <w:numPr>
          <w:ilvl w:val="0"/>
          <w:numId w:val="2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Swingline Lender may resign at any time by giving 30 days’ prior notice to Agent, Lenders and Borrower. After the resignation of a Swingline Lender hereunder, the retiring Swingline Lender shall remain a party hereto and shall continue to have all the rights and obligations of a Swingline Lender under this Agreement and the other Financing Agreements with respect to Swingline Loans made by it prior to such resignation, but shall not be required to make any additional Swingline Loans.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11.12  Setoff and Sharing of Payments</w:t>
      </w:r>
    </w:p>
    <w:p>
      <w:pPr>
        <w:spacing w:after="0" w:line="2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 xml:space="preserve">In addition to any rights now or hereafter granted under Applicable Law and not by way of limitation of any such rights, upon the occurrence and during the continuance of any Event of Default and subject to </w:t>
      </w:r>
      <w:r>
        <w:rPr>
          <w:rFonts w:ascii="Times New Roman" w:cs="Times New Roman" w:eastAsia="Times New Roman" w:hAnsi="Times New Roman"/>
          <w:sz w:val="21"/>
          <w:szCs w:val="21"/>
          <w:u w:val="single" w:color="auto"/>
          <w:color w:val="auto"/>
        </w:rPr>
        <w:t>Section 11.13(f)</w:t>
      </w:r>
      <w:r>
        <w:rPr>
          <w:rFonts w:ascii="Times New Roman" w:cs="Times New Roman" w:eastAsia="Times New Roman" w:hAnsi="Times New Roman"/>
          <w:sz w:val="21"/>
          <w:szCs w:val="21"/>
          <w:color w:val="auto"/>
        </w:rPr>
        <w:t xml:space="preserve">, each Lender and each of its respective Affiliates is hereby authorized at any time or from time to time, without notice to Borrower or to any other Person other than Agent, any such notice being hereby expressly waived, to setoff and to appropriate and to apply any and all balances held by it at any of its offices for the account of any Credit Party (regardless of whether such balances are then due to any Credit Party) and any other properties or assets (other than deposits in fiduciary accounts as to which a Credit Party is acting as fiduciary for another Person who is not a Credit Party and other than payroll or trust fund accounts) at any time held or owing by that Lender or any such Affiliates to or for the credit or for the account of any Credit Party against and on account of any of the Obligations that are not paid when due;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Lenders and their respective Affiliates exercising such setoff rights shall give notice thereof to such Credit Party promptly after exercising such rights;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further that in the event that any Defaulting Lender or any Affiliate thereof shall exercise any such right of setoff, (x) all amounts so setoff shall be paid over immediately to the Agent for further application in accordance with the provisions of </w:t>
      </w:r>
      <w:r>
        <w:rPr>
          <w:rFonts w:ascii="Times New Roman" w:cs="Times New Roman" w:eastAsia="Times New Roman" w:hAnsi="Times New Roman"/>
          <w:sz w:val="21"/>
          <w:szCs w:val="21"/>
          <w:u w:val="single" w:color="auto"/>
          <w:color w:val="auto"/>
        </w:rPr>
        <w:t>Section 3.8</w:t>
      </w:r>
      <w:r>
        <w:rPr>
          <w:rFonts w:ascii="Times New Roman" w:cs="Times New Roman" w:eastAsia="Times New Roman" w:hAnsi="Times New Roman"/>
          <w:sz w:val="21"/>
          <w:szCs w:val="21"/>
          <w:color w:val="auto"/>
        </w:rPr>
        <w:t xml:space="preserve"> and, pending such payment, shall be segregated by such Defaulting Lender or Affiliate of a Defaulting Lender from its other funds and deemed held in trust for the benefit of the Agent, the Issuing Lender, the Swingline Lender and the Lenders, and (y) the Defaulting Lender or its Affiliate shall provide promptly to the Agent a statement describing in reasonable detail the Obligations owing to such Defaulting Lender or any of its Affiliates as to which such right of setoff was exercised. Except in the case of (A) any payment made by the Borrower pursuant to and in accordance with the express terms of this Agreement (including the application of funds arising from the existence of a Defaulting Lender), or (B) the application of cash collateral provided for herein, any Lender or any of its Affiliates exercising a right of setoff or otherwise receiving any payment on account of the Obligations in excess of its Pro Rata Share thereof shall purchase for cash (and the other Lenders shall sell) such participations in each such other Lender’s Pro Rata Share of the Obligations as would be necessary to cause such Lender to share the amount so setoff or otherwise received with the other Lenders in accordance with their respective Pro Rata Shares. Each Credit Party agrees, to the fullest extent permitted by law that (a) any Lender may exercise its right to setoff with respect to amounts in excess of its Pro Rata Share of the Obligations and may sell participations in such amounts so setoff to the other Lenders; and (b) any Lender so purchasing a participation in a Loan made or other Obligations held by the other Lenders may exercise all rights of setoff, bankers’ lien, counterclaim or similar rights with respect to such participation as fully as if such Lender was a direct holder of the Loan and the other Obligations in the amount of such participation. Notwithstanding the foregoing, if all or any portion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11" w:name="page212"/>
    <w:bookmarkEnd w:id="211"/>
    <w:p>
      <w:pPr>
        <w:spacing w:after="0" w:line="290" w:lineRule="auto"/>
        <w:rPr>
          <w:sz w:val="20"/>
          <w:szCs w:val="20"/>
          <w:color w:val="auto"/>
        </w:rPr>
      </w:pPr>
      <w:r>
        <w:rPr>
          <w:rFonts w:ascii="Times New Roman" w:cs="Times New Roman" w:eastAsia="Times New Roman" w:hAnsi="Times New Roman"/>
          <w:sz w:val="21"/>
          <w:szCs w:val="21"/>
          <w:color w:val="auto"/>
        </w:rPr>
        <w:t>setoff amount or payment otherwise received is thereafter recovered from a Lender or any of its Affiliates that have exercised the right of setoff, the purchase of participations by that Lender shall be rescinded and the purchase price restored without interest.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11.13  Advances; Payments; Information; Actions in Concert</w:t>
      </w:r>
    </w:p>
    <w:p>
      <w:pPr>
        <w:spacing w:after="0" w:line="191" w:lineRule="exact"/>
        <w:rPr>
          <w:sz w:val="20"/>
          <w:szCs w:val="20"/>
          <w:color w:val="auto"/>
        </w:rPr>
      </w:pPr>
    </w:p>
    <w:p>
      <w:pPr>
        <w:ind w:left="1300" w:hanging="649"/>
        <w:spacing w:after="0"/>
        <w:tabs>
          <w:tab w:leader="none" w:pos="1300"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Advances; Payments</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left="1940" w:hanging="646"/>
        <w:spacing w:after="0" w:line="229" w:lineRule="auto"/>
        <w:tabs>
          <w:tab w:leader="none" w:pos="1928"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each funding notice provided by Agent to a Lender hereunder, Agent shall provide such Lender with written confirmation (by telephone, telecopy or email (if such Lender has provided email notice coordinates to Agent)) that all conditions precedent hereunder to such funding have been satisfied or waived in accordance with the terms hereof.</w:t>
      </w:r>
    </w:p>
    <w:p>
      <w:pPr>
        <w:spacing w:after="0" w:line="150" w:lineRule="exact"/>
        <w:rPr>
          <w:rFonts w:ascii="Times New Roman" w:cs="Times New Roman" w:eastAsia="Times New Roman" w:hAnsi="Times New Roman"/>
          <w:sz w:val="21"/>
          <w:szCs w:val="21"/>
          <w:color w:val="auto"/>
        </w:rPr>
      </w:pPr>
    </w:p>
    <w:p>
      <w:pPr>
        <w:jc w:val="both"/>
        <w:ind w:left="1940" w:hanging="646"/>
        <w:spacing w:after="0" w:line="219" w:lineRule="auto"/>
        <w:tabs>
          <w:tab w:leader="none" w:pos="1934"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Lender shall make the amount of such Lender’s Pro Rata Share of such Loan available to Agent in same day funds by wire transfer to Agent’s account not later than 12:00 noon (New York time) (or promptly thereafter) on the requested funding date (which must be a Business Day). Swingline Lender shall make the amount of the requested Swingline Loan available to Agent in same day funds by wire transfer to Agent’s account not later than 12:00 noon (New York time) (or promptly thereafter) on the requested funding date (which must be a Business Day). After receipt of such wire transfers (or, in Agent’s sole discretion, before receipt of such wire transfers), subject to the terms hereof, Agent shall make the requested Loan to Borrower. All payments by each Lender shall be made without setoff, counterclaim or deduction of any kind. Revolving Loans to be made for the purpose of refunding Swingline Loans shall be made by Revolving Lenders as provided in </w:t>
      </w:r>
      <w:r>
        <w:rPr>
          <w:rFonts w:ascii="Times New Roman" w:cs="Times New Roman" w:eastAsia="Times New Roman" w:hAnsi="Times New Roman"/>
          <w:sz w:val="21"/>
          <w:szCs w:val="21"/>
          <w:u w:val="single" w:color="auto"/>
          <w:color w:val="auto"/>
        </w:rPr>
        <w:t>Section 2.1(c)</w:t>
      </w:r>
      <w:r>
        <w:rPr>
          <w:rFonts w:ascii="Times New Roman" w:cs="Times New Roman" w:eastAsia="Times New Roman" w:hAnsi="Times New Roman"/>
          <w:sz w:val="21"/>
          <w:szCs w:val="21"/>
          <w:color w:val="auto"/>
        </w:rPr>
        <w:t>.</w:t>
      </w:r>
    </w:p>
    <w:p>
      <w:pPr>
        <w:spacing w:after="0" w:line="155" w:lineRule="exact"/>
        <w:rPr>
          <w:rFonts w:ascii="Times New Roman" w:cs="Times New Roman" w:eastAsia="Times New Roman" w:hAnsi="Times New Roman"/>
          <w:sz w:val="21"/>
          <w:szCs w:val="21"/>
          <w:color w:val="auto"/>
        </w:rPr>
      </w:pPr>
    </w:p>
    <w:p>
      <w:pPr>
        <w:jc w:val="both"/>
        <w:ind w:left="1940" w:hanging="646"/>
        <w:spacing w:after="0" w:line="213" w:lineRule="auto"/>
        <w:tabs>
          <w:tab w:leader="none" w:pos="1940" w:val="left"/>
        </w:tabs>
        <w:numPr>
          <w:ilvl w:val="1"/>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fifth (5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Business Day of each Fiscal Quarter or more frequently at Agent’s election (each, a “</w:t>
      </w:r>
      <w:r>
        <w:rPr>
          <w:rFonts w:ascii="Times New Roman" w:cs="Times New Roman" w:eastAsia="Times New Roman" w:hAnsi="Times New Roman"/>
          <w:sz w:val="21"/>
          <w:szCs w:val="21"/>
          <w:b w:val="1"/>
          <w:bCs w:val="1"/>
          <w:color w:val="auto"/>
        </w:rPr>
        <w:t>Settlement Date</w:t>
      </w:r>
      <w:r>
        <w:rPr>
          <w:rFonts w:ascii="Times New Roman" w:cs="Times New Roman" w:eastAsia="Times New Roman" w:hAnsi="Times New Roman"/>
          <w:sz w:val="21"/>
          <w:szCs w:val="21"/>
          <w:color w:val="auto"/>
        </w:rPr>
        <w:t xml:space="preserve">”), Agent shall advise each Lender by telephone, telecopy or email (if such Lender has provided email notice coordinates to Agent) of the amount of such Lender’s Pro Rata Share of principal, interest and fees paid for the benefit of Lenders with respect to each applicable Loan. Provided that each Lender has funded all payments and Loans required to be made by it and purchased all participations required to be purchased by it under this Agreement and the other Financing Agreements as of such Settlement Date, Agent shall pay to each Lender such Lender’s Pro Rata Share of principal, interest and fees paid by Borrower since the previous Settlement Date for the benefit of such Lender on the portion of the Loans held by it. Notwithstanding the foregoing, if there exists a Defaulting Lender each payment by the Borrower to such Defaulting Lender hereunder shall be applied in accordance with </w:t>
      </w:r>
      <w:r>
        <w:rPr>
          <w:rFonts w:ascii="Times New Roman" w:cs="Times New Roman" w:eastAsia="Times New Roman" w:hAnsi="Times New Roman"/>
          <w:sz w:val="21"/>
          <w:szCs w:val="21"/>
          <w:u w:val="single" w:color="auto"/>
          <w:color w:val="auto"/>
        </w:rPr>
        <w:t>Section 3.8(a)(i)</w:t>
      </w:r>
      <w:r>
        <w:rPr>
          <w:rFonts w:ascii="Times New Roman" w:cs="Times New Roman" w:eastAsia="Times New Roman" w:hAnsi="Times New Roman"/>
          <w:sz w:val="21"/>
          <w:szCs w:val="21"/>
          <w:color w:val="auto"/>
        </w:rPr>
        <w:t>. Such payments shall be made by wire transfer to such Lender’s account not later than 2:00 p.m. (New York time) on the next Business Day following each Settlement Date. Each payment to Agent on account of the principal of or interest on the Swingline Loans or of any fee, commission or other amounts payable to Swingline Lender shall be made in like manner, but for the account of Swingline Lender.</w:t>
      </w:r>
    </w:p>
    <w:p>
      <w:pPr>
        <w:spacing w:after="0" w:line="155" w:lineRule="exact"/>
        <w:rPr>
          <w:rFonts w:ascii="Times New Roman" w:cs="Times New Roman" w:eastAsia="Times New Roman" w:hAnsi="Times New Roman"/>
          <w:sz w:val="21"/>
          <w:szCs w:val="21"/>
          <w:color w:val="auto"/>
        </w:rPr>
      </w:pPr>
    </w:p>
    <w:p>
      <w:pPr>
        <w:ind w:left="1300" w:hanging="649"/>
        <w:spacing w:after="0" w:line="250" w:lineRule="auto"/>
        <w:tabs>
          <w:tab w:leader="none" w:pos="1295" w:val="left"/>
        </w:tabs>
        <w:numPr>
          <w:ilvl w:val="0"/>
          <w:numId w:val="2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Availability of Lender’s Pro Rata Share</w:t>
      </w:r>
      <w:r>
        <w:rPr>
          <w:rFonts w:ascii="Times New Roman" w:cs="Times New Roman" w:eastAsia="Times New Roman" w:hAnsi="Times New Roman"/>
          <w:sz w:val="21"/>
          <w:szCs w:val="21"/>
          <w:color w:val="auto"/>
        </w:rPr>
        <w:t>. Agent may assume that each Lender will make its Pro Rata Share of each Loan available to Agent on each funding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3" w:right="339" w:bottom="1440" w:gutter="0" w:footer="0" w:header="0"/>
        </w:sectPr>
      </w:pPr>
    </w:p>
    <w:bookmarkStart w:id="212" w:name="page213"/>
    <w:bookmarkEnd w:id="212"/>
    <w:p>
      <w:pPr>
        <w:jc w:val="both"/>
        <w:ind w:left="1300"/>
        <w:spacing w:after="0" w:line="219" w:lineRule="auto"/>
        <w:rPr>
          <w:sz w:val="20"/>
          <w:szCs w:val="20"/>
          <w:color w:val="auto"/>
        </w:rPr>
      </w:pPr>
      <w:r>
        <w:rPr>
          <w:rFonts w:ascii="Times New Roman" w:cs="Times New Roman" w:eastAsia="Times New Roman" w:hAnsi="Times New Roman"/>
          <w:sz w:val="21"/>
          <w:szCs w:val="21"/>
          <w:color w:val="auto"/>
        </w:rPr>
        <w:t xml:space="preserve">(which must be a Business Day). If such Pro Rata Share is not, in fact, paid to Agent by such Lender when due, Agent will be entitled to recover such amount on demand from such Lender without setoff, counterclaim or deduction of any kind. If any Lender fails to pay the amount of its Pro Rata Share forthwith upon Agent’s demand, Agent shall promptly notify Borrower and Borrower shall immediately repay such amount to Agent. Nothing in this </w:t>
      </w:r>
      <w:r>
        <w:rPr>
          <w:rFonts w:ascii="Times New Roman" w:cs="Times New Roman" w:eastAsia="Times New Roman" w:hAnsi="Times New Roman"/>
          <w:sz w:val="21"/>
          <w:szCs w:val="21"/>
          <w:u w:val="single" w:color="auto"/>
          <w:color w:val="auto"/>
        </w:rPr>
        <w:t>Section 11.13(b)</w:t>
      </w:r>
      <w:r>
        <w:rPr>
          <w:rFonts w:ascii="Times New Roman" w:cs="Times New Roman" w:eastAsia="Times New Roman" w:hAnsi="Times New Roman"/>
          <w:sz w:val="21"/>
          <w:szCs w:val="21"/>
          <w:color w:val="auto"/>
        </w:rPr>
        <w:t xml:space="preserve"> or elsewhere in this Agreement or the other Financing Agreements shall be deemed to require Agent to advance funds on behalf of any Lender or to relieve any Lender from its obligation to fulfill its Commitment hereunder or to prejudice any rights that a Credit Party may have against any Lender as a result of any default by such Lender hereunder. To the extent that Agent advances funds to Borrower on behalf of any Lender and is not reimbursed therefore on the same Business Day as such Loan is made, Agent shall be entitled to retain for its account all interest accrued on such advance until reimbursed by the applicable Lender.</w:t>
      </w:r>
    </w:p>
    <w:p>
      <w:pPr>
        <w:spacing w:after="0" w:line="156" w:lineRule="exact"/>
        <w:rPr>
          <w:sz w:val="20"/>
          <w:szCs w:val="20"/>
          <w:color w:val="auto"/>
        </w:rPr>
      </w:pPr>
    </w:p>
    <w:p>
      <w:pPr>
        <w:ind w:left="1300" w:hanging="649"/>
        <w:spacing w:after="0"/>
        <w:tabs>
          <w:tab w:leader="none" w:pos="130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Return of Payments</w:t>
      </w:r>
      <w:r>
        <w:rPr>
          <w:rFonts w:ascii="Times New Roman" w:cs="Times New Roman" w:eastAsia="Times New Roman" w:hAnsi="Times New Roman"/>
          <w:sz w:val="21"/>
          <w:szCs w:val="21"/>
          <w:color w:val="auto"/>
        </w:rPr>
        <w:t>.</w:t>
      </w:r>
    </w:p>
    <w:p>
      <w:pPr>
        <w:spacing w:after="0" w:line="187" w:lineRule="exact"/>
        <w:rPr>
          <w:rFonts w:ascii="Times New Roman" w:cs="Times New Roman" w:eastAsia="Times New Roman" w:hAnsi="Times New Roman"/>
          <w:sz w:val="21"/>
          <w:szCs w:val="21"/>
          <w:color w:val="auto"/>
        </w:rPr>
      </w:pPr>
    </w:p>
    <w:p>
      <w:pPr>
        <w:jc w:val="both"/>
        <w:ind w:left="1940" w:hanging="646"/>
        <w:spacing w:after="0" w:line="229" w:lineRule="auto"/>
        <w:tabs>
          <w:tab w:leader="none" w:pos="1928"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Agent pays an amount to a Lender under this Agreement in the belief or expectation that a related payment has been or will be received by Agent from Borrower and such related payment is not received by Agent, then Agent will be entitled to recover such amount from such Lender on demand without setoff, counterclaim or deduction of any kind.</w:t>
      </w:r>
    </w:p>
    <w:p>
      <w:pPr>
        <w:spacing w:after="0" w:line="150" w:lineRule="exact"/>
        <w:rPr>
          <w:rFonts w:ascii="Times New Roman" w:cs="Times New Roman" w:eastAsia="Times New Roman" w:hAnsi="Times New Roman"/>
          <w:sz w:val="21"/>
          <w:szCs w:val="21"/>
          <w:color w:val="auto"/>
        </w:rPr>
      </w:pPr>
    </w:p>
    <w:p>
      <w:pPr>
        <w:jc w:val="both"/>
        <w:ind w:left="1940" w:hanging="646"/>
        <w:spacing w:after="0" w:line="222" w:lineRule="auto"/>
        <w:tabs>
          <w:tab w:leader="none" w:pos="1934" w:val="left"/>
        </w:tabs>
        <w:numPr>
          <w:ilvl w:val="1"/>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Agent determines at any time that any amount received by Agent under this Agreement must be returned to Borrower or paid to any other Person pursuant to any Insolvency Law or otherwise, then, notwithstanding any other term or condition of this Agreement or any other Financing Agreement, Agent will not be required to distribute any portion thereof to any Lender. In addition, each Lender will repay to Agent on demand any portion of such amount that Agent has distributed to such Lender, together with interest at such rate, if any, as Agent is required to pay to Borrower or such other Person, without setoff, counterclaim or deduction of any kind.</w:t>
      </w:r>
    </w:p>
    <w:p>
      <w:pPr>
        <w:spacing w:after="0" w:line="152"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[Reserved].</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22" w:lineRule="auto"/>
        <w:tabs>
          <w:tab w:leader="none" w:pos="1297"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Dissemination of Information</w:t>
      </w:r>
      <w:r>
        <w:rPr>
          <w:rFonts w:ascii="Times New Roman" w:cs="Times New Roman" w:eastAsia="Times New Roman" w:hAnsi="Times New Roman"/>
          <w:sz w:val="21"/>
          <w:szCs w:val="21"/>
          <w:color w:val="auto"/>
        </w:rPr>
        <w:t xml:space="preserve">. Agent shall use reasonable efforts to provide Lenders with (i) any notice of any Event of Default received by Agent from, or delivered by Agent to, Borrower, (ii) notice of any Event of Default of which Agent has actually become aware, (iii) notice of any action taken by Agent following any Event of Default and (iv) any notice received from any Credit Party pursuant to </w:t>
      </w:r>
      <w:r>
        <w:rPr>
          <w:rFonts w:ascii="Times New Roman" w:cs="Times New Roman" w:eastAsia="Times New Roman" w:hAnsi="Times New Roman"/>
          <w:sz w:val="21"/>
          <w:szCs w:val="21"/>
          <w:u w:val="single" w:color="auto"/>
          <w:color w:val="auto"/>
        </w:rPr>
        <w:t>Section 7.6(b)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that</w:t>
      </w:r>
      <w:r>
        <w:rPr>
          <w:rFonts w:ascii="Times New Roman" w:cs="Times New Roman" w:eastAsia="Times New Roman" w:hAnsi="Times New Roman"/>
          <w:sz w:val="21"/>
          <w:szCs w:val="21"/>
          <w:color w:val="auto"/>
        </w:rPr>
        <w:t xml:space="preserve"> Agent shall not be liable to any Lender for any failure to do so, except to the extent that such failure is attributable to Agent’s gross negligence or willful misconduct as determined by a final and non-appealable judgment or court order binding on Agent from a court of competent jurisdiction.</w:t>
      </w:r>
    </w:p>
    <w:p>
      <w:pPr>
        <w:spacing w:after="0" w:line="152" w:lineRule="exact"/>
        <w:rPr>
          <w:rFonts w:ascii="Times New Roman" w:cs="Times New Roman" w:eastAsia="Times New Roman" w:hAnsi="Times New Roman"/>
          <w:sz w:val="21"/>
          <w:szCs w:val="21"/>
          <w:color w:val="auto"/>
        </w:rPr>
      </w:pPr>
    </w:p>
    <w:p>
      <w:pPr>
        <w:jc w:val="both"/>
        <w:ind w:left="1300" w:hanging="649"/>
        <w:spacing w:after="0" w:line="226" w:lineRule="auto"/>
        <w:tabs>
          <w:tab w:leader="none" w:pos="1300" w:val="left"/>
        </w:tabs>
        <w:numPr>
          <w:ilvl w:val="0"/>
          <w:numId w:val="2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Actions in Concert</w:t>
      </w:r>
      <w:r>
        <w:rPr>
          <w:rFonts w:ascii="Times New Roman" w:cs="Times New Roman" w:eastAsia="Times New Roman" w:hAnsi="Times New Roman"/>
          <w:sz w:val="21"/>
          <w:szCs w:val="21"/>
          <w:color w:val="auto"/>
        </w:rPr>
        <w:t>. Anything in this Agreement to the contrary notwithstanding, each Lender hereby agrees with Agent and each other Lender that no Lender shall take any action to protect or enforce its rights arising out of this Agreement or the other Financing Agreements (excluding exercising any rights of setoff) without first obtaining the prior written consent of Agent and all other Lenders, it being the intent of Lenders that any such action to protect or enforce rights under this Agreement and the other Financing Agreements shall be taken in concert and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13" w:name="page214"/>
    <w:bookmarkEnd w:id="213"/>
    <w:p>
      <w:pPr>
        <w:ind w:left="1300"/>
        <w:spacing w:after="0"/>
        <w:rPr>
          <w:sz w:val="20"/>
          <w:szCs w:val="20"/>
          <w:color w:val="auto"/>
        </w:rPr>
      </w:pPr>
      <w:r>
        <w:rPr>
          <w:rFonts w:ascii="Times New Roman" w:cs="Times New Roman" w:eastAsia="Times New Roman" w:hAnsi="Times New Roman"/>
          <w:sz w:val="21"/>
          <w:szCs w:val="21"/>
          <w:color w:val="auto"/>
        </w:rPr>
        <w:t>the direction or with the consent of Agent, all Lenders, affected Lenders or Required Lenders, as the case may be.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11.14  Approval of Lenders and Agent</w:t>
      </w:r>
    </w:p>
    <w:p>
      <w:pPr>
        <w:spacing w:after="0" w:line="191" w:lineRule="exact"/>
        <w:rPr>
          <w:sz w:val="20"/>
          <w:szCs w:val="20"/>
          <w:color w:val="auto"/>
        </w:rPr>
      </w:pPr>
    </w:p>
    <w:p>
      <w:pPr>
        <w:jc w:val="both"/>
        <w:ind w:left="1300" w:hanging="649"/>
        <w:spacing w:after="0" w:line="226" w:lineRule="auto"/>
        <w:tabs>
          <w:tab w:leader="none" w:pos="1297"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other provision of this Agreement but subject to </w:t>
      </w:r>
      <w:r>
        <w:rPr>
          <w:rFonts w:ascii="Times New Roman" w:cs="Times New Roman" w:eastAsia="Times New Roman" w:hAnsi="Times New Roman"/>
          <w:sz w:val="21"/>
          <w:szCs w:val="21"/>
          <w:u w:val="single" w:color="auto"/>
          <w:color w:val="auto"/>
        </w:rPr>
        <w:t>Section 11.14(b)</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(f)</w:t>
      </w:r>
      <w:r>
        <w:rPr>
          <w:rFonts w:ascii="Times New Roman" w:cs="Times New Roman" w:eastAsia="Times New Roman" w:hAnsi="Times New Roman"/>
          <w:sz w:val="21"/>
          <w:szCs w:val="21"/>
          <w:color w:val="auto"/>
        </w:rPr>
        <w:t>, no amendment or waiver of any provision of this Agreement, nor consent to any departure by any Credit Party therefrom, shall in any event be effective unless the same shall be in writing and signed by Credit Parties and the Required Lenders, and then such amendment, waiver or consent shall be effective only in the specific instance and for the specific purpose for which given;</w:t>
      </w:r>
    </w:p>
    <w:p>
      <w:pPr>
        <w:spacing w:after="0" w:line="149" w:lineRule="exact"/>
        <w:rPr>
          <w:rFonts w:ascii="Times New Roman" w:cs="Times New Roman" w:eastAsia="Times New Roman" w:hAnsi="Times New Roman"/>
          <w:sz w:val="21"/>
          <w:szCs w:val="21"/>
          <w:color w:val="auto"/>
        </w:rPr>
      </w:pPr>
    </w:p>
    <w:p>
      <w:pPr>
        <w:ind w:left="1940" w:hanging="646"/>
        <w:spacing w:after="0" w:line="250" w:lineRule="auto"/>
        <w:tabs>
          <w:tab w:leader="none" w:pos="1928" w:val="left"/>
        </w:tabs>
        <w:numPr>
          <w:ilvl w:val="1"/>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provided that</w:t>
      </w:r>
      <w:r>
        <w:rPr>
          <w:rFonts w:ascii="Times New Roman" w:cs="Times New Roman" w:eastAsia="Times New Roman" w:hAnsi="Times New Roman"/>
          <w:sz w:val="21"/>
          <w:szCs w:val="21"/>
          <w:color w:val="auto"/>
        </w:rPr>
        <w:t xml:space="preserve"> no amendment, waiver or consent shall, unless in writing and signed by all Lenders directly and adversely affected thereby (other than a Defaulting Lender) do any of the following at any time:</w:t>
      </w:r>
    </w:p>
    <w:p>
      <w:pPr>
        <w:spacing w:after="0" w:line="140" w:lineRule="exact"/>
        <w:rPr>
          <w:rFonts w:ascii="Times New Roman" w:cs="Times New Roman" w:eastAsia="Times New Roman" w:hAnsi="Times New Roman"/>
          <w:sz w:val="21"/>
          <w:szCs w:val="21"/>
          <w:color w:val="auto"/>
        </w:rPr>
      </w:pPr>
    </w:p>
    <w:p>
      <w:pPr>
        <w:ind w:left="2580" w:hanging="642"/>
        <w:spacing w:after="0" w:line="250" w:lineRule="auto"/>
        <w:tabs>
          <w:tab w:leader="none" w:pos="2569" w:val="left"/>
        </w:tabs>
        <w:numPr>
          <w:ilvl w:val="2"/>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reduce the rate or amount of any principal, interest or fees payable by Borrower or alter the currency or mode of calculation or computation thereof;</w:t>
      </w:r>
    </w:p>
    <w:p>
      <w:pPr>
        <w:spacing w:after="0" w:line="140" w:lineRule="exact"/>
        <w:rPr>
          <w:rFonts w:ascii="Times New Roman" w:cs="Times New Roman" w:eastAsia="Times New Roman" w:hAnsi="Times New Roman"/>
          <w:sz w:val="21"/>
          <w:szCs w:val="21"/>
          <w:color w:val="auto"/>
        </w:rPr>
      </w:pPr>
    </w:p>
    <w:p>
      <w:pPr>
        <w:ind w:left="2580" w:hanging="642"/>
        <w:spacing w:after="0"/>
        <w:tabs>
          <w:tab w:leader="none" w:pos="2580" w:val="left"/>
        </w:tabs>
        <w:numPr>
          <w:ilvl w:val="2"/>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extend the time for payments required to be made by Borrower or the Maturity Date;</w:t>
      </w:r>
    </w:p>
    <w:p>
      <w:pPr>
        <w:spacing w:after="0" w:line="187" w:lineRule="exact"/>
        <w:rPr>
          <w:rFonts w:ascii="Times New Roman" w:cs="Times New Roman" w:eastAsia="Times New Roman" w:hAnsi="Times New Roman"/>
          <w:sz w:val="21"/>
          <w:szCs w:val="21"/>
          <w:color w:val="auto"/>
        </w:rPr>
      </w:pPr>
    </w:p>
    <w:p>
      <w:pPr>
        <w:ind w:left="2580" w:hanging="642"/>
        <w:spacing w:after="0"/>
        <w:tabs>
          <w:tab w:leader="none" w:pos="2580" w:val="left"/>
        </w:tabs>
        <w:numPr>
          <w:ilvl w:val="2"/>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increase any Lender’s Commitment;</w:t>
      </w:r>
    </w:p>
    <w:p>
      <w:pPr>
        <w:spacing w:after="0" w:line="183" w:lineRule="exact"/>
        <w:rPr>
          <w:rFonts w:ascii="Times New Roman" w:cs="Times New Roman" w:eastAsia="Times New Roman" w:hAnsi="Times New Roman"/>
          <w:sz w:val="21"/>
          <w:szCs w:val="21"/>
          <w:color w:val="auto"/>
        </w:rPr>
      </w:pPr>
    </w:p>
    <w:p>
      <w:pPr>
        <w:ind w:left="2580" w:hanging="642"/>
        <w:spacing w:after="0" w:line="254" w:lineRule="auto"/>
        <w:tabs>
          <w:tab w:leader="none" w:pos="2569" w:val="left"/>
        </w:tabs>
        <w:numPr>
          <w:ilvl w:val="2"/>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the definition of Required Lenders, any provision of this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 xml:space="preserve">, amend the </w:t>
      </w:r>
      <w:r>
        <w:rPr>
          <w:rFonts w:ascii="Times New Roman" w:cs="Times New Roman" w:eastAsia="Times New Roman" w:hAnsi="Times New Roman"/>
          <w:sz w:val="21"/>
          <w:szCs w:val="21"/>
          <w:i w:val="1"/>
          <w:iCs w:val="1"/>
          <w:color w:val="auto"/>
        </w:rPr>
        <w:t>pro rata</w:t>
      </w:r>
      <w:r>
        <w:rPr>
          <w:rFonts w:ascii="Times New Roman" w:cs="Times New Roman" w:eastAsia="Times New Roman" w:hAnsi="Times New Roman"/>
          <w:sz w:val="21"/>
          <w:szCs w:val="21"/>
          <w:color w:val="auto"/>
        </w:rPr>
        <w:t xml:space="preserve"> sharing provisions hereunder or amend the voting percentages hereunder; or</w:t>
      </w:r>
    </w:p>
    <w:p>
      <w:pPr>
        <w:spacing w:after="0" w:line="136" w:lineRule="exact"/>
        <w:rPr>
          <w:rFonts w:ascii="Times New Roman" w:cs="Times New Roman" w:eastAsia="Times New Roman" w:hAnsi="Times New Roman"/>
          <w:sz w:val="21"/>
          <w:szCs w:val="21"/>
          <w:color w:val="auto"/>
        </w:rPr>
      </w:pPr>
    </w:p>
    <w:p>
      <w:pPr>
        <w:ind w:left="2580" w:hanging="642"/>
        <w:spacing w:after="0"/>
        <w:tabs>
          <w:tab w:leader="none" w:pos="2580" w:val="left"/>
        </w:tabs>
        <w:numPr>
          <w:ilvl w:val="2"/>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 the payment waterfall in </w:t>
      </w:r>
      <w:r>
        <w:rPr>
          <w:rFonts w:ascii="Times New Roman" w:cs="Times New Roman" w:eastAsia="Times New Roman" w:hAnsi="Times New Roman"/>
          <w:sz w:val="21"/>
          <w:szCs w:val="21"/>
          <w:u w:val="single" w:color="auto"/>
          <w:color w:val="auto"/>
        </w:rPr>
        <w:t>Section 5.3(b)</w:t>
      </w:r>
      <w:r>
        <w:rPr>
          <w:rFonts w:ascii="Times New Roman" w:cs="Times New Roman" w:eastAsia="Times New Roman" w:hAnsi="Times New Roman"/>
          <w:sz w:val="21"/>
          <w:szCs w:val="21"/>
          <w:color w:val="auto"/>
        </w:rPr>
        <w:t xml:space="preserve"> hereof;</w:t>
      </w:r>
    </w:p>
    <w:p>
      <w:pPr>
        <w:spacing w:after="0" w:line="187" w:lineRule="exact"/>
        <w:rPr>
          <w:rFonts w:ascii="Times New Roman" w:cs="Times New Roman" w:eastAsia="Times New Roman" w:hAnsi="Times New Roman"/>
          <w:sz w:val="21"/>
          <w:szCs w:val="21"/>
          <w:color w:val="auto"/>
        </w:rPr>
      </w:pPr>
    </w:p>
    <w:p>
      <w:pPr>
        <w:ind w:left="1940" w:hanging="646"/>
        <w:spacing w:after="0" w:line="250" w:lineRule="auto"/>
        <w:tabs>
          <w:tab w:leader="none" w:pos="1934" w:val="left"/>
        </w:tabs>
        <w:numPr>
          <w:ilvl w:val="1"/>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provided further</w:t>
      </w:r>
      <w:r>
        <w:rPr>
          <w:rFonts w:ascii="Times New Roman" w:cs="Times New Roman" w:eastAsia="Times New Roman" w:hAnsi="Times New Roman"/>
          <w:sz w:val="21"/>
          <w:szCs w:val="21"/>
          <w:color w:val="auto"/>
        </w:rPr>
        <w:t xml:space="preserve"> that no amendment, waiver or consent shall, unless in writing and signed by all Lenders (other than a Defaulting Lender) do any of the following at any time:</w:t>
      </w:r>
    </w:p>
    <w:p>
      <w:pPr>
        <w:spacing w:after="0" w:line="140" w:lineRule="exact"/>
        <w:rPr>
          <w:rFonts w:ascii="Times New Roman" w:cs="Times New Roman" w:eastAsia="Times New Roman" w:hAnsi="Times New Roman"/>
          <w:sz w:val="21"/>
          <w:szCs w:val="21"/>
          <w:color w:val="auto"/>
        </w:rPr>
      </w:pPr>
    </w:p>
    <w:p>
      <w:pPr>
        <w:ind w:left="2580" w:hanging="642"/>
        <w:spacing w:after="0" w:line="250" w:lineRule="auto"/>
        <w:tabs>
          <w:tab w:leader="none" w:pos="2569" w:val="left"/>
        </w:tabs>
        <w:numPr>
          <w:ilvl w:val="2"/>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release or subordinate all or substantially all of (x) the value of the Collateral under any Financing Agreement or (y) the Obligations or the guarantees of the Obligations; and</w:t>
      </w:r>
    </w:p>
    <w:p>
      <w:pPr>
        <w:spacing w:after="0" w:line="140" w:lineRule="exact"/>
        <w:rPr>
          <w:rFonts w:ascii="Times New Roman" w:cs="Times New Roman" w:eastAsia="Times New Roman" w:hAnsi="Times New Roman"/>
          <w:sz w:val="21"/>
          <w:szCs w:val="21"/>
          <w:color w:val="auto"/>
        </w:rPr>
      </w:pPr>
    </w:p>
    <w:p>
      <w:pPr>
        <w:ind w:left="2580" w:hanging="642"/>
        <w:spacing w:after="0"/>
        <w:tabs>
          <w:tab w:leader="none" w:pos="2580" w:val="left"/>
        </w:tabs>
        <w:numPr>
          <w:ilvl w:val="2"/>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permit any Credit Party to assign its rights under the Financing Agreements.</w:t>
      </w:r>
    </w:p>
    <w:p>
      <w:pPr>
        <w:spacing w:after="0" w:line="187" w:lineRule="exact"/>
        <w:rPr>
          <w:rFonts w:ascii="Times New Roman" w:cs="Times New Roman" w:eastAsia="Times New Roman" w:hAnsi="Times New Roman"/>
          <w:sz w:val="21"/>
          <w:szCs w:val="21"/>
          <w:color w:val="auto"/>
        </w:rPr>
      </w:pPr>
    </w:p>
    <w:p>
      <w:pPr>
        <w:jc w:val="both"/>
        <w:ind w:left="1300" w:hanging="649"/>
        <w:spacing w:after="0" w:line="221" w:lineRule="auto"/>
        <w:tabs>
          <w:tab w:leader="none" w:pos="1295" w:val="left"/>
        </w:tabs>
        <w:numPr>
          <w:ilvl w:val="0"/>
          <w:numId w:val="2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11.14(a)</w:t>
      </w:r>
      <w:r>
        <w:rPr>
          <w:rFonts w:ascii="Times New Roman" w:cs="Times New Roman" w:eastAsia="Times New Roman" w:hAnsi="Times New Roman"/>
          <w:sz w:val="21"/>
          <w:szCs w:val="21"/>
          <w:color w:val="auto"/>
        </w:rPr>
        <w:t xml:space="preserve">, (i) Agent may, without the consent of Lenders, (A) make amendments to the Financing Agreements that are for the sole purpose of curing any immaterial or administrative ambiguity, omission, defect or inconsistency, (B) enter into amendments or modifications to this Agreement or any other Financing Agreement or enter into additional Financing Agreements as Agent reasonably deems appropriate in order to implement any Benchmark Replacement, any Conforming Changes or otherwise effectuate the terms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3.2(c)</w:t>
      </w:r>
      <w:r>
        <w:rPr>
          <w:rFonts w:ascii="Times New Roman" w:cs="Times New Roman" w:eastAsia="Times New Roman" w:hAnsi="Times New Roman"/>
          <w:sz w:val="21"/>
          <w:szCs w:val="21"/>
          <w:color w:val="auto"/>
        </w:rPr>
        <w:t xml:space="preserve"> in accordance with the terms of </w:t>
      </w:r>
      <w:r>
        <w:rPr>
          <w:rFonts w:ascii="Times New Roman" w:cs="Times New Roman" w:eastAsia="Times New Roman" w:hAnsi="Times New Roman"/>
          <w:sz w:val="21"/>
          <w:szCs w:val="21"/>
          <w:u w:val="single" w:color="auto"/>
          <w:color w:val="auto"/>
        </w:rPr>
        <w:t>Section 3.2(c)</w:t>
      </w:r>
      <w:r>
        <w:rPr>
          <w:rFonts w:ascii="Times New Roman" w:cs="Times New Roman" w:eastAsia="Times New Roman" w:hAnsi="Times New Roman"/>
          <w:sz w:val="21"/>
          <w:szCs w:val="21"/>
          <w:color w:val="auto"/>
        </w:rPr>
        <w:t>, (C) amend any provision of any other Financing Agreement to better implement the intentions of this Agreement and the other Financing Agreements, in each case, such amendments shall become effective without any further action or consent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14" w:name="page215"/>
    <w:bookmarkEnd w:id="214"/>
    <w:p>
      <w:pPr>
        <w:ind w:left="1300"/>
        <w:spacing w:after="0"/>
        <w:rPr>
          <w:sz w:val="20"/>
          <w:szCs w:val="20"/>
          <w:color w:val="auto"/>
        </w:rPr>
      </w:pPr>
      <w:r>
        <w:rPr>
          <w:rFonts w:ascii="Times New Roman" w:cs="Times New Roman" w:eastAsia="Times New Roman" w:hAnsi="Times New Roman"/>
          <w:sz w:val="21"/>
          <w:szCs w:val="21"/>
          <w:color w:val="auto"/>
        </w:rPr>
        <w:t>other party to any Financing Agreement if the same is not objected to in writing by Required Lenders within five</w:t>
      </w:r>
    </w:p>
    <w:p>
      <w:pPr>
        <w:jc w:val="both"/>
        <w:ind w:left="1300" w:hanging="6"/>
        <w:spacing w:after="0" w:line="219" w:lineRule="auto"/>
        <w:tabs>
          <w:tab w:leader="none" w:pos="1642" w:val="left"/>
        </w:tabs>
        <w:numPr>
          <w:ilvl w:val="1"/>
          <w:numId w:val="2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Business Days following receipt of notice thereof and (D) enter into amendments or modifications to this Agreement or any other Financing Agreement or enter into additional Financing Agreements as Agent reasonably deems appropriate in order to implement any provisions related to Incremental Term Loans or otherwise effectuate the terms of </w:t>
      </w:r>
      <w:r>
        <w:rPr>
          <w:rFonts w:ascii="Times New Roman" w:cs="Times New Roman" w:eastAsia="Times New Roman" w:hAnsi="Times New Roman"/>
          <w:sz w:val="21"/>
          <w:szCs w:val="21"/>
          <w:u w:val="single" w:color="auto"/>
          <w:color w:val="auto"/>
        </w:rPr>
        <w:t>Section 2.6</w:t>
      </w:r>
      <w:r>
        <w:rPr>
          <w:rFonts w:ascii="Times New Roman" w:cs="Times New Roman" w:eastAsia="Times New Roman" w:hAnsi="Times New Roman"/>
          <w:sz w:val="21"/>
          <w:szCs w:val="21"/>
          <w:color w:val="auto"/>
        </w:rPr>
        <w:t xml:space="preserve"> with respect to the establishment of any Incremental Term Loan Commitments. Agent shall promptly notify Lenders of any such action and (ii) the Fee Letter may be amended, or rights or privileges thereunder waived, in a writing executed only by the parties thereto.</w:t>
      </w:r>
    </w:p>
    <w:p>
      <w:pPr>
        <w:spacing w:after="0" w:line="155"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7"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11.14(a)</w:t>
      </w:r>
      <w:r>
        <w:rPr>
          <w:rFonts w:ascii="Times New Roman" w:cs="Times New Roman" w:eastAsia="Times New Roman" w:hAnsi="Times New Roman"/>
          <w:sz w:val="21"/>
          <w:szCs w:val="21"/>
          <w:color w:val="auto"/>
        </w:rPr>
        <w:t xml:space="preserve">, no amendment, waiver or consent shall, unless in writing and signed by Agent in addition to Lenders required above to take such action, affect the rights or duties of Agent under this Agreement or any of the other Financing Agreements or amend </w:t>
      </w:r>
      <w:r>
        <w:rPr>
          <w:rFonts w:ascii="Times New Roman" w:cs="Times New Roman" w:eastAsia="Times New Roman" w:hAnsi="Times New Roman"/>
          <w:sz w:val="21"/>
          <w:szCs w:val="21"/>
          <w:u w:val="single" w:color="auto"/>
          <w:color w:val="auto"/>
        </w:rPr>
        <w:t>Section 11.17</w:t>
      </w:r>
      <w:r>
        <w:rPr>
          <w:rFonts w:ascii="Times New Roman" w:cs="Times New Roman" w:eastAsia="Times New Roman" w:hAnsi="Times New Roman"/>
          <w:sz w:val="21"/>
          <w:szCs w:val="21"/>
          <w:color w:val="auto"/>
        </w:rPr>
        <w:t xml:space="preserve"> or any defined terms used therein.</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11.14(a)</w:t>
      </w:r>
      <w:r>
        <w:rPr>
          <w:rFonts w:ascii="Times New Roman" w:cs="Times New Roman" w:eastAsia="Times New Roman" w:hAnsi="Times New Roman"/>
          <w:sz w:val="21"/>
          <w:szCs w:val="21"/>
          <w:color w:val="auto"/>
        </w:rPr>
        <w:t>, no amendment, waiver or consent shall, unless in writing and signed by Issuing Lender in addition to Lenders required above to take such action, affect the rights or duties of Issuing Lender under this Agreement or any of the other Financing Agreements.</w:t>
      </w:r>
    </w:p>
    <w:p>
      <w:pPr>
        <w:spacing w:after="0" w:line="151" w:lineRule="exact"/>
        <w:rPr>
          <w:rFonts w:ascii="Times New Roman" w:cs="Times New Roman" w:eastAsia="Times New Roman" w:hAnsi="Times New Roman"/>
          <w:sz w:val="21"/>
          <w:szCs w:val="21"/>
          <w:color w:val="auto"/>
        </w:rPr>
      </w:pPr>
    </w:p>
    <w:p>
      <w:pPr>
        <w:jc w:val="both"/>
        <w:ind w:left="1300" w:hanging="649"/>
        <w:spacing w:after="0"/>
        <w:tabs>
          <w:tab w:leader="none" w:pos="1297"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Cash Management Bank or Hedge Bank that obtains the benefits of </w:t>
      </w:r>
      <w:r>
        <w:rPr>
          <w:rFonts w:ascii="Times New Roman" w:cs="Times New Roman" w:eastAsia="Times New Roman" w:hAnsi="Times New Roman"/>
          <w:sz w:val="21"/>
          <w:szCs w:val="21"/>
          <w:u w:val="single" w:color="auto"/>
          <w:color w:val="auto"/>
        </w:rPr>
        <w:t>Section 5.3</w:t>
      </w:r>
      <w:r>
        <w:rPr>
          <w:rFonts w:ascii="Times New Roman" w:cs="Times New Roman" w:eastAsia="Times New Roman" w:hAnsi="Times New Roman"/>
          <w:sz w:val="21"/>
          <w:szCs w:val="21"/>
          <w:color w:val="auto"/>
        </w:rPr>
        <w:t xml:space="preserve"> or any Collateral by virtue of the provisions hereof or of any Financing Agreement shall have any right to notice of any action or to consent to, direct or object to any action hereunder or under any other Financing Agreement or otherwise in respect of the Collateral (including the release or impairment of any Collateral) other than in its capacity as a Lender and, in such case, only to the extent expressly provided in the Financing Agreements. Notwithstanding any other provision of this </w:t>
      </w:r>
      <w:r>
        <w:rPr>
          <w:rFonts w:ascii="Times New Roman" w:cs="Times New Roman" w:eastAsia="Times New Roman" w:hAnsi="Times New Roman"/>
          <w:sz w:val="21"/>
          <w:szCs w:val="21"/>
          <w:u w:val="single" w:color="auto"/>
          <w:color w:val="auto"/>
        </w:rPr>
        <w:t>Article 11</w:t>
      </w:r>
      <w:r>
        <w:rPr>
          <w:rFonts w:ascii="Times New Roman" w:cs="Times New Roman" w:eastAsia="Times New Roman" w:hAnsi="Times New Roman"/>
          <w:sz w:val="21"/>
          <w:szCs w:val="21"/>
          <w:color w:val="auto"/>
        </w:rPr>
        <w:t xml:space="preserve"> to the contrary, Agent shall not be required to verify the payment of, or that other satisfactory arrangements have been made with respect to, Secured Hedge Agreements and Secured Cash Management Agreements.</w:t>
      </w:r>
    </w:p>
    <w:p>
      <w:pPr>
        <w:spacing w:after="0" w:line="239"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300" w:val="left"/>
        </w:tabs>
        <w:numPr>
          <w:ilvl w:val="0"/>
          <w:numId w:val="2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w:t>
      </w:r>
      <w:r>
        <w:rPr>
          <w:rFonts w:ascii="Times New Roman" w:cs="Times New Roman" w:eastAsia="Times New Roman" w:hAnsi="Times New Roman"/>
          <w:sz w:val="21"/>
          <w:szCs w:val="21"/>
          <w:u w:val="single" w:color="auto"/>
          <w:color w:val="auto"/>
        </w:rPr>
        <w:t>Section 11.14(a)</w:t>
      </w:r>
      <w:r>
        <w:rPr>
          <w:rFonts w:ascii="Times New Roman" w:cs="Times New Roman" w:eastAsia="Times New Roman" w:hAnsi="Times New Roman"/>
          <w:sz w:val="21"/>
          <w:szCs w:val="21"/>
          <w:color w:val="auto"/>
        </w:rPr>
        <w:t>, no amendment, waiver or consent shall, unless in writing and signed by Swingline Lender in addition to Lenders required above to take such action, affect the rights or duties of Swingline Lender under this Agreement or any of the other Financing Agreements.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11.15  Erroneous Payments</w:t>
      </w:r>
    </w:p>
    <w:p>
      <w:pPr>
        <w:spacing w:after="0" w:line="191" w:lineRule="exact"/>
        <w:rPr>
          <w:sz w:val="20"/>
          <w:szCs w:val="20"/>
          <w:color w:val="auto"/>
        </w:rPr>
      </w:pPr>
    </w:p>
    <w:p>
      <w:pPr>
        <w:jc w:val="both"/>
        <w:ind w:left="1300" w:hanging="649"/>
        <w:spacing w:after="0" w:line="219" w:lineRule="auto"/>
        <w:tabs>
          <w:tab w:leader="none" w:pos="1297" w:val="left"/>
        </w:tabs>
        <w:numPr>
          <w:ilvl w:val="0"/>
          <w:numId w:val="2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and the Issuing Lender hereby agrees that (i) if the Agent notifies such Lender or Issuing Lender that the Agent has determined in its sole discretion that any funds received by such Lender or Issuing Lender from the Agent or any of its Affiliates were erroneously transmitted to, or otherwise erroneously or mistakenly received by, such Lender or Issuing Lender (whether or not known to such Lender or Issuing Lender) (whether as a payment, prepayment or repayment of principal, interest, fees or otherwise; individually and collectively, an “</w:t>
      </w:r>
      <w:r>
        <w:rPr>
          <w:rFonts w:ascii="Times New Roman" w:cs="Times New Roman" w:eastAsia="Times New Roman" w:hAnsi="Times New Roman"/>
          <w:sz w:val="21"/>
          <w:szCs w:val="21"/>
          <w:b w:val="1"/>
          <w:bCs w:val="1"/>
          <w:color w:val="auto"/>
        </w:rPr>
        <w:t>Erroneous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Payment</w:t>
      </w:r>
      <w:r>
        <w:rPr>
          <w:rFonts w:ascii="Times New Roman" w:cs="Times New Roman" w:eastAsia="Times New Roman" w:hAnsi="Times New Roman"/>
          <w:sz w:val="21"/>
          <w:szCs w:val="21"/>
          <w:color w:val="auto"/>
        </w:rPr>
        <w:t>”) and demands the return of such Erroneous Payment (or a portion thereof), such Lender or Issuing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Lender shall promptly, but in no event later than one Business Day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3" w:right="339" w:bottom="1440" w:gutter="0" w:footer="0" w:header="0"/>
        </w:sectPr>
      </w:pPr>
    </w:p>
    <w:bookmarkStart w:id="215" w:name="page216"/>
    <w:bookmarkEnd w:id="215"/>
    <w:p>
      <w:pPr>
        <w:jc w:val="both"/>
        <w:ind w:left="1300"/>
        <w:spacing w:after="0" w:line="221" w:lineRule="auto"/>
        <w:rPr>
          <w:sz w:val="20"/>
          <w:szCs w:val="20"/>
          <w:color w:val="auto"/>
        </w:rPr>
      </w:pPr>
      <w:r>
        <w:rPr>
          <w:rFonts w:ascii="Times New Roman" w:cs="Times New Roman" w:eastAsia="Times New Roman" w:hAnsi="Times New Roman"/>
          <w:sz w:val="21"/>
          <w:szCs w:val="21"/>
          <w:color w:val="auto"/>
        </w:rPr>
        <w:t>portion thereof) was received by such Lender or Issuing Lender to the date such amount is repaid to the Agent in same day funds at the greater of the Federal Funds Rate and a rate determined by the Agent in accordance with banking industry rules on interbank compensation from time to time in effect and (ii) to the extent permitted by applicable law, such Lender or Issuing Lender shall not assert any right or claim to the Erroneous Payment, and hereby waives, any claim, counterclaim, defense or right of set-off or recoupment with respect to any demand, claim or counterclaim by the Agent for the return of any Erroneous Payments received, including without limitation waiver of any defense based on “discharge for value” or any similar doctrine. A notice of the Agent to any Lender or Issuing Lender under this clause (a) shall be conclusive, absent manifest error.</w:t>
      </w:r>
    </w:p>
    <w:p>
      <w:pPr>
        <w:spacing w:after="0" w:line="151" w:lineRule="exact"/>
        <w:rPr>
          <w:sz w:val="20"/>
          <w:szCs w:val="20"/>
          <w:color w:val="auto"/>
        </w:rPr>
      </w:pPr>
    </w:p>
    <w:p>
      <w:pPr>
        <w:jc w:val="both"/>
        <w:ind w:left="1300" w:hanging="649"/>
        <w:spacing w:after="0" w:line="227" w:lineRule="auto"/>
        <w:tabs>
          <w:tab w:leader="none" w:pos="1295"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immediately preceding clause (a), each Lender and the Issuing Lender hereby further agrees that if it receives an Erroneous Payment from the Agent (or any of its Affiliates) (x) that is in a different amount than, or on a different date from, that specified in a notice of payment sent by the Agent (or any of its Affiliates) with respect to such Erroneous Payment (an “</w:t>
      </w:r>
      <w:r>
        <w:rPr>
          <w:rFonts w:ascii="Times New Roman" w:cs="Times New Roman" w:eastAsia="Times New Roman" w:hAnsi="Times New Roman"/>
          <w:sz w:val="21"/>
          <w:szCs w:val="21"/>
          <w:b w:val="1"/>
          <w:bCs w:val="1"/>
          <w:color w:val="auto"/>
        </w:rPr>
        <w:t>Erroneous Payment Notice</w:t>
      </w:r>
      <w:r>
        <w:rPr>
          <w:rFonts w:ascii="Times New Roman" w:cs="Times New Roman" w:eastAsia="Times New Roman" w:hAnsi="Times New Roman"/>
          <w:sz w:val="21"/>
          <w:szCs w:val="21"/>
          <w:color w:val="auto"/>
        </w:rPr>
        <w:t>”), (y) that was not preceded or accompanied by an Erroneous Payment Notice, or (z) that such Lender or Issuing Lender otherwise becomes aware 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or Issuing Lender shall not assert any right or claim to the Erroneous Payment, and hereby waives, any claim, counterclaim, defense or right of set-off or recoupment with respect to any demand, claim or counterclaim by the Agent for the return of any Erroneous Payments received, including without limitation waiver of any defense based on “discharge for value” or any similar doctrine. Each Lender and the Issuing Lender agrees that, in each such case, it shall promptly (and, in all events, within one Business Day of its knowledge (or deemed knowledge) of such error) notify the Agent of such occurrence and, upon demand from the Agent, it shall promptly, but in all events no later than one Business Day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or Issuing Lender to the date such amount is repaid to the Agent in same day funds at the greater of the Federal Funds Rate and a rate determined by the Agent in accordance with banking industry rules on interbank compensation from time to time in effect.</w:t>
      </w:r>
    </w:p>
    <w:p>
      <w:pPr>
        <w:spacing w:after="0" w:line="164" w:lineRule="exact"/>
        <w:rPr>
          <w:rFonts w:ascii="Times New Roman" w:cs="Times New Roman" w:eastAsia="Times New Roman" w:hAnsi="Times New Roman"/>
          <w:sz w:val="21"/>
          <w:szCs w:val="21"/>
          <w:color w:val="auto"/>
        </w:rPr>
      </w:pPr>
    </w:p>
    <w:p>
      <w:pPr>
        <w:jc w:val="both"/>
        <w:ind w:left="1300" w:hanging="649"/>
        <w:spacing w:after="0" w:line="229" w:lineRule="auto"/>
        <w:tabs>
          <w:tab w:leader="none" w:pos="1297"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hereto agree that an Erroneous Payment shall not pay, prepay, repay, discharge or otherwise satisfy any Obligations owed by the Borrower or any other Credit Party, except, in each case, to the extent such Erroneous Payment is, and solely with respect to the amount of such Erroneous Payment that is, comprised of funds received by the Agent from the Borrower or any other Credit Party for the purpose of making such Erroneous Payment.</w:t>
      </w:r>
    </w:p>
    <w:p>
      <w:pPr>
        <w:spacing w:after="0" w:line="150"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2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party’s obligations under this </w:t>
      </w:r>
      <w:r>
        <w:rPr>
          <w:rFonts w:ascii="Times New Roman" w:cs="Times New Roman" w:eastAsia="Times New Roman" w:hAnsi="Times New Roman"/>
          <w:sz w:val="21"/>
          <w:szCs w:val="21"/>
          <w:u w:val="single" w:color="auto"/>
          <w:color w:val="auto"/>
        </w:rPr>
        <w:t>Section 11.15</w:t>
      </w:r>
      <w:r>
        <w:rPr>
          <w:rFonts w:ascii="Times New Roman" w:cs="Times New Roman" w:eastAsia="Times New Roman" w:hAnsi="Times New Roman"/>
          <w:sz w:val="21"/>
          <w:szCs w:val="21"/>
          <w:color w:val="auto"/>
        </w:rPr>
        <w:t xml:space="preserve"> shall survive the resignation or replacement of the Agent or any transfer of right or obligations by, or the replacement of, a Lender, the termination of the Commitments or the repayment, satisfaction or discharge of all Obligations (or any portion thereof) under any Financing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21"/>
          <w:szCs w:val="21"/>
          <w:b w:val="1"/>
          <w:bCs w:val="1"/>
          <w:color w:val="auto"/>
        </w:rPr>
        <w:t>11.16  Rates.</w:t>
      </w:r>
    </w:p>
    <w:p>
      <w:pPr>
        <w:spacing w:after="0" w:line="218" w:lineRule="exact"/>
        <w:rPr>
          <w:sz w:val="20"/>
          <w:szCs w:val="20"/>
          <w:color w:val="auto"/>
        </w:rPr>
      </w:pPr>
    </w:p>
    <w:p>
      <w:pPr>
        <w:jc w:val="both"/>
        <w:ind w:firstLine="1287"/>
        <w:spacing w:after="0" w:line="257" w:lineRule="auto"/>
        <w:rPr>
          <w:sz w:val="20"/>
          <w:szCs w:val="20"/>
          <w:color w:val="auto"/>
        </w:rPr>
      </w:pPr>
      <w:r>
        <w:rPr>
          <w:rFonts w:ascii="Times New Roman" w:cs="Times New Roman" w:eastAsia="Times New Roman" w:hAnsi="Times New Roman"/>
          <w:sz w:val="21"/>
          <w:szCs w:val="21"/>
          <w:color w:val="auto"/>
        </w:rPr>
        <w:t xml:space="preserve">The Agent does not warrant or accept any responsibility for, and shall not have any liability with respect to, (a) the continuation of, administration of, submission of, calculation of or any other matter related to the Term CORRA Reference Rate, Term CORRA, the Term SOFR Reference Rate, Term SOFR, the Eurocurrency Rate, the Adjusted Eurocurrency Rate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21"/>
          <w:szCs w:val="21"/>
          <w:u w:val="single" w:color="auto"/>
          <w:color w:val="auto"/>
        </w:rPr>
        <w:t>Section 3.2(c)</w:t>
      </w:r>
      <w:r>
        <w:rPr>
          <w:rFonts w:ascii="Times New Roman" w:cs="Times New Roman" w:eastAsia="Times New Roman" w:hAnsi="Times New Roman"/>
          <w:sz w:val="21"/>
          <w:szCs w:val="21"/>
          <w:color w:val="auto"/>
        </w:rPr>
        <w:t>, will be similar to, or produce the same value or economic equivalence of, or have the same volume or liquidity as, the Term CORRA Reference Rate, Term CORRA, the Term SOFR Reference Rate, Term SOFR, the Eurocurrency Rate, the Adjusted Eurocurrency Rate, such Benchmark or any other Benchmark prior to its discontinuance or unavailability, or (b) the effect, implementation or composition of any Conforming Changes. The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 The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11.17  Exchange Rates; Currency Equivalents.</w:t>
      </w:r>
    </w:p>
    <w:p>
      <w:pPr>
        <w:spacing w:after="0" w:line="191" w:lineRule="exact"/>
        <w:rPr>
          <w:sz w:val="20"/>
          <w:szCs w:val="20"/>
          <w:color w:val="auto"/>
        </w:rPr>
      </w:pPr>
    </w:p>
    <w:p>
      <w:pPr>
        <w:jc w:val="both"/>
        <w:ind w:left="1300" w:hanging="649"/>
        <w:spacing w:after="0" w:line="223" w:lineRule="auto"/>
        <w:tabs>
          <w:tab w:leader="none" w:pos="1297"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Agent shall determine the Dollar Equivalent amount of each extension of credit denominated in Alternate Currencies.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Currency (other than U.S. Dollars) for purposes of the Financing Agreements shall be such Dollar Equivalent amount as so determined by Agent.</w:t>
      </w:r>
    </w:p>
    <w:p>
      <w:pPr>
        <w:spacing w:after="0" w:line="155" w:lineRule="exact"/>
        <w:rPr>
          <w:rFonts w:ascii="Times New Roman" w:cs="Times New Roman" w:eastAsia="Times New Roman" w:hAnsi="Times New Roman"/>
          <w:sz w:val="21"/>
          <w:szCs w:val="21"/>
          <w:color w:val="auto"/>
        </w:rPr>
      </w:pPr>
    </w:p>
    <w:p>
      <w:pPr>
        <w:jc w:val="both"/>
        <w:ind w:left="1300" w:hanging="649"/>
        <w:spacing w:after="0" w:line="226" w:lineRule="auto"/>
        <w:tabs>
          <w:tab w:leader="none" w:pos="1295" w:val="left"/>
        </w:tabs>
        <w:numPr>
          <w:ilvl w:val="0"/>
          <w:numId w:val="2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Wherever in this Agreement in connection with a borrowing, conversion, continuation or prepayment of Revolving Loan, an amount, such as a required minimum or multiple amount, is expressed in U.S. Dollars, but such Revolving Loan is denominated in an Alternate Currency, such amount shall be the relevant Alternate Currency Equivalent of such U.S. Dollar amount (rounded to the nearest unit of such Alternate Currency, with 0.5 of a unit being rounded upward), as determined by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2" w:right="339" w:bottom="1440" w:gutter="0" w:footer="0" w:header="0"/>
        </w:sectPr>
      </w:pPr>
    </w:p>
    <w:bookmarkStart w:id="217" w:name="page218"/>
    <w:bookmarkEnd w:id="217"/>
    <w:p>
      <w:pPr>
        <w:spacing w:after="0" w:line="15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12</w:t>
      </w:r>
    </w:p>
    <w:p>
      <w:pPr>
        <w:spacing w:after="0" w:line="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1"/>
          <w:szCs w:val="21"/>
          <w:b w:val="1"/>
          <w:bCs w:val="1"/>
          <w:u w:val="single" w:color="auto"/>
          <w:color w:val="auto"/>
        </w:rPr>
        <w:t>GOVERNING LAW; JURISDICTION, ETC.</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12.1</w:t>
        <w:tab/>
        <w:t>Governing Law; Jurisdiction, Etc.</w:t>
      </w:r>
    </w:p>
    <w:p>
      <w:pPr>
        <w:spacing w:after="0" w:line="191" w:lineRule="exact"/>
        <w:rPr>
          <w:sz w:val="20"/>
          <w:szCs w:val="20"/>
          <w:color w:val="auto"/>
        </w:rPr>
      </w:pPr>
    </w:p>
    <w:p>
      <w:pPr>
        <w:jc w:val="both"/>
        <w:ind w:left="1300" w:hanging="649"/>
        <w:spacing w:after="0" w:line="226" w:lineRule="auto"/>
        <w:tabs>
          <w:tab w:leader="none" w:pos="1297"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xml:space="preserve"> This Agreement and the other Financing Agreements and any claim, controversy, dispute or cause of action (whether in contract or tort or otherwise) based upon, arising out of or relating to this Agreement or any other Financing Agreements (except, as to any other Financing Agreements, as expressly set forth therein) and the transactions contemplated hereby and thereby shall be governed by, and construed in accordance with, the law of the State of New York.</w:t>
      </w:r>
    </w:p>
    <w:p>
      <w:pPr>
        <w:spacing w:after="0" w:line="149" w:lineRule="exact"/>
        <w:rPr>
          <w:rFonts w:ascii="Times New Roman" w:cs="Times New Roman" w:eastAsia="Times New Roman" w:hAnsi="Times New Roman"/>
          <w:sz w:val="21"/>
          <w:szCs w:val="21"/>
          <w:color w:val="auto"/>
        </w:rPr>
      </w:pPr>
    </w:p>
    <w:p>
      <w:pPr>
        <w:jc w:val="both"/>
        <w:ind w:left="1300" w:hanging="649"/>
        <w:spacing w:after="0" w:line="217" w:lineRule="auto"/>
        <w:tabs>
          <w:tab w:leader="none" w:pos="1295"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Submission to Jurisdiction.</w:t>
      </w:r>
      <w:r>
        <w:rPr>
          <w:rFonts w:ascii="Times New Roman" w:cs="Times New Roman" w:eastAsia="Times New Roman" w:hAnsi="Times New Roman"/>
          <w:sz w:val="21"/>
          <w:szCs w:val="21"/>
          <w:color w:val="auto"/>
        </w:rPr>
        <w:t xml:space="preserve"> Each party hereto irrevocably and unconditionally agrees that it will not commence any action, litigation or proceeding of any kind or description, whether in law or equity, whether in contract or in tort or otherwise, against any other party hereto relating to this Agreement or any other Financing Agreement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exclusive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Financing Agreement shall affect any right that Agent, any Lender, or Issuing Lender may otherwise have to bring any action or proceeding relating to this Agreement or any other Financing Agreement against Borrower or any other Credit Party or their respective properties in the courts of any jurisdiction where the Collateral is located or in any jurisdiction of organization of such Credit Party.</w:t>
      </w:r>
    </w:p>
    <w:p>
      <w:pPr>
        <w:spacing w:after="0" w:line="160" w:lineRule="exact"/>
        <w:rPr>
          <w:rFonts w:ascii="Times New Roman" w:cs="Times New Roman" w:eastAsia="Times New Roman" w:hAnsi="Times New Roman"/>
          <w:sz w:val="21"/>
          <w:szCs w:val="21"/>
          <w:color w:val="auto"/>
        </w:rPr>
      </w:pPr>
    </w:p>
    <w:p>
      <w:pPr>
        <w:jc w:val="both"/>
        <w:ind w:left="1300" w:hanging="649"/>
        <w:spacing w:after="0" w:line="223" w:lineRule="auto"/>
        <w:tabs>
          <w:tab w:leader="none" w:pos="1297"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Venue.</w:t>
      </w:r>
      <w:r>
        <w:rPr>
          <w:rFonts w:ascii="Times New Roman" w:cs="Times New Roman" w:eastAsia="Times New Roman" w:hAnsi="Times New Roman"/>
          <w:sz w:val="21"/>
          <w:szCs w:val="21"/>
          <w:color w:val="auto"/>
        </w:rPr>
        <w:t xml:space="preserve"> Borrower and each other Credit Party irrevocably and unconditionally waives, to the fullest extent permitted by Applicable Law, any objection that it may now or hereafter have to the laying of venue of any action or proceeding arising out of or relating to this Agreement or any other Financing Agreement in any court referred to in </w:t>
      </w:r>
      <w:r>
        <w:rPr>
          <w:rFonts w:ascii="Times New Roman" w:cs="Times New Roman" w:eastAsia="Times New Roman" w:hAnsi="Times New Roman"/>
          <w:sz w:val="21"/>
          <w:szCs w:val="21"/>
          <w:u w:val="single" w:color="auto"/>
          <w:color w:val="auto"/>
        </w:rPr>
        <w:t>paragraph (b)</w:t>
      </w:r>
      <w:r>
        <w:rPr>
          <w:rFonts w:ascii="Times New Roman" w:cs="Times New Roman" w:eastAsia="Times New Roman" w:hAnsi="Times New Roman"/>
          <w:sz w:val="21"/>
          <w:szCs w:val="21"/>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55"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Service of Process.</w:t>
      </w:r>
      <w:r>
        <w:rPr>
          <w:rFonts w:ascii="Times New Roman" w:cs="Times New Roman" w:eastAsia="Times New Roman" w:hAnsi="Times New Roman"/>
          <w:sz w:val="21"/>
          <w:szCs w:val="21"/>
          <w:color w:val="auto"/>
        </w:rPr>
        <w:t xml:space="preserve"> Each party hereto irrevocably consents to service of process in the manner provided for notices in </w:t>
      </w:r>
      <w:r>
        <w:rPr>
          <w:rFonts w:ascii="Times New Roman" w:cs="Times New Roman" w:eastAsia="Times New Roman" w:hAnsi="Times New Roman"/>
          <w:sz w:val="21"/>
          <w:szCs w:val="21"/>
          <w:u w:val="single" w:color="auto"/>
          <w:color w:val="auto"/>
        </w:rPr>
        <w:t>Section 13.2</w:t>
      </w:r>
      <w:r>
        <w:rPr>
          <w:rFonts w:ascii="Times New Roman" w:cs="Times New Roman" w:eastAsia="Times New Roman" w:hAnsi="Times New Roman"/>
          <w:sz w:val="21"/>
          <w:szCs w:val="21"/>
          <w:color w:val="auto"/>
        </w:rPr>
        <w:t>. Nothing in this Agreement will affect the right of any party hereto to serve process in any other manner permitted by Applicable Law.</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26" w:lineRule="auto"/>
        <w:tabs>
          <w:tab w:leader="none" w:pos="1297" w:val="left"/>
        </w:tabs>
        <w:numPr>
          <w:ilvl w:val="0"/>
          <w:numId w:val="2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xml:space="preserve"> EACH PARTY HERETO HEREBY IRREVOCABLY WAIVES, TO THE FULLEST EXTENT PERMITTED BY APPLICABLE LAW, ANY RIGHT IT MAY HAVE TO A TRIAL BY JURY IN ANY LEGAL PROCEEDING DIRECTLY OR INDIRECTLY ARISING OUT OF OR RELATING TO THIS AGREEMENT OR ANY OTHER FINANCING AGREEMENT OR THE TRANSACTIONS CONTEMPLATED HEREBY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40" w:right="339" w:bottom="1440" w:gutter="0" w:footer="0" w:header="0"/>
        </w:sectPr>
      </w:pPr>
    </w:p>
    <w:bookmarkStart w:id="218" w:name="page219"/>
    <w:bookmarkEnd w:id="218"/>
    <w:p>
      <w:pPr>
        <w:jc w:val="both"/>
        <w:ind w:left="1300"/>
        <w:spacing w:after="0" w:line="222" w:lineRule="auto"/>
        <w:rPr>
          <w:sz w:val="20"/>
          <w:szCs w:val="20"/>
          <w:color w:val="auto"/>
        </w:rPr>
      </w:pPr>
      <w:r>
        <w:rPr>
          <w:rFonts w:ascii="Times New Roman" w:cs="Times New Roman" w:eastAsia="Times New Roman" w:hAnsi="Times New Roman"/>
          <w:sz w:val="21"/>
          <w:szCs w:val="21"/>
          <w:color w:val="auto"/>
        </w:rPr>
        <w:t>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FINANCING AGREEMENTS BY, AMONG OTHER THINGS, THE MUTUAL WAIVERS IN THIS SECTION.</w:t>
      </w:r>
    </w:p>
    <w:p>
      <w:pPr>
        <w:spacing w:after="0" w:line="152" w:lineRule="exact"/>
        <w:rPr>
          <w:sz w:val="20"/>
          <w:szCs w:val="20"/>
          <w:color w:val="auto"/>
        </w:rPr>
      </w:pPr>
    </w:p>
    <w:p>
      <w:pPr>
        <w:jc w:val="both"/>
        <w:ind w:left="1300" w:hanging="649"/>
        <w:spacing w:after="0" w:line="226" w:lineRule="auto"/>
        <w:tabs>
          <w:tab w:leader="none" w:pos="1300"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Consequential Damages.</w:t>
      </w:r>
      <w:r>
        <w:rPr>
          <w:rFonts w:ascii="Times New Roman" w:cs="Times New Roman" w:eastAsia="Times New Roman" w:hAnsi="Times New Roman"/>
          <w:sz w:val="21"/>
          <w:szCs w:val="21"/>
          <w:color w:val="auto"/>
        </w:rPr>
        <w:t xml:space="preserve"> Each Credit Party hereby waives any claims for special, punitive, exemplary, indirect or consequential damages in respect of any breach or alleged breach by Agent or any Lender of any of the terms of this Agreement or the other Financing Agreements except in the case of gross negligence or willful misconduct of Agent or any Lender as determined by a final and non-appealable judgment or court order binding on Agent or Lender from a court of competent jurisdiction.</w:t>
      </w:r>
    </w:p>
    <w:p>
      <w:pPr>
        <w:spacing w:after="0" w:line="149" w:lineRule="exact"/>
        <w:rPr>
          <w:rFonts w:ascii="Times New Roman" w:cs="Times New Roman" w:eastAsia="Times New Roman" w:hAnsi="Times New Roman"/>
          <w:sz w:val="21"/>
          <w:szCs w:val="21"/>
          <w:color w:val="auto"/>
        </w:rPr>
      </w:pPr>
    </w:p>
    <w:p>
      <w:pPr>
        <w:jc w:val="both"/>
        <w:ind w:left="1300" w:hanging="649"/>
        <w:spacing w:after="0"/>
        <w:tabs>
          <w:tab w:leader="none" w:pos="1295" w:val="left"/>
        </w:tabs>
        <w:numPr>
          <w:ilvl w:val="0"/>
          <w:numId w:val="2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 of Notice.</w:t>
      </w:r>
      <w:r>
        <w:rPr>
          <w:rFonts w:ascii="Times New Roman" w:cs="Times New Roman" w:eastAsia="Times New Roman" w:hAnsi="Times New Roman"/>
          <w:sz w:val="21"/>
          <w:szCs w:val="21"/>
          <w:color w:val="auto"/>
        </w:rPr>
        <w:t xml:space="preserve"> Each Credit Party waives the posting of any bond otherwise required of Agent in connection with any judicial process or proceeding to obtain possession of, replevy, attach or levy upon the Collateral or other security for the Obligations, to enforce any judgment or other court order entered in favor of Agent, or to enforce by specific performance, temporary restraining order, preliminary or permanent injunction or any other Financing Agreement.</w:t>
      </w:r>
    </w:p>
    <w:p>
      <w:pPr>
        <w:spacing w:after="0" w:line="3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12.2</w:t>
        <w:tab/>
        <w:t>Waiver of Notices</w:t>
      </w:r>
    </w:p>
    <w:p>
      <w:pPr>
        <w:spacing w:after="0" w:line="21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Each Credit Party hereby expressly waives demand, presentment, protest and notice of protest and notice of dishonor with respect to any and all instruments and commercial paper, included in or evidencing any of the Obligations or the Collateral, and any and all other demands and notices of any kind or nature whatsoever with respect to the Obligations, the Collateral and this Agreement, except such as are expressly provided for herein. No notice to or demand on any Credit Party which Agent may elect to give shall entitle any Credit Party to any other or further notice or demand in the same, similar or other circumstances.</w:t>
      </w:r>
    </w:p>
    <w:p>
      <w:pPr>
        <w:spacing w:after="0" w:line="13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12.3</w:t>
        <w:tab/>
        <w:t>Amendments and Waivers</w:t>
      </w:r>
    </w:p>
    <w:p>
      <w:pPr>
        <w:spacing w:after="0" w:line="21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Subject to </w:t>
      </w:r>
      <w:r>
        <w:rPr>
          <w:rFonts w:ascii="Times New Roman" w:cs="Times New Roman" w:eastAsia="Times New Roman" w:hAnsi="Times New Roman"/>
          <w:sz w:val="21"/>
          <w:szCs w:val="21"/>
          <w:u w:val="single" w:color="auto"/>
          <w:color w:val="auto"/>
        </w:rPr>
        <w:t>Section 11.14</w:t>
      </w:r>
      <w:r>
        <w:rPr>
          <w:rFonts w:ascii="Times New Roman" w:cs="Times New Roman" w:eastAsia="Times New Roman" w:hAnsi="Times New Roman"/>
          <w:sz w:val="21"/>
          <w:szCs w:val="21"/>
          <w:color w:val="auto"/>
        </w:rPr>
        <w:t>, neither this Agreement nor any provision hereof shall be amended or waived, nor consent to any departure by any Credit Party therefrom permitted, orally or by course of conduct, but only by a written agreement signed by an authorized officer of each applicable Lender (if any) and Agent, and as to amendments, as also signed by an authorized officer of each Credit Party. Agent shall not, by any act, delay, omission or otherwise be deemed to have expressly or impliedly waived any of its rights, powers and/or remedies unless such waiver shall be in writing and signed by an authorized officer of Agent. Any such waiver shall be enforceable only to the extent specifically set forth therein. A waiver by Agent of any right, power and/or remedy on any one occasion shall not be construed as a bar to or waiver of any such right, power and/or remedy which Agent would otherwise have on any future occasion, whether similar in kind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19" w:name="page220"/>
    <w:bookmarkEnd w:id="219"/>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12.4</w:t>
        <w:tab/>
        <w:t>Waiver of Counterclaim</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1"/>
          <w:szCs w:val="21"/>
          <w:color w:val="auto"/>
        </w:rPr>
        <w:t>Each Credit Party waives all rights to interpose any claims, deductions, setoffs or counterclaims of any nature (other than compulsory counterclaims) in any action or proceeding with respect to this Agreement, the Obligations, the Collateral or any matter arising therefrom or relating hereto or thereto.</w:t>
      </w:r>
    </w:p>
    <w:p>
      <w:pPr>
        <w:spacing w:after="0" w:line="14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12.5</w:t>
        <w:tab/>
        <w:t>Indemnification</w:t>
      </w:r>
    </w:p>
    <w:p>
      <w:pPr>
        <w:spacing w:after="0" w:line="2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1"/>
          <w:szCs w:val="21"/>
          <w:color w:val="auto"/>
        </w:rPr>
        <w:t>Each Credit Party shall indemnify and hold Arranger, Agent, Issuing Lender and each Lender, and their respective directors, officers, agents, representatives, employees and counsel (each such Person, an “</w:t>
      </w:r>
      <w:r>
        <w:rPr>
          <w:rFonts w:ascii="Times New Roman" w:cs="Times New Roman" w:eastAsia="Times New Roman" w:hAnsi="Times New Roman"/>
          <w:sz w:val="21"/>
          <w:szCs w:val="21"/>
          <w:b w:val="1"/>
          <w:bCs w:val="1"/>
          <w:color w:val="auto"/>
        </w:rPr>
        <w:t>Indemnitee</w:t>
      </w:r>
      <w:r>
        <w:rPr>
          <w:rFonts w:ascii="Times New Roman" w:cs="Times New Roman" w:eastAsia="Times New Roman" w:hAnsi="Times New Roman"/>
          <w:sz w:val="21"/>
          <w:szCs w:val="21"/>
          <w:color w:val="auto"/>
        </w:rPr>
        <w:t xml:space="preserve">”), harmless from and against any and all losses, claims, damages, liabilities, costs or expenses imposed on, incurred by or asserted against any of them in connection with any litigation, investigation, claim or proceeding commenced or threatened related to (x) the negotiation, preparation, execution, delivery, enforcement, performance or administration of any Financing Agreements, or any undertaking or proceeding related to any of the transactions contemplated hereby or any act, omission, event or transaction related or attendant thereto or the relationship between any Credit Party, on one hand, and an Indemnitee, on the other hand or (y) any actual or alleged presence or release of Hazardous Materials on or from any property currently or formerly owned or operated by any Credit Party or any of its Subsidiaries, or any Environmental Liability related in any way to any Credit Party or any of its Subsidiaries, including amounts paid in settlement, court costs, and the fees, expenses and disbursements of counsel and others incurred in connection with investigating, preparing to defend or defending any such litigation, investigation, claim or proceeding (but limited, in the case of such fees, expenses and disbursements of counsel, to the reasonable, documented and invoiced fees, expenses and disbursements of one primary counsel for all Indemnitees, taken as a whole, and, if reasonably necessary, a single outside local and a single outside specialty counsel in each other jurisdiction material to the interests of all Indemnitees taken as a whole for all Indemnitees taken as a whole (and, in the case of an actual or perceived conflict of interest where the Indemnitee affected by such conflict informs Borrower of such conflict, one additional primary counsel for all Indemnitees subject to such conflict taken as a whole)). Such indemnification described in </w:t>
      </w:r>
      <w:r>
        <w:rPr>
          <w:rFonts w:ascii="Times New Roman" w:cs="Times New Roman" w:eastAsia="Times New Roman" w:hAnsi="Times New Roman"/>
          <w:sz w:val="21"/>
          <w:szCs w:val="21"/>
          <w:u w:val="single" w:color="auto"/>
          <w:color w:val="auto"/>
        </w:rPr>
        <w:t>clauses (x)</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(y)</w:t>
      </w:r>
      <w:r>
        <w:rPr>
          <w:rFonts w:ascii="Times New Roman" w:cs="Times New Roman" w:eastAsia="Times New Roman" w:hAnsi="Times New Roman"/>
          <w:sz w:val="21"/>
          <w:szCs w:val="21"/>
          <w:color w:val="auto"/>
        </w:rPr>
        <w:t xml:space="preserve"> above shall not apply to losses, claims, damages, liabilities, costs or expenses (i) resulting from the bad faith, fraud, gross negligence or willful misconduct of an Indemnitee as determined pursuant to a final non-appealable order of a court of competent jurisdiction, (ii) relating to disputes among Indemnitees that does not involve an act or omission by Credit Parties, (iii) resulting from a material breach of an Indemnitee’s obligations to a Credit Party hereunder as determined pursuant to a final non-appealable order of a court of competent jurisdiction or (iv) resulting from settlements of any such litigation, investigation, claim or proceeding effected by the Indemnitees without the prior written consent of Borrower (which consent shall not be unreasonably withheld, delayed or conditioned); </w:t>
      </w:r>
      <w:r>
        <w:rPr>
          <w:rFonts w:ascii="Times New Roman" w:cs="Times New Roman" w:eastAsia="Times New Roman" w:hAnsi="Times New Roman"/>
          <w:sz w:val="21"/>
          <w:szCs w:val="21"/>
          <w:u w:val="single" w:color="auto"/>
          <w:color w:val="010101"/>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10101"/>
        </w:rPr>
        <w:t>that if such claim or action 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010101"/>
        </w:rPr>
        <w:t xml:space="preserve">settled with the Borrower’s written consent or if there is a final judgement by a court of competent jurisdiction in any such actions, the Borrower agrees to indemnify and hold harmless each Indemnitee from and against any and all losses, claims, damages, liabilities and expenses by reason of such settlement or judgment in accordance with this Section; </w:t>
      </w:r>
      <w:r>
        <w:rPr>
          <w:rFonts w:ascii="Times New Roman" w:cs="Times New Roman" w:eastAsia="Times New Roman" w:hAnsi="Times New Roman"/>
          <w:sz w:val="21"/>
          <w:szCs w:val="21"/>
          <w:u w:val="single" w:color="auto"/>
          <w:color w:val="000000"/>
        </w:rPr>
        <w:t>provided that</w:t>
      </w:r>
      <w:r>
        <w:rPr>
          <w:rFonts w:ascii="Times New Roman" w:cs="Times New Roman" w:eastAsia="Times New Roman" w:hAnsi="Times New Roman"/>
          <w:sz w:val="21"/>
          <w:szCs w:val="21"/>
          <w:color w:val="010101"/>
        </w:rPr>
        <w:t xml:space="preserve"> </w:t>
      </w:r>
      <w:r>
        <w:rPr>
          <w:rFonts w:ascii="Times New Roman" w:cs="Times New Roman" w:eastAsia="Times New Roman" w:hAnsi="Times New Roman"/>
          <w:sz w:val="21"/>
          <w:szCs w:val="21"/>
          <w:color w:val="000000"/>
        </w:rPr>
        <w:t>any</w:t>
      </w:r>
      <w:r>
        <w:rPr>
          <w:rFonts w:ascii="Times New Roman" w:cs="Times New Roman" w:eastAsia="Times New Roman" w:hAnsi="Times New Roman"/>
          <w:sz w:val="21"/>
          <w:szCs w:val="21"/>
          <w:color w:val="010101"/>
        </w:rPr>
        <w:t xml:space="preserve"> </w:t>
      </w:r>
      <w:r>
        <w:rPr>
          <w:rFonts w:ascii="Times New Roman" w:cs="Times New Roman" w:eastAsia="Times New Roman" w:hAnsi="Times New Roman"/>
          <w:sz w:val="21"/>
          <w:szCs w:val="21"/>
          <w:color w:val="000000"/>
        </w:rPr>
        <w:t>indemnification obligations owed by Credit Parties hereunder and not otherwise related to the foregoing settlement shall nonetheless remain an obligation of Credit Parties</w:t>
      </w:r>
      <w:r>
        <w:rPr>
          <w:rFonts w:ascii="Times New Roman" w:cs="Times New Roman" w:eastAsia="Times New Roman" w:hAnsi="Times New Roman"/>
          <w:sz w:val="21"/>
          <w:szCs w:val="21"/>
          <w:color w:val="010101"/>
        </w:rPr>
        <w:t>.</w:t>
      </w:r>
      <w:r>
        <w:rPr>
          <w:rFonts w:ascii="Times New Roman" w:cs="Times New Roman" w:eastAsia="Times New Roman" w:hAnsi="Times New Roman"/>
          <w:sz w:val="21"/>
          <w:szCs w:val="21"/>
          <w:color w:val="000000"/>
        </w:rPr>
        <w:t xml:space="preserv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2" w:right="339" w:bottom="1440" w:gutter="0" w:footer="0" w:header="0"/>
        </w:sectPr>
      </w:pPr>
    </w:p>
    <w:bookmarkStart w:id="220" w:name="page221"/>
    <w:bookmarkEnd w:id="220"/>
    <w:p>
      <w:pPr>
        <w:jc w:val="both"/>
        <w:spacing w:after="0" w:line="265" w:lineRule="auto"/>
        <w:rPr>
          <w:sz w:val="20"/>
          <w:szCs w:val="20"/>
          <w:color w:val="auto"/>
        </w:rPr>
      </w:pPr>
      <w:r>
        <w:rPr>
          <w:rFonts w:ascii="Times New Roman" w:cs="Times New Roman" w:eastAsia="Times New Roman" w:hAnsi="Times New Roman"/>
          <w:sz w:val="21"/>
          <w:szCs w:val="21"/>
          <w:color w:val="auto"/>
        </w:rPr>
        <w:t xml:space="preserve">extent that the undertaking to indemnify, pay and hold harmless set forth in this </w:t>
      </w:r>
      <w:r>
        <w:rPr>
          <w:rFonts w:ascii="Times New Roman" w:cs="Times New Roman" w:eastAsia="Times New Roman" w:hAnsi="Times New Roman"/>
          <w:sz w:val="21"/>
          <w:szCs w:val="21"/>
          <w:u w:val="single" w:color="auto"/>
          <w:color w:val="auto"/>
        </w:rPr>
        <w:t>Section 12.5</w:t>
      </w:r>
      <w:r>
        <w:rPr>
          <w:rFonts w:ascii="Times New Roman" w:cs="Times New Roman" w:eastAsia="Times New Roman" w:hAnsi="Times New Roman"/>
          <w:sz w:val="21"/>
          <w:szCs w:val="21"/>
          <w:color w:val="auto"/>
        </w:rPr>
        <w:t xml:space="preserve"> may be unenforceable because it violates any Applicable Law, each Credit Party shall pay the maximum portion which it is permitted to pay under Applicable Law to each Indemnitee in satisfaction of indemnified matters under this </w:t>
      </w:r>
      <w:r>
        <w:rPr>
          <w:rFonts w:ascii="Times New Roman" w:cs="Times New Roman" w:eastAsia="Times New Roman" w:hAnsi="Times New Roman"/>
          <w:sz w:val="21"/>
          <w:szCs w:val="21"/>
          <w:u w:val="single" w:color="auto"/>
          <w:color w:val="auto"/>
        </w:rPr>
        <w:t>Section 12.5</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12.5</w:t>
      </w:r>
      <w:r>
        <w:rPr>
          <w:rFonts w:ascii="Times New Roman" w:cs="Times New Roman" w:eastAsia="Times New Roman" w:hAnsi="Times New Roman"/>
          <w:sz w:val="21"/>
          <w:szCs w:val="21"/>
          <w:color w:val="auto"/>
        </w:rPr>
        <w:t xml:space="preserve"> shall not apply with respect to Taxes other than any Taxes that represent losses, claims, damages, etc. arising from any non-Tax claim. The foregoing indemnity shall survive the payment of the Obligations and the termination of this Agreement.</w:t>
      </w:r>
    </w:p>
    <w:p>
      <w:pPr>
        <w:spacing w:after="0" w:line="16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12.6</w:t>
        <w:tab/>
        <w:t>Costs and Expenses</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Upon demand by Agent, each Credit Party agrees within ten (10) days of receipt of a reasonably detailed written invoice therefor (or such longer period as Agent may agree), to pay to Arranger, Agent, Issuing Lender and Lenders all reasonable out-of-pocket costs, expenses and filing fees paid or payable in connection with the structuring, arrangement, syndication, preparation, negotiation, execution, delivery, recording, administration, collection, liquidation, restructuring, enforcement and defense of the Obligations, Agent’s and each Lender’s rights in the Collateral, the Financing Agreements and all other documents related hereto or thereto, including any amendments, supplements or consents which may hereafter be contemplated (whether or not executed) or entered into in respect hereof and thereof, including: (a) all costs and expenses of filing or recording or searching (including PPSA and UCC financing statement and other similar filing and recording fees, if applicable); (b) reasonable out-of-pocket costs and expenses of remitting loan proceeds and other items of payment, together with Agent’s customary, reasonable out-of-pocket charges and fees with respect thereto; (c) reasonable out-of-pocket costs and expenses of preserving and protecting the Collateral;</w:t>
      </w:r>
    </w:p>
    <w:p>
      <w:pPr>
        <w:spacing w:after="0" w:line="2" w:lineRule="exact"/>
        <w:rPr>
          <w:sz w:val="20"/>
          <w:szCs w:val="20"/>
          <w:color w:val="auto"/>
        </w:rPr>
      </w:pPr>
    </w:p>
    <w:p>
      <w:pPr>
        <w:jc w:val="both"/>
        <w:ind w:firstLine="7"/>
        <w:spacing w:after="0" w:line="256" w:lineRule="auto"/>
        <w:tabs>
          <w:tab w:leader="none" w:pos="349" w:val="left"/>
        </w:tabs>
        <w:numPr>
          <w:ilvl w:val="0"/>
          <w:numId w:val="2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reasonable out-of-pocket costs and expenses paid or incurred in connection with obtaining payment of the Obligations, enforcing the security interests and liens of Agent, selling or otherwise realizing upon the Collateral, and otherwise enforcing the provisions of the Financing Agreements or defending any claims made or threatened against Agent and Lenders arising out of the transactions contemplated hereby and thereby (including preparations for and consultations concerning any such matters); (e) all reasonable out-of-pocket expenses including due diligence, negotiation, arrangement, syndication, restructuring, administration and amending of this Agreement; and (f) the fees, expenses and disbursements of counsel (including legal assistants) to Arranger, Agent, Issuing Lender, and Lenders in connection with any of the foregoing (but limited, in the case of such fees, expenses and disbursements of counsel, to the reasonable, documented and invoiced fees, expenses and disbursements of one primary counsel for Arranger, Agent, Issuing Lender and Lenders, taken as a whole (and, if reasonably determined by Agent to be necessary, a single outside local and a single outside special counsel in each jurisdiction material to the interests of all such Persons taken as a whole for all such Persons taken as a whole and, in the case of an actual or perceived conflict of interest where such Person affected by such conflict informs Borrower of such conflict, one additional primary counsel for all such Persons subject to such conflict taken as a whole)) and counsel otherwise retained with Borrower’s consent (which consent shall not be unreasonably withheld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3" w:right="339" w:bottom="1440" w:gutter="0" w:footer="0" w:header="0"/>
        </w:sectPr>
      </w:pPr>
    </w:p>
    <w:bookmarkStart w:id="221" w:name="page222"/>
    <w:bookmarkEnd w:id="221"/>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12.7</w:t>
        <w:tab/>
        <w:t>Further Assurances</w:t>
      </w:r>
    </w:p>
    <w:p>
      <w:pPr>
        <w:spacing w:after="0" w:line="2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At the reasonable request of Agent at any time and from time to time, each Credit Party shall, at its expense, duly execute and deliver, or cause to be duly executed and delivered, such further agreements, documents and instruments, and do or cause to be done such further acts as may be necessary to evidence, perfect, maintain and enforce the Liens and the priority thereof in the Collateral and to otherwise effectuate the provisions or purposes of any of the Financing Agreements. Where permitted by law, each Credit Party hereby authorizes Agent to execute and file one or more PPSA, UCC or other financing statements or notices signed only by Agent or Agent’s representative.</w:t>
      </w:r>
    </w:p>
    <w:p>
      <w:pPr>
        <w:spacing w:after="0" w:line="13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13</w:t>
      </w:r>
    </w:p>
    <w:p>
      <w:pPr>
        <w:spacing w:after="0" w:line="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1"/>
          <w:szCs w:val="21"/>
          <w:b w:val="1"/>
          <w:bCs w:val="1"/>
          <w:u w:val="single" w:color="auto"/>
          <w:color w:val="auto"/>
        </w:rPr>
        <w:t>MISCELLANEOUS</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13.1</w:t>
        <w:tab/>
        <w:t>Notice</w:t>
      </w:r>
    </w:p>
    <w:p>
      <w:pPr>
        <w:spacing w:after="0" w:line="21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1"/>
          <w:szCs w:val="21"/>
          <w:color w:val="auto"/>
        </w:rPr>
        <w:t>All notices, requests and demands hereunder shall be in writing and made to Agent and Lenders at their respective addresses set forth below and to Borrower (on behalf of itself and each other Credit Party) at its chief executive office set forth below, or to such other address as any party may designate by written notice to the other in accordance with this provision.</w:t>
      </w:r>
    </w:p>
    <w:p>
      <w:pPr>
        <w:spacing w:after="0" w:line="15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If to the Borrower:</w:t>
      </w:r>
    </w:p>
    <w:p>
      <w:pPr>
        <w:spacing w:after="0" w:line="22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IMAX Corporation</w:t>
      </w:r>
    </w:p>
    <w:p>
      <w:pPr>
        <w:spacing w:after="0" w:line="3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2525 Speakman Drive</w:t>
      </w:r>
    </w:p>
    <w:p>
      <w:pPr>
        <w:spacing w:after="0" w:line="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Mississauga, Ontario</w:t>
      </w:r>
    </w:p>
    <w:p>
      <w:pPr>
        <w:spacing w:after="0" w:line="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L5K 1B1, Canada</w:t>
      </w:r>
    </w:p>
    <w:p>
      <w:pPr>
        <w:spacing w:after="0" w:line="1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Attention of: Natasha Fernandes</w:t>
      </w:r>
    </w:p>
    <w:p>
      <w:pPr>
        <w:spacing w:after="0" w:line="2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Telephone No.: (905) 403-6457</w:t>
      </w:r>
    </w:p>
    <w:p>
      <w:pPr>
        <w:spacing w:after="0" w:line="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Email: NFernandes@imax.com</w:t>
      </w:r>
    </w:p>
    <w:p>
      <w:pPr>
        <w:spacing w:after="0" w:line="200" w:lineRule="exact"/>
        <w:rPr>
          <w:sz w:val="20"/>
          <w:szCs w:val="20"/>
          <w:color w:val="auto"/>
        </w:rPr>
      </w:pPr>
    </w:p>
    <w:p>
      <w:pPr>
        <w:spacing w:after="0" w:line="24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If to Wells Fargo, as Administrative Agent:</w:t>
      </w:r>
    </w:p>
    <w:p>
      <w:pPr>
        <w:spacing w:after="0" w:line="22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Wells Fargo Bank, National Association</w:t>
      </w:r>
    </w:p>
    <w:p>
      <w:pPr>
        <w:spacing w:after="0" w:line="3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MAC D1109-019</w:t>
      </w:r>
    </w:p>
    <w:p>
      <w:pPr>
        <w:spacing w:after="0" w:line="2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1525 West W.T. Harris Blvd.</w:t>
      </w:r>
    </w:p>
    <w:p>
      <w:pPr>
        <w:spacing w:after="0" w:line="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Charlotte, NC 28262</w:t>
      </w:r>
    </w:p>
    <w:p>
      <w:pPr>
        <w:spacing w:after="0" w:line="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Attention of: Syndication Agency Services</w:t>
      </w:r>
    </w:p>
    <w:p>
      <w:pPr>
        <w:spacing w:after="0" w:line="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Telephone No.: (704) 590-2706</w:t>
      </w:r>
    </w:p>
    <w:p>
      <w:pPr>
        <w:spacing w:after="0" w:line="1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Facsimile No.: (844) 879-5899</w:t>
      </w:r>
    </w:p>
    <w:p>
      <w:pPr>
        <w:spacing w:after="0" w:line="2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Email: Agencyservices.requests@wellsfargo.com</w:t>
      </w:r>
    </w:p>
    <w:p>
      <w:pPr>
        <w:spacing w:after="0" w:line="20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With copies to:</w:t>
      </w:r>
    </w:p>
    <w:p>
      <w:pPr>
        <w:spacing w:after="0" w:line="22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Wells Fargo Bank, National Association</w:t>
      </w:r>
    </w:p>
    <w:p>
      <w:pPr>
        <w:spacing w:after="0" w:line="3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1800 Century Park East, 12</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Floor</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2" w:right="339" w:bottom="1440" w:gutter="0" w:footer="0" w:header="0"/>
        </w:sectPr>
      </w:pPr>
    </w:p>
    <w:bookmarkStart w:id="222" w:name="page223"/>
    <w:bookmarkEnd w:id="222"/>
    <w:p>
      <w:pPr>
        <w:ind w:left="1940"/>
        <w:spacing w:after="0"/>
        <w:rPr>
          <w:sz w:val="20"/>
          <w:szCs w:val="20"/>
          <w:color w:val="auto"/>
        </w:rPr>
      </w:pPr>
      <w:r>
        <w:rPr>
          <w:rFonts w:ascii="Times New Roman" w:cs="Times New Roman" w:eastAsia="Times New Roman" w:hAnsi="Times New Roman"/>
          <w:sz w:val="21"/>
          <w:szCs w:val="21"/>
          <w:color w:val="auto"/>
        </w:rPr>
        <w:t>Los Angeles, CA 90067</w:t>
      </w:r>
    </w:p>
    <w:p>
      <w:pPr>
        <w:spacing w:after="0" w:line="3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Attention of: Michael Kim</w:t>
      </w:r>
    </w:p>
    <w:p>
      <w:pPr>
        <w:spacing w:after="0" w:line="1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Telephone No.: 310-431-1026</w:t>
      </w:r>
    </w:p>
    <w:p>
      <w:pPr>
        <w:spacing w:after="0" w:line="1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E-mail: Michael.Kim@wellsfargo.com</w:t>
      </w:r>
    </w:p>
    <w:p>
      <w:pPr>
        <w:spacing w:after="0" w:line="2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1"/>
          <w:szCs w:val="21"/>
          <w:color w:val="auto"/>
        </w:rPr>
        <w:t>If to any Lender:</w:t>
      </w:r>
    </w:p>
    <w:p>
      <w:pPr>
        <w:spacing w:after="0" w:line="228" w:lineRule="exact"/>
        <w:rPr>
          <w:sz w:val="20"/>
          <w:szCs w:val="20"/>
          <w:color w:val="auto"/>
        </w:rPr>
      </w:pPr>
    </w:p>
    <w:p>
      <w:pPr>
        <w:ind w:left="1940" w:right="660"/>
        <w:spacing w:after="0" w:line="290" w:lineRule="auto"/>
        <w:rPr>
          <w:sz w:val="20"/>
          <w:szCs w:val="20"/>
          <w:color w:val="auto"/>
        </w:rPr>
      </w:pPr>
      <w:r>
        <w:rPr>
          <w:rFonts w:ascii="Times New Roman" w:cs="Times New Roman" w:eastAsia="Times New Roman" w:hAnsi="Times New Roman"/>
          <w:sz w:val="21"/>
          <w:szCs w:val="21"/>
          <w:color w:val="auto"/>
        </w:rPr>
        <w:t>To the address of such Lender set forth on the Register with respect to deliveries of notices and other documentation that may contain material non-public information.</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Notices shall be deemed to have been given or made: if delivered in person, immediately upon delivery; if by email or facsimile transmission, immediately upon sending and upon confirmation of receipt; if by nationally recognized overnight courier service with instructions to deliver the next Business Day, one (1) Business Day after sending; and if by registered mail, return receipt requested, five (5) days after mailing.</w:t>
      </w:r>
    </w:p>
    <w:p>
      <w:pPr>
        <w:spacing w:after="0" w:line="1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13.2</w:t>
        <w:tab/>
        <w:t>Partial Invalidity</w:t>
      </w:r>
    </w:p>
    <w:p>
      <w:pPr>
        <w:spacing w:after="0" w:line="2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If any provision of this Agreement is held to be invalid or unenforceable, such invalidity or unenforceability shall not invalidate this Agreement as a whole, but this Agreement shall be construed as though it did not contain the particular provision held to be invalid or unenforceable and the rights and obligations of the parties shall be construed and enforced only to such extent as shall be permitted by Applicable Law.</w:t>
      </w:r>
    </w:p>
    <w:p>
      <w:pPr>
        <w:spacing w:after="0" w:line="1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13.3</w:t>
        <w:tab/>
        <w:t>Successors</w:t>
      </w:r>
    </w:p>
    <w:p>
      <w:pPr>
        <w:spacing w:after="0" w:line="21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21"/>
          <w:szCs w:val="21"/>
          <w:color w:val="auto"/>
        </w:rPr>
        <w:t>The Financing Agreements and any other document referred to herein or therein shall be binding upon and inure to the benefit of and be enforceable by Agent, Lenders and each Credit Party and their respective successors and permitted assigns.</w:t>
      </w:r>
    </w:p>
    <w:p>
      <w:pPr>
        <w:spacing w:after="0" w:line="1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13.4</w:t>
        <w:tab/>
        <w:t>Entire Agreement</w:t>
      </w:r>
    </w:p>
    <w:p>
      <w:pPr>
        <w:spacing w:after="0" w:line="2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The Financing Agreements, any supplements hereto or thereto, and any instruments or documents delivered or to be delivered in connection herewith or therewith represents the entire agreement and understanding concerning the subject matter hereof and thereof between the parties hereto, and supersede all other prior agreements, understandings, negotiations and discussions, representations, warranties, commitments, proposals, offers and contracts concerning the subject matter hereof, whether oral or written. In the event of any inconsistency between the terms of this Agreement and any schedule or exhibit hereto, the terms of this Agreement shall govern.</w:t>
      </w:r>
    </w:p>
    <w:p>
      <w:pPr>
        <w:spacing w:after="0" w:line="13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13.5</w:t>
      </w:r>
      <w:r>
        <w:rPr>
          <w:sz w:val="20"/>
          <w:szCs w:val="20"/>
          <w:color w:val="auto"/>
        </w:rPr>
        <w:tab/>
      </w:r>
      <w:r>
        <w:rPr>
          <w:rFonts w:ascii="Times New Roman" w:cs="Times New Roman" w:eastAsia="Times New Roman" w:hAnsi="Times New Roman"/>
          <w:sz w:val="20"/>
          <w:szCs w:val="20"/>
          <w:b w:val="1"/>
          <w:bCs w:val="1"/>
          <w:color w:val="auto"/>
        </w:rPr>
        <w:t>Headings</w:t>
      </w:r>
    </w:p>
    <w:p>
      <w:pPr>
        <w:spacing w:after="0" w:line="218" w:lineRule="exact"/>
        <w:rPr>
          <w:sz w:val="20"/>
          <w:szCs w:val="20"/>
          <w:color w:val="auto"/>
        </w:rPr>
      </w:pPr>
    </w:p>
    <w:p>
      <w:pPr>
        <w:jc w:val="both"/>
        <w:ind w:right="20"/>
        <w:spacing w:after="0" w:line="303" w:lineRule="auto"/>
        <w:rPr>
          <w:sz w:val="20"/>
          <w:szCs w:val="20"/>
          <w:color w:val="auto"/>
        </w:rPr>
      </w:pPr>
      <w:r>
        <w:rPr>
          <w:rFonts w:ascii="Times New Roman" w:cs="Times New Roman" w:eastAsia="Times New Roman" w:hAnsi="Times New Roman"/>
          <w:sz w:val="21"/>
          <w:szCs w:val="21"/>
          <w:color w:val="auto"/>
        </w:rPr>
        <w:t>The division of this Agreement into sections and the insertion of headings and a table of contents are for convenience of reference only and shall not affect the construction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2" w:right="339" w:bottom="1440" w:gutter="0" w:footer="0" w:header="0"/>
        </w:sectPr>
      </w:pPr>
    </w:p>
    <w:bookmarkStart w:id="223" w:name="page224"/>
    <w:bookmarkEnd w:id="223"/>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13.6</w:t>
        <w:tab/>
        <w:t>Judgment Currency</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To the extent permitted by Applicable Law, the obligations of Borrower in respect of any amount due under this Agreement shall, notwithstanding any payment in any other currency (the “</w:t>
      </w:r>
      <w:r>
        <w:rPr>
          <w:rFonts w:ascii="Times New Roman" w:cs="Times New Roman" w:eastAsia="Times New Roman" w:hAnsi="Times New Roman"/>
          <w:sz w:val="21"/>
          <w:szCs w:val="21"/>
          <w:b w:val="1"/>
          <w:bCs w:val="1"/>
          <w:color w:val="auto"/>
        </w:rPr>
        <w:t>Other Currency</w:t>
      </w:r>
      <w:r>
        <w:rPr>
          <w:rFonts w:ascii="Times New Roman" w:cs="Times New Roman" w:eastAsia="Times New Roman" w:hAnsi="Times New Roman"/>
          <w:sz w:val="21"/>
          <w:szCs w:val="21"/>
          <w:color w:val="auto"/>
        </w:rPr>
        <w:t>”) (whether pursuant to a judgment or otherwise), be discharged only to the extent of the amount in the currency in which it is due (the “</w:t>
      </w:r>
      <w:r>
        <w:rPr>
          <w:rFonts w:ascii="Times New Roman" w:cs="Times New Roman" w:eastAsia="Times New Roman" w:hAnsi="Times New Roman"/>
          <w:sz w:val="21"/>
          <w:szCs w:val="21"/>
          <w:b w:val="1"/>
          <w:bCs w:val="1"/>
          <w:color w:val="auto"/>
        </w:rPr>
        <w:t>Agreed Currency</w:t>
      </w:r>
      <w:r>
        <w:rPr>
          <w:rFonts w:ascii="Times New Roman" w:cs="Times New Roman" w:eastAsia="Times New Roman" w:hAnsi="Times New Roman"/>
          <w:sz w:val="21"/>
          <w:szCs w:val="21"/>
          <w:color w:val="auto"/>
        </w:rPr>
        <w:t>”) that Agent may, in accordance with normal banking procedures, purchase with the sum paid in the Other Currency (after any premium and costs of exchange) on the Business Day immediately after the day on which Agent receives the payment. If the amount in the Agreed Currency that may be so purchased for any reason falls short of the amount originally due, Borrower shall pay all additional amounts, in the Agreed Currency, as may be necessary to compensate for the shortfall. Any obligation of Borrower not discharged by that payment shall, to the extent permitted by Applicable Law, be due as a separate and independent obligation and, until discharged as provided in this section, continue in full force and effect.</w:t>
      </w:r>
    </w:p>
    <w:p>
      <w:pPr>
        <w:spacing w:after="0" w:line="1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13.7</w:t>
        <w:tab/>
        <w:t>Counterparts and Facsimile; Electronic Execution</w:t>
      </w:r>
    </w:p>
    <w:p>
      <w:pPr>
        <w:spacing w:after="0" w:line="2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This Agreement may be executed in any number of counterparts, each of which when executed and delivered shall be deemed to be an original, and such counterparts together shall constitute one and the same agreement. The delivery of a facsimile or pdf copy of an executed counterpart of this Agreement shall be deemed to be valid execution and delivery of this Agreement, but the party delivering a facsimile or pdf copy shall deliver to the other party an original copy of this Agreement as soon as possible after delivering the facsimile or pdf copy.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The words “execute,” “execution,” “signed,” “signature,” “delivery” and words of like import in or related to this Agreement, any other Financing Agreement or any document, amendment, approval, consent, waiver, modification, information, notice, certificate, report, statement, disclosure, or authorization to be signed or delivered in connection with this Agreement or any other Financing Agreement or the transactions contemplated hereby shall be deemed to include Electronic Signatures or execution in the form of an Electronic Record, and contract formations on electronic platforms approved by the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Agent is under no obligation to accept an Electronic Signature in any form or in any format unless expressly agreed to by the Agent pursuant to procedures approved by it;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without limiting the foregoing, (a) to the extent the Agent has agreed to accept such Electronic Signature from any party hereto,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2" w:right="339" w:bottom="1440" w:gutter="0" w:footer="0" w:header="0"/>
        </w:sectPr>
      </w:pPr>
    </w:p>
    <w:bookmarkStart w:id="224" w:name="page225"/>
    <w:bookmarkEnd w:id="224"/>
    <w:p>
      <w:pPr>
        <w:jc w:val="both"/>
        <w:spacing w:after="0" w:line="261" w:lineRule="auto"/>
        <w:rPr>
          <w:sz w:val="20"/>
          <w:szCs w:val="20"/>
          <w:color w:val="auto"/>
        </w:rPr>
      </w:pPr>
      <w:r>
        <w:rPr>
          <w:rFonts w:ascii="Times New Roman" w:cs="Times New Roman" w:eastAsia="Times New Roman" w:hAnsi="Times New Roman"/>
          <w:sz w:val="21"/>
          <w:szCs w:val="21"/>
          <w:color w:val="auto"/>
        </w:rPr>
        <w:t>Agent and the other parties hereto shall be entitled to rely on any such Electronic Signature purportedly given by or on behalf of the executing party without further verification and (b) upon the request of the Agent or any Lender, any Electronic Signature shall be promptly followed by an original manually executed counterpart thereof. Without limiting the generality of the foregoing, each party hereto hereby (i) agrees that, for all purposes, including without limitation, in connection with any workout, restructuring, enforcement of remedies, bankruptcy proceedings or litigation among the Agent, the Lenders and any of the Credit Parties, electronic images of this Agreement or any other Financing Agreement (in each case, including with respect to any signature pages thereto) shall have the same legal effect, validity and enforceability as any paper original, and (ii) waives any argument, defense or right to contest the validity or enforceability of the Financing Agreements based solely on the lack of paper original copies of any Financing Agreements, including with respect to any signature pages thereto.</w:t>
      </w:r>
    </w:p>
    <w:p>
      <w:pPr>
        <w:spacing w:after="0" w:line="1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13.8</w:t>
        <w:tab/>
        <w:t>Patriot Act Notice</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Agent and each Lender which is subject to the </w:t>
      </w:r>
      <w:r>
        <w:rPr>
          <w:rFonts w:ascii="Times New Roman" w:cs="Times New Roman" w:eastAsia="Times New Roman" w:hAnsi="Times New Roman"/>
          <w:sz w:val="21"/>
          <w:szCs w:val="21"/>
          <w:i w:val="1"/>
          <w:iCs w:val="1"/>
          <w:color w:val="auto"/>
        </w:rPr>
        <w:t>Patriot Act</w:t>
      </w:r>
      <w:r>
        <w:rPr>
          <w:rFonts w:ascii="Times New Roman" w:cs="Times New Roman" w:eastAsia="Times New Roman" w:hAnsi="Times New Roman"/>
          <w:sz w:val="21"/>
          <w:szCs w:val="21"/>
          <w:color w:val="auto"/>
        </w:rPr>
        <w:t xml:space="preserve"> or any other Anti-Money Laundering Laws hereby notifies each Credit Party that pursuant to the requirements of the </w:t>
      </w:r>
      <w:r>
        <w:rPr>
          <w:rFonts w:ascii="Times New Roman" w:cs="Times New Roman" w:eastAsia="Times New Roman" w:hAnsi="Times New Roman"/>
          <w:sz w:val="21"/>
          <w:szCs w:val="21"/>
          <w:i w:val="1"/>
          <w:iCs w:val="1"/>
          <w:color w:val="auto"/>
        </w:rPr>
        <w:t>Patriot Act</w:t>
      </w:r>
      <w:r>
        <w:rPr>
          <w:rFonts w:ascii="Times New Roman" w:cs="Times New Roman" w:eastAsia="Times New Roman" w:hAnsi="Times New Roman"/>
          <w:sz w:val="21"/>
          <w:szCs w:val="21"/>
          <w:color w:val="auto"/>
        </w:rPr>
        <w:t xml:space="preserve"> or such other Anti-Money Laundering Laws, it is required to obtain, verify and record information that identifies each person or corporation who opens an account and/or enters into a business relationship with it, which information includes the name and address of each Credit Party and its Subsidiaries and other information that will allow Agent and such Lender to identify such person in accordance with the </w:t>
      </w:r>
      <w:r>
        <w:rPr>
          <w:rFonts w:ascii="Times New Roman" w:cs="Times New Roman" w:eastAsia="Times New Roman" w:hAnsi="Times New Roman"/>
          <w:sz w:val="21"/>
          <w:szCs w:val="21"/>
          <w:i w:val="1"/>
          <w:iCs w:val="1"/>
          <w:color w:val="auto"/>
        </w:rPr>
        <w:t>Patriot Act</w:t>
      </w:r>
      <w:r>
        <w:rPr>
          <w:rFonts w:ascii="Times New Roman" w:cs="Times New Roman" w:eastAsia="Times New Roman" w:hAnsi="Times New Roman"/>
          <w:sz w:val="21"/>
          <w:szCs w:val="21"/>
          <w:color w:val="auto"/>
        </w:rPr>
        <w:t xml:space="preserve"> and any other Applicable Law. Each Credit Party is hereby advised that any Loans or Letter of Credit Accommodations hereunder are subject to satisfactory results of such verification.</w:t>
      </w:r>
    </w:p>
    <w:p>
      <w:pPr>
        <w:spacing w:after="0" w:line="1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13.9</w:t>
        <w:tab/>
        <w:t>Acknowledgement and Consent to Bail-In of Affected Financial Institutions.</w:t>
      </w:r>
    </w:p>
    <w:p>
      <w:pPr>
        <w:spacing w:after="0" w:line="2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b w:val="1"/>
          <w:bCs w:val="1"/>
          <w:color w:val="auto"/>
        </w:rPr>
        <w:t xml:space="preserve">13.10 </w:t>
      </w:r>
      <w:r>
        <w:rPr>
          <w:rFonts w:ascii="Times New Roman" w:cs="Times New Roman" w:eastAsia="Times New Roman" w:hAnsi="Times New Roman"/>
          <w:sz w:val="21"/>
          <w:szCs w:val="21"/>
          <w:color w:val="auto"/>
        </w:rPr>
        <w:t>Notwithstanding anything to the contrary in any Financing Agreement or in any other agreement, arrangement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understanding among any such parties, each party hereto acknowledges that any liability of any Affected Financial Institution arising under any Financing Agreement, to the extent such liability is unsecured, may be subject to the Write-Down and Conversion Powers of the applicable Resolution Authority and agrees and consents to, and acknowledges and agrees to be bound by:</w:t>
      </w:r>
    </w:p>
    <w:p>
      <w:pPr>
        <w:spacing w:after="0" w:line="400" w:lineRule="exact"/>
        <w:rPr>
          <w:sz w:val="20"/>
          <w:szCs w:val="20"/>
          <w:color w:val="auto"/>
        </w:rPr>
      </w:pPr>
    </w:p>
    <w:p>
      <w:pPr>
        <w:jc w:val="both"/>
        <w:ind w:left="1300" w:hanging="649"/>
        <w:spacing w:after="0" w:line="234" w:lineRule="auto"/>
        <w:tabs>
          <w:tab w:leader="none" w:pos="1297"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51"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effects of any Bail-In Action on any such liability, including, if applicable:</w:t>
      </w:r>
    </w:p>
    <w:p>
      <w:pPr>
        <w:spacing w:after="0" w:line="187" w:lineRule="exact"/>
        <w:rPr>
          <w:rFonts w:ascii="Times New Roman" w:cs="Times New Roman" w:eastAsia="Times New Roman" w:hAnsi="Times New Roman"/>
          <w:sz w:val="21"/>
          <w:szCs w:val="21"/>
          <w:color w:val="auto"/>
        </w:rPr>
      </w:pPr>
    </w:p>
    <w:p>
      <w:pPr>
        <w:ind w:left="1920" w:hanging="626"/>
        <w:spacing w:after="0"/>
        <w:tabs>
          <w:tab w:leader="none" w:pos="1920" w:val="left"/>
        </w:tabs>
        <w:numPr>
          <w:ilvl w:val="1"/>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reduction in full or in part or cancellation of any such liability;</w:t>
      </w:r>
    </w:p>
    <w:p>
      <w:pPr>
        <w:spacing w:after="0" w:line="187" w:lineRule="exact"/>
        <w:rPr>
          <w:rFonts w:ascii="Times New Roman" w:cs="Times New Roman" w:eastAsia="Times New Roman" w:hAnsi="Times New Roman"/>
          <w:sz w:val="21"/>
          <w:szCs w:val="21"/>
          <w:color w:val="auto"/>
        </w:rPr>
      </w:pPr>
    </w:p>
    <w:p>
      <w:pPr>
        <w:jc w:val="both"/>
        <w:ind w:left="1940" w:hanging="646"/>
        <w:spacing w:after="0"/>
        <w:tabs>
          <w:tab w:leader="none" w:pos="1934" w:val="left"/>
        </w:tabs>
        <w:numPr>
          <w:ilvl w:val="1"/>
          <w:numId w:val="2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Financing Agreement;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3" w:right="339" w:bottom="1440" w:gutter="0" w:footer="0" w:header="0"/>
        </w:sectPr>
      </w:pPr>
    </w:p>
    <w:bookmarkStart w:id="225" w:name="page226"/>
    <w:bookmarkEnd w:id="225"/>
    <w:p>
      <w:pPr>
        <w:ind w:left="1940" w:hanging="646"/>
        <w:spacing w:after="0" w:line="250" w:lineRule="auto"/>
        <w:tabs>
          <w:tab w:leader="none" w:pos="1940" w:val="left"/>
        </w:tabs>
        <w:numPr>
          <w:ilvl w:val="0"/>
          <w:numId w:val="2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variation of the terms of such liability in connection with the exercise of the Write-Down and Conversion Powers of the applicable Resolution Authority.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13.11  Acknowledgement Regarding Any Supported QFCs.</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13.12 </w:t>
      </w:r>
      <w:r>
        <w:rPr>
          <w:rFonts w:ascii="Times New Roman" w:cs="Times New Roman" w:eastAsia="Times New Roman" w:hAnsi="Times New Roman"/>
          <w:sz w:val="21"/>
          <w:szCs w:val="21"/>
          <w:color w:val="auto"/>
        </w:rPr>
        <w:t>To the extent that the Financing Agreements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provide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support, through a guarantee or otherwise, for Hedge Agreements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other agreement or instrument that is a QFC (such support, “</w:t>
      </w:r>
      <w:r>
        <w:rPr>
          <w:rFonts w:ascii="Times New Roman" w:cs="Times New Roman" w:eastAsia="Times New Roman" w:hAnsi="Times New Roman"/>
          <w:sz w:val="21"/>
          <w:szCs w:val="21"/>
          <w:b w:val="1"/>
          <w:bCs w:val="1"/>
          <w:color w:val="auto"/>
        </w:rPr>
        <w:t>QFC Credit Support</w:t>
      </w:r>
      <w:r>
        <w:rPr>
          <w:rFonts w:ascii="Times New Roman" w:cs="Times New Roman" w:eastAsia="Times New Roman" w:hAnsi="Times New Roman"/>
          <w:sz w:val="21"/>
          <w:szCs w:val="21"/>
          <w:color w:val="auto"/>
        </w:rPr>
        <w:t>” and, each such QFC, a “</w:t>
      </w:r>
      <w:r>
        <w:rPr>
          <w:rFonts w:ascii="Times New Roman" w:cs="Times New Roman" w:eastAsia="Times New Roman" w:hAnsi="Times New Roman"/>
          <w:sz w:val="21"/>
          <w:szCs w:val="21"/>
          <w:b w:val="1"/>
          <w:bCs w:val="1"/>
          <w:color w:val="auto"/>
        </w:rPr>
        <w:t>Supported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QFC</w:t>
      </w:r>
      <w:r>
        <w:rPr>
          <w:rFonts w:ascii="Times New Roman" w:cs="Times New Roman" w:eastAsia="Times New Roman" w:hAnsi="Times New Roman"/>
          <w:sz w:val="21"/>
          <w:szCs w:val="21"/>
          <w:color w:val="auto"/>
        </w:rPr>
        <w:t>”), the parties acknowledge and agree as follows with respect to the resolution power of the FDIC under the Federal Deposit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Insurance Act and Title II of the Dodd-Frank Wall Street Reform and Consumer Protection Act (together with the regulations promulgated thereunder, the “</w:t>
      </w:r>
      <w:r>
        <w:rPr>
          <w:rFonts w:ascii="Times New Roman" w:cs="Times New Roman" w:eastAsia="Times New Roman" w:hAnsi="Times New Roman"/>
          <w:sz w:val="21"/>
          <w:szCs w:val="21"/>
          <w:b w:val="1"/>
          <w:bCs w:val="1"/>
          <w:color w:val="auto"/>
        </w:rPr>
        <w:t>U.S. Special Resolution Regimes”)</w:t>
      </w:r>
      <w:r>
        <w:rPr>
          <w:rFonts w:ascii="Times New Roman" w:cs="Times New Roman" w:eastAsia="Times New Roman" w:hAnsi="Times New Roman"/>
          <w:sz w:val="21"/>
          <w:szCs w:val="21"/>
          <w:color w:val="auto"/>
        </w:rPr>
        <w:t xml:space="preserve"> in respect of such Supported QFC and QFC Credit Support (with the provisions below applicable notwithstanding that the Financing Agreements and any Supported QFC may in fact be stated to be governed by the laws of the State of New York and/or of the United States or any other state of the United States):</w:t>
      </w:r>
    </w:p>
    <w:p>
      <w:pPr>
        <w:spacing w:after="0" w:line="139" w:lineRule="exact"/>
        <w:rPr>
          <w:sz w:val="20"/>
          <w:szCs w:val="20"/>
          <w:color w:val="auto"/>
        </w:rPr>
      </w:pPr>
    </w:p>
    <w:p>
      <w:pPr>
        <w:jc w:val="both"/>
        <w:ind w:firstLine="651"/>
        <w:spacing w:after="0" w:line="218" w:lineRule="auto"/>
        <w:tabs>
          <w:tab w:leader="none" w:pos="1284"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a Covered Entity that is party to a Supported QFC (each, a “</w:t>
      </w:r>
      <w:r>
        <w:rPr>
          <w:rFonts w:ascii="Times New Roman" w:cs="Times New Roman" w:eastAsia="Times New Roman" w:hAnsi="Times New Roman"/>
          <w:sz w:val="21"/>
          <w:szCs w:val="21"/>
          <w:b w:val="1"/>
          <w:bCs w:val="1"/>
          <w:color w:val="auto"/>
        </w:rPr>
        <w:t>Covered Party</w:t>
      </w:r>
      <w:r>
        <w:rPr>
          <w:rFonts w:ascii="Times New Roman" w:cs="Times New Roman" w:eastAsia="Times New Roman" w:hAnsi="Times New Roman"/>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Financing Agreements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Financing Agreements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55" w:lineRule="exact"/>
        <w:rPr>
          <w:rFonts w:ascii="Times New Roman" w:cs="Times New Roman" w:eastAsia="Times New Roman" w:hAnsi="Times New Roman"/>
          <w:sz w:val="21"/>
          <w:szCs w:val="21"/>
          <w:color w:val="auto"/>
        </w:rPr>
      </w:pPr>
    </w:p>
    <w:p>
      <w:pPr>
        <w:ind w:left="1280" w:hanging="629"/>
        <w:spacing w:after="0"/>
        <w:tabs>
          <w:tab w:leader="none" w:pos="1280" w:val="left"/>
        </w:tabs>
        <w:numPr>
          <w:ilvl w:val="0"/>
          <w:numId w:val="2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used in this </w:t>
      </w:r>
      <w:r>
        <w:rPr>
          <w:rFonts w:ascii="Times New Roman" w:cs="Times New Roman" w:eastAsia="Times New Roman" w:hAnsi="Times New Roman"/>
          <w:sz w:val="21"/>
          <w:szCs w:val="21"/>
          <w:u w:val="single" w:color="auto"/>
          <w:color w:val="auto"/>
        </w:rPr>
        <w:t>Section 13.10</w:t>
      </w:r>
      <w:r>
        <w:rPr>
          <w:rFonts w:ascii="Times New Roman" w:cs="Times New Roman" w:eastAsia="Times New Roman" w:hAnsi="Times New Roman"/>
          <w:sz w:val="21"/>
          <w:szCs w:val="21"/>
          <w:color w:val="auto"/>
        </w:rPr>
        <w:t>, the following terms have the following meanings:</w:t>
      </w:r>
    </w:p>
    <w:p>
      <w:pPr>
        <w:spacing w:after="0" w:line="210" w:lineRule="exact"/>
        <w:rPr>
          <w:sz w:val="20"/>
          <w:szCs w:val="20"/>
          <w:color w:val="auto"/>
        </w:rPr>
      </w:pPr>
    </w:p>
    <w:p>
      <w:pPr>
        <w:ind w:left="660" w:firstLine="644"/>
        <w:spacing w:after="0" w:line="307"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BHC Act Affiliate</w:t>
      </w:r>
      <w:r>
        <w:rPr>
          <w:rFonts w:ascii="Times New Roman" w:cs="Times New Roman" w:eastAsia="Times New Roman" w:hAnsi="Times New Roman"/>
          <w:sz w:val="21"/>
          <w:szCs w:val="21"/>
          <w:color w:val="auto"/>
        </w:rPr>
        <w:t>” of a party means an “affiliate” (as such term is defined under, and interpreted in accordance with, 12 U.S.C. 1841(k)) of such party.</w:t>
      </w:r>
    </w:p>
    <w:p>
      <w:pPr>
        <w:spacing w:after="0" w:line="11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Covered Entity</w:t>
      </w:r>
      <w:r>
        <w:rPr>
          <w:rFonts w:ascii="Times New Roman" w:cs="Times New Roman" w:eastAsia="Times New Roman" w:hAnsi="Times New Roman"/>
          <w:sz w:val="21"/>
          <w:szCs w:val="21"/>
          <w:color w:val="auto"/>
        </w:rPr>
        <w:t>” means any of the following:</w:t>
      </w:r>
    </w:p>
    <w:p>
      <w:pPr>
        <w:spacing w:after="0" w:line="232" w:lineRule="exact"/>
        <w:rPr>
          <w:sz w:val="20"/>
          <w:szCs w:val="20"/>
          <w:color w:val="auto"/>
        </w:rPr>
      </w:pPr>
    </w:p>
    <w:p>
      <w:pPr>
        <w:ind w:left="1920" w:hanging="626"/>
        <w:spacing w:after="0"/>
        <w:tabs>
          <w:tab w:leader="none" w:pos="192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entity” as that term is defined in, and interpreted in accordance with, 12 C.F.R. § 252.82(b);</w:t>
      </w:r>
    </w:p>
    <w:p>
      <w:pPr>
        <w:spacing w:after="0" w:line="227" w:lineRule="exact"/>
        <w:rPr>
          <w:rFonts w:ascii="Times New Roman" w:cs="Times New Roman" w:eastAsia="Times New Roman" w:hAnsi="Times New Roman"/>
          <w:sz w:val="21"/>
          <w:szCs w:val="21"/>
          <w:color w:val="auto"/>
        </w:rPr>
      </w:pPr>
    </w:p>
    <w:p>
      <w:pPr>
        <w:ind w:left="1940" w:hanging="646"/>
        <w:spacing w:after="0"/>
        <w:tabs>
          <w:tab w:leader="none" w:pos="1940" w:val="left"/>
        </w:tabs>
        <w:numPr>
          <w:ilvl w:val="0"/>
          <w:numId w:val="2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bank” as that term is defined in, and interpreted in accordance with, 12 C.F.R. § 47.3(b);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26" w:name="page227"/>
    <w:bookmarkEnd w:id="226"/>
    <w:p>
      <w:pPr>
        <w:ind w:left="1940" w:hanging="646"/>
        <w:spacing w:after="0"/>
        <w:tabs>
          <w:tab w:leader="none" w:pos="1940" w:val="left"/>
        </w:tabs>
        <w:numPr>
          <w:ilvl w:val="0"/>
          <w:numId w:val="2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“covered FSI” as that term is defined in, and interpreted in accordance with, 12 C.F.R. § 382.2(b).</w:t>
      </w:r>
    </w:p>
    <w:p>
      <w:pPr>
        <w:spacing w:after="0" w:line="224" w:lineRule="exact"/>
        <w:rPr>
          <w:sz w:val="20"/>
          <w:szCs w:val="20"/>
          <w:color w:val="auto"/>
        </w:rPr>
      </w:pPr>
    </w:p>
    <w:p>
      <w:pPr>
        <w:ind w:left="660" w:firstLine="644"/>
        <w:spacing w:after="0" w:line="29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Default Right</w:t>
      </w:r>
      <w:r>
        <w:rPr>
          <w:rFonts w:ascii="Times New Roman" w:cs="Times New Roman" w:eastAsia="Times New Roman" w:hAnsi="Times New Roman"/>
          <w:sz w:val="21"/>
          <w:szCs w:val="21"/>
          <w:color w:val="auto"/>
        </w:rPr>
        <w:t>” has the meaning assigned to that term in, and shall be interpreted in accordance with, 12 C.F.R. §§ 252.81, 47.2 or 382.1, as applicable.</w:t>
      </w:r>
    </w:p>
    <w:p>
      <w:pPr>
        <w:spacing w:after="0" w:line="146" w:lineRule="exact"/>
        <w:rPr>
          <w:sz w:val="20"/>
          <w:szCs w:val="20"/>
          <w:color w:val="auto"/>
        </w:rPr>
      </w:pPr>
    </w:p>
    <w:p>
      <w:pPr>
        <w:ind w:left="660" w:firstLine="634"/>
        <w:spacing w:after="0" w:line="294" w:lineRule="auto"/>
        <w:tabs>
          <w:tab w:leader="none" w:pos="1935" w:val="left"/>
        </w:tabs>
        <w:numPr>
          <w:ilvl w:val="0"/>
          <w:numId w:val="2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QFC</w:t>
      </w:r>
      <w:r>
        <w:rPr>
          <w:rFonts w:ascii="Times New Roman" w:cs="Times New Roman" w:eastAsia="Times New Roman" w:hAnsi="Times New Roman"/>
          <w:sz w:val="21"/>
          <w:szCs w:val="21"/>
          <w:color w:val="auto"/>
        </w:rPr>
        <w:t>” has the meaning assigned to the term “qualified financial contract” in, and shall be interpreted in accordance with, 12 U.S.C. 5390(c)(8)(D).</w:t>
      </w:r>
    </w:p>
    <w:p>
      <w:pPr>
        <w:spacing w:after="0" w:line="10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21"/>
          <w:szCs w:val="21"/>
          <w:b w:val="1"/>
          <w:bCs w:val="1"/>
          <w:color w:val="auto"/>
        </w:rPr>
        <w:t xml:space="preserve">13.13 Divisions. </w:t>
      </w:r>
      <w:r>
        <w:rPr>
          <w:rFonts w:ascii="Times New Roman" w:cs="Times New Roman" w:eastAsia="Times New Roman" w:hAnsi="Times New Roman"/>
          <w:sz w:val="21"/>
          <w:szCs w:val="21"/>
          <w:color w:val="auto"/>
        </w:rPr>
        <w:t>For all purposes under the Financing Agreements, in connection with any division or plan of division under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13.14  Certain ERISA Matters.</w:t>
      </w:r>
    </w:p>
    <w:p>
      <w:pPr>
        <w:spacing w:after="0" w:line="191" w:lineRule="exact"/>
        <w:rPr>
          <w:sz w:val="20"/>
          <w:szCs w:val="20"/>
          <w:color w:val="auto"/>
        </w:rPr>
      </w:pPr>
    </w:p>
    <w:p>
      <w:pPr>
        <w:jc w:val="both"/>
        <w:ind w:left="1300" w:hanging="649"/>
        <w:spacing w:after="0" w:line="226" w:lineRule="auto"/>
        <w:tabs>
          <w:tab w:leader="none" w:pos="1297" w:val="left"/>
        </w:tabs>
        <w:numPr>
          <w:ilvl w:val="0"/>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Lender (x) represents and warrants, as of the date such Person became a Lender party hereto, to, and (y) covenants, from the date such Person became a Lender party hereto to the date such Person ceases being a Lender party hereto, for the benefit of, the Agent, the Arranger and their respective Affiliates, and not, for the avoidance of doubt, to or for the benefit of the Borrower or any other Credit Party, that at least one of the following is and will be true:</w:t>
      </w:r>
    </w:p>
    <w:p>
      <w:pPr>
        <w:spacing w:after="0" w:line="149" w:lineRule="exact"/>
        <w:rPr>
          <w:rFonts w:ascii="Times New Roman" w:cs="Times New Roman" w:eastAsia="Times New Roman" w:hAnsi="Times New Roman"/>
          <w:sz w:val="21"/>
          <w:szCs w:val="21"/>
          <w:color w:val="auto"/>
        </w:rPr>
      </w:pPr>
    </w:p>
    <w:p>
      <w:pPr>
        <w:jc w:val="both"/>
        <w:ind w:left="1940" w:hanging="646"/>
        <w:spacing w:after="0" w:line="234" w:lineRule="auto"/>
        <w:tabs>
          <w:tab w:leader="none" w:pos="1928" w:val="left"/>
        </w:tabs>
        <w:numPr>
          <w:ilvl w:val="1"/>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Lender is not using “plan assets” (within the meaning of Section 3(42) of ERISA or otherwise) of one or more Benefit Plans with respect to such Lender’s entrance into, participation in, administration of and performance of the Loans, the Letter of Credit Accommodations or the Commitments or this Agreement;</w:t>
      </w:r>
    </w:p>
    <w:p>
      <w:pPr>
        <w:spacing w:after="0" w:line="151" w:lineRule="exact"/>
        <w:rPr>
          <w:rFonts w:ascii="Times New Roman" w:cs="Times New Roman" w:eastAsia="Times New Roman" w:hAnsi="Times New Roman"/>
          <w:sz w:val="21"/>
          <w:szCs w:val="21"/>
          <w:color w:val="auto"/>
        </w:rPr>
      </w:pPr>
    </w:p>
    <w:p>
      <w:pPr>
        <w:jc w:val="both"/>
        <w:ind w:left="1940" w:hanging="646"/>
        <w:spacing w:after="0" w:line="221" w:lineRule="auto"/>
        <w:tabs>
          <w:tab w:leader="none" w:pos="1934" w:val="left"/>
        </w:tabs>
        <w:numPr>
          <w:ilvl w:val="1"/>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 of Credit Accommodations, the Commitments and this Agreement;</w:t>
      </w:r>
    </w:p>
    <w:p>
      <w:pPr>
        <w:spacing w:after="0" w:line="151" w:lineRule="exact"/>
        <w:rPr>
          <w:rFonts w:ascii="Times New Roman" w:cs="Times New Roman" w:eastAsia="Times New Roman" w:hAnsi="Times New Roman"/>
          <w:sz w:val="21"/>
          <w:szCs w:val="21"/>
          <w:color w:val="auto"/>
        </w:rPr>
      </w:pPr>
    </w:p>
    <w:p>
      <w:pPr>
        <w:jc w:val="both"/>
        <w:ind w:left="1940" w:hanging="646"/>
        <w:spacing w:after="0" w:line="226" w:lineRule="auto"/>
        <w:tabs>
          <w:tab w:leader="none" w:pos="1940" w:val="left"/>
        </w:tabs>
        <w:numPr>
          <w:ilvl w:val="1"/>
          <w:numId w:val="2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 of Credit Accommodations, the Commitments and this Agreement, (C) the entrance into, participation in, administration of and performance of the Loans, the Letter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413" w:right="339" w:bottom="1440" w:gutter="0" w:footer="0" w:header="0"/>
        </w:sectPr>
      </w:pPr>
    </w:p>
    <w:bookmarkStart w:id="227" w:name="page228"/>
    <w:bookmarkEnd w:id="227"/>
    <w:p>
      <w:pPr>
        <w:jc w:val="both"/>
        <w:ind w:left="1940"/>
        <w:spacing w:after="0" w:line="226" w:lineRule="auto"/>
        <w:rPr>
          <w:sz w:val="20"/>
          <w:szCs w:val="20"/>
          <w:color w:val="auto"/>
        </w:rPr>
      </w:pPr>
      <w:r>
        <w:rPr>
          <w:rFonts w:ascii="Times New Roman" w:cs="Times New Roman" w:eastAsia="Times New Roman" w:hAnsi="Times New Roman"/>
          <w:sz w:val="21"/>
          <w:szCs w:val="21"/>
          <w:color w:val="auto"/>
        </w:rPr>
        <w:t>Accommodations,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 of Credit Accommodations, the Commitments and this Agreement; or</w:t>
      </w:r>
    </w:p>
    <w:p>
      <w:pPr>
        <w:spacing w:after="0" w:line="150" w:lineRule="exact"/>
        <w:rPr>
          <w:sz w:val="20"/>
          <w:szCs w:val="20"/>
          <w:color w:val="auto"/>
        </w:rPr>
      </w:pPr>
    </w:p>
    <w:p>
      <w:pPr>
        <w:ind w:left="1940" w:hanging="646"/>
        <w:spacing w:after="0" w:line="250" w:lineRule="auto"/>
        <w:tabs>
          <w:tab w:leader="none" w:pos="1928" w:val="left"/>
        </w:tabs>
        <w:numPr>
          <w:ilvl w:val="1"/>
          <w:numId w:val="2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representation, warranty and covenant as may be agreed in writing between the Agent, in its sole discretion, and such Lender.</w:t>
      </w:r>
    </w:p>
    <w:p>
      <w:pPr>
        <w:spacing w:after="0" w:line="140" w:lineRule="exact"/>
        <w:rPr>
          <w:rFonts w:ascii="Times New Roman" w:cs="Times New Roman" w:eastAsia="Times New Roman" w:hAnsi="Times New Roman"/>
          <w:sz w:val="21"/>
          <w:szCs w:val="21"/>
          <w:color w:val="auto"/>
        </w:rPr>
      </w:pPr>
    </w:p>
    <w:p>
      <w:pPr>
        <w:jc w:val="both"/>
        <w:ind w:left="1300" w:hanging="649"/>
        <w:spacing w:after="0"/>
        <w:tabs>
          <w:tab w:leader="none" w:pos="1295" w:val="left"/>
        </w:tabs>
        <w:numPr>
          <w:ilvl w:val="0"/>
          <w:numId w:val="2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Agent, the Arranger and their respective Affiliates, and not, for the avoidance of doubt, to or for the benefit of the Borrower or any other Credit Party, that none of the Agent, the Arranger and their respective Affiliates is a fiduciary with respect to the assets of such Lender involved in such Lender’s entrance into, participation in, administration of and performance of the Loans, the Letter of Credit Accommodations, the Commitments and this Agreement (including in connection with the reservation or exercise of any rights by the Agent under this Agreement, any Financing Agreement or any documents related hereto or thereto).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13.15  Limited Condition Acquisitions.</w:t>
      </w:r>
    </w:p>
    <w:p>
      <w:pPr>
        <w:spacing w:after="0" w:line="218" w:lineRule="exact"/>
        <w:rPr>
          <w:sz w:val="20"/>
          <w:szCs w:val="20"/>
          <w:color w:val="auto"/>
        </w:rPr>
      </w:pPr>
    </w:p>
    <w:p>
      <w:pPr>
        <w:jc w:val="both"/>
        <w:ind w:firstLine="7"/>
        <w:spacing w:after="0" w:line="267" w:lineRule="auto"/>
        <w:tabs>
          <w:tab w:leader="none" w:pos="640" w:val="left"/>
        </w:tabs>
        <w:numPr>
          <w:ilvl w:val="0"/>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that Borrower notifies Agent in writing that any proposed Acquisition or other investment is a Limited Condition Acquisition and that Borrower wishes to test the conditions to such Acquisition or other investment and the Indebtedness (other than any Incremental Revolving Loan Increase) that is to be used to finance such Acquisition in accordance with this </w:t>
      </w:r>
      <w:r>
        <w:rPr>
          <w:rFonts w:ascii="Times New Roman" w:cs="Times New Roman" w:eastAsia="Times New Roman" w:hAnsi="Times New Roman"/>
          <w:sz w:val="21"/>
          <w:szCs w:val="21"/>
          <w:u w:val="single" w:color="auto"/>
          <w:color w:val="auto"/>
        </w:rPr>
        <w:t>Section 13.13</w:t>
      </w:r>
      <w:r>
        <w:rPr>
          <w:rFonts w:ascii="Times New Roman" w:cs="Times New Roman" w:eastAsia="Times New Roman" w:hAnsi="Times New Roman"/>
          <w:sz w:val="21"/>
          <w:szCs w:val="21"/>
          <w:color w:val="auto"/>
        </w:rPr>
        <w:t>, then, so long as agreed to by Agent and the lenders providing such Indebtedness, the following provisions shall apply:</w:t>
      </w:r>
    </w:p>
    <w:p>
      <w:pPr>
        <w:spacing w:after="0" w:line="399" w:lineRule="exact"/>
        <w:rPr>
          <w:rFonts w:ascii="Times New Roman" w:cs="Times New Roman" w:eastAsia="Times New Roman" w:hAnsi="Times New Roman"/>
          <w:sz w:val="21"/>
          <w:szCs w:val="21"/>
          <w:color w:val="auto"/>
        </w:rPr>
      </w:pPr>
    </w:p>
    <w:p>
      <w:pPr>
        <w:jc w:val="both"/>
        <w:ind w:left="1300" w:hanging="649"/>
        <w:spacing w:after="0" w:line="221" w:lineRule="auto"/>
        <w:tabs>
          <w:tab w:leader="none" w:pos="1297"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condition to such Limited Condition Acquisition or such Indebtedness that requires that no Default or Event of Default shall have occurred and be continuing at the time of such Limited Condition Acquisition or the incurrence of such Indebtedness, shall be satisfied if (i) no Default or Event of Default shall have occurred and be continuing at the time of the execution of the definitive purchase agreement, merger agreement or other acquisition or investment agreement governing such Limited Condition Acquisition (the “</w:t>
      </w:r>
      <w:r>
        <w:rPr>
          <w:rFonts w:ascii="Times New Roman" w:cs="Times New Roman" w:eastAsia="Times New Roman" w:hAnsi="Times New Roman"/>
          <w:sz w:val="21"/>
          <w:szCs w:val="21"/>
          <w:u w:val="single" w:color="auto"/>
          <w:color w:val="auto"/>
        </w:rPr>
        <w:t>LCA Test Date</w:t>
      </w:r>
      <w:r>
        <w:rPr>
          <w:rFonts w:ascii="Times New Roman" w:cs="Times New Roman" w:eastAsia="Times New Roman" w:hAnsi="Times New Roman"/>
          <w:sz w:val="21"/>
          <w:szCs w:val="21"/>
          <w:color w:val="auto"/>
        </w:rPr>
        <w:t xml:space="preserve">”) and (ii) no Event of Default under any of </w:t>
      </w:r>
      <w:r>
        <w:rPr>
          <w:rFonts w:ascii="Times New Roman" w:cs="Times New Roman" w:eastAsia="Times New Roman" w:hAnsi="Times New Roman"/>
          <w:sz w:val="21"/>
          <w:szCs w:val="21"/>
          <w:u w:val="single" w:color="auto"/>
          <w:color w:val="auto"/>
        </w:rPr>
        <w:t>Section 10.1(a)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10.1(i)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10.1(j)</w:t>
      </w:r>
      <w:r>
        <w:rPr>
          <w:rFonts w:ascii="Times New Roman" w:cs="Times New Roman" w:eastAsia="Times New Roman" w:hAnsi="Times New Roman"/>
          <w:sz w:val="21"/>
          <w:szCs w:val="21"/>
          <w:color w:val="auto"/>
        </w:rPr>
        <w:t xml:space="preserve"> shall have occurred and be continuing both immediately before and immediately after giving effect to such Limited Condition Acquisition and any Indebtedness incurred in connection therewith (including any such additional Indebtedness);</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1"/>
          <w:numId w:val="2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condition to such Limited Condition Acquisition or such Indebtedness that the representations and warranties in this Agreement and the other Financing Agreements shall be true and correct at the time of consummation of such Limited Condition Acquisition or the incurrence of such Indebtedness shall be 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28" w:name="page229"/>
    <w:bookmarkEnd w:id="228"/>
    <w:p>
      <w:pPr>
        <w:jc w:val="both"/>
        <w:ind w:left="1300"/>
        <w:spacing w:after="0" w:line="219" w:lineRule="auto"/>
        <w:rPr>
          <w:sz w:val="20"/>
          <w:szCs w:val="20"/>
          <w:color w:val="auto"/>
        </w:rPr>
      </w:pPr>
      <w:r>
        <w:rPr>
          <w:rFonts w:ascii="Times New Roman" w:cs="Times New Roman" w:eastAsia="Times New Roman" w:hAnsi="Times New Roman"/>
          <w:sz w:val="21"/>
          <w:szCs w:val="21"/>
          <w:color w:val="auto"/>
        </w:rPr>
        <w:t>satisfied if (i) all representations and warranties in this Agreement and the other Financing Agreements are true and correct in all material respects (except for any representation and warranty that is qualified by materiality or reference to Material Adverse Effect, which such representation and warranty shall be true and correct in all respects) as of the LCA Test Date, or if such representation speaks as of an earlier date, as of such earlier date and</w:t>
      </w:r>
    </w:p>
    <w:p>
      <w:pPr>
        <w:spacing w:after="0" w:line="1" w:lineRule="exact"/>
        <w:rPr>
          <w:sz w:val="20"/>
          <w:szCs w:val="20"/>
          <w:color w:val="auto"/>
        </w:rPr>
      </w:pPr>
    </w:p>
    <w:p>
      <w:pPr>
        <w:jc w:val="both"/>
        <w:ind w:left="1300"/>
        <w:spacing w:after="0" w:line="217" w:lineRule="auto"/>
        <w:rPr>
          <w:sz w:val="20"/>
          <w:szCs w:val="20"/>
          <w:color w:val="auto"/>
        </w:rPr>
      </w:pPr>
      <w:r>
        <w:rPr>
          <w:rFonts w:ascii="Times New Roman" w:cs="Times New Roman" w:eastAsia="Times New Roman" w:hAnsi="Times New Roman"/>
          <w:sz w:val="21"/>
          <w:szCs w:val="21"/>
          <w:color w:val="auto"/>
        </w:rPr>
        <w:t>(ii) as of the date of consummation of such Limited Condition Acquisition, (A) the representations and warranties under the relevant definitive agreement governing such Limited Condition Acquisition as are material to the lenders providing such Indebtedness shall be true and correct, but only to the extent that Borrower or its applicable Subsidiary has the right to terminate its obligations under such agreement or otherwise decline to close such Limited Condition Acquisition as a result of a breach of such representations and warranties or the failure of those representations and warranties to be true and correct and (B) certain of the representations and warranties in this Agreement and the other Financing Agreements which are customary for similar “funds certain” financings and required by the lenders providing such Indebtedness shall be true and correct in all material respects (except for any representation and warranty that is qualified by materiality or reference to Material Adverse Effect, which such representation and warranty shall be true and correct in all respects);</w:t>
      </w:r>
    </w:p>
    <w:p>
      <w:pPr>
        <w:spacing w:after="0" w:line="151" w:lineRule="exact"/>
        <w:rPr>
          <w:sz w:val="20"/>
          <w:szCs w:val="20"/>
          <w:color w:val="auto"/>
        </w:rPr>
      </w:pPr>
    </w:p>
    <w:p>
      <w:pPr>
        <w:jc w:val="both"/>
        <w:ind w:left="1300" w:hanging="649"/>
        <w:spacing w:after="0"/>
        <w:tabs>
          <w:tab w:leader="none" w:pos="1297"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financial ratio test or condition to be tested in connection with such Limited Condition Acquisition and the availability of such Indebtedness will be tested as of the LCA Test Date, in each case, after giving effect to the relevant Limited Condition Acquisition and related incurrence of Indebtedness, on a Pro Forma Basis where applicable, and, for the avoidance of doubt, (i) such ratios and baskets shall not be tested at the time of consummation of such Limited Condition Acquisition and (ii) if any of such ratios are exceeded or conditions are not met following the LCA Test Date, but prior to the closing of such Limited Condition Acquisition, as a result of fluctuations in such ratio or amount (including due to fluctuations in EBITDA of Borrower or the Person subject to such Limited Condition Acquisition), at or prior to the consummation of the relevant transaction or action, such ratios will not be deemed to have been exceeded and such conditions will not be deemed unmet as a result of such fluctuations solely for purposes of determining whether the relevant transaction or action is permitted to be consummated or taken; and</w:t>
      </w:r>
    </w:p>
    <w:p>
      <w:pPr>
        <w:spacing w:after="0" w:line="158" w:lineRule="exact"/>
        <w:rPr>
          <w:rFonts w:ascii="Times New Roman" w:cs="Times New Roman" w:eastAsia="Times New Roman" w:hAnsi="Times New Roman"/>
          <w:sz w:val="21"/>
          <w:szCs w:val="21"/>
          <w:color w:val="auto"/>
        </w:rPr>
      </w:pPr>
    </w:p>
    <w:p>
      <w:pPr>
        <w:jc w:val="both"/>
        <w:ind w:left="1300" w:hanging="649"/>
        <w:spacing w:after="0" w:line="218" w:lineRule="auto"/>
        <w:tabs>
          <w:tab w:leader="none" w:pos="1295" w:val="left"/>
        </w:tabs>
        <w:numPr>
          <w:ilvl w:val="0"/>
          <w:numId w:val="2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provided in the next sentence, in connection with any subsequent calculation of any ratio or basket on or following the relevant LCA Test Date and prior to the earlier of the date on which such Limited Condition Acquisition is consummated and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the incurrence or assumption of Indebtedness) have been consummated. Notwithstanding the foregoing, any calculation of a ratio in connection with (x) determining the Applicable Margin and determining whether or not the Borrower is in compliance with the financial covenant set forth in </w:t>
      </w:r>
      <w:r>
        <w:rPr>
          <w:rFonts w:ascii="Times New Roman" w:cs="Times New Roman" w:eastAsia="Times New Roman" w:hAnsi="Times New Roman"/>
          <w:sz w:val="21"/>
          <w:szCs w:val="21"/>
          <w:u w:val="single" w:color="auto"/>
          <w:color w:val="auto"/>
        </w:rPr>
        <w:t>Section 9.1</w:t>
      </w:r>
      <w:r>
        <w:rPr>
          <w:rFonts w:ascii="Times New Roman" w:cs="Times New Roman" w:eastAsia="Times New Roman" w:hAnsi="Times New Roman"/>
          <w:sz w:val="21"/>
          <w:szCs w:val="21"/>
          <w:color w:val="auto"/>
        </w:rPr>
        <w:t xml:space="preserve"> shall, in each case be calculated assuming such Limited Condition Acquisition and other transactions in connection therewith (including the incurrence or assumption of Indebtedness) have not been consummated and (y) determining whether the Borrower or its Subsidiaries may make a Restricted Payment shall be calculated (1) on a pro forma basis assuming such Limited Condition Acquisition and other transactions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29" w:name="page230"/>
    <w:bookmarkEnd w:id="229"/>
    <w:p>
      <w:pPr>
        <w:jc w:val="both"/>
        <w:ind w:left="1300"/>
        <w:spacing w:after="0" w:line="234" w:lineRule="auto"/>
        <w:rPr>
          <w:sz w:val="20"/>
          <w:szCs w:val="20"/>
          <w:color w:val="auto"/>
        </w:rPr>
      </w:pPr>
      <w:r>
        <w:rPr>
          <w:rFonts w:ascii="Times New Roman" w:cs="Times New Roman" w:eastAsia="Times New Roman" w:hAnsi="Times New Roman"/>
          <w:sz w:val="21"/>
          <w:szCs w:val="21"/>
          <w:color w:val="auto"/>
        </w:rPr>
        <w:t>therewith (including the incurrence or assumption of Indebtedness) have been consummated and (2) assuming such Limited Condition Acquisition and other transactions in connection therewith (including the incurrence or assumption of Indebtedness) have not been consummated.</w:t>
      </w:r>
    </w:p>
    <w:p>
      <w:pPr>
        <w:spacing w:after="0" w:line="178" w:lineRule="exact"/>
        <w:rPr>
          <w:sz w:val="20"/>
          <w:szCs w:val="20"/>
          <w:color w:val="auto"/>
        </w:rPr>
      </w:pPr>
    </w:p>
    <w:p>
      <w:pPr>
        <w:ind w:left="660" w:hanging="9"/>
        <w:spacing w:after="0" w:line="290" w:lineRule="auto"/>
        <w:tabs>
          <w:tab w:leader="none" w:pos="1300" w:val="left"/>
        </w:tabs>
        <w:numPr>
          <w:ilvl w:val="0"/>
          <w:numId w:val="2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foregoing provisions shall apply with similar effect during the pendency of multiple Limited Condition Acquisitions such that each of the possible scenarios is separately tested.</w:t>
      </w:r>
    </w:p>
    <w:p>
      <w:pPr>
        <w:spacing w:after="0" w:line="10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Article 14</w:t>
      </w:r>
    </w:p>
    <w:p>
      <w:pPr>
        <w:spacing w:after="0" w:line="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1"/>
          <w:szCs w:val="21"/>
          <w:b w:val="1"/>
          <w:bCs w:val="1"/>
          <w:u w:val="single" w:color="auto"/>
          <w:color w:val="auto"/>
        </w:rPr>
        <w:t>ACKNOWLEDGMENT AND RESTATEMENT</w:t>
      </w:r>
    </w:p>
    <w:p>
      <w:pPr>
        <w:spacing w:after="0" w:line="15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14.1</w:t>
        <w:tab/>
        <w:t>[Reserved].</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14.2</w:t>
        <w:tab/>
        <w:t>Acknowledgment of Security Interests</w:t>
      </w:r>
    </w:p>
    <w:p>
      <w:pPr>
        <w:spacing w:after="0" w:line="191" w:lineRule="exact"/>
        <w:rPr>
          <w:sz w:val="20"/>
          <w:szCs w:val="20"/>
          <w:color w:val="auto"/>
        </w:rPr>
      </w:pPr>
    </w:p>
    <w:p>
      <w:pPr>
        <w:jc w:val="both"/>
        <w:ind w:left="1300" w:hanging="649"/>
        <w:spacing w:after="0"/>
        <w:tabs>
          <w:tab w:leader="none" w:pos="1297"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Borrower hereby acknowledges, confirms and agrees that Agent, on behalf of itself and Secured Parties, shall continue to have a Lien upon the Collateral heretofore granted to Original Lender and Original Agent pursuant to and in connection with the Original Loan Agreement, the First Amended and Restated Credit Agreement, the Second Amended and Restated Credit Agreement, the Third Amended and Restated Credit Agreement, the Fourth Amended and Restated Credit Agreement, the Fifth Amended and Restated Credit Agreement and the Sixth Amended and Restated Credit Agreement, as the case may be, to secure the Obligations, as well as any Collateral granted under or in connection with this Agreement or under any of the other Financing Agreements or otherwise granted to or held by Agent, any Lender, Original Lender, Original Agent, any Secured Party or any of their respective Affiliates.</w:t>
      </w:r>
    </w:p>
    <w:p>
      <w:pPr>
        <w:spacing w:after="0" w:line="212" w:lineRule="exact"/>
        <w:rPr>
          <w:rFonts w:ascii="Times New Roman" w:cs="Times New Roman" w:eastAsia="Times New Roman" w:hAnsi="Times New Roman"/>
          <w:sz w:val="21"/>
          <w:szCs w:val="21"/>
          <w:color w:val="auto"/>
        </w:rPr>
      </w:pPr>
    </w:p>
    <w:p>
      <w:pPr>
        <w:jc w:val="both"/>
        <w:ind w:left="1300" w:hanging="649"/>
        <w:spacing w:after="0" w:line="234" w:lineRule="auto"/>
        <w:tabs>
          <w:tab w:leader="none" w:pos="1295"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Liens of Agent, on behalf of itself and Secured Parties, in the Collateral shall be deemed to be continuously granted and perfected from the earliest date of the granting and perfection of such Liens to Original Lender, Original Agent or Agent under the Financing Agreements or any Secured Hedge Agreements.</w:t>
      </w:r>
    </w:p>
    <w:p>
      <w:pPr>
        <w:spacing w:after="0" w:line="151" w:lineRule="exact"/>
        <w:rPr>
          <w:rFonts w:ascii="Times New Roman" w:cs="Times New Roman" w:eastAsia="Times New Roman" w:hAnsi="Times New Roman"/>
          <w:sz w:val="21"/>
          <w:szCs w:val="21"/>
          <w:color w:val="auto"/>
        </w:rPr>
      </w:pPr>
    </w:p>
    <w:p>
      <w:pPr>
        <w:jc w:val="both"/>
        <w:ind w:left="1300" w:hanging="649"/>
        <w:spacing w:after="0" w:line="221" w:lineRule="auto"/>
        <w:tabs>
          <w:tab w:leader="none" w:pos="1297" w:val="left"/>
        </w:tabs>
        <w:numPr>
          <w:ilvl w:val="0"/>
          <w:numId w:val="2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term of any Financing Agreement, Borrower acknowledges, confirms and agrees that all security granted by it under, or in connection with, the Original Loan Agreement, the First Amended and Restated Credit Agreement, the Second Amended and Restated Credit Agreement, the Third Amended and Restated Credit Agreement, the Fourth Amended and Restated Credit Agreement, the Fifth Amended and Restated Credit Agreement, the Sixth Amended and Restated Credit Agreement and the other Financing Agreements shall be held by Agent, on behalf of itself and Secured Parties (including those under Secured Hedge Agreements and Secured Cash Management Agreements), to secure the Obligations (including those arising under the Secured Hedge Agreements and Secured Cash Management Agreements).</w:t>
      </w:r>
    </w:p>
    <w:p>
      <w:pPr>
        <w:spacing w:after="0" w:line="1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14.3</w:t>
        <w:tab/>
        <w:t>[Reserved].</w:t>
      </w:r>
    </w:p>
    <w:p>
      <w:pPr>
        <w:spacing w:after="0" w:line="18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1"/>
          <w:szCs w:val="21"/>
          <w:b w:val="1"/>
          <w:bCs w:val="1"/>
          <w:color w:val="auto"/>
        </w:rPr>
        <w:t>14.4</w:t>
        <w:tab/>
        <w:t>Restatement</w:t>
      </w:r>
    </w:p>
    <w:p>
      <w:pPr>
        <w:spacing w:after="0" w:line="191" w:lineRule="exact"/>
        <w:rPr>
          <w:sz w:val="20"/>
          <w:szCs w:val="20"/>
          <w:color w:val="auto"/>
        </w:rPr>
      </w:pPr>
    </w:p>
    <w:p>
      <w:pPr>
        <w:jc w:val="both"/>
        <w:ind w:left="1300" w:hanging="649"/>
        <w:spacing w:after="0" w:line="234" w:lineRule="auto"/>
        <w:tabs>
          <w:tab w:leader="none" w:pos="1297" w:val="left"/>
        </w:tabs>
        <w:numPr>
          <w:ilvl w:val="0"/>
          <w:numId w:val="2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otherwise stated in </w:t>
      </w:r>
      <w:r>
        <w:rPr>
          <w:rFonts w:ascii="Times New Roman" w:cs="Times New Roman" w:eastAsia="Times New Roman" w:hAnsi="Times New Roman"/>
          <w:sz w:val="21"/>
          <w:szCs w:val="21"/>
          <w:u w:val="single" w:color="auto"/>
          <w:color w:val="auto"/>
        </w:rPr>
        <w:t>Section 14.2</w:t>
      </w:r>
      <w:r>
        <w:rPr>
          <w:rFonts w:ascii="Times New Roman" w:cs="Times New Roman" w:eastAsia="Times New Roman" w:hAnsi="Times New Roman"/>
          <w:sz w:val="21"/>
          <w:szCs w:val="21"/>
          <w:color w:val="auto"/>
        </w:rPr>
        <w:t xml:space="preserve"> hereof and this </w:t>
      </w:r>
      <w:r>
        <w:rPr>
          <w:rFonts w:ascii="Times New Roman" w:cs="Times New Roman" w:eastAsia="Times New Roman" w:hAnsi="Times New Roman"/>
          <w:sz w:val="21"/>
          <w:szCs w:val="21"/>
          <w:u w:val="single" w:color="auto"/>
          <w:color w:val="auto"/>
        </w:rPr>
        <w:t>Section 14.4</w:t>
      </w:r>
      <w:r>
        <w:rPr>
          <w:rFonts w:ascii="Times New Roman" w:cs="Times New Roman" w:eastAsia="Times New Roman" w:hAnsi="Times New Roman"/>
          <w:sz w:val="21"/>
          <w:szCs w:val="21"/>
          <w:color w:val="auto"/>
        </w:rPr>
        <w:t>, as of the Restatement Effective Date, the terms, conditions, agreements, covenants, representations and warranties set forth in the Sixth Amended and Restated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30" w:name="page231"/>
    <w:bookmarkEnd w:id="230"/>
    <w:p>
      <w:pPr>
        <w:jc w:val="both"/>
        <w:ind w:left="1300"/>
        <w:spacing w:after="0" w:line="222" w:lineRule="auto"/>
        <w:rPr>
          <w:sz w:val="20"/>
          <w:szCs w:val="20"/>
          <w:color w:val="auto"/>
        </w:rPr>
      </w:pPr>
      <w:r>
        <w:rPr>
          <w:rFonts w:ascii="Times New Roman" w:cs="Times New Roman" w:eastAsia="Times New Roman" w:hAnsi="Times New Roman"/>
          <w:sz w:val="21"/>
          <w:szCs w:val="21"/>
          <w:color w:val="auto"/>
        </w:rPr>
        <w:t>Agreement are simultaneously amended and restated in their entirety, and as so amended and restated, replaced and superseded by the terms, conditions, agreements, covenants, representations and warranties set forth in this Agreement and the other Financing Agreements executed and/or delivered on or after the Restatement Effective Date, except that nothing herein or in the other Financing Agreements shall impair or adversely affect the continuation of the liability of Borrower for the Obligations heretofore incurred and the Liens and other interests in the Collateral heretofore granted, pledged and/or assigned by Borrower to Agent, Original Lender, Original Agent, any Lender, any Secured Party or any of their respective Affiliates (whether directly, indirectly or otherwise).</w:t>
      </w:r>
    </w:p>
    <w:p>
      <w:pPr>
        <w:spacing w:after="0" w:line="152" w:lineRule="exact"/>
        <w:rPr>
          <w:sz w:val="20"/>
          <w:szCs w:val="20"/>
          <w:color w:val="auto"/>
        </w:rPr>
      </w:pPr>
    </w:p>
    <w:p>
      <w:pPr>
        <w:jc w:val="both"/>
        <w:ind w:left="1300" w:hanging="649"/>
        <w:spacing w:after="0" w:line="222" w:lineRule="auto"/>
        <w:tabs>
          <w:tab w:leader="none" w:pos="1295"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amendment and restatement contained herein shall not, in any manner, be construed to constitute a novation or payment of (other than any actual repayment of outstanding amounts), or impair, limit, cancel or extinguish, or constitute a novation in respect of, the Obligations and other obligations, liabilities and indebtedness of Borrower evidenced by or arising under the Sixth Amended and Restated Credit Agreement, and the Liens of Agent, on behalf of itself and Secured Parties, securing such Obligations and other obligations, liabilities and indebtedness, which shall not in any manner be impaired, limited, terminated, waived or released, but shall continue in full force and effect in favor of Agent, for the benefit of itself and Secured Parties.</w:t>
      </w:r>
    </w:p>
    <w:p>
      <w:pPr>
        <w:spacing w:after="0" w:line="152" w:lineRule="exact"/>
        <w:rPr>
          <w:rFonts w:ascii="Times New Roman" w:cs="Times New Roman" w:eastAsia="Times New Roman" w:hAnsi="Times New Roman"/>
          <w:sz w:val="21"/>
          <w:szCs w:val="21"/>
          <w:color w:val="auto"/>
        </w:rPr>
      </w:pPr>
    </w:p>
    <w:p>
      <w:pPr>
        <w:jc w:val="both"/>
        <w:ind w:left="1300" w:hanging="649"/>
        <w:spacing w:after="0" w:line="218" w:lineRule="auto"/>
        <w:tabs>
          <w:tab w:leader="none" w:pos="1297" w:val="left"/>
        </w:tabs>
        <w:numPr>
          <w:ilvl w:val="0"/>
          <w:numId w:val="2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loans, advances and other financial accommodations under the Sixth Amended and Restated Credit Agreement and all other obligations, liabilities and indebtedness of Borrower outstanding and unpaid as of the Restatement Effective Date pursuant to the Sixth Amended and Restated Credit Agreement or otherwise shall be deemed Obligations of Borrower pursuant to the terms hereof (other than any actual repayment of outstanding amounts). On the Restatement Effective Date, the credit facilities described in the Sixth Amended and Restated Credit Agreement, shall be amended, supplemented, modified and restated in their entirety by the facilities described herein, and all loans and other obligations of the Borrower outstanding as of such date under the Sixth Amended and Restated Credit Agreement, shall be deemed to be loans and obligations outstanding under the corresponding facilities described herein, without any further action by any Person, except that the Agent shall make such transfers of funds as are necessary in order that the outstanding balance of such Loans, together with any Loans funded on the Restatement Effective Date, reflect the respective Revolving Loan Commitment of the Lenders hereunder. For the avoidance of doubt, all accrued and unpaid interest on all Loans outstanding under the Sixth Amended and Restated Credit Agreement shall be paid on the Restatement Effective Date.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205452807_9</w:t>
      </w:r>
    </w:p>
    <w:p>
      <w:pPr>
        <w:sectPr>
          <w:pgSz w:w="11900" w:h="16838" w:orient="portrait"/>
          <w:cols w:equalWidth="0" w:num="1">
            <w:col w:w="11240"/>
          </w:cols>
          <w:pgMar w:left="320" w:top="1386" w:right="339" w:bottom="1440" w:gutter="0" w:footer="0" w:header="0"/>
        </w:sectPr>
      </w:pPr>
    </w:p>
    <w:bookmarkStart w:id="231" w:name="page232"/>
    <w:bookmarkEnd w:id="231"/>
    <w:p>
      <w:pPr>
        <w:ind w:firstLine="643"/>
        <w:spacing w:after="0" w:line="290" w:lineRule="auto"/>
        <w:rPr>
          <w:sz w:val="20"/>
          <w:szCs w:val="20"/>
          <w:color w:val="auto"/>
        </w:rPr>
      </w:pPr>
      <w:r>
        <w:rPr>
          <w:rFonts w:ascii="Times New Roman" w:cs="Times New Roman" w:eastAsia="Times New Roman" w:hAnsi="Times New Roman"/>
          <w:sz w:val="21"/>
          <w:szCs w:val="21"/>
          <w:color w:val="auto"/>
        </w:rPr>
        <w:t>IN WITNESS WHEREOF, the parties hereto have caused their duly authorized officers to execute and deliver this Agreement as of the date first above written.</w:t>
      </w:r>
    </w:p>
    <w:p>
      <w:pPr>
        <w:spacing w:after="0" w:line="200" w:lineRule="exact"/>
        <w:rPr>
          <w:sz w:val="20"/>
          <w:szCs w:val="20"/>
          <w:color w:val="auto"/>
        </w:rPr>
      </w:pPr>
    </w:p>
    <w:p>
      <w:pPr>
        <w:spacing w:after="0" w:line="262" w:lineRule="exact"/>
        <w:rPr>
          <w:sz w:val="20"/>
          <w:szCs w:val="20"/>
          <w:color w:val="auto"/>
        </w:rPr>
      </w:pPr>
    </w:p>
    <w:p>
      <w:pPr>
        <w:ind w:left="60"/>
        <w:spacing w:after="0"/>
        <w:tabs>
          <w:tab w:leader="none" w:pos="5980" w:val="left"/>
        </w:tabs>
        <w:rPr>
          <w:sz w:val="20"/>
          <w:szCs w:val="20"/>
          <w:color w:val="auto"/>
        </w:rPr>
      </w:pP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1"/>
          <w:szCs w:val="21"/>
          <w:u w:val="single" w:color="auto"/>
          <w:color w:val="auto"/>
        </w:rPr>
        <w:t>GUARANTOR:</w:t>
      </w: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283"/>
        </w:trPr>
        <w:tc>
          <w:tcPr>
            <w:tcW w:w="5460" w:type="dxa"/>
            <w:vAlign w:val="bottom"/>
            <w:gridSpan w:val="4"/>
          </w:tcPr>
          <w:p>
            <w:pPr>
              <w:spacing w:after="0"/>
              <w:rPr>
                <w:sz w:val="20"/>
                <w:szCs w:val="20"/>
                <w:color w:val="auto"/>
              </w:rPr>
            </w:pPr>
            <w:r>
              <w:rPr>
                <w:rFonts w:ascii="Times New Roman" w:cs="Times New Roman" w:eastAsia="Times New Roman" w:hAnsi="Times New Roman"/>
                <w:sz w:val="21"/>
                <w:szCs w:val="21"/>
                <w:b w:val="1"/>
                <w:bCs w:val="1"/>
                <w:color w:val="auto"/>
              </w:rPr>
              <w:t>IMAX CORPORATION</w:t>
            </w:r>
          </w:p>
        </w:tc>
        <w:tc>
          <w:tcPr>
            <w:tcW w:w="4000" w:type="dxa"/>
            <w:vAlign w:val="bottom"/>
            <w:gridSpan w:val="4"/>
          </w:tcPr>
          <w:p>
            <w:pPr>
              <w:ind w:left="480"/>
              <w:spacing w:after="0"/>
              <w:rPr>
                <w:sz w:val="20"/>
                <w:szCs w:val="20"/>
                <w:color w:val="auto"/>
              </w:rPr>
            </w:pPr>
            <w:r>
              <w:rPr>
                <w:rFonts w:ascii="Times New Roman" w:cs="Times New Roman" w:eastAsia="Times New Roman" w:hAnsi="Times New Roman"/>
                <w:sz w:val="21"/>
                <w:szCs w:val="21"/>
                <w:b w:val="1"/>
                <w:bCs w:val="1"/>
                <w:color w:val="auto"/>
              </w:rPr>
              <w:t>IMAX U.S.A. INC</w:t>
            </w:r>
            <w:r>
              <w:rPr>
                <w:rFonts w:ascii="Times New Roman" w:cs="Times New Roman" w:eastAsia="Times New Roman" w:hAnsi="Times New Roman"/>
                <w:sz w:val="21"/>
                <w:szCs w:val="21"/>
                <w:color w:val="auto"/>
              </w:rPr>
              <w:t>.</w:t>
            </w:r>
          </w:p>
        </w:tc>
      </w:tr>
      <w:tr>
        <w:trPr>
          <w:trHeight w:val="472"/>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25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1"/>
                <w:szCs w:val="21"/>
                <w:color w:val="auto"/>
              </w:rPr>
              <w:t>/s/ Natasha Fernandes</w:t>
            </w:r>
          </w:p>
        </w:tc>
        <w:tc>
          <w:tcPr>
            <w:tcW w:w="1980" w:type="dxa"/>
            <w:vAlign w:val="bottom"/>
          </w:tcPr>
          <w:p>
            <w:pPr>
              <w:spacing w:after="0"/>
              <w:rPr>
                <w:sz w:val="24"/>
                <w:szCs w:val="24"/>
                <w:color w:val="auto"/>
              </w:rPr>
            </w:pPr>
          </w:p>
        </w:tc>
        <w:tc>
          <w:tcPr>
            <w:tcW w:w="1300" w:type="dxa"/>
            <w:vAlign w:val="bottom"/>
          </w:tcPr>
          <w:p>
            <w:pPr>
              <w:ind w:left="520"/>
              <w:spacing w:after="0"/>
              <w:rPr>
                <w:sz w:val="20"/>
                <w:szCs w:val="20"/>
                <w:color w:val="auto"/>
              </w:rPr>
            </w:pPr>
            <w:r>
              <w:rPr>
                <w:rFonts w:ascii="Times New Roman" w:cs="Times New Roman" w:eastAsia="Times New Roman" w:hAnsi="Times New Roman"/>
                <w:sz w:val="21"/>
                <w:szCs w:val="21"/>
                <w:color w:val="auto"/>
              </w:rPr>
              <w:t>By:</w:t>
            </w:r>
          </w:p>
        </w:tc>
        <w:tc>
          <w:tcPr>
            <w:tcW w:w="180" w:type="dxa"/>
            <w:vAlign w:val="bottom"/>
          </w:tcPr>
          <w:p>
            <w:pPr>
              <w:spacing w:after="0"/>
              <w:rPr>
                <w:sz w:val="24"/>
                <w:szCs w:val="24"/>
                <w:color w:val="auto"/>
              </w:rPr>
            </w:pPr>
          </w:p>
        </w:tc>
        <w:tc>
          <w:tcPr>
            <w:tcW w:w="25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21"/>
                <w:szCs w:val="21"/>
                <w:color w:val="auto"/>
              </w:rPr>
              <w:t>/s/ Natasha Fernandes</w:t>
            </w:r>
          </w:p>
        </w:tc>
      </w:tr>
      <w:tr>
        <w:trPr>
          <w:trHeight w:val="274"/>
        </w:trPr>
        <w:tc>
          <w:tcPr>
            <w:tcW w:w="9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45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Natasha Fernandes</w:t>
            </w:r>
          </w:p>
        </w:tc>
        <w:tc>
          <w:tcPr>
            <w:tcW w:w="1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Name:</w:t>
            </w:r>
          </w:p>
        </w:tc>
        <w:tc>
          <w:tcPr>
            <w:tcW w:w="180" w:type="dxa"/>
            <w:vAlign w:val="bottom"/>
          </w:tcPr>
          <w:p>
            <w:pPr>
              <w:spacing w:after="0"/>
              <w:rPr>
                <w:sz w:val="23"/>
                <w:szCs w:val="23"/>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Natasha Fernandes</w:t>
            </w:r>
          </w:p>
        </w:tc>
      </w:tr>
      <w:tr>
        <w:trPr>
          <w:trHeight w:val="255"/>
        </w:trPr>
        <w:tc>
          <w:tcPr>
            <w:tcW w:w="9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w:t>
            </w:r>
          </w:p>
        </w:tc>
        <w:tc>
          <w:tcPr>
            <w:tcW w:w="45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Chief Financial Officer and Executive Vice</w:t>
            </w:r>
          </w:p>
        </w:tc>
        <w:tc>
          <w:tcPr>
            <w:tcW w:w="1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Title:</w:t>
            </w:r>
          </w:p>
        </w:tc>
        <w:tc>
          <w:tcPr>
            <w:tcW w:w="180" w:type="dxa"/>
            <w:vAlign w:val="bottom"/>
          </w:tcPr>
          <w:p>
            <w:pPr>
              <w:spacing w:after="0"/>
              <w:rPr>
                <w:sz w:val="22"/>
                <w:szCs w:val="22"/>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Vice President, Finance</w:t>
            </w:r>
          </w:p>
        </w:tc>
      </w:tr>
      <w:tr>
        <w:trPr>
          <w:trHeight w:val="279"/>
        </w:trPr>
        <w:tc>
          <w:tcPr>
            <w:tcW w:w="960" w:type="dxa"/>
            <w:vAlign w:val="bottom"/>
          </w:tcPr>
          <w:p>
            <w:pPr>
              <w:spacing w:after="0"/>
              <w:rPr>
                <w:sz w:val="24"/>
                <w:szCs w:val="24"/>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President</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928"/>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22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1"/>
                <w:szCs w:val="21"/>
                <w:color w:val="auto"/>
              </w:rPr>
              <w:t>/s/ Robert Lister</w:t>
            </w:r>
          </w:p>
        </w:tc>
        <w:tc>
          <w:tcPr>
            <w:tcW w:w="2260" w:type="dxa"/>
            <w:vAlign w:val="bottom"/>
            <w:gridSpan w:val="2"/>
          </w:tcPr>
          <w:p>
            <w:pPr>
              <w:spacing w:after="0"/>
              <w:rPr>
                <w:sz w:val="24"/>
                <w:szCs w:val="24"/>
                <w:color w:val="auto"/>
              </w:rPr>
            </w:pPr>
          </w:p>
        </w:tc>
        <w:tc>
          <w:tcPr>
            <w:tcW w:w="1300" w:type="dxa"/>
            <w:vAlign w:val="bottom"/>
          </w:tcPr>
          <w:p>
            <w:pPr>
              <w:ind w:left="520"/>
              <w:spacing w:after="0"/>
              <w:rPr>
                <w:sz w:val="20"/>
                <w:szCs w:val="20"/>
                <w:color w:val="auto"/>
              </w:rPr>
            </w:pPr>
            <w:r>
              <w:rPr>
                <w:rFonts w:ascii="Times New Roman" w:cs="Times New Roman" w:eastAsia="Times New Roman" w:hAnsi="Times New Roman"/>
                <w:sz w:val="21"/>
                <w:szCs w:val="21"/>
                <w:color w:val="auto"/>
              </w:rPr>
              <w:t>By:</w:t>
            </w:r>
          </w:p>
        </w:tc>
        <w:tc>
          <w:tcPr>
            <w:tcW w:w="180" w:type="dxa"/>
            <w:vAlign w:val="bottom"/>
          </w:tcPr>
          <w:p>
            <w:pPr>
              <w:spacing w:after="0"/>
              <w:rPr>
                <w:sz w:val="24"/>
                <w:szCs w:val="24"/>
                <w:color w:val="auto"/>
              </w:rPr>
            </w:pPr>
          </w:p>
        </w:tc>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Robert Lister</w:t>
            </w:r>
          </w:p>
        </w:tc>
        <w:tc>
          <w:tcPr>
            <w:tcW w:w="700" w:type="dxa"/>
            <w:vAlign w:val="bottom"/>
          </w:tcPr>
          <w:p>
            <w:pPr>
              <w:spacing w:after="0"/>
              <w:rPr>
                <w:sz w:val="24"/>
                <w:szCs w:val="24"/>
                <w:color w:val="auto"/>
              </w:rPr>
            </w:pPr>
          </w:p>
        </w:tc>
      </w:tr>
      <w:tr>
        <w:trPr>
          <w:trHeight w:val="274"/>
        </w:trPr>
        <w:tc>
          <w:tcPr>
            <w:tcW w:w="9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45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Robert Lister</w:t>
            </w:r>
          </w:p>
        </w:tc>
        <w:tc>
          <w:tcPr>
            <w:tcW w:w="1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Name:</w:t>
            </w:r>
          </w:p>
        </w:tc>
        <w:tc>
          <w:tcPr>
            <w:tcW w:w="180" w:type="dxa"/>
            <w:vAlign w:val="bottom"/>
          </w:tcPr>
          <w:p>
            <w:pPr>
              <w:spacing w:after="0"/>
              <w:rPr>
                <w:sz w:val="23"/>
                <w:szCs w:val="23"/>
                <w:color w:val="auto"/>
              </w:rPr>
            </w:pPr>
          </w:p>
        </w:tc>
        <w:tc>
          <w:tcPr>
            <w:tcW w:w="252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rPr>
              <w:t>Robert Lister</w:t>
            </w:r>
          </w:p>
        </w:tc>
      </w:tr>
      <w:tr>
        <w:trPr>
          <w:trHeight w:val="255"/>
        </w:trPr>
        <w:tc>
          <w:tcPr>
            <w:tcW w:w="9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w:t>
            </w:r>
          </w:p>
        </w:tc>
        <w:tc>
          <w:tcPr>
            <w:tcW w:w="45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Chief Legal Officer and Senior Executive Vice</w:t>
            </w:r>
          </w:p>
        </w:tc>
        <w:tc>
          <w:tcPr>
            <w:tcW w:w="1300" w:type="dxa"/>
            <w:vAlign w:val="bottom"/>
          </w:tcPr>
          <w:p>
            <w:pPr>
              <w:ind w:left="540"/>
              <w:spacing w:after="0"/>
              <w:rPr>
                <w:sz w:val="20"/>
                <w:szCs w:val="20"/>
                <w:color w:val="auto"/>
              </w:rPr>
            </w:pPr>
            <w:r>
              <w:rPr>
                <w:rFonts w:ascii="Times New Roman" w:cs="Times New Roman" w:eastAsia="Times New Roman" w:hAnsi="Times New Roman"/>
                <w:sz w:val="21"/>
                <w:szCs w:val="21"/>
                <w:color w:val="auto"/>
              </w:rPr>
              <w:t>Title:</w:t>
            </w:r>
          </w:p>
        </w:tc>
        <w:tc>
          <w:tcPr>
            <w:tcW w:w="2700" w:type="dxa"/>
            <w:vAlign w:val="bottom"/>
            <w:gridSpan w:val="3"/>
          </w:tcPr>
          <w:p>
            <w:pPr>
              <w:ind w:left="180"/>
              <w:spacing w:after="0"/>
              <w:rPr>
                <w:sz w:val="20"/>
                <w:szCs w:val="20"/>
                <w:color w:val="auto"/>
              </w:rPr>
            </w:pPr>
            <w:r>
              <w:rPr>
                <w:rFonts w:ascii="Times New Roman" w:cs="Times New Roman" w:eastAsia="Times New Roman" w:hAnsi="Times New Roman"/>
                <w:sz w:val="21"/>
                <w:szCs w:val="21"/>
                <w:color w:val="auto"/>
              </w:rPr>
              <w:t>Vice President</w:t>
            </w:r>
          </w:p>
        </w:tc>
      </w:tr>
      <w:tr>
        <w:trPr>
          <w:trHeight w:val="279"/>
        </w:trPr>
        <w:tc>
          <w:tcPr>
            <w:tcW w:w="960" w:type="dxa"/>
            <w:vAlign w:val="bottom"/>
          </w:tcPr>
          <w:p>
            <w:pPr>
              <w:spacing w:after="0"/>
              <w:rPr>
                <w:sz w:val="24"/>
                <w:szCs w:val="24"/>
                <w:color w:val="auto"/>
              </w:rPr>
            </w:pPr>
          </w:p>
        </w:tc>
        <w:tc>
          <w:tcPr>
            <w:tcW w:w="4500" w:type="dxa"/>
            <w:vAlign w:val="bottom"/>
            <w:gridSpan w:val="3"/>
          </w:tcPr>
          <w:p>
            <w:pPr>
              <w:spacing w:after="0"/>
              <w:rPr>
                <w:sz w:val="20"/>
                <w:szCs w:val="20"/>
                <w:color w:val="auto"/>
              </w:rPr>
            </w:pPr>
            <w:r>
              <w:rPr>
                <w:rFonts w:ascii="Times New Roman" w:cs="Times New Roman" w:eastAsia="Times New Roman" w:hAnsi="Times New Roman"/>
                <w:sz w:val="21"/>
                <w:szCs w:val="21"/>
                <w:color w:val="auto"/>
              </w:rPr>
              <w:t>President</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tabs>
          <w:tab w:leader="none" w:pos="5980" w:val="left"/>
        </w:tabs>
        <w:rPr>
          <w:sz w:val="20"/>
          <w:szCs w:val="20"/>
          <w:color w:val="auto"/>
        </w:rPr>
      </w:pPr>
      <w:r>
        <w:rPr>
          <w:rFonts w:ascii="Times New Roman" w:cs="Times New Roman" w:eastAsia="Times New Roman" w:hAnsi="Times New Roman"/>
          <w:sz w:val="21"/>
          <w:szCs w:val="21"/>
          <w:u w:val="single" w:color="auto"/>
          <w:color w:val="auto"/>
        </w:rPr>
        <w:t>GUARANTOR:</w:t>
      </w:r>
      <w:r>
        <w:rPr>
          <w:sz w:val="20"/>
          <w:szCs w:val="20"/>
          <w:color w:val="auto"/>
        </w:rPr>
        <w:tab/>
      </w:r>
      <w:r>
        <w:rPr>
          <w:rFonts w:ascii="Times New Roman" w:cs="Times New Roman" w:eastAsia="Times New Roman" w:hAnsi="Times New Roman"/>
          <w:sz w:val="21"/>
          <w:szCs w:val="21"/>
          <w:u w:val="single" w:color="auto"/>
          <w:color w:val="auto"/>
        </w:rPr>
        <w:t>GUARANTOR:</w:t>
      </w: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283"/>
        </w:trPr>
        <w:tc>
          <w:tcPr>
            <w:tcW w:w="36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1329507 ONTARIO INC.</w:t>
            </w:r>
          </w:p>
        </w:tc>
        <w:tc>
          <w:tcPr>
            <w:tcW w:w="5860" w:type="dxa"/>
            <w:vAlign w:val="bottom"/>
            <w:gridSpan w:val="2"/>
          </w:tcPr>
          <w:p>
            <w:pPr>
              <w:ind w:left="2340"/>
              <w:spacing w:after="0"/>
              <w:rPr>
                <w:sz w:val="20"/>
                <w:szCs w:val="20"/>
                <w:color w:val="auto"/>
              </w:rPr>
            </w:pPr>
            <w:r>
              <w:rPr>
                <w:rFonts w:ascii="Times New Roman" w:cs="Times New Roman" w:eastAsia="Times New Roman" w:hAnsi="Times New Roman"/>
                <w:sz w:val="21"/>
                <w:szCs w:val="21"/>
                <w:b w:val="1"/>
                <w:bCs w:val="1"/>
                <w:color w:val="auto"/>
              </w:rPr>
              <w:t>IMAX POST/DKP INC.</w:t>
            </w:r>
          </w:p>
        </w:tc>
      </w:tr>
      <w:tr>
        <w:trPr>
          <w:trHeight w:val="472"/>
        </w:trPr>
        <w:tc>
          <w:tcPr>
            <w:tcW w:w="10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2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1"/>
                <w:szCs w:val="21"/>
                <w:color w:val="auto"/>
              </w:rPr>
              <w:t>/s/ Natasha Fernandes</w:t>
            </w:r>
          </w:p>
        </w:tc>
        <w:tc>
          <w:tcPr>
            <w:tcW w:w="3340" w:type="dxa"/>
            <w:vAlign w:val="bottom"/>
          </w:tcPr>
          <w:p>
            <w:pPr>
              <w:ind w:left="2380"/>
              <w:spacing w:after="0"/>
              <w:rPr>
                <w:sz w:val="20"/>
                <w:szCs w:val="20"/>
                <w:color w:val="auto"/>
              </w:rPr>
            </w:pPr>
            <w:r>
              <w:rPr>
                <w:rFonts w:ascii="Times New Roman" w:cs="Times New Roman" w:eastAsia="Times New Roman" w:hAnsi="Times New Roman"/>
                <w:sz w:val="21"/>
                <w:szCs w:val="21"/>
                <w:color w:val="auto"/>
              </w:rPr>
              <w:t>By:</w:t>
            </w:r>
          </w:p>
        </w:tc>
        <w:tc>
          <w:tcPr>
            <w:tcW w:w="2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1"/>
                <w:szCs w:val="21"/>
                <w:color w:val="auto"/>
              </w:rPr>
              <w:t>/s/ Natasha Fernandes</w:t>
            </w:r>
          </w:p>
        </w:tc>
      </w:tr>
      <w:tr>
        <w:trPr>
          <w:trHeight w:val="261"/>
        </w:trPr>
        <w:tc>
          <w:tcPr>
            <w:tcW w:w="10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2520" w:type="dxa"/>
            <w:vAlign w:val="bottom"/>
          </w:tcPr>
          <w:p>
            <w:pPr>
              <w:spacing w:after="0"/>
              <w:rPr>
                <w:sz w:val="20"/>
                <w:szCs w:val="20"/>
                <w:color w:val="auto"/>
              </w:rPr>
            </w:pPr>
            <w:r>
              <w:rPr>
                <w:rFonts w:ascii="Times New Roman" w:cs="Times New Roman" w:eastAsia="Times New Roman" w:hAnsi="Times New Roman"/>
                <w:sz w:val="21"/>
                <w:szCs w:val="21"/>
                <w:color w:val="auto"/>
              </w:rPr>
              <w:t>Natasha Fernandes</w:t>
            </w:r>
          </w:p>
        </w:tc>
        <w:tc>
          <w:tcPr>
            <w:tcW w:w="3340" w:type="dxa"/>
            <w:vAlign w:val="bottom"/>
          </w:tcPr>
          <w:p>
            <w:pPr>
              <w:ind w:left="2400"/>
              <w:spacing w:after="0"/>
              <w:rPr>
                <w:sz w:val="20"/>
                <w:szCs w:val="20"/>
                <w:color w:val="auto"/>
              </w:rPr>
            </w:pPr>
            <w:r>
              <w:rPr>
                <w:rFonts w:ascii="Times New Roman" w:cs="Times New Roman" w:eastAsia="Times New Roman" w:hAnsi="Times New Roman"/>
                <w:sz w:val="21"/>
                <w:szCs w:val="21"/>
                <w:color w:val="auto"/>
              </w:rPr>
              <w:t>Name:</w:t>
            </w:r>
          </w:p>
        </w:tc>
        <w:tc>
          <w:tcPr>
            <w:tcW w:w="25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Natasha Fernandes</w:t>
            </w:r>
          </w:p>
        </w:tc>
      </w:tr>
      <w:tr>
        <w:trPr>
          <w:trHeight w:val="279"/>
        </w:trPr>
        <w:tc>
          <w:tcPr>
            <w:tcW w:w="10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w:t>
            </w:r>
          </w:p>
        </w:tc>
        <w:tc>
          <w:tcPr>
            <w:tcW w:w="2520" w:type="dxa"/>
            <w:vAlign w:val="bottom"/>
          </w:tcPr>
          <w:p>
            <w:pPr>
              <w:spacing w:after="0"/>
              <w:rPr>
                <w:sz w:val="20"/>
                <w:szCs w:val="20"/>
                <w:color w:val="auto"/>
              </w:rPr>
            </w:pPr>
            <w:r>
              <w:rPr>
                <w:rFonts w:ascii="Times New Roman" w:cs="Times New Roman" w:eastAsia="Times New Roman" w:hAnsi="Times New Roman"/>
                <w:sz w:val="21"/>
                <w:szCs w:val="21"/>
                <w:color w:val="auto"/>
              </w:rPr>
              <w:t>Vice President, Finance</w:t>
            </w:r>
          </w:p>
        </w:tc>
        <w:tc>
          <w:tcPr>
            <w:tcW w:w="3340" w:type="dxa"/>
            <w:vAlign w:val="bottom"/>
          </w:tcPr>
          <w:p>
            <w:pPr>
              <w:ind w:left="2400"/>
              <w:spacing w:after="0"/>
              <w:rPr>
                <w:sz w:val="20"/>
                <w:szCs w:val="20"/>
                <w:color w:val="auto"/>
              </w:rPr>
            </w:pPr>
            <w:r>
              <w:rPr>
                <w:rFonts w:ascii="Times New Roman" w:cs="Times New Roman" w:eastAsia="Times New Roman" w:hAnsi="Times New Roman"/>
                <w:sz w:val="21"/>
                <w:szCs w:val="21"/>
                <w:color w:val="auto"/>
              </w:rPr>
              <w:t>Title:</w:t>
            </w:r>
          </w:p>
        </w:tc>
        <w:tc>
          <w:tcPr>
            <w:tcW w:w="25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Vice President, Finance</w:t>
            </w: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241"/>
        </w:trPr>
        <w:tc>
          <w:tcPr>
            <w:tcW w:w="108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1820" w:type="dxa"/>
            <w:vAlign w:val="bottom"/>
          </w:tcPr>
          <w:p>
            <w:pPr>
              <w:spacing w:after="0"/>
              <w:rPr>
                <w:sz w:val="20"/>
                <w:szCs w:val="20"/>
                <w:color w:val="auto"/>
              </w:rPr>
            </w:pPr>
            <w:r>
              <w:rPr>
                <w:rFonts w:ascii="Times New Roman" w:cs="Times New Roman" w:eastAsia="Times New Roman" w:hAnsi="Times New Roman"/>
                <w:sz w:val="21"/>
                <w:szCs w:val="21"/>
                <w:color w:val="auto"/>
              </w:rPr>
              <w:t>/s/ Robert Lister</w:t>
            </w:r>
          </w:p>
        </w:tc>
        <w:tc>
          <w:tcPr>
            <w:tcW w:w="3860" w:type="dxa"/>
            <w:vAlign w:val="bottom"/>
          </w:tcPr>
          <w:p>
            <w:pPr>
              <w:ind w:left="3080"/>
              <w:spacing w:after="0"/>
              <w:rPr>
                <w:sz w:val="20"/>
                <w:szCs w:val="20"/>
                <w:color w:val="auto"/>
              </w:rPr>
            </w:pPr>
            <w:r>
              <w:rPr>
                <w:rFonts w:ascii="Times New Roman" w:cs="Times New Roman" w:eastAsia="Times New Roman" w:hAnsi="Times New Roman"/>
                <w:sz w:val="21"/>
                <w:szCs w:val="21"/>
                <w:color w:val="auto"/>
              </w:rPr>
              <w:t>By:</w:t>
            </w: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/s/ Robert Lister</w:t>
            </w:r>
          </w:p>
        </w:tc>
      </w:tr>
      <w:tr>
        <w:trPr>
          <w:trHeight w:val="261"/>
        </w:trPr>
        <w:tc>
          <w:tcPr>
            <w:tcW w:w="10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1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1"/>
                <w:szCs w:val="21"/>
                <w:color w:val="auto"/>
              </w:rPr>
              <w:t>Robert Lister</w:t>
            </w:r>
          </w:p>
        </w:tc>
        <w:tc>
          <w:tcPr>
            <w:tcW w:w="3860" w:type="dxa"/>
            <w:vAlign w:val="bottom"/>
          </w:tcPr>
          <w:p>
            <w:pPr>
              <w:ind w:left="3100"/>
              <w:spacing w:after="0"/>
              <w:rPr>
                <w:sz w:val="20"/>
                <w:szCs w:val="20"/>
                <w:color w:val="auto"/>
              </w:rPr>
            </w:pPr>
            <w:r>
              <w:rPr>
                <w:rFonts w:ascii="Times New Roman" w:cs="Times New Roman" w:eastAsia="Times New Roman" w:hAnsi="Times New Roman"/>
                <w:sz w:val="21"/>
                <w:szCs w:val="21"/>
                <w:color w:val="auto"/>
              </w:rPr>
              <w:t>Name:</w:t>
            </w:r>
          </w:p>
        </w:tc>
        <w:tc>
          <w:tcPr>
            <w:tcW w:w="180" w:type="dxa"/>
            <w:vAlign w:val="bottom"/>
          </w:tcPr>
          <w:p>
            <w:pPr>
              <w:spacing w:after="0"/>
              <w:rPr>
                <w:sz w:val="22"/>
                <w:szCs w:val="22"/>
                <w:color w:val="auto"/>
              </w:rPr>
            </w:pPr>
          </w:p>
        </w:tc>
        <w:tc>
          <w:tcPr>
            <w:tcW w:w="18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Robert Lister</w:t>
            </w:r>
          </w:p>
        </w:tc>
      </w:tr>
      <w:tr>
        <w:trPr>
          <w:trHeight w:val="279"/>
        </w:trPr>
        <w:tc>
          <w:tcPr>
            <w:tcW w:w="10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w:t>
            </w:r>
          </w:p>
        </w:tc>
        <w:tc>
          <w:tcPr>
            <w:tcW w:w="1820" w:type="dxa"/>
            <w:vAlign w:val="bottom"/>
          </w:tcPr>
          <w:p>
            <w:pPr>
              <w:spacing w:after="0"/>
              <w:rPr>
                <w:sz w:val="20"/>
                <w:szCs w:val="20"/>
                <w:color w:val="auto"/>
              </w:rPr>
            </w:pPr>
            <w:r>
              <w:rPr>
                <w:rFonts w:ascii="Times New Roman" w:cs="Times New Roman" w:eastAsia="Times New Roman" w:hAnsi="Times New Roman"/>
                <w:sz w:val="21"/>
                <w:szCs w:val="21"/>
                <w:color w:val="auto"/>
              </w:rPr>
              <w:t>Vice President</w:t>
            </w:r>
          </w:p>
        </w:tc>
        <w:tc>
          <w:tcPr>
            <w:tcW w:w="3860" w:type="dxa"/>
            <w:vAlign w:val="bottom"/>
          </w:tcPr>
          <w:p>
            <w:pPr>
              <w:ind w:left="3100"/>
              <w:spacing w:after="0"/>
              <w:rPr>
                <w:sz w:val="20"/>
                <w:szCs w:val="20"/>
                <w:color w:val="auto"/>
              </w:rPr>
            </w:pPr>
            <w:r>
              <w:rPr>
                <w:rFonts w:ascii="Times New Roman" w:cs="Times New Roman" w:eastAsia="Times New Roman" w:hAnsi="Times New Roman"/>
                <w:sz w:val="21"/>
                <w:szCs w:val="21"/>
                <w:color w:val="auto"/>
              </w:rPr>
              <w:t>Title:</w:t>
            </w:r>
          </w:p>
        </w:tc>
        <w:tc>
          <w:tcPr>
            <w:tcW w:w="2000" w:type="dxa"/>
            <w:vAlign w:val="bottom"/>
            <w:gridSpan w:val="2"/>
          </w:tcPr>
          <w:p>
            <w:pPr>
              <w:ind w:left="180"/>
              <w:spacing w:after="0"/>
              <w:rPr>
                <w:sz w:val="20"/>
                <w:szCs w:val="20"/>
                <w:color w:val="auto"/>
              </w:rPr>
            </w:pPr>
            <w:r>
              <w:rPr>
                <w:rFonts w:ascii="Times New Roman" w:cs="Times New Roman" w:eastAsia="Times New Roman" w:hAnsi="Times New Roman"/>
                <w:sz w:val="21"/>
                <w:szCs w:val="21"/>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IMAX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Seventh Amended and Restated Credit Agreement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1240"/>
          </w:cols>
          <w:pgMar w:left="320" w:top="1413" w:right="339" w:bottom="1440" w:gutter="0" w:footer="0" w:header="0"/>
        </w:sectPr>
      </w:pPr>
    </w:p>
    <w:bookmarkStart w:id="232" w:name="page233"/>
    <w:bookmarkEnd w:id="232"/>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u w:val="single" w:color="auto"/>
          <w:color w:val="auto"/>
        </w:rPr>
        <w:t>GUARANTOR:</w:t>
      </w:r>
    </w:p>
    <w:p>
      <w:pPr>
        <w:spacing w:after="0" w:line="2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IMAX II U.S.A. INC.</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110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2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1"/>
                <w:szCs w:val="21"/>
                <w:color w:val="auto"/>
              </w:rPr>
              <w:t>/s/ Natasha Fernandes</w:t>
            </w:r>
          </w:p>
        </w:tc>
      </w:tr>
      <w:tr>
        <w:trPr>
          <w:trHeight w:val="261"/>
        </w:trPr>
        <w:tc>
          <w:tcPr>
            <w:tcW w:w="1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25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Natasha Fernandes</w:t>
            </w:r>
          </w:p>
        </w:tc>
      </w:tr>
      <w:tr>
        <w:trPr>
          <w:trHeight w:val="279"/>
        </w:trPr>
        <w:tc>
          <w:tcPr>
            <w:tcW w:w="1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w:t>
            </w:r>
          </w:p>
        </w:tc>
        <w:tc>
          <w:tcPr>
            <w:tcW w:w="25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Vice President, Finance</w:t>
            </w: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110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Robert Lister</w:t>
            </w:r>
          </w:p>
        </w:tc>
      </w:tr>
      <w:tr>
        <w:trPr>
          <w:trHeight w:val="261"/>
        </w:trPr>
        <w:tc>
          <w:tcPr>
            <w:tcW w:w="1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18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Robert Lister</w:t>
            </w:r>
          </w:p>
        </w:tc>
      </w:tr>
      <w:tr>
        <w:trPr>
          <w:trHeight w:val="279"/>
        </w:trPr>
        <w:tc>
          <w:tcPr>
            <w:tcW w:w="110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w:t>
            </w:r>
          </w:p>
        </w:tc>
        <w:tc>
          <w:tcPr>
            <w:tcW w:w="1820" w:type="dxa"/>
            <w:vAlign w:val="bottom"/>
          </w:tcPr>
          <w:p>
            <w:pPr>
              <w:spacing w:after="0"/>
              <w:rPr>
                <w:sz w:val="20"/>
                <w:szCs w:val="20"/>
                <w:color w:val="auto"/>
              </w:rPr>
            </w:pPr>
            <w:r>
              <w:rPr>
                <w:rFonts w:ascii="Times New Roman" w:cs="Times New Roman" w:eastAsia="Times New Roman" w:hAnsi="Times New Roman"/>
                <w:sz w:val="21"/>
                <w:szCs w:val="21"/>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GUARANTOR:</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IMAX THEATRES INTERNATIONAL LIMITED</w:t>
      </w: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2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1"/>
                <w:szCs w:val="21"/>
                <w:color w:val="auto"/>
              </w:rPr>
              <w:t>/s/ Natasha Fernandes</w:t>
            </w:r>
          </w:p>
        </w:tc>
      </w:tr>
      <w:tr>
        <w:trPr>
          <w:trHeight w:val="261"/>
        </w:trPr>
        <w:tc>
          <w:tcPr>
            <w:tcW w:w="9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2520" w:type="dxa"/>
            <w:vAlign w:val="bottom"/>
          </w:tcPr>
          <w:p>
            <w:pPr>
              <w:spacing w:after="0"/>
              <w:rPr>
                <w:sz w:val="20"/>
                <w:szCs w:val="20"/>
                <w:color w:val="auto"/>
              </w:rPr>
            </w:pPr>
            <w:r>
              <w:rPr>
                <w:rFonts w:ascii="Times New Roman" w:cs="Times New Roman" w:eastAsia="Times New Roman" w:hAnsi="Times New Roman"/>
                <w:sz w:val="21"/>
                <w:szCs w:val="21"/>
                <w:color w:val="auto"/>
              </w:rPr>
              <w:t>Natasha Fernandes</w:t>
            </w:r>
          </w:p>
        </w:tc>
      </w:tr>
      <w:tr>
        <w:trPr>
          <w:trHeight w:val="279"/>
        </w:trPr>
        <w:tc>
          <w:tcPr>
            <w:tcW w:w="9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w:t>
            </w:r>
          </w:p>
        </w:tc>
        <w:tc>
          <w:tcPr>
            <w:tcW w:w="2520" w:type="dxa"/>
            <w:vAlign w:val="bottom"/>
          </w:tcPr>
          <w:p>
            <w:pPr>
              <w:spacing w:after="0"/>
              <w:rPr>
                <w:sz w:val="20"/>
                <w:szCs w:val="20"/>
                <w:color w:val="auto"/>
              </w:rPr>
            </w:pPr>
            <w:r>
              <w:rPr>
                <w:rFonts w:ascii="Times New Roman" w:cs="Times New Roman" w:eastAsia="Times New Roman" w:hAnsi="Times New Roman"/>
                <w:sz w:val="21"/>
                <w:szCs w:val="21"/>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9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Robert Lister</w:t>
            </w:r>
          </w:p>
        </w:tc>
      </w:tr>
      <w:tr>
        <w:trPr>
          <w:trHeight w:val="261"/>
        </w:trPr>
        <w:tc>
          <w:tcPr>
            <w:tcW w:w="9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1820" w:type="dxa"/>
            <w:vAlign w:val="bottom"/>
          </w:tcPr>
          <w:p>
            <w:pPr>
              <w:spacing w:after="0"/>
              <w:rPr>
                <w:sz w:val="20"/>
                <w:szCs w:val="20"/>
                <w:color w:val="auto"/>
              </w:rPr>
            </w:pPr>
            <w:r>
              <w:rPr>
                <w:rFonts w:ascii="Times New Roman" w:cs="Times New Roman" w:eastAsia="Times New Roman" w:hAnsi="Times New Roman"/>
                <w:sz w:val="21"/>
                <w:szCs w:val="21"/>
                <w:color w:val="auto"/>
              </w:rPr>
              <w:t>Robert Lister</w:t>
            </w:r>
          </w:p>
        </w:tc>
      </w:tr>
      <w:tr>
        <w:trPr>
          <w:trHeight w:val="279"/>
        </w:trPr>
        <w:tc>
          <w:tcPr>
            <w:tcW w:w="9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w:t>
            </w:r>
          </w:p>
        </w:tc>
        <w:tc>
          <w:tcPr>
            <w:tcW w:w="1820" w:type="dxa"/>
            <w:vAlign w:val="bottom"/>
          </w:tcPr>
          <w:p>
            <w:pPr>
              <w:spacing w:after="0"/>
              <w:rPr>
                <w:sz w:val="20"/>
                <w:szCs w:val="20"/>
                <w:color w:val="auto"/>
              </w:rPr>
            </w:pPr>
            <w:r>
              <w:rPr>
                <w:rFonts w:ascii="Times New Roman" w:cs="Times New Roman" w:eastAsia="Times New Roman" w:hAnsi="Times New Roman"/>
                <w:sz w:val="21"/>
                <w:szCs w:val="21"/>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IMAX Corporation</w:t>
      </w:r>
    </w:p>
    <w:p>
      <w:pPr>
        <w:spacing w:after="0" w:line="26"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7"/>
          <w:szCs w:val="17"/>
          <w:color w:val="auto"/>
        </w:rPr>
        <w:t>Seventh Amended and Restated Credit Agreement</w:t>
      </w:r>
    </w:p>
    <w:p>
      <w:pPr>
        <w:spacing w:after="0" w:line="1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119"/>
          </w:cols>
          <w:pgMar w:left="340" w:top="1440" w:right="1440" w:bottom="1440" w:gutter="0" w:footer="0" w:header="0"/>
        </w:sectPr>
      </w:pPr>
    </w:p>
    <w:bookmarkStart w:id="233" w:name="page234"/>
    <w:bookmarkEnd w:id="233"/>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IMAX (BARBADOS) HOLDING, INC.</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25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1"/>
                <w:szCs w:val="21"/>
                <w:color w:val="auto"/>
              </w:rPr>
              <w:t>/s/ Natasha Fernandes</w:t>
            </w:r>
          </w:p>
        </w:tc>
      </w:tr>
      <w:tr>
        <w:trPr>
          <w:trHeight w:val="261"/>
        </w:trPr>
        <w:tc>
          <w:tcPr>
            <w:tcW w:w="20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25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Natasha Fernandes</w:t>
            </w:r>
          </w:p>
        </w:tc>
      </w:tr>
      <w:tr>
        <w:trPr>
          <w:trHeight w:val="279"/>
        </w:trPr>
        <w:tc>
          <w:tcPr>
            <w:tcW w:w="20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w:t>
            </w:r>
          </w:p>
        </w:tc>
        <w:tc>
          <w:tcPr>
            <w:tcW w:w="252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20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rPr>
              <w:t>/s/ Kenneth Weissman</w:t>
            </w:r>
          </w:p>
        </w:tc>
      </w:tr>
      <w:tr>
        <w:trPr>
          <w:trHeight w:val="261"/>
        </w:trPr>
        <w:tc>
          <w:tcPr>
            <w:tcW w:w="20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Name:</w:t>
            </w:r>
          </w:p>
        </w:tc>
        <w:tc>
          <w:tcPr>
            <w:tcW w:w="234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Kenneth Weissman</w:t>
            </w:r>
          </w:p>
        </w:tc>
      </w:tr>
      <w:tr>
        <w:trPr>
          <w:trHeight w:val="279"/>
        </w:trPr>
        <w:tc>
          <w:tcPr>
            <w:tcW w:w="206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Title:</w:t>
            </w:r>
          </w:p>
        </w:tc>
        <w:tc>
          <w:tcPr>
            <w:tcW w:w="2340" w:type="dxa"/>
            <w:vAlign w:val="bottom"/>
          </w:tcPr>
          <w:p>
            <w:pPr>
              <w:spacing w:after="0"/>
              <w:rPr>
                <w:sz w:val="20"/>
                <w:szCs w:val="20"/>
                <w:color w:val="auto"/>
              </w:rPr>
            </w:pPr>
            <w:r>
              <w:rPr>
                <w:rFonts w:ascii="Times New Roman" w:cs="Times New Roman" w:eastAsia="Times New Roman" w:hAnsi="Times New Roman"/>
                <w:sz w:val="21"/>
                <w:szCs w:val="21"/>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IMAX Corporation</w:t>
      </w:r>
    </w:p>
    <w:p>
      <w:pPr>
        <w:spacing w:after="0" w:line="26"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7"/>
          <w:szCs w:val="17"/>
          <w:color w:val="auto"/>
        </w:rPr>
        <w:t>Seventh Amended and Restated Credit Agreement</w:t>
      </w:r>
    </w:p>
    <w:p>
      <w:pPr>
        <w:spacing w:after="0" w:line="19"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10119"/>
          </w:cols>
          <w:pgMar w:left="340" w:top="1440" w:right="1440" w:bottom="1440" w:gutter="0" w:footer="0" w:header="0"/>
        </w:sectPr>
      </w:pPr>
    </w:p>
    <w:bookmarkStart w:id="234" w:name="page235"/>
    <w:bookmarkEnd w:id="234"/>
    <w:p>
      <w:pPr>
        <w:spacing w:after="0" w:line="210" w:lineRule="exact"/>
        <w:rPr>
          <w:sz w:val="20"/>
          <w:szCs w:val="20"/>
          <w:color w:val="auto"/>
        </w:rPr>
      </w:pPr>
    </w:p>
    <w:p>
      <w:pPr>
        <w:ind w:left="2740"/>
        <w:spacing w:after="0" w:line="294" w:lineRule="auto"/>
        <w:rPr>
          <w:sz w:val="20"/>
          <w:szCs w:val="20"/>
          <w:color w:val="auto"/>
        </w:rPr>
      </w:pPr>
      <w:r>
        <w:rPr>
          <w:rFonts w:ascii="Times New Roman" w:cs="Times New Roman" w:eastAsia="Times New Roman" w:hAnsi="Times New Roman"/>
          <w:sz w:val="21"/>
          <w:szCs w:val="21"/>
          <w:b w:val="1"/>
          <w:bCs w:val="1"/>
          <w:color w:val="auto"/>
        </w:rPr>
        <w:t>WELLS FARGO BANK, NATIONAL ASSOCIATION</w:t>
      </w:r>
      <w:r>
        <w:rPr>
          <w:rFonts w:ascii="Times New Roman" w:cs="Times New Roman" w:eastAsia="Times New Roman" w:hAnsi="Times New Roman"/>
          <w:sz w:val="21"/>
          <w:szCs w:val="21"/>
          <w:color w:val="auto"/>
        </w:rPr>
        <w:t>, as Agent, Swingline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Lender, Issuing Lender and a Lender</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1"/>
          <w:szCs w:val="21"/>
          <w:color w:val="auto"/>
        </w:rPr>
        <w:t>By:/s/ Michael Kim</w:t>
      </w:r>
    </w:p>
    <w:p>
      <w:pPr>
        <w:spacing w:after="0" w:line="3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Name: Michael Kim</w:t>
      </w:r>
    </w:p>
    <w:p>
      <w:pPr>
        <w:spacing w:after="0" w:line="2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1"/>
          <w:szCs w:val="21"/>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IMAX Corporation</w:t>
      </w:r>
    </w:p>
    <w:p>
      <w:pPr>
        <w:spacing w:after="0" w:line="26"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Seventh Amended and Restated Credit Agreement</w:t>
      </w:r>
    </w:p>
    <w:p>
      <w:pPr>
        <w:spacing w:after="0" w:line="1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620"/>
          </w:cols>
          <w:pgMar w:left="1440" w:top="1440" w:right="839" w:bottom="1440" w:gutter="0" w:footer="0" w:header="0"/>
        </w:sectPr>
      </w:pPr>
    </w:p>
    <w:bookmarkStart w:id="235" w:name="page236"/>
    <w:bookmarkEnd w:id="235"/>
    <w:p>
      <w:pPr>
        <w:ind w:left="2740"/>
        <w:spacing w:after="0"/>
        <w:rPr>
          <w:sz w:val="20"/>
          <w:szCs w:val="20"/>
          <w:color w:val="auto"/>
        </w:rPr>
      </w:pPr>
      <w:r>
        <w:rPr>
          <w:rFonts w:ascii="Times New Roman" w:cs="Times New Roman" w:eastAsia="Times New Roman" w:hAnsi="Times New Roman"/>
          <w:sz w:val="19"/>
          <w:szCs w:val="19"/>
          <w:b w:val="1"/>
          <w:bCs w:val="1"/>
          <w:color w:val="auto"/>
        </w:rPr>
        <w:t>JPMORGAN CHASE BANK, N.A.</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By: /s/ Ryan P Viaclovsky</w:t>
      </w:r>
    </w:p>
    <w:p>
      <w:pPr>
        <w:spacing w:after="0" w:line="2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Name: Ryan P Viaclovsky</w:t>
      </w:r>
    </w:p>
    <w:p>
      <w:pPr>
        <w:spacing w:after="0" w:line="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IMAX Corporation</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Seventh Amended and Restated Credit Agreement</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0" w:right="1440" w:bottom="1440" w:gutter="0" w:footer="0" w:header="0"/>
        </w:sectPr>
      </w:pPr>
    </w:p>
    <w:bookmarkStart w:id="236" w:name="page237"/>
    <w:bookmarkEnd w:id="236"/>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BANK OF AMERICA, N.A.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By: /s/ Jana L. Baker</w:t>
      </w:r>
    </w:p>
    <w:p>
      <w:pPr>
        <w:spacing w:after="0" w:line="2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Name: Jana L. Baker</w:t>
      </w:r>
    </w:p>
    <w:p>
      <w:pPr>
        <w:spacing w:after="0" w:line="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IMAX Corporation</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Seventh Amended and Restated Credit Agreement</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0" w:right="1440" w:bottom="1440" w:gutter="0" w:footer="0" w:header="0"/>
        </w:sectPr>
      </w:pPr>
    </w:p>
    <w:bookmarkStart w:id="237" w:name="page238"/>
    <w:bookmarkEnd w:id="237"/>
    <w:p>
      <w:pPr>
        <w:ind w:left="2740"/>
        <w:spacing w:after="0"/>
        <w:rPr>
          <w:sz w:val="20"/>
          <w:szCs w:val="20"/>
          <w:color w:val="auto"/>
        </w:rPr>
      </w:pPr>
      <w:r>
        <w:rPr>
          <w:rFonts w:ascii="Times New Roman" w:cs="Times New Roman" w:eastAsia="Times New Roman" w:hAnsi="Times New Roman"/>
          <w:sz w:val="20"/>
          <w:szCs w:val="20"/>
          <w:b w:val="1"/>
          <w:bCs w:val="1"/>
          <w:color w:val="auto"/>
        </w:rPr>
        <w:t>BANK OF MONTREAL</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By: /s/ Victoria Zhu</w:t>
      </w:r>
    </w:p>
    <w:p>
      <w:pPr>
        <w:spacing w:after="0" w:line="2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Name: Victoria Zhu</w:t>
      </w:r>
    </w:p>
    <w:p>
      <w:pPr>
        <w:spacing w:after="0" w:line="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IMAX Corporation</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Seventh Amended and Restated Credit Agreement</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0" w:right="1440" w:bottom="1440" w:gutter="0" w:footer="0" w:header="0"/>
        </w:sectPr>
      </w:pPr>
    </w:p>
    <w:bookmarkStart w:id="238" w:name="page239"/>
    <w:bookmarkEnd w:id="238"/>
    <w:p>
      <w:pPr>
        <w:ind w:left="2740"/>
        <w:spacing w:after="0"/>
        <w:rPr>
          <w:sz w:val="20"/>
          <w:szCs w:val="20"/>
          <w:color w:val="auto"/>
        </w:rPr>
      </w:pPr>
      <w:r>
        <w:rPr>
          <w:rFonts w:ascii="Times New Roman" w:cs="Times New Roman" w:eastAsia="Times New Roman" w:hAnsi="Times New Roman"/>
          <w:sz w:val="19"/>
          <w:szCs w:val="19"/>
          <w:b w:val="1"/>
          <w:bCs w:val="1"/>
          <w:color w:val="auto"/>
        </w:rPr>
        <w:t>NATIONAL BANK OF CANADA</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By: /s/ Suneel Puri</w:t>
      </w:r>
    </w:p>
    <w:p>
      <w:pPr>
        <w:spacing w:after="0" w:line="2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Name: Suneel Puri</w:t>
      </w:r>
    </w:p>
    <w:p>
      <w:pPr>
        <w:spacing w:after="0" w:line="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Title: Head, Credit Execution</w:t>
      </w:r>
    </w:p>
    <w:p>
      <w:pPr>
        <w:spacing w:after="0" w:line="22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By: /s/ Jonathan Khan</w:t>
      </w:r>
    </w:p>
    <w:p>
      <w:pPr>
        <w:spacing w:after="0" w:line="2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Name: Jonathan Khan</w:t>
      </w:r>
    </w:p>
    <w:p>
      <w:pPr>
        <w:spacing w:after="0" w:line="1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IMAX Corporation</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Seventh Amended and Restated Credit Agreement</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0" w:right="1440" w:bottom="1440" w:gutter="0" w:footer="0" w:header="0"/>
        </w:sectPr>
      </w:pPr>
    </w:p>
    <w:bookmarkStart w:id="239" w:name="page240"/>
    <w:bookmarkEnd w:id="239"/>
    <w:p>
      <w:pPr>
        <w:jc w:val="center"/>
        <w:spacing w:after="0"/>
        <w:rPr>
          <w:sz w:val="20"/>
          <w:szCs w:val="20"/>
          <w:color w:val="auto"/>
        </w:rPr>
      </w:pPr>
      <w:r>
        <w:rPr>
          <w:rFonts w:ascii="Times New Roman" w:cs="Times New Roman" w:eastAsia="Times New Roman" w:hAnsi="Times New Roman"/>
          <w:sz w:val="20"/>
          <w:szCs w:val="20"/>
          <w:b w:val="1"/>
          <w:bCs w:val="1"/>
          <w:color w:val="auto"/>
        </w:rPr>
        <w:t>ROYAL BANK OF CANADA</w:t>
      </w:r>
      <w:r>
        <w:rPr>
          <w:rFonts w:ascii="Times New Roman" w:cs="Times New Roman" w:eastAsia="Times New Roman" w:hAnsi="Times New Roman"/>
          <w:sz w:val="20"/>
          <w:szCs w:val="20"/>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By: /s/ Elana Abramovitch</w:t>
      </w:r>
    </w:p>
    <w:p>
      <w:pPr>
        <w:spacing w:after="0" w:line="2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Name: Elana Abramovitch</w:t>
      </w:r>
    </w:p>
    <w:p>
      <w:pPr>
        <w:spacing w:after="0" w:line="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9"/>
          <w:szCs w:val="19"/>
          <w:color w:val="auto"/>
        </w:rPr>
        <w:t>Title: Vice President, Corporate Client Group -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IMAX Corporation</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Seventh Amended and Restated Credit Agreement</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0" w:right="1440" w:bottom="1440" w:gutter="0" w:footer="0" w:header="0"/>
        </w:sectPr>
      </w:pPr>
    </w:p>
    <w:bookmarkStart w:id="240" w:name="page241"/>
    <w:bookmarkEnd w:id="240"/>
    <w:p>
      <w:pPr>
        <w:ind w:left="2740"/>
        <w:spacing w:after="0"/>
        <w:rPr>
          <w:sz w:val="20"/>
          <w:szCs w:val="20"/>
          <w:color w:val="auto"/>
        </w:rPr>
      </w:pPr>
      <w:r>
        <w:rPr>
          <w:rFonts w:ascii="Times New Roman" w:cs="Times New Roman" w:eastAsia="Times New Roman" w:hAnsi="Times New Roman"/>
          <w:sz w:val="19"/>
          <w:szCs w:val="19"/>
          <w:b w:val="1"/>
          <w:bCs w:val="1"/>
          <w:color w:val="auto"/>
        </w:rPr>
        <w:t>EXPORT DEVELOPMENT CANADA</w:t>
      </w:r>
      <w:r>
        <w:rPr>
          <w:rFonts w:ascii="Times New Roman" w:cs="Times New Roman" w:eastAsia="Times New Roman" w:hAnsi="Times New Roman"/>
          <w:sz w:val="19"/>
          <w:szCs w:val="19"/>
          <w:color w:val="auto"/>
        </w:rPr>
        <w:t>, as a Lender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By: /s/ Nivera Vasudha</w:t>
      </w:r>
    </w:p>
    <w:p>
      <w:pPr>
        <w:spacing w:after="0" w:line="2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Name: Nivera Vasudha</w:t>
      </w:r>
    </w:p>
    <w:p>
      <w:pPr>
        <w:spacing w:after="0" w:line="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Title: Financing Manager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color w:val="auto"/>
        </w:rPr>
        <w:t>By: /s/ Matthew Visser</w:t>
      </w:r>
    </w:p>
    <w:p>
      <w:pPr>
        <w:spacing w:after="0" w:line="2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Name: Matthew Visser</w:t>
      </w:r>
    </w:p>
    <w:p>
      <w:pPr>
        <w:spacing w:after="0" w:line="11"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color w:val="auto"/>
        </w:rPr>
        <w:t>Title: Financing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IMAX Corporation</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Seventh Amended and Restated Credit Agreement</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sectPr>
          <w:pgSz w:w="11900" w:h="16838" w:orient="portrait"/>
          <w:cols w:equalWidth="0" w:num="1">
            <w:col w:w="9019"/>
          </w:cols>
          <w:pgMar w:left="1440" w:top="1400" w:right="1440"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20"/>
          <w:szCs w:val="20"/>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THIRD AMENDMENT TO EMPLOYMENT AGREEMENT</w:t>
      </w:r>
    </w:p>
    <w:p>
      <w:pPr>
        <w:spacing w:after="0" w:line="200" w:lineRule="exact"/>
        <w:rPr>
          <w:sz w:val="20"/>
          <w:szCs w:val="20"/>
          <w:color w:val="auto"/>
        </w:rPr>
      </w:pPr>
    </w:p>
    <w:p>
      <w:pPr>
        <w:spacing w:after="0" w:line="24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This agreement (this "</w:t>
      </w:r>
      <w:r>
        <w:rPr>
          <w:rFonts w:ascii="Times New Roman" w:cs="Times New Roman" w:eastAsia="Times New Roman" w:hAnsi="Times New Roman"/>
          <w:sz w:val="20"/>
          <w:szCs w:val="20"/>
          <w:u w:val="single" w:color="auto"/>
          <w:color w:val="auto"/>
        </w:rPr>
        <w:t>Third Amendment</w:t>
      </w:r>
      <w:r>
        <w:rPr>
          <w:rFonts w:ascii="Times New Roman" w:cs="Times New Roman" w:eastAsia="Times New Roman" w:hAnsi="Times New Roman"/>
          <w:sz w:val="20"/>
          <w:szCs w:val="20"/>
          <w:color w:val="auto"/>
        </w:rPr>
        <w:t>") amends, effective as of January 1, 2026 (the</w:t>
      </w:r>
    </w:p>
    <w:p>
      <w:pPr>
        <w:spacing w:after="0" w:line="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employment agreement between Richard L. Gelfond (the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and IMAX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dated November 8, 2016, as previously amended effective January 1, 2020 (the “First Amendment”) and January 1, 2023 (the “Second Amendment”) (collectively,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in accordance with Section 15 of the Agreement. Except as otherwise expressly set forth below in this Third Amendment, from and after the Effective Date, the Agreement shall continue in full force and effect on the same terms and conditions. Capitalized terms used but not otherwise defined herein shall have the meanings ascribed to such terms in the Agreement.</w:t>
      </w:r>
    </w:p>
    <w:p>
      <w:pPr>
        <w:spacing w:after="0" w:line="326" w:lineRule="exact"/>
        <w:rPr>
          <w:sz w:val="20"/>
          <w:szCs w:val="20"/>
          <w:color w:val="auto"/>
        </w:rPr>
      </w:pPr>
    </w:p>
    <w:p>
      <w:pPr>
        <w:jc w:val="both"/>
        <w:ind w:left="420" w:right="20" w:hanging="591"/>
        <w:spacing w:after="0" w:line="275" w:lineRule="auto"/>
        <w:tabs>
          <w:tab w:leader="none" w:pos="400" w:val="left"/>
        </w:tabs>
        <w:rPr>
          <w:sz w:val="20"/>
          <w:szCs w:val="20"/>
          <w:color w:val="auto"/>
        </w:rPr>
      </w:pPr>
      <w:r>
        <w:rPr>
          <w:rFonts w:ascii="Times New Roman" w:cs="Times New Roman" w:eastAsia="Times New Roman" w:hAnsi="Times New Roman"/>
          <w:sz w:val="20"/>
          <w:szCs w:val="20"/>
          <w:color w:val="auto"/>
        </w:rPr>
        <w:t>l .</w:t>
      </w:r>
      <w:r>
        <w:rPr>
          <w:sz w:val="20"/>
          <w:szCs w:val="20"/>
          <w:color w:val="auto"/>
        </w:rPr>
        <w:tab/>
      </w:r>
      <w:r>
        <w:rPr>
          <w:rFonts w:ascii="Times New Roman" w:cs="Times New Roman" w:eastAsia="Times New Roman" w:hAnsi="Times New Roman"/>
          <w:sz w:val="20"/>
          <w:szCs w:val="20"/>
          <w:b w:val="1"/>
          <w:bCs w:val="1"/>
          <w:color w:val="auto"/>
        </w:rPr>
        <w:t>Term and Annual Bonus</w:t>
      </w:r>
      <w:r>
        <w:rPr>
          <w:rFonts w:ascii="Times New Roman" w:cs="Times New Roman" w:eastAsia="Times New Roman" w:hAnsi="Times New Roman"/>
          <w:sz w:val="20"/>
          <w:szCs w:val="20"/>
          <w:color w:val="auto"/>
        </w:rPr>
        <w:t>. Section 2 and Section 3(b) of the Agreement shall be amended to replace references to “December 31, 2025”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references to “December 31, 2028,” and Section 3(b) shall be further amended by replacing the reference to “calendar year 2025” with “calendar year 2028.”</w:t>
      </w:r>
    </w:p>
    <w:p>
      <w:pPr>
        <w:spacing w:after="0" w:line="175" w:lineRule="exact"/>
        <w:rPr>
          <w:sz w:val="20"/>
          <w:szCs w:val="20"/>
          <w:color w:val="auto"/>
        </w:rPr>
      </w:pPr>
    </w:p>
    <w:p>
      <w:pPr>
        <w:ind w:left="420" w:hanging="402"/>
        <w:spacing w:after="0"/>
        <w:tabs>
          <w:tab w:leader="none" w:pos="42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Annual Long-Term Incentive Compensation</w:t>
      </w:r>
      <w:r>
        <w:rPr>
          <w:rFonts w:ascii="Times New Roman" w:cs="Times New Roman" w:eastAsia="Times New Roman" w:hAnsi="Times New Roman"/>
          <w:sz w:val="20"/>
          <w:szCs w:val="20"/>
          <w:color w:val="auto"/>
        </w:rPr>
        <w:t>:</w:t>
      </w:r>
    </w:p>
    <w:p>
      <w:pPr>
        <w:spacing w:after="0" w:line="243" w:lineRule="exact"/>
        <w:rPr>
          <w:rFonts w:ascii="Times New Roman" w:cs="Times New Roman" w:eastAsia="Times New Roman" w:hAnsi="Times New Roman"/>
          <w:sz w:val="20"/>
          <w:szCs w:val="20"/>
          <w:color w:val="auto"/>
        </w:rPr>
      </w:pP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Section 3(1) of the Agreement shall be deleted in its entirety and replaced with the following:</w:t>
      </w:r>
    </w:p>
    <w:p>
      <w:pPr>
        <w:spacing w:after="0" w:line="239" w:lineRule="exact"/>
        <w:rPr>
          <w:rFonts w:ascii="Times New Roman" w:cs="Times New Roman" w:eastAsia="Times New Roman" w:hAnsi="Times New Roman"/>
          <w:sz w:val="20"/>
          <w:szCs w:val="20"/>
          <w:color w:val="auto"/>
        </w:rPr>
      </w:pPr>
    </w:p>
    <w:p>
      <w:pPr>
        <w:ind w:left="600" w:right="520" w:firstLine="8"/>
        <w:spacing w:after="0" w:line="280" w:lineRule="auto"/>
        <w:tabs>
          <w:tab w:leader="none" w:pos="835" w:val="left"/>
        </w:tabs>
        <w:numPr>
          <w:ilvl w:val="2"/>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soon as practicable after each of January l, 2026, January l, 2027 and January l, 2028, Executive shall be granted a total of $7,000,000 (seven million) worth of stock-based awards, as follows:</w:t>
      </w:r>
    </w:p>
    <w:p>
      <w:pPr>
        <w:spacing w:after="0" w:line="183" w:lineRule="exact"/>
        <w:rPr>
          <w:sz w:val="20"/>
          <w:szCs w:val="20"/>
          <w:color w:val="auto"/>
        </w:rPr>
      </w:pPr>
    </w:p>
    <w:p>
      <w:pPr>
        <w:ind w:left="600" w:right="20" w:firstLine="8"/>
        <w:spacing w:after="0" w:line="259" w:lineRule="auto"/>
        <w:tabs>
          <w:tab w:leader="none" w:pos="1255"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Time-Based RSUs</w:t>
      </w:r>
      <w:r>
        <w:rPr>
          <w:rFonts w:ascii="Times New Roman" w:cs="Times New Roman" w:eastAsia="Times New Roman" w:hAnsi="Times New Roman"/>
          <w:sz w:val="20"/>
          <w:szCs w:val="20"/>
          <w:color w:val="auto"/>
        </w:rPr>
        <w:t>: The Executive shall be granted RSUs having a grant date value of $3,500,000 (the "</w:t>
      </w:r>
      <w:r>
        <w:rPr>
          <w:rFonts w:ascii="Times New Roman" w:cs="Times New Roman" w:eastAsia="Times New Roman" w:hAnsi="Times New Roman"/>
          <w:sz w:val="20"/>
          <w:szCs w:val="20"/>
          <w:b w:val="1"/>
          <w:bCs w:val="1"/>
          <w:i w:val="1"/>
          <w:iCs w:val="1"/>
          <w:color w:val="auto"/>
        </w:rPr>
        <w:t>Time-Based RSUs</w:t>
      </w:r>
      <w:r>
        <w:rPr>
          <w:rFonts w:ascii="Times New Roman" w:cs="Times New Roman" w:eastAsia="Times New Roman" w:hAnsi="Times New Roman"/>
          <w:sz w:val="20"/>
          <w:szCs w:val="20"/>
          <w:color w:val="auto"/>
        </w:rPr>
        <w:t>"). The number of Time-Based RSUs granted shall be determined by dividing (i) $3,500,000 by (ii) the volume-weighted average price of the Company's common stock on the New York Stock Exchange for the 60 calendar days prior to the grant. The Time-Based RSUs shall vest in three (3) equal installments on each of the first, second and third anniversaries of the grant date, subject to Executive's employment with the Company on each such date, except as otherwise provided in this Agreement. The Time-Based RSUs shall be granted on the terms and conditions set forth in the LTIP, the grant agreement to be entered into between the Company and the Executive, and otherwise in accordance with this Section 3(l)(i).</w:t>
      </w:r>
    </w:p>
    <w:p>
      <w:pPr>
        <w:spacing w:after="0" w:line="193" w:lineRule="exact"/>
        <w:rPr>
          <w:rFonts w:ascii="Times New Roman" w:cs="Times New Roman" w:eastAsia="Times New Roman" w:hAnsi="Times New Roman"/>
          <w:sz w:val="20"/>
          <w:szCs w:val="20"/>
          <w:color w:val="auto"/>
        </w:rPr>
      </w:pPr>
    </w:p>
    <w:p>
      <w:pPr>
        <w:ind w:left="600" w:right="260" w:firstLine="8"/>
        <w:spacing w:after="0" w:line="263" w:lineRule="auto"/>
        <w:tabs>
          <w:tab w:leader="none" w:pos="1255"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The Executive shall be granted RSUs that vest based upon the achievement of performance criteria (the "</w:t>
      </w:r>
      <w:r>
        <w:rPr>
          <w:rFonts w:ascii="Times New Roman" w:cs="Times New Roman" w:eastAsia="Times New Roman" w:hAnsi="Times New Roman"/>
          <w:sz w:val="20"/>
          <w:szCs w:val="20"/>
          <w:b w:val="1"/>
          <w:bCs w:val="1"/>
          <w:i w:val="1"/>
          <w:iCs w:val="1"/>
          <w:color w:val="auto"/>
        </w:rPr>
        <w:t>PSUs</w:t>
      </w:r>
      <w:r>
        <w:rPr>
          <w:rFonts w:ascii="Times New Roman" w:cs="Times New Roman" w:eastAsia="Times New Roman" w:hAnsi="Times New Roman"/>
          <w:sz w:val="20"/>
          <w:szCs w:val="20"/>
          <w:color w:val="auto"/>
        </w:rPr>
        <w:t>") having a grant date value of $3,500,000. 60% of the PSUs, or $2,100,000 in value, shall be subject to the "</w:t>
      </w:r>
      <w:r>
        <w:rPr>
          <w:rFonts w:ascii="Times New Roman" w:cs="Times New Roman" w:eastAsia="Times New Roman" w:hAnsi="Times New Roman"/>
          <w:sz w:val="20"/>
          <w:szCs w:val="20"/>
          <w:b w:val="1"/>
          <w:bCs w:val="1"/>
          <w:i w:val="1"/>
          <w:iCs w:val="1"/>
          <w:color w:val="auto"/>
        </w:rPr>
        <w:t>EBITDA Performance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Condition</w:t>
      </w:r>
      <w:r>
        <w:rPr>
          <w:rFonts w:ascii="Times New Roman" w:cs="Times New Roman" w:eastAsia="Times New Roman" w:hAnsi="Times New Roman"/>
          <w:sz w:val="20"/>
          <w:szCs w:val="20"/>
          <w:color w:val="auto"/>
        </w:rPr>
        <w:t>" and 40% of the PSUs, or $1,400,000 in grant date value, shall be subject to the "</w:t>
      </w:r>
      <w:r>
        <w:rPr>
          <w:rFonts w:ascii="Times New Roman" w:cs="Times New Roman" w:eastAsia="Times New Roman" w:hAnsi="Times New Roman"/>
          <w:sz w:val="20"/>
          <w:szCs w:val="20"/>
          <w:b w:val="1"/>
          <w:bCs w:val="1"/>
          <w:i w:val="1"/>
          <w:iCs w:val="1"/>
          <w:color w:val="auto"/>
        </w:rPr>
        <w:t>Relative TSR Performance Condition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(both as defined in </w:t>
      </w:r>
      <w:r>
        <w:rPr>
          <w:rFonts w:ascii="Times New Roman" w:cs="Times New Roman" w:eastAsia="Times New Roman" w:hAnsi="Times New Roman"/>
          <w:sz w:val="20"/>
          <w:szCs w:val="20"/>
          <w:u w:val="single" w:color="auto"/>
          <w:color w:val="auto"/>
        </w:rPr>
        <w:t>Schedule B</w:t>
      </w:r>
      <w:r>
        <w:rPr>
          <w:rFonts w:ascii="Times New Roman" w:cs="Times New Roman" w:eastAsia="Times New Roman" w:hAnsi="Times New Roman"/>
          <w:sz w:val="20"/>
          <w:szCs w:val="20"/>
          <w:color w:val="auto"/>
        </w:rPr>
        <w:t xml:space="preserve">). The performance shall be measured as set forth on </w:t>
      </w:r>
      <w:r>
        <w:rPr>
          <w:rFonts w:ascii="Times New Roman" w:cs="Times New Roman" w:eastAsia="Times New Roman" w:hAnsi="Times New Roman"/>
          <w:sz w:val="20"/>
          <w:szCs w:val="20"/>
          <w:u w:val="single" w:color="auto"/>
          <w:color w:val="auto"/>
        </w:rPr>
        <w:t>Schedule B</w:t>
      </w:r>
      <w:r>
        <w:rPr>
          <w:rFonts w:ascii="Times New Roman" w:cs="Times New Roman" w:eastAsia="Times New Roman" w:hAnsi="Times New Roman"/>
          <w:sz w:val="20"/>
          <w:szCs w:val="20"/>
          <w:color w:val="auto"/>
        </w:rPr>
        <w:t xml:space="preserve"> on a sliding scale basis using linear interpolation and</w:t>
      </w:r>
    </w:p>
    <w:p>
      <w:pPr>
        <w:sectPr>
          <w:pgSz w:w="11900" w:h="16838" w:orient="portrait"/>
          <w:cols w:equalWidth="0" w:num="1">
            <w:col w:w="11220"/>
          </w:cols>
          <w:pgMar w:left="340" w:top="130" w:right="339" w:bottom="1440" w:gutter="0" w:footer="0" w:header="0"/>
        </w:sectPr>
      </w:pPr>
    </w:p>
    <w:bookmarkStart w:id="242" w:name="page243"/>
    <w:bookmarkEnd w:id="242"/>
    <w:p>
      <w:pPr>
        <w:spacing w:after="0" w:line="200" w:lineRule="exact"/>
        <w:rPr>
          <w:sz w:val="20"/>
          <w:szCs w:val="20"/>
          <w:color w:val="auto"/>
        </w:rPr>
      </w:pPr>
    </w:p>
    <w:p>
      <w:pPr>
        <w:spacing w:after="0" w:line="300" w:lineRule="exact"/>
        <w:rPr>
          <w:sz w:val="20"/>
          <w:szCs w:val="20"/>
          <w:color w:val="auto"/>
        </w:rPr>
      </w:pPr>
    </w:p>
    <w:p>
      <w:pPr>
        <w:ind w:left="561"/>
        <w:spacing w:after="0" w:line="258" w:lineRule="auto"/>
        <w:rPr>
          <w:sz w:val="20"/>
          <w:szCs w:val="20"/>
          <w:color w:val="auto"/>
        </w:rPr>
      </w:pPr>
      <w:r>
        <w:rPr>
          <w:rFonts w:ascii="Times New Roman" w:cs="Times New Roman" w:eastAsia="Times New Roman" w:hAnsi="Times New Roman"/>
          <w:sz w:val="20"/>
          <w:szCs w:val="20"/>
          <w:color w:val="auto"/>
        </w:rPr>
        <w:t>based upon a three-year performance period extending from January 1 of the year of grant to December 31 of the second year following the year of grant, except as otherwise provided in this Agreement, the LTIP or the grant agreement to be entered into. The number of EBITDA Performance Condition PSUs granted shall be determined by dividing (i) $2,100,000 by (ii) the volume-weighted average price of the Company's common stock on the New York Stock Exchange for the 60 calendar days prior to the grant. For determining the number of Relative TSR Performance Condition PSUs to be granted pursuant to this section, the Company shall value the PSUs in manner consistent with the Company's financial statement reporting and, specifically, pursuant to a "Monte Carlo" simulation.</w:t>
      </w:r>
    </w:p>
    <w:p>
      <w:pPr>
        <w:spacing w:after="0" w:line="200"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20"/>
          <w:szCs w:val="20"/>
          <w:color w:val="auto"/>
        </w:rPr>
        <w:t xml:space="preserve">B. </w:t>
      </w:r>
      <w:r>
        <w:rPr>
          <w:rFonts w:ascii="Times New Roman" w:cs="Times New Roman" w:eastAsia="Times New Roman" w:hAnsi="Times New Roman"/>
          <w:sz w:val="20"/>
          <w:szCs w:val="20"/>
          <w:u w:val="single" w:color="auto"/>
          <w:color w:val="auto"/>
        </w:rPr>
        <w:t>Schedule B</w:t>
      </w:r>
      <w:r>
        <w:rPr>
          <w:rFonts w:ascii="Times New Roman" w:cs="Times New Roman" w:eastAsia="Times New Roman" w:hAnsi="Times New Roman"/>
          <w:sz w:val="20"/>
          <w:szCs w:val="20"/>
          <w:color w:val="auto"/>
        </w:rPr>
        <w:t xml:space="preserve"> of the Agreement shall be deleted in its entirety and replaced with </w:t>
      </w:r>
      <w:r>
        <w:rPr>
          <w:rFonts w:ascii="Times New Roman" w:cs="Times New Roman" w:eastAsia="Times New Roman" w:hAnsi="Times New Roman"/>
          <w:sz w:val="20"/>
          <w:szCs w:val="20"/>
          <w:u w:val="single" w:color="auto"/>
          <w:color w:val="auto"/>
        </w:rPr>
        <w:t>Schedule B</w:t>
      </w:r>
      <w:r>
        <w:rPr>
          <w:rFonts w:ascii="Times New Roman" w:cs="Times New Roman" w:eastAsia="Times New Roman" w:hAnsi="Times New Roman"/>
          <w:sz w:val="20"/>
          <w:szCs w:val="20"/>
          <w:color w:val="auto"/>
        </w:rPr>
        <w:t xml:space="preserve"> herein.</w:t>
      </w:r>
    </w:p>
    <w:p>
      <w:pPr>
        <w:spacing w:after="0" w:line="249" w:lineRule="exact"/>
        <w:rPr>
          <w:sz w:val="20"/>
          <w:szCs w:val="20"/>
          <w:color w:val="auto"/>
        </w:rPr>
      </w:pPr>
    </w:p>
    <w:p>
      <w:pPr>
        <w:ind w:left="321" w:right="180" w:hanging="321"/>
        <w:spacing w:after="0" w:line="298" w:lineRule="auto"/>
        <w:tabs>
          <w:tab w:leader="none" w:pos="321"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Treatment of Equity Awards Upon Termination Without Cause; Resignation for Good Reason. </w:t>
      </w:r>
      <w:r>
        <w:rPr>
          <w:rFonts w:ascii="Times New Roman" w:cs="Times New Roman" w:eastAsia="Times New Roman" w:hAnsi="Times New Roman"/>
          <w:sz w:val="20"/>
          <w:szCs w:val="20"/>
          <w:color w:val="auto"/>
        </w:rPr>
        <w:t>Section 4(c)(iii) of the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deleted in its entirety and replaced with the following:</w:t>
      </w:r>
    </w:p>
    <w:p>
      <w:pPr>
        <w:spacing w:after="0" w:line="170" w:lineRule="exact"/>
        <w:rPr>
          <w:rFonts w:ascii="Times New Roman" w:cs="Times New Roman" w:eastAsia="Times New Roman" w:hAnsi="Times New Roman"/>
          <w:sz w:val="20"/>
          <w:szCs w:val="20"/>
          <w:color w:val="auto"/>
        </w:rPr>
      </w:pPr>
    </w:p>
    <w:p>
      <w:pPr>
        <w:ind w:left="561" w:right="20" w:firstLine="9"/>
        <w:spacing w:after="0" w:line="260" w:lineRule="auto"/>
        <w:tabs>
          <w:tab w:leader="none" w:pos="1217" w:val="left"/>
        </w:tabs>
        <w:numPr>
          <w:ilvl w:val="2"/>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then outstanding Unvested Equity Awards will, pursuant to the Service Factor provision in the LTIP and the grant agreements entered into between the Company and the Executive pursuant to the LTIP, continue to vest in accordance with their original vesting schedules (in the case of PSUs, subject to the achievement of their original performance conditions, measured at the conclusion of the relevant performance period). All outstanding stock options granted to the Executive prior to Executive’s Separation from Service shall remain exercisable for the duration of their original terms, and upon the expiration of their original terms they shall be cancelled. Upon cancellation, the Executive shall have no further rights with respect to such stock options.</w:t>
      </w:r>
    </w:p>
    <w:p>
      <w:pPr>
        <w:spacing w:after="0" w:line="203" w:lineRule="exact"/>
        <w:rPr>
          <w:rFonts w:ascii="Times New Roman" w:cs="Times New Roman" w:eastAsia="Times New Roman" w:hAnsi="Times New Roman"/>
          <w:sz w:val="20"/>
          <w:szCs w:val="20"/>
          <w:color w:val="auto"/>
        </w:rPr>
      </w:pPr>
    </w:p>
    <w:p>
      <w:pPr>
        <w:ind w:left="321" w:right="20" w:hanging="321"/>
        <w:spacing w:after="0" w:line="284" w:lineRule="auto"/>
        <w:tabs>
          <w:tab w:leader="none" w:pos="321"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Severance Upon Termination Without Cause; Resignation for Good Reason</w:t>
      </w:r>
      <w:r>
        <w:rPr>
          <w:rFonts w:ascii="Times New Roman" w:cs="Times New Roman" w:eastAsia="Times New Roman" w:hAnsi="Times New Roman"/>
          <w:sz w:val="20"/>
          <w:szCs w:val="20"/>
          <w:color w:val="auto"/>
        </w:rPr>
        <w:t>. Section 4(c)(iv) of the Agreement shall be deleted in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entirety and replaced with the following:</w:t>
      </w:r>
    </w:p>
    <w:p>
      <w:pPr>
        <w:spacing w:after="0" w:line="183" w:lineRule="exact"/>
        <w:rPr>
          <w:rFonts w:ascii="Times New Roman" w:cs="Times New Roman" w:eastAsia="Times New Roman" w:hAnsi="Times New Roman"/>
          <w:sz w:val="20"/>
          <w:szCs w:val="20"/>
          <w:color w:val="auto"/>
        </w:rPr>
      </w:pPr>
    </w:p>
    <w:p>
      <w:pPr>
        <w:ind w:left="921" w:right="20" w:hanging="651"/>
        <w:spacing w:after="0" w:line="251" w:lineRule="auto"/>
        <w:tabs>
          <w:tab w:leader="none" w:pos="910" w:val="left"/>
        </w:tabs>
        <w:numPr>
          <w:ilvl w:val="1"/>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the Executive an amount equal to 200% of Base Salary for each remaining year or partial year of the Term, if any, but not to exceed two years (the "</w:t>
      </w:r>
      <w:r>
        <w:rPr>
          <w:rFonts w:ascii="Times New Roman" w:cs="Times New Roman" w:eastAsia="Times New Roman" w:hAnsi="Times New Roman"/>
          <w:sz w:val="20"/>
          <w:szCs w:val="20"/>
          <w:u w:val="single" w:color="auto"/>
          <w:color w:val="auto"/>
        </w:rPr>
        <w:t>Severance Amount</w:t>
      </w:r>
      <w:r>
        <w:rPr>
          <w:rFonts w:ascii="Times New Roman" w:cs="Times New Roman" w:eastAsia="Times New Roman" w:hAnsi="Times New Roman"/>
          <w:sz w:val="20"/>
          <w:szCs w:val="20"/>
          <w:color w:val="auto"/>
        </w:rPr>
        <w:t>") for the period (the "</w:t>
      </w:r>
      <w:r>
        <w:rPr>
          <w:rFonts w:ascii="Times New Roman" w:cs="Times New Roman" w:eastAsia="Times New Roman" w:hAnsi="Times New Roman"/>
          <w:sz w:val="20"/>
          <w:szCs w:val="20"/>
          <w:u w:val="single" w:color="auto"/>
          <w:color w:val="auto"/>
        </w:rPr>
        <w:t>Severance Period</w:t>
      </w:r>
      <w:r>
        <w:rPr>
          <w:rFonts w:ascii="Times New Roman" w:cs="Times New Roman" w:eastAsia="Times New Roman" w:hAnsi="Times New Roman"/>
          <w:sz w:val="20"/>
          <w:szCs w:val="20"/>
          <w:color w:val="auto"/>
        </w:rPr>
        <w:t>") beginning on the day following the Executive’s Separation from Service and continuing until the later of (x) December 31, 2028 and (y) the first anniversary of the Executive’s Separation from Service, payable on the following schedule: (l ) 50% of the Severance Amount shall be paid in equal installments over the Severance Period, in accordance with the Company's ordinary payroll practices in effect from time to time, and (2) the remaining 50% of the Severance Amount will be payable as follows: (A) if the Executive's Separation from Service occurs in the 2026 calendar year, one-sixth (1/6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of the Severance Amount will be payable on each of March l, 2027, March 1, 2028 and March l, 2029; (B) if the Executive's Separation from Service occurs in the 2027 calendar year, one-fourth (1/4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of the Severance Amount will be payable on each of March l, 2028 and March l,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141"/>
          </w:cols>
          <w:pgMar w:left="379" w:top="1440" w:right="379" w:bottom="1440" w:gutter="0" w:footer="0" w:header="0"/>
        </w:sectPr>
      </w:pPr>
    </w:p>
    <w:bookmarkStart w:id="243" w:name="page244"/>
    <w:bookmarkEnd w:id="243"/>
    <w:p>
      <w:pPr>
        <w:spacing w:after="0" w:line="200" w:lineRule="exact"/>
        <w:rPr>
          <w:sz w:val="20"/>
          <w:szCs w:val="20"/>
          <w:color w:val="auto"/>
        </w:rPr>
      </w:pPr>
    </w:p>
    <w:p>
      <w:pPr>
        <w:spacing w:after="0" w:line="300" w:lineRule="exact"/>
        <w:rPr>
          <w:sz w:val="20"/>
          <w:szCs w:val="20"/>
          <w:color w:val="auto"/>
        </w:rPr>
      </w:pPr>
    </w:p>
    <w:p>
      <w:pPr>
        <w:ind w:left="921" w:right="20"/>
        <w:spacing w:after="0" w:line="280" w:lineRule="auto"/>
        <w:rPr>
          <w:sz w:val="20"/>
          <w:szCs w:val="20"/>
          <w:color w:val="auto"/>
        </w:rPr>
      </w:pPr>
      <w:r>
        <w:rPr>
          <w:rFonts w:ascii="Times New Roman" w:cs="Times New Roman" w:eastAsia="Times New Roman" w:hAnsi="Times New Roman"/>
          <w:sz w:val="20"/>
          <w:szCs w:val="20"/>
          <w:color w:val="auto"/>
        </w:rPr>
        <w:t>or (C) if the Executive's Separation from Service occurs in the 2028 calendar year, one-half (1/2) of the Severance Amount will be payable on March l, 2029.</w:t>
      </w:r>
    </w:p>
    <w:p>
      <w:pPr>
        <w:spacing w:after="0" w:line="183" w:lineRule="exact"/>
        <w:rPr>
          <w:sz w:val="20"/>
          <w:szCs w:val="20"/>
          <w:color w:val="auto"/>
        </w:rPr>
      </w:pPr>
    </w:p>
    <w:p>
      <w:pPr>
        <w:ind w:left="321" w:right="800" w:hanging="321"/>
        <w:spacing w:after="0" w:line="298" w:lineRule="auto"/>
        <w:tabs>
          <w:tab w:leader="none" w:pos="321"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Resignation without Good Reason</w:t>
      </w:r>
      <w:r>
        <w:rPr>
          <w:rFonts w:ascii="Times New Roman" w:cs="Times New Roman" w:eastAsia="Times New Roman" w:hAnsi="Times New Roman"/>
          <w:sz w:val="20"/>
          <w:szCs w:val="20"/>
          <w:color w:val="auto"/>
        </w:rPr>
        <w:t>. Section 4(d)(ii)(A) of the Agreement is hereby deleted in its entirety and replaced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w:t>
      </w:r>
    </w:p>
    <w:p>
      <w:pPr>
        <w:spacing w:after="0" w:line="183" w:lineRule="exact"/>
        <w:rPr>
          <w:rFonts w:ascii="Times New Roman" w:cs="Times New Roman" w:eastAsia="Times New Roman" w:hAnsi="Times New Roman"/>
          <w:sz w:val="20"/>
          <w:szCs w:val="20"/>
          <w:color w:val="auto"/>
        </w:rPr>
      </w:pPr>
    </w:p>
    <w:p>
      <w:pPr>
        <w:ind w:left="561"/>
        <w:spacing w:after="0" w:line="258" w:lineRule="auto"/>
        <w:tabs>
          <w:tab w:leader="none" w:pos="1047" w:val="left"/>
        </w:tabs>
        <w:numPr>
          <w:ilvl w:val="2"/>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in the case of a Separation from Service resulting from the Executive’s resignation other than for Good Reason, all then outstanding Unvested Equity Awards will, pursuant to the Service Factor provision in the LTIP and the grant agreements entered into between the Company and the Executive pursuant to the LTIP, continue to vest in accordance with their original vesting schedules (in the case of PSUs, subject to the achievement of their original performance conditions, measured at the conclusion of the relevant performance period); provided, however, that pursuant to the LTIP it is a requirement in the case of a resignation without Good Reason that Executive provide the Company with a written notice of intent to resign at least six months prior to Executive’s final day of employment with the Company, and</w:t>
      </w:r>
    </w:p>
    <w:p>
      <w:pPr>
        <w:spacing w:after="0" w:line="200" w:lineRule="exact"/>
        <w:rPr>
          <w:rFonts w:ascii="Times New Roman" w:cs="Times New Roman" w:eastAsia="Times New Roman" w:hAnsi="Times New Roman"/>
          <w:sz w:val="20"/>
          <w:szCs w:val="20"/>
          <w:color w:val="auto"/>
        </w:rPr>
      </w:pPr>
    </w:p>
    <w:p>
      <w:pPr>
        <w:spacing w:after="0" w:line="263" w:lineRule="exact"/>
        <w:rPr>
          <w:rFonts w:ascii="Times New Roman" w:cs="Times New Roman" w:eastAsia="Times New Roman" w:hAnsi="Times New Roman"/>
          <w:sz w:val="20"/>
          <w:szCs w:val="20"/>
          <w:color w:val="auto"/>
        </w:rPr>
      </w:pPr>
    </w:p>
    <w:p>
      <w:pPr>
        <w:ind w:left="321" w:right="440" w:hanging="321"/>
        <w:spacing w:after="0" w:line="284" w:lineRule="auto"/>
        <w:tabs>
          <w:tab w:leader="none" w:pos="321"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Non-Renewal of Agreement; Retirement</w:t>
      </w:r>
      <w:r>
        <w:rPr>
          <w:rFonts w:ascii="Times New Roman" w:cs="Times New Roman" w:eastAsia="Times New Roman" w:hAnsi="Times New Roman"/>
          <w:sz w:val="20"/>
          <w:szCs w:val="20"/>
          <w:color w:val="auto"/>
        </w:rPr>
        <w:t>. The first paragraph of Section 4(e) of the Agreement is hereby deleted in its entirety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replaced with the following:</w:t>
      </w:r>
    </w:p>
    <w:p>
      <w:pPr>
        <w:spacing w:after="0" w:line="179" w:lineRule="exact"/>
        <w:rPr>
          <w:rFonts w:ascii="Times New Roman" w:cs="Times New Roman" w:eastAsia="Times New Roman" w:hAnsi="Times New Roman"/>
          <w:sz w:val="20"/>
          <w:szCs w:val="20"/>
          <w:color w:val="auto"/>
        </w:rPr>
      </w:pPr>
    </w:p>
    <w:p>
      <w:pPr>
        <w:ind w:left="321" w:right="20" w:firstLine="1"/>
        <w:spacing w:after="0" w:line="259" w:lineRule="auto"/>
        <w:tabs>
          <w:tab w:leader="none" w:pos="588"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Non-Renewal of Agreement; Retirement</w:t>
      </w:r>
      <w:r>
        <w:rPr>
          <w:rFonts w:ascii="Times New Roman" w:cs="Times New Roman" w:eastAsia="Times New Roman" w:hAnsi="Times New Roman"/>
          <w:sz w:val="20"/>
          <w:szCs w:val="20"/>
          <w:color w:val="auto"/>
        </w:rPr>
        <w:t>. If, upon the expiration of the Term, the Company does not offer to continue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Executive’s employment on substantially similar terms to those set forth herein, or if the Executive elects to retire from employment with the Company following expiration of the Term, all Unvested Equity Awards will, pursuant to the Service Factor provision in the LTIP and the grant agreements entered into between the Company and the Executive pursuant to the LTIP, continue to vest in accordance with their original vesting schedules (in the case of PSUs, subject to the achievement of their original performance conditions, measured at the conclusion of the relevant performance period, and in the case of Options, they will be exercisable until the shorter of (x) their original term and (y) two years from Executive’s Separation from Service).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181"/>
          </w:cols>
          <w:pgMar w:left="379" w:top="1440" w:right="339" w:bottom="1440" w:gutter="0" w:footer="0" w:header="0"/>
        </w:sectPr>
      </w:pPr>
    </w:p>
    <w:bookmarkStart w:id="244" w:name="page245"/>
    <w:bookmarkEnd w:id="2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21" w:hanging="321"/>
        <w:spacing w:after="0" w:line="280" w:lineRule="auto"/>
        <w:tabs>
          <w:tab w:leader="none" w:pos="321"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entering into this Third Amendment shall not prejudice any rights or waive any obligations under the Agreement or any other agreement between the Executive and the Company.</w:t>
      </w:r>
    </w:p>
    <w:p>
      <w:pPr>
        <w:spacing w:after="0" w:line="200" w:lineRule="exact"/>
        <w:rPr>
          <w:sz w:val="20"/>
          <w:szCs w:val="20"/>
          <w:color w:val="auto"/>
        </w:rPr>
      </w:pPr>
    </w:p>
    <w:p>
      <w:pPr>
        <w:spacing w:after="0" w:line="215"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20"/>
          <w:szCs w:val="20"/>
          <w:color w:val="auto"/>
        </w:rPr>
        <w:t>DATED as of July 17, 2025</w:t>
      </w:r>
    </w:p>
    <w:p>
      <w:pPr>
        <w:spacing w:after="0" w:line="200" w:lineRule="exact"/>
        <w:rPr>
          <w:sz w:val="20"/>
          <w:szCs w:val="20"/>
          <w:color w:val="auto"/>
        </w:rPr>
      </w:pPr>
    </w:p>
    <w:p>
      <w:pPr>
        <w:spacing w:after="0" w:line="30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3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0"/>
          <w:szCs w:val="20"/>
          <w:color w:val="auto"/>
        </w:rPr>
        <w:t>/s/ Rich Gelfond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30480</wp:posOffset>
            </wp:positionV>
            <wp:extent cx="15919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591945" cy="8255"/>
                    </a:xfrm>
                    <a:prstGeom prst="rect">
                      <a:avLst/>
                    </a:prstGeom>
                    <a:noFill/>
                  </pic:spPr>
                </pic:pic>
              </a:graphicData>
            </a:graphic>
          </wp:anchor>
        </w:drawing>
      </w:r>
    </w:p>
    <w:p>
      <w:pPr>
        <w:spacing w:after="0" w:line="353" w:lineRule="exact"/>
        <w:rPr>
          <w:sz w:val="20"/>
          <w:szCs w:val="20"/>
          <w:color w:val="auto"/>
        </w:rPr>
      </w:pPr>
    </w:p>
    <w:p>
      <w:pPr>
        <w:ind w:left="4781"/>
        <w:spacing w:after="0"/>
        <w:rPr>
          <w:sz w:val="20"/>
          <w:szCs w:val="20"/>
          <w:color w:val="auto"/>
        </w:rPr>
      </w:pPr>
      <w:r>
        <w:rPr>
          <w:rFonts w:ascii="Times New Roman" w:cs="Times New Roman" w:eastAsia="Times New Roman" w:hAnsi="Times New Roman"/>
          <w:sz w:val="20"/>
          <w:szCs w:val="20"/>
          <w:color w:val="auto"/>
        </w:rPr>
        <w:t>Richard L. Gelfond</w:t>
      </w:r>
    </w:p>
    <w:p>
      <w:pPr>
        <w:spacing w:after="0" w:line="200" w:lineRule="exact"/>
        <w:rPr>
          <w:sz w:val="20"/>
          <w:szCs w:val="20"/>
          <w:color w:val="auto"/>
        </w:rPr>
      </w:pPr>
    </w:p>
    <w:p>
      <w:pPr>
        <w:spacing w:after="0" w:line="290" w:lineRule="exact"/>
        <w:rPr>
          <w:sz w:val="20"/>
          <w:szCs w:val="20"/>
          <w:color w:val="auto"/>
        </w:rPr>
      </w:pPr>
    </w:p>
    <w:p>
      <w:pPr>
        <w:ind w:left="4781"/>
        <w:spacing w:after="0"/>
        <w:rPr>
          <w:sz w:val="20"/>
          <w:szCs w:val="20"/>
          <w:color w:val="auto"/>
        </w:rPr>
      </w:pPr>
      <w:r>
        <w:rPr>
          <w:rFonts w:ascii="Times New Roman" w:cs="Times New Roman" w:eastAsia="Times New Roman" w:hAnsi="Times New Roman"/>
          <w:sz w:val="20"/>
          <w:szCs w:val="20"/>
          <w:b w:val="1"/>
          <w:bCs w:val="1"/>
          <w:color w:val="auto"/>
        </w:rPr>
        <w:t>IMAX CORPORATION</w:t>
      </w:r>
    </w:p>
    <w:p>
      <w:pPr>
        <w:spacing w:after="0" w:line="310" w:lineRule="exact"/>
        <w:rPr>
          <w:sz w:val="20"/>
          <w:szCs w:val="20"/>
          <w:color w:val="auto"/>
        </w:rPr>
      </w:pPr>
    </w:p>
    <w:p>
      <w:pPr>
        <w:jc w:val="center"/>
        <w:ind w:right="-180"/>
        <w:spacing w:after="0"/>
        <w:tabs>
          <w:tab w:leader="none" w:pos="1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Darren Throop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30480</wp:posOffset>
            </wp:positionV>
            <wp:extent cx="16344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634490" cy="8255"/>
                    </a:xfrm>
                    <a:prstGeom prst="rect">
                      <a:avLst/>
                    </a:prstGeom>
                    <a:noFill/>
                  </pic:spPr>
                </pic:pic>
              </a:graphicData>
            </a:graphic>
          </wp:anchor>
        </w:drawing>
      </w:r>
    </w:p>
    <w:p>
      <w:pPr>
        <w:spacing w:after="0" w:line="353" w:lineRule="exact"/>
        <w:rPr>
          <w:sz w:val="20"/>
          <w:szCs w:val="20"/>
          <w:color w:val="auto"/>
        </w:rPr>
      </w:pPr>
    </w:p>
    <w:p>
      <w:pPr>
        <w:ind w:left="4781"/>
        <w:spacing w:after="0"/>
        <w:rPr>
          <w:sz w:val="20"/>
          <w:szCs w:val="20"/>
          <w:color w:val="auto"/>
        </w:rPr>
      </w:pPr>
      <w:r>
        <w:rPr>
          <w:rFonts w:ascii="Times New Roman" w:cs="Times New Roman" w:eastAsia="Times New Roman" w:hAnsi="Times New Roman"/>
          <w:sz w:val="20"/>
          <w:szCs w:val="20"/>
          <w:color w:val="auto"/>
        </w:rPr>
        <w:t>Darren Throop</w:t>
      </w:r>
    </w:p>
    <w:p>
      <w:pPr>
        <w:spacing w:after="0" w:line="27" w:lineRule="exact"/>
        <w:rPr>
          <w:sz w:val="20"/>
          <w:szCs w:val="20"/>
          <w:color w:val="auto"/>
        </w:rPr>
      </w:pPr>
    </w:p>
    <w:p>
      <w:pPr>
        <w:ind w:left="4781"/>
        <w:spacing w:after="0"/>
        <w:rPr>
          <w:sz w:val="20"/>
          <w:szCs w:val="20"/>
          <w:color w:val="auto"/>
        </w:rPr>
      </w:pPr>
      <w:r>
        <w:rPr>
          <w:rFonts w:ascii="Times New Roman" w:cs="Times New Roman" w:eastAsia="Times New Roman" w:hAnsi="Times New Roman"/>
          <w:sz w:val="20"/>
          <w:szCs w:val="20"/>
          <w:color w:val="auto"/>
        </w:rPr>
        <w:t>Chair,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21"/>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541"/>
          </w:cols>
          <w:pgMar w:left="379" w:top="1440" w:right="979" w:bottom="1440" w:gutter="0" w:footer="0" w:header="0"/>
        </w:sectPr>
      </w:pPr>
    </w:p>
    <w:bookmarkStart w:id="245" w:name="page246"/>
    <w:bookmarkEnd w:id="245"/>
    <w:p>
      <w:pPr>
        <w:spacing w:after="0" w:line="200" w:lineRule="exact"/>
        <w:rPr>
          <w:sz w:val="20"/>
          <w:szCs w:val="20"/>
          <w:color w:val="auto"/>
        </w:rPr>
      </w:pPr>
    </w:p>
    <w:p>
      <w:pPr>
        <w:spacing w:after="0" w:line="297" w:lineRule="exact"/>
        <w:rPr>
          <w:sz w:val="20"/>
          <w:szCs w:val="20"/>
          <w:color w:val="auto"/>
        </w:rPr>
      </w:pPr>
    </w:p>
    <w:p>
      <w:pPr>
        <w:jc w:val="right"/>
        <w:ind w:right="4039"/>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Intentionally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519"/>
          </w:cols>
          <w:pgMar w:left="940" w:top="1440" w:right="1440" w:bottom="1440" w:gutter="0" w:footer="0" w:header="0"/>
        </w:sectPr>
      </w:pPr>
    </w:p>
    <w:bookmarkStart w:id="246" w:name="page247"/>
    <w:bookmarkEnd w:id="246"/>
    <w:p>
      <w:pPr>
        <w:spacing w:after="0" w:line="200" w:lineRule="exact"/>
        <w:rPr>
          <w:sz w:val="20"/>
          <w:szCs w:val="20"/>
          <w:color w:val="auto"/>
        </w:rPr>
      </w:pPr>
    </w:p>
    <w:p>
      <w:pPr>
        <w:spacing w:after="0" w:line="29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u w:val="single" w:color="auto"/>
          <w:color w:val="auto"/>
        </w:rPr>
        <w:t>Schedule B</w:t>
      </w:r>
    </w:p>
    <w:p>
      <w:pPr>
        <w:spacing w:after="0" w:line="25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EBITDA and TSR Performance Conditions</w:t>
      </w:r>
    </w:p>
    <w:p>
      <w:pPr>
        <w:spacing w:after="0" w:line="270" w:lineRule="exact"/>
        <w:rPr>
          <w:sz w:val="20"/>
          <w:szCs w:val="20"/>
          <w:color w:val="auto"/>
        </w:rPr>
      </w:pPr>
    </w:p>
    <w:p>
      <w:pPr>
        <w:ind w:left="320" w:hanging="311"/>
        <w:spacing w:after="0"/>
        <w:tabs>
          <w:tab w:leader="none" w:pos="320"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EBITDA (Applies to 60% of PSUs)</w:t>
      </w:r>
    </w:p>
    <w:p>
      <w:pPr>
        <w:spacing w:after="0" w:line="48" w:lineRule="exact"/>
        <w:rPr>
          <w:sz w:val="20"/>
          <w:szCs w:val="20"/>
          <w:color w:val="auto"/>
        </w:rPr>
      </w:pPr>
    </w:p>
    <w:tbl>
      <w:tblPr>
        <w:tblLayout w:type="fixed"/>
        <w:tblInd w:w="300" w:type="dxa"/>
        <w:tblCellMar>
          <w:top w:w="0" w:type="dxa"/>
          <w:left w:w="0" w:type="dxa"/>
          <w:bottom w:w="0" w:type="dxa"/>
          <w:right w:w="0" w:type="dxa"/>
        </w:tblCellMar>
      </w:tblPr>
      <w:tr>
        <w:trPr>
          <w:trHeight w:val="728"/>
        </w:trPr>
        <w:tc>
          <w:tcPr>
            <w:tcW w:w="2700" w:type="dxa"/>
            <w:vAlign w:val="bottom"/>
            <w:shd w:val="clear" w:color="auto" w:fill="162442"/>
          </w:tcPr>
          <w:p>
            <w:pPr>
              <w:jc w:val="center"/>
              <w:ind w:right="67"/>
              <w:spacing w:after="0"/>
              <w:rPr>
                <w:sz w:val="20"/>
                <w:szCs w:val="20"/>
                <w:color w:val="auto"/>
              </w:rPr>
            </w:pPr>
            <w:r>
              <w:rPr>
                <w:rFonts w:ascii="Arial" w:cs="Arial" w:eastAsia="Arial" w:hAnsi="Arial"/>
                <w:sz w:val="14"/>
                <w:szCs w:val="14"/>
                <w:b w:val="1"/>
                <w:bCs w:val="1"/>
                <w:color w:val="FFFFFF"/>
              </w:rPr>
              <w:t>Average Annual EBITDA Growth</w:t>
            </w:r>
          </w:p>
        </w:tc>
        <w:tc>
          <w:tcPr>
            <w:tcW w:w="3440" w:type="dxa"/>
            <w:vAlign w:val="bottom"/>
            <w:shd w:val="clear" w:color="auto" w:fill="162442"/>
          </w:tcPr>
          <w:p>
            <w:pPr>
              <w:jc w:val="center"/>
              <w:ind w:right="69"/>
              <w:spacing w:after="0"/>
              <w:rPr>
                <w:sz w:val="20"/>
                <w:szCs w:val="20"/>
                <w:color w:val="auto"/>
              </w:rPr>
            </w:pPr>
            <w:r>
              <w:rPr>
                <w:rFonts w:ascii="Arial" w:cs="Arial" w:eastAsia="Arial" w:hAnsi="Arial"/>
                <w:sz w:val="14"/>
                <w:szCs w:val="14"/>
                <w:b w:val="1"/>
                <w:bCs w:val="1"/>
                <w:color w:val="FFFFFF"/>
              </w:rPr>
              <w:t># PSUs Earned as % of Target at end of</w:t>
            </w:r>
          </w:p>
        </w:tc>
      </w:tr>
      <w:tr>
        <w:trPr>
          <w:trHeight w:val="204"/>
        </w:trPr>
        <w:tc>
          <w:tcPr>
            <w:tcW w:w="2700" w:type="dxa"/>
            <w:vAlign w:val="bottom"/>
            <w:tcBorders>
              <w:bottom w:val="single" w:sz="8" w:color="162442"/>
            </w:tcBorders>
            <w:shd w:val="clear" w:color="auto" w:fill="162442"/>
          </w:tcPr>
          <w:p>
            <w:pPr>
              <w:jc w:val="center"/>
              <w:ind w:right="67"/>
              <w:spacing w:after="0"/>
              <w:rPr>
                <w:sz w:val="20"/>
                <w:szCs w:val="20"/>
                <w:color w:val="auto"/>
              </w:rPr>
            </w:pPr>
            <w:r>
              <w:rPr>
                <w:rFonts w:ascii="Arial" w:cs="Arial" w:eastAsia="Arial" w:hAnsi="Arial"/>
                <w:sz w:val="14"/>
                <w:szCs w:val="14"/>
                <w:b w:val="1"/>
                <w:bCs w:val="1"/>
                <w:color w:val="FFFFFF"/>
              </w:rPr>
              <w:t>Over Performance Period</w:t>
            </w:r>
          </w:p>
        </w:tc>
        <w:tc>
          <w:tcPr>
            <w:tcW w:w="3440" w:type="dxa"/>
            <w:vAlign w:val="bottom"/>
            <w:tcBorders>
              <w:bottom w:val="single" w:sz="8" w:color="162442"/>
            </w:tcBorders>
            <w:shd w:val="clear" w:color="auto" w:fill="162442"/>
          </w:tcPr>
          <w:p>
            <w:pPr>
              <w:jc w:val="center"/>
              <w:ind w:right="69"/>
              <w:spacing w:after="0"/>
              <w:rPr>
                <w:sz w:val="20"/>
                <w:szCs w:val="20"/>
                <w:color w:val="auto"/>
              </w:rPr>
            </w:pPr>
            <w:r>
              <w:rPr>
                <w:rFonts w:ascii="Arial" w:cs="Arial" w:eastAsia="Arial" w:hAnsi="Arial"/>
                <w:sz w:val="14"/>
                <w:szCs w:val="14"/>
                <w:b w:val="1"/>
                <w:bCs w:val="1"/>
                <w:color w:val="FFFFFF"/>
              </w:rPr>
              <w:t>Performance Cycle</w:t>
            </w:r>
          </w:p>
        </w:tc>
      </w:tr>
      <w:tr>
        <w:trPr>
          <w:trHeight w:val="351"/>
        </w:trPr>
        <w:tc>
          <w:tcPr>
            <w:tcW w:w="2700" w:type="dxa"/>
            <w:vAlign w:val="bottom"/>
            <w:shd w:val="clear" w:color="auto" w:fill="A5AB81"/>
          </w:tcPr>
          <w:p>
            <w:pPr>
              <w:jc w:val="center"/>
              <w:ind w:right="87"/>
              <w:spacing w:after="0"/>
              <w:rPr>
                <w:sz w:val="20"/>
                <w:szCs w:val="20"/>
                <w:color w:val="auto"/>
              </w:rPr>
            </w:pPr>
            <w:r>
              <w:rPr>
                <w:rFonts w:ascii="Arial" w:cs="Arial" w:eastAsia="Arial" w:hAnsi="Arial"/>
                <w:sz w:val="18"/>
                <w:szCs w:val="18"/>
                <w:color w:val="auto"/>
                <w:w w:val="97"/>
              </w:rPr>
              <w:t>&lt;</w:t>
            </w:r>
            <w:r>
              <w:rPr>
                <w:rFonts w:ascii="Arial" w:cs="Arial" w:eastAsia="Arial" w:hAnsi="Arial"/>
                <w:sz w:val="14"/>
                <w:szCs w:val="14"/>
                <w:b w:val="1"/>
                <w:bCs w:val="1"/>
                <w:color w:val="162442"/>
                <w:w w:val="97"/>
              </w:rPr>
              <w:t>5%</w:t>
            </w:r>
          </w:p>
        </w:tc>
        <w:tc>
          <w:tcPr>
            <w:tcW w:w="3440" w:type="dxa"/>
            <w:vAlign w:val="bottom"/>
            <w:shd w:val="clear" w:color="auto" w:fill="A5AB81"/>
          </w:tcPr>
          <w:p>
            <w:pPr>
              <w:jc w:val="center"/>
              <w:ind w:right="89"/>
              <w:spacing w:after="0"/>
              <w:rPr>
                <w:sz w:val="20"/>
                <w:szCs w:val="20"/>
                <w:color w:val="auto"/>
              </w:rPr>
            </w:pPr>
            <w:r>
              <w:rPr>
                <w:rFonts w:ascii="Arial" w:cs="Arial" w:eastAsia="Arial" w:hAnsi="Arial"/>
                <w:sz w:val="14"/>
                <w:szCs w:val="14"/>
                <w:b w:val="1"/>
                <w:bCs w:val="1"/>
                <w:color w:val="162442"/>
                <w:w w:val="98"/>
              </w:rPr>
              <w:t>0%</w:t>
            </w:r>
          </w:p>
        </w:tc>
      </w:tr>
      <w:tr>
        <w:trPr>
          <w:trHeight w:val="118"/>
        </w:trPr>
        <w:tc>
          <w:tcPr>
            <w:tcW w:w="2700" w:type="dxa"/>
            <w:vAlign w:val="bottom"/>
            <w:shd w:val="clear" w:color="auto" w:fill="A5AB81"/>
          </w:tcPr>
          <w:p>
            <w:pPr>
              <w:spacing w:after="0"/>
              <w:rPr>
                <w:sz w:val="10"/>
                <w:szCs w:val="10"/>
                <w:color w:val="auto"/>
              </w:rPr>
            </w:pPr>
          </w:p>
        </w:tc>
        <w:tc>
          <w:tcPr>
            <w:tcW w:w="3440" w:type="dxa"/>
            <w:vAlign w:val="bottom"/>
            <w:shd w:val="clear" w:color="auto" w:fill="A5AB81"/>
          </w:tcPr>
          <w:p>
            <w:pPr>
              <w:spacing w:after="0"/>
              <w:rPr>
                <w:sz w:val="10"/>
                <w:szCs w:val="10"/>
                <w:color w:val="auto"/>
              </w:rPr>
            </w:pPr>
          </w:p>
        </w:tc>
      </w:tr>
      <w:tr>
        <w:trPr>
          <w:trHeight w:val="334"/>
        </w:trPr>
        <w:tc>
          <w:tcPr>
            <w:tcW w:w="2700" w:type="dxa"/>
            <w:vAlign w:val="bottom"/>
            <w:shd w:val="clear" w:color="auto" w:fill="C8CCB3"/>
          </w:tcPr>
          <w:p>
            <w:pPr>
              <w:jc w:val="center"/>
              <w:ind w:right="67"/>
              <w:spacing w:after="0"/>
              <w:rPr>
                <w:sz w:val="20"/>
                <w:szCs w:val="20"/>
                <w:color w:val="auto"/>
              </w:rPr>
            </w:pPr>
            <w:r>
              <w:rPr>
                <w:rFonts w:ascii="Arial" w:cs="Arial" w:eastAsia="Arial" w:hAnsi="Arial"/>
                <w:sz w:val="14"/>
                <w:szCs w:val="14"/>
                <w:b w:val="1"/>
                <w:bCs w:val="1"/>
                <w:color w:val="162442"/>
                <w:w w:val="98"/>
              </w:rPr>
              <w:t>5%</w:t>
            </w:r>
          </w:p>
        </w:tc>
        <w:tc>
          <w:tcPr>
            <w:tcW w:w="3440" w:type="dxa"/>
            <w:vAlign w:val="bottom"/>
            <w:shd w:val="clear" w:color="auto" w:fill="C8CCB3"/>
          </w:tcPr>
          <w:p>
            <w:pPr>
              <w:jc w:val="center"/>
              <w:ind w:right="89"/>
              <w:spacing w:after="0"/>
              <w:rPr>
                <w:sz w:val="20"/>
                <w:szCs w:val="20"/>
                <w:color w:val="auto"/>
              </w:rPr>
            </w:pPr>
            <w:r>
              <w:rPr>
                <w:rFonts w:ascii="Arial" w:cs="Arial" w:eastAsia="Arial" w:hAnsi="Arial"/>
                <w:sz w:val="14"/>
                <w:szCs w:val="14"/>
                <w:b w:val="1"/>
                <w:bCs w:val="1"/>
                <w:color w:val="162442"/>
                <w:w w:val="99"/>
              </w:rPr>
              <w:t>50%</w:t>
            </w:r>
          </w:p>
        </w:tc>
      </w:tr>
      <w:tr>
        <w:trPr>
          <w:trHeight w:val="136"/>
        </w:trPr>
        <w:tc>
          <w:tcPr>
            <w:tcW w:w="2700" w:type="dxa"/>
            <w:vAlign w:val="bottom"/>
            <w:shd w:val="clear" w:color="auto" w:fill="C8CCB3"/>
          </w:tcPr>
          <w:p>
            <w:pPr>
              <w:spacing w:after="0"/>
              <w:rPr>
                <w:sz w:val="11"/>
                <w:szCs w:val="11"/>
                <w:color w:val="auto"/>
              </w:rPr>
            </w:pPr>
          </w:p>
        </w:tc>
        <w:tc>
          <w:tcPr>
            <w:tcW w:w="3440" w:type="dxa"/>
            <w:vAlign w:val="bottom"/>
            <w:shd w:val="clear" w:color="auto" w:fill="C8CCB3"/>
          </w:tcPr>
          <w:p>
            <w:pPr>
              <w:spacing w:after="0"/>
              <w:rPr>
                <w:sz w:val="11"/>
                <w:szCs w:val="11"/>
                <w:color w:val="auto"/>
              </w:rPr>
            </w:pPr>
          </w:p>
        </w:tc>
      </w:tr>
      <w:tr>
        <w:trPr>
          <w:trHeight w:val="334"/>
        </w:trPr>
        <w:tc>
          <w:tcPr>
            <w:tcW w:w="2700" w:type="dxa"/>
            <w:vAlign w:val="bottom"/>
            <w:shd w:val="clear" w:color="auto" w:fill="A5AB81"/>
          </w:tcPr>
          <w:p>
            <w:pPr>
              <w:jc w:val="center"/>
              <w:ind w:right="67"/>
              <w:spacing w:after="0"/>
              <w:rPr>
                <w:sz w:val="20"/>
                <w:szCs w:val="20"/>
                <w:color w:val="auto"/>
              </w:rPr>
            </w:pPr>
            <w:r>
              <w:rPr>
                <w:rFonts w:ascii="Arial" w:cs="Arial" w:eastAsia="Arial" w:hAnsi="Arial"/>
                <w:sz w:val="14"/>
                <w:szCs w:val="14"/>
                <w:b w:val="1"/>
                <w:bCs w:val="1"/>
                <w:color w:val="162442"/>
                <w:w w:val="99"/>
              </w:rPr>
              <w:t>10%</w:t>
            </w:r>
          </w:p>
        </w:tc>
        <w:tc>
          <w:tcPr>
            <w:tcW w:w="3440" w:type="dxa"/>
            <w:vAlign w:val="bottom"/>
            <w:shd w:val="clear" w:color="auto" w:fill="A5AB81"/>
          </w:tcPr>
          <w:p>
            <w:pPr>
              <w:jc w:val="center"/>
              <w:ind w:right="89"/>
              <w:spacing w:after="0"/>
              <w:rPr>
                <w:sz w:val="20"/>
                <w:szCs w:val="20"/>
                <w:color w:val="auto"/>
              </w:rPr>
            </w:pPr>
            <w:r>
              <w:rPr>
                <w:rFonts w:ascii="Arial" w:cs="Arial" w:eastAsia="Arial" w:hAnsi="Arial"/>
                <w:sz w:val="14"/>
                <w:szCs w:val="14"/>
                <w:b w:val="1"/>
                <w:bCs w:val="1"/>
                <w:color w:val="162442"/>
                <w:w w:val="99"/>
              </w:rPr>
              <w:t>75%</w:t>
            </w:r>
          </w:p>
        </w:tc>
      </w:tr>
      <w:tr>
        <w:trPr>
          <w:trHeight w:val="136"/>
        </w:trPr>
        <w:tc>
          <w:tcPr>
            <w:tcW w:w="2700" w:type="dxa"/>
            <w:vAlign w:val="bottom"/>
            <w:shd w:val="clear" w:color="auto" w:fill="A5AB81"/>
          </w:tcPr>
          <w:p>
            <w:pPr>
              <w:spacing w:after="0"/>
              <w:rPr>
                <w:sz w:val="11"/>
                <w:szCs w:val="11"/>
                <w:color w:val="auto"/>
              </w:rPr>
            </w:pPr>
          </w:p>
        </w:tc>
        <w:tc>
          <w:tcPr>
            <w:tcW w:w="3440" w:type="dxa"/>
            <w:vAlign w:val="bottom"/>
            <w:shd w:val="clear" w:color="auto" w:fill="A5AB81"/>
          </w:tcPr>
          <w:p>
            <w:pPr>
              <w:spacing w:after="0"/>
              <w:rPr>
                <w:sz w:val="11"/>
                <w:szCs w:val="11"/>
                <w:color w:val="auto"/>
              </w:rPr>
            </w:pPr>
          </w:p>
        </w:tc>
      </w:tr>
      <w:tr>
        <w:trPr>
          <w:trHeight w:val="334"/>
        </w:trPr>
        <w:tc>
          <w:tcPr>
            <w:tcW w:w="2700" w:type="dxa"/>
            <w:vAlign w:val="bottom"/>
            <w:shd w:val="clear" w:color="auto" w:fill="C8CCB3"/>
          </w:tcPr>
          <w:p>
            <w:pPr>
              <w:jc w:val="center"/>
              <w:ind w:right="67"/>
              <w:spacing w:after="0"/>
              <w:rPr>
                <w:sz w:val="20"/>
                <w:szCs w:val="20"/>
                <w:color w:val="auto"/>
              </w:rPr>
            </w:pPr>
            <w:r>
              <w:rPr>
                <w:rFonts w:ascii="Arial" w:cs="Arial" w:eastAsia="Arial" w:hAnsi="Arial"/>
                <w:sz w:val="14"/>
                <w:szCs w:val="14"/>
                <w:b w:val="1"/>
                <w:bCs w:val="1"/>
                <w:color w:val="162442"/>
              </w:rPr>
              <w:t>12.5%</w:t>
            </w:r>
          </w:p>
        </w:tc>
        <w:tc>
          <w:tcPr>
            <w:tcW w:w="3440" w:type="dxa"/>
            <w:vAlign w:val="bottom"/>
            <w:shd w:val="clear" w:color="auto" w:fill="C8CCB3"/>
          </w:tcPr>
          <w:p>
            <w:pPr>
              <w:jc w:val="center"/>
              <w:ind w:right="89"/>
              <w:spacing w:after="0"/>
              <w:rPr>
                <w:sz w:val="20"/>
                <w:szCs w:val="20"/>
                <w:color w:val="auto"/>
              </w:rPr>
            </w:pPr>
            <w:r>
              <w:rPr>
                <w:rFonts w:ascii="Arial" w:cs="Arial" w:eastAsia="Arial" w:hAnsi="Arial"/>
                <w:sz w:val="14"/>
                <w:szCs w:val="14"/>
                <w:b w:val="1"/>
                <w:bCs w:val="1"/>
                <w:color w:val="162442"/>
              </w:rPr>
              <w:t>100%</w:t>
            </w:r>
          </w:p>
        </w:tc>
      </w:tr>
      <w:tr>
        <w:trPr>
          <w:trHeight w:val="136"/>
        </w:trPr>
        <w:tc>
          <w:tcPr>
            <w:tcW w:w="2700" w:type="dxa"/>
            <w:vAlign w:val="bottom"/>
            <w:shd w:val="clear" w:color="auto" w:fill="C8CCB3"/>
          </w:tcPr>
          <w:p>
            <w:pPr>
              <w:spacing w:after="0"/>
              <w:rPr>
                <w:sz w:val="11"/>
                <w:szCs w:val="11"/>
                <w:color w:val="auto"/>
              </w:rPr>
            </w:pPr>
          </w:p>
        </w:tc>
        <w:tc>
          <w:tcPr>
            <w:tcW w:w="3440" w:type="dxa"/>
            <w:vAlign w:val="bottom"/>
            <w:shd w:val="clear" w:color="auto" w:fill="C8CCB3"/>
          </w:tcPr>
          <w:p>
            <w:pPr>
              <w:spacing w:after="0"/>
              <w:rPr>
                <w:sz w:val="11"/>
                <w:szCs w:val="11"/>
                <w:color w:val="auto"/>
              </w:rPr>
            </w:pPr>
          </w:p>
        </w:tc>
      </w:tr>
      <w:tr>
        <w:trPr>
          <w:trHeight w:val="334"/>
        </w:trPr>
        <w:tc>
          <w:tcPr>
            <w:tcW w:w="2700" w:type="dxa"/>
            <w:vAlign w:val="bottom"/>
            <w:shd w:val="clear" w:color="auto" w:fill="A5AB81"/>
          </w:tcPr>
          <w:p>
            <w:pPr>
              <w:jc w:val="center"/>
              <w:ind w:right="67"/>
              <w:spacing w:after="0"/>
              <w:rPr>
                <w:sz w:val="20"/>
                <w:szCs w:val="20"/>
                <w:color w:val="auto"/>
              </w:rPr>
            </w:pPr>
            <w:r>
              <w:rPr>
                <w:rFonts w:ascii="Arial" w:cs="Arial" w:eastAsia="Arial" w:hAnsi="Arial"/>
                <w:sz w:val="14"/>
                <w:szCs w:val="14"/>
                <w:b w:val="1"/>
                <w:bCs w:val="1"/>
                <w:color w:val="162442"/>
                <w:w w:val="99"/>
              </w:rPr>
              <w:t>15%</w:t>
            </w:r>
          </w:p>
        </w:tc>
        <w:tc>
          <w:tcPr>
            <w:tcW w:w="3440" w:type="dxa"/>
            <w:vAlign w:val="bottom"/>
            <w:shd w:val="clear" w:color="auto" w:fill="A5AB81"/>
          </w:tcPr>
          <w:p>
            <w:pPr>
              <w:jc w:val="center"/>
              <w:ind w:right="89"/>
              <w:spacing w:after="0"/>
              <w:rPr>
                <w:sz w:val="20"/>
                <w:szCs w:val="20"/>
                <w:color w:val="auto"/>
              </w:rPr>
            </w:pPr>
            <w:r>
              <w:rPr>
                <w:rFonts w:ascii="Arial" w:cs="Arial" w:eastAsia="Arial" w:hAnsi="Arial"/>
                <w:sz w:val="14"/>
                <w:szCs w:val="14"/>
                <w:b w:val="1"/>
                <w:bCs w:val="1"/>
                <w:color w:val="162442"/>
              </w:rPr>
              <w:t>125%</w:t>
            </w:r>
          </w:p>
        </w:tc>
      </w:tr>
      <w:tr>
        <w:trPr>
          <w:trHeight w:val="136"/>
        </w:trPr>
        <w:tc>
          <w:tcPr>
            <w:tcW w:w="2700" w:type="dxa"/>
            <w:vAlign w:val="bottom"/>
            <w:shd w:val="clear" w:color="auto" w:fill="A5AB81"/>
          </w:tcPr>
          <w:p>
            <w:pPr>
              <w:spacing w:after="0"/>
              <w:rPr>
                <w:sz w:val="11"/>
                <w:szCs w:val="11"/>
                <w:color w:val="auto"/>
              </w:rPr>
            </w:pPr>
          </w:p>
        </w:tc>
        <w:tc>
          <w:tcPr>
            <w:tcW w:w="3440" w:type="dxa"/>
            <w:vAlign w:val="bottom"/>
            <w:shd w:val="clear" w:color="auto" w:fill="A5AB81"/>
          </w:tcPr>
          <w:p>
            <w:pPr>
              <w:spacing w:after="0"/>
              <w:rPr>
                <w:sz w:val="11"/>
                <w:szCs w:val="11"/>
                <w:color w:val="auto"/>
              </w:rPr>
            </w:pPr>
          </w:p>
        </w:tc>
      </w:tr>
      <w:tr>
        <w:trPr>
          <w:trHeight w:val="334"/>
        </w:trPr>
        <w:tc>
          <w:tcPr>
            <w:tcW w:w="2700" w:type="dxa"/>
            <w:vAlign w:val="bottom"/>
            <w:shd w:val="clear" w:color="auto" w:fill="C8CCB3"/>
          </w:tcPr>
          <w:p>
            <w:pPr>
              <w:jc w:val="center"/>
              <w:ind w:right="67"/>
              <w:spacing w:after="0"/>
              <w:rPr>
                <w:sz w:val="20"/>
                <w:szCs w:val="20"/>
                <w:color w:val="auto"/>
              </w:rPr>
            </w:pPr>
            <w:r>
              <w:rPr>
                <w:rFonts w:ascii="Arial" w:cs="Arial" w:eastAsia="Arial" w:hAnsi="Arial"/>
                <w:sz w:val="14"/>
                <w:szCs w:val="14"/>
                <w:b w:val="1"/>
                <w:bCs w:val="1"/>
                <w:color w:val="162442"/>
              </w:rPr>
              <w:t>17.5%</w:t>
            </w:r>
          </w:p>
        </w:tc>
        <w:tc>
          <w:tcPr>
            <w:tcW w:w="3440" w:type="dxa"/>
            <w:vAlign w:val="bottom"/>
            <w:shd w:val="clear" w:color="auto" w:fill="C8CCB3"/>
          </w:tcPr>
          <w:p>
            <w:pPr>
              <w:jc w:val="center"/>
              <w:ind w:right="89"/>
              <w:spacing w:after="0"/>
              <w:rPr>
                <w:sz w:val="20"/>
                <w:szCs w:val="20"/>
                <w:color w:val="auto"/>
              </w:rPr>
            </w:pPr>
            <w:r>
              <w:rPr>
                <w:rFonts w:ascii="Arial" w:cs="Arial" w:eastAsia="Arial" w:hAnsi="Arial"/>
                <w:sz w:val="14"/>
                <w:szCs w:val="14"/>
                <w:b w:val="1"/>
                <w:bCs w:val="1"/>
                <w:color w:val="162442"/>
              </w:rPr>
              <w:t>150%</w:t>
            </w:r>
          </w:p>
        </w:tc>
      </w:tr>
      <w:tr>
        <w:trPr>
          <w:trHeight w:val="136"/>
        </w:trPr>
        <w:tc>
          <w:tcPr>
            <w:tcW w:w="2700" w:type="dxa"/>
            <w:vAlign w:val="bottom"/>
            <w:shd w:val="clear" w:color="auto" w:fill="C8CCB3"/>
          </w:tcPr>
          <w:p>
            <w:pPr>
              <w:spacing w:after="0"/>
              <w:rPr>
                <w:sz w:val="11"/>
                <w:szCs w:val="11"/>
                <w:color w:val="auto"/>
              </w:rPr>
            </w:pPr>
          </w:p>
        </w:tc>
        <w:tc>
          <w:tcPr>
            <w:tcW w:w="3440" w:type="dxa"/>
            <w:vAlign w:val="bottom"/>
            <w:shd w:val="clear" w:color="auto" w:fill="C8CCB3"/>
          </w:tcPr>
          <w:p>
            <w:pPr>
              <w:spacing w:after="0"/>
              <w:rPr>
                <w:sz w:val="11"/>
                <w:szCs w:val="11"/>
                <w:color w:val="auto"/>
              </w:rPr>
            </w:pPr>
          </w:p>
        </w:tc>
      </w:tr>
      <w:tr>
        <w:trPr>
          <w:trHeight w:val="334"/>
        </w:trPr>
        <w:tc>
          <w:tcPr>
            <w:tcW w:w="2700" w:type="dxa"/>
            <w:vAlign w:val="bottom"/>
            <w:shd w:val="clear" w:color="auto" w:fill="A5AB81"/>
          </w:tcPr>
          <w:p>
            <w:pPr>
              <w:jc w:val="center"/>
              <w:ind w:right="67"/>
              <w:spacing w:after="0"/>
              <w:rPr>
                <w:sz w:val="20"/>
                <w:szCs w:val="20"/>
                <w:color w:val="auto"/>
              </w:rPr>
            </w:pPr>
            <w:r>
              <w:rPr>
                <w:rFonts w:ascii="Arial" w:cs="Arial" w:eastAsia="Arial" w:hAnsi="Arial"/>
                <w:sz w:val="14"/>
                <w:szCs w:val="14"/>
                <w:b w:val="1"/>
                <w:bCs w:val="1"/>
                <w:color w:val="162442"/>
              </w:rPr>
              <w:t>≥ 20%</w:t>
            </w:r>
          </w:p>
        </w:tc>
        <w:tc>
          <w:tcPr>
            <w:tcW w:w="3440" w:type="dxa"/>
            <w:vAlign w:val="bottom"/>
            <w:shd w:val="clear" w:color="auto" w:fill="A5AB81"/>
          </w:tcPr>
          <w:p>
            <w:pPr>
              <w:jc w:val="center"/>
              <w:ind w:right="89"/>
              <w:spacing w:after="0"/>
              <w:rPr>
                <w:sz w:val="20"/>
                <w:szCs w:val="20"/>
                <w:color w:val="auto"/>
              </w:rPr>
            </w:pPr>
            <w:r>
              <w:rPr>
                <w:rFonts w:ascii="Arial" w:cs="Arial" w:eastAsia="Arial" w:hAnsi="Arial"/>
                <w:sz w:val="14"/>
                <w:szCs w:val="14"/>
                <w:b w:val="1"/>
                <w:bCs w:val="1"/>
                <w:color w:val="162442"/>
              </w:rPr>
              <w:t>200%</w:t>
            </w:r>
          </w:p>
        </w:tc>
      </w:tr>
      <w:tr>
        <w:trPr>
          <w:trHeight w:val="136"/>
        </w:trPr>
        <w:tc>
          <w:tcPr>
            <w:tcW w:w="2700" w:type="dxa"/>
            <w:vAlign w:val="bottom"/>
            <w:shd w:val="clear" w:color="auto" w:fill="A5AB81"/>
          </w:tcPr>
          <w:p>
            <w:pPr>
              <w:spacing w:after="0"/>
              <w:rPr>
                <w:sz w:val="11"/>
                <w:szCs w:val="11"/>
                <w:color w:val="auto"/>
              </w:rPr>
            </w:pPr>
          </w:p>
        </w:tc>
        <w:tc>
          <w:tcPr>
            <w:tcW w:w="3440" w:type="dxa"/>
            <w:vAlign w:val="bottom"/>
            <w:shd w:val="clear" w:color="auto" w:fill="A5AB81"/>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-2689225</wp:posOffset>
            </wp:positionV>
            <wp:extent cx="3898900" cy="26981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898900" cy="269811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320" w:hanging="311"/>
        <w:spacing w:after="0"/>
        <w:tabs>
          <w:tab w:leader="none" w:pos="320"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Relative TSR vs. IMAX Peer Group (Applies to 40% of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336550</wp:posOffset>
            </wp:positionV>
            <wp:extent cx="4834890" cy="24174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4834890" cy="241744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300" w:type="dxa"/>
        <w:tblCellMar>
          <w:top w:w="0" w:type="dxa"/>
          <w:left w:w="0" w:type="dxa"/>
          <w:bottom w:w="0" w:type="dxa"/>
          <w:right w:w="0" w:type="dxa"/>
        </w:tblCellMar>
      </w:tblPr>
      <w:tr>
        <w:trPr>
          <w:trHeight w:val="959"/>
        </w:trPr>
        <w:tc>
          <w:tcPr>
            <w:tcW w:w="2200" w:type="dxa"/>
            <w:vAlign w:val="bottom"/>
          </w:tcPr>
          <w:p>
            <w:pPr>
              <w:spacing w:after="0"/>
              <w:rPr>
                <w:sz w:val="24"/>
                <w:szCs w:val="24"/>
                <w:color w:val="auto"/>
              </w:rPr>
            </w:pPr>
          </w:p>
        </w:tc>
        <w:tc>
          <w:tcPr>
            <w:tcW w:w="2560" w:type="dxa"/>
            <w:vAlign w:val="bottom"/>
            <w:tcBorders>
              <w:bottom w:val="single" w:sz="8" w:color="162442"/>
            </w:tcBorders>
            <w:shd w:val="clear" w:color="auto" w:fill="162442"/>
          </w:tcPr>
          <w:p>
            <w:pPr>
              <w:ind w:left="340"/>
              <w:spacing w:after="0"/>
              <w:rPr>
                <w:sz w:val="20"/>
                <w:szCs w:val="20"/>
                <w:color w:val="auto"/>
              </w:rPr>
            </w:pPr>
            <w:r>
              <w:rPr>
                <w:rFonts w:ascii="Arial" w:cs="Arial" w:eastAsia="Arial" w:hAnsi="Arial"/>
                <w:sz w:val="14"/>
                <w:szCs w:val="14"/>
                <w:b w:val="1"/>
                <w:bCs w:val="1"/>
                <w:color w:val="FFFFFF"/>
              </w:rPr>
              <w:t>Performance Percentile</w:t>
            </w:r>
          </w:p>
        </w:tc>
        <w:tc>
          <w:tcPr>
            <w:tcW w:w="2840" w:type="dxa"/>
            <w:vAlign w:val="bottom"/>
            <w:tcBorders>
              <w:bottom w:val="single" w:sz="8" w:color="162442"/>
            </w:tcBorders>
            <w:shd w:val="clear" w:color="auto" w:fill="162442"/>
          </w:tcPr>
          <w:p>
            <w:pPr>
              <w:ind w:left="640"/>
              <w:spacing w:after="0"/>
              <w:rPr>
                <w:sz w:val="20"/>
                <w:szCs w:val="20"/>
                <w:color w:val="auto"/>
              </w:rPr>
            </w:pPr>
            <w:r>
              <w:rPr>
                <w:rFonts w:ascii="Arial" w:cs="Arial" w:eastAsia="Arial" w:hAnsi="Arial"/>
                <w:sz w:val="14"/>
                <w:szCs w:val="14"/>
                <w:b w:val="1"/>
                <w:bCs w:val="1"/>
                <w:color w:val="FFFFFF"/>
              </w:rPr>
              <w:t>Payout % of Target</w:t>
            </w:r>
          </w:p>
        </w:tc>
        <w:tc>
          <w:tcPr>
            <w:tcW w:w="0" w:type="dxa"/>
            <w:vAlign w:val="bottom"/>
          </w:tcPr>
          <w:p>
            <w:pPr>
              <w:spacing w:after="0"/>
              <w:rPr>
                <w:sz w:val="1"/>
                <w:szCs w:val="1"/>
                <w:color w:val="auto"/>
              </w:rPr>
            </w:pPr>
          </w:p>
        </w:tc>
      </w:tr>
      <w:tr>
        <w:trPr>
          <w:trHeight w:val="351"/>
        </w:trPr>
        <w:tc>
          <w:tcPr>
            <w:tcW w:w="2200" w:type="dxa"/>
            <w:vAlign w:val="bottom"/>
            <w:shd w:val="clear" w:color="auto" w:fill="A5AB81"/>
          </w:tcPr>
          <w:p>
            <w:pPr>
              <w:spacing w:after="0"/>
              <w:rPr>
                <w:sz w:val="24"/>
                <w:szCs w:val="24"/>
                <w:color w:val="auto"/>
              </w:rPr>
            </w:pPr>
          </w:p>
        </w:tc>
        <w:tc>
          <w:tcPr>
            <w:tcW w:w="2560" w:type="dxa"/>
            <w:vAlign w:val="bottom"/>
            <w:shd w:val="clear" w:color="auto" w:fill="A5AB81"/>
          </w:tcPr>
          <w:p>
            <w:pPr>
              <w:jc w:val="center"/>
              <w:ind w:right="205"/>
              <w:spacing w:after="0"/>
              <w:rPr>
                <w:sz w:val="20"/>
                <w:szCs w:val="20"/>
                <w:color w:val="auto"/>
              </w:rPr>
            </w:pPr>
            <w:r>
              <w:rPr>
                <w:rFonts w:ascii="Arial" w:cs="Arial" w:eastAsia="Arial" w:hAnsi="Arial"/>
                <w:sz w:val="18"/>
                <w:szCs w:val="18"/>
                <w:color w:val="auto"/>
              </w:rPr>
              <w:t>&lt;</w:t>
            </w:r>
            <w:r>
              <w:rPr>
                <w:rFonts w:ascii="Arial" w:cs="Arial" w:eastAsia="Arial" w:hAnsi="Arial"/>
                <w:sz w:val="14"/>
                <w:szCs w:val="14"/>
                <w:b w:val="1"/>
                <w:bCs w:val="1"/>
                <w:color w:val="162442"/>
              </w:rPr>
              <w:t>25%</w:t>
            </w:r>
          </w:p>
        </w:tc>
        <w:tc>
          <w:tcPr>
            <w:tcW w:w="2840" w:type="dxa"/>
            <w:vAlign w:val="bottom"/>
            <w:shd w:val="clear" w:color="auto" w:fill="A5AB81"/>
          </w:tcPr>
          <w:p>
            <w:pPr>
              <w:jc w:val="center"/>
              <w:ind w:right="209"/>
              <w:spacing w:after="0"/>
              <w:rPr>
                <w:sz w:val="20"/>
                <w:szCs w:val="20"/>
                <w:color w:val="auto"/>
              </w:rPr>
            </w:pPr>
            <w:r>
              <w:rPr>
                <w:rFonts w:ascii="Arial" w:cs="Arial" w:eastAsia="Arial" w:hAnsi="Arial"/>
                <w:sz w:val="14"/>
                <w:szCs w:val="14"/>
                <w:b w:val="1"/>
                <w:bCs w:val="1"/>
                <w:color w:val="162442"/>
                <w:w w:val="98"/>
              </w:rPr>
              <w:t>0%</w:t>
            </w:r>
          </w:p>
        </w:tc>
        <w:tc>
          <w:tcPr>
            <w:tcW w:w="0" w:type="dxa"/>
            <w:vAlign w:val="bottom"/>
          </w:tcPr>
          <w:p>
            <w:pPr>
              <w:spacing w:after="0"/>
              <w:rPr>
                <w:sz w:val="1"/>
                <w:szCs w:val="1"/>
                <w:color w:val="auto"/>
              </w:rPr>
            </w:pPr>
          </w:p>
        </w:tc>
      </w:tr>
      <w:tr>
        <w:trPr>
          <w:trHeight w:val="345"/>
        </w:trPr>
        <w:tc>
          <w:tcPr>
            <w:tcW w:w="2200" w:type="dxa"/>
            <w:vAlign w:val="bottom"/>
            <w:shd w:val="clear" w:color="auto" w:fill="A5AB81"/>
          </w:tcPr>
          <w:p>
            <w:pPr>
              <w:jc w:val="center"/>
              <w:spacing w:after="0"/>
              <w:rPr>
                <w:sz w:val="20"/>
                <w:szCs w:val="20"/>
                <w:color w:val="auto"/>
              </w:rPr>
            </w:pPr>
            <w:r>
              <w:rPr>
                <w:rFonts w:ascii="Arial" w:cs="Arial" w:eastAsia="Arial" w:hAnsi="Arial"/>
                <w:sz w:val="14"/>
                <w:szCs w:val="14"/>
                <w:b w:val="1"/>
                <w:bCs w:val="1"/>
                <w:color w:val="FF0000"/>
              </w:rPr>
              <w:t>Threshold</w:t>
            </w:r>
          </w:p>
        </w:tc>
        <w:tc>
          <w:tcPr>
            <w:tcW w:w="2560" w:type="dxa"/>
            <w:vAlign w:val="bottom"/>
            <w:vMerge w:val="restart"/>
            <w:shd w:val="clear" w:color="auto" w:fill="A5AB81"/>
          </w:tcPr>
          <w:p>
            <w:pPr>
              <w:jc w:val="center"/>
              <w:ind w:right="205"/>
              <w:spacing w:after="0"/>
              <w:rPr>
                <w:sz w:val="20"/>
                <w:szCs w:val="20"/>
                <w:color w:val="auto"/>
              </w:rPr>
            </w:pPr>
            <w:r>
              <w:rPr>
                <w:rFonts w:ascii="Arial" w:cs="Arial" w:eastAsia="Arial" w:hAnsi="Arial"/>
                <w:sz w:val="14"/>
                <w:szCs w:val="14"/>
                <w:b w:val="1"/>
                <w:bCs w:val="1"/>
                <w:color w:val="162442"/>
                <w:w w:val="99"/>
              </w:rPr>
              <w:t>25%</w:t>
            </w:r>
          </w:p>
        </w:tc>
        <w:tc>
          <w:tcPr>
            <w:tcW w:w="2840" w:type="dxa"/>
            <w:vAlign w:val="bottom"/>
            <w:vMerge w:val="restart"/>
            <w:shd w:val="clear" w:color="auto" w:fill="A5AB81"/>
          </w:tcPr>
          <w:p>
            <w:pPr>
              <w:jc w:val="center"/>
              <w:ind w:right="209"/>
              <w:spacing w:after="0"/>
              <w:rPr>
                <w:sz w:val="20"/>
                <w:szCs w:val="20"/>
                <w:color w:val="auto"/>
              </w:rPr>
            </w:pPr>
            <w:r>
              <w:rPr>
                <w:rFonts w:ascii="Arial" w:cs="Arial" w:eastAsia="Arial" w:hAnsi="Arial"/>
                <w:sz w:val="14"/>
                <w:szCs w:val="14"/>
                <w:b w:val="1"/>
                <w:bCs w:val="1"/>
                <w:color w:val="162442"/>
                <w:w w:val="99"/>
              </w:rPr>
              <w:t>30%</w:t>
            </w:r>
          </w:p>
        </w:tc>
        <w:tc>
          <w:tcPr>
            <w:tcW w:w="0" w:type="dxa"/>
            <w:vAlign w:val="bottom"/>
          </w:tcPr>
          <w:p>
            <w:pPr>
              <w:spacing w:after="0"/>
              <w:rPr>
                <w:sz w:val="1"/>
                <w:szCs w:val="1"/>
                <w:color w:val="auto"/>
              </w:rPr>
            </w:pPr>
          </w:p>
        </w:tc>
      </w:tr>
      <w:tr>
        <w:trPr>
          <w:trHeight w:val="107"/>
        </w:trPr>
        <w:tc>
          <w:tcPr>
            <w:tcW w:w="2200" w:type="dxa"/>
            <w:vAlign w:val="bottom"/>
            <w:shd w:val="clear" w:color="auto" w:fill="A5AB81"/>
          </w:tcPr>
          <w:p>
            <w:pPr>
              <w:spacing w:after="0"/>
              <w:rPr>
                <w:sz w:val="9"/>
                <w:szCs w:val="9"/>
                <w:color w:val="auto"/>
              </w:rPr>
            </w:pPr>
          </w:p>
        </w:tc>
        <w:tc>
          <w:tcPr>
            <w:tcW w:w="2560" w:type="dxa"/>
            <w:vAlign w:val="bottom"/>
            <w:vMerge w:val="continue"/>
            <w:shd w:val="clear" w:color="auto" w:fill="A5AB81"/>
          </w:tcPr>
          <w:p>
            <w:pPr>
              <w:spacing w:after="0"/>
              <w:rPr>
                <w:sz w:val="9"/>
                <w:szCs w:val="9"/>
                <w:color w:val="auto"/>
              </w:rPr>
            </w:pPr>
          </w:p>
        </w:tc>
        <w:tc>
          <w:tcPr>
            <w:tcW w:w="2840" w:type="dxa"/>
            <w:vAlign w:val="bottom"/>
            <w:vMerge w:val="continue"/>
            <w:shd w:val="clear" w:color="auto" w:fill="A5AB81"/>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200" w:type="dxa"/>
            <w:vAlign w:val="bottom"/>
            <w:shd w:val="clear" w:color="auto" w:fill="A5AB81"/>
          </w:tcPr>
          <w:p>
            <w:pPr>
              <w:spacing w:after="0"/>
              <w:rPr>
                <w:sz w:val="11"/>
                <w:szCs w:val="11"/>
                <w:color w:val="auto"/>
              </w:rPr>
            </w:pPr>
          </w:p>
        </w:tc>
        <w:tc>
          <w:tcPr>
            <w:tcW w:w="2560" w:type="dxa"/>
            <w:vAlign w:val="bottom"/>
            <w:shd w:val="clear" w:color="auto" w:fill="A5AB81"/>
          </w:tcPr>
          <w:p>
            <w:pPr>
              <w:spacing w:after="0"/>
              <w:rPr>
                <w:sz w:val="11"/>
                <w:szCs w:val="11"/>
                <w:color w:val="auto"/>
              </w:rPr>
            </w:pPr>
          </w:p>
        </w:tc>
        <w:tc>
          <w:tcPr>
            <w:tcW w:w="2840" w:type="dxa"/>
            <w:vAlign w:val="bottom"/>
            <w:shd w:val="clear" w:color="auto" w:fill="A5AB81"/>
          </w:tcPr>
          <w:p>
            <w:pPr>
              <w:spacing w:after="0"/>
              <w:rPr>
                <w:sz w:val="11"/>
                <w:szCs w:val="11"/>
                <w:color w:val="auto"/>
              </w:rPr>
            </w:pPr>
          </w:p>
        </w:tc>
        <w:tc>
          <w:tcPr>
            <w:tcW w:w="0" w:type="dxa"/>
            <w:vAlign w:val="bottom"/>
          </w:tcPr>
          <w:p>
            <w:pPr>
              <w:spacing w:after="0"/>
              <w:rPr>
                <w:sz w:val="1"/>
                <w:szCs w:val="1"/>
                <w:color w:val="auto"/>
              </w:rPr>
            </w:pPr>
          </w:p>
        </w:tc>
      </w:tr>
      <w:tr>
        <w:trPr>
          <w:trHeight w:val="469"/>
        </w:trPr>
        <w:tc>
          <w:tcPr>
            <w:tcW w:w="2200" w:type="dxa"/>
            <w:vAlign w:val="bottom"/>
            <w:shd w:val="clear" w:color="auto" w:fill="C8CCB3"/>
          </w:tcPr>
          <w:p>
            <w:pPr>
              <w:spacing w:after="0"/>
              <w:rPr>
                <w:sz w:val="24"/>
                <w:szCs w:val="24"/>
                <w:color w:val="auto"/>
              </w:rPr>
            </w:pPr>
          </w:p>
        </w:tc>
        <w:tc>
          <w:tcPr>
            <w:tcW w:w="2560" w:type="dxa"/>
            <w:vAlign w:val="bottom"/>
            <w:shd w:val="clear" w:color="auto" w:fill="C8CCB3"/>
          </w:tcPr>
          <w:p>
            <w:pPr>
              <w:spacing w:after="0"/>
              <w:rPr>
                <w:sz w:val="24"/>
                <w:szCs w:val="24"/>
                <w:color w:val="auto"/>
              </w:rPr>
            </w:pPr>
          </w:p>
        </w:tc>
        <w:tc>
          <w:tcPr>
            <w:tcW w:w="2840" w:type="dxa"/>
            <w:vAlign w:val="bottom"/>
            <w:shd w:val="clear" w:color="auto" w:fill="C8CCB3"/>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200" w:type="dxa"/>
            <w:vAlign w:val="bottom"/>
            <w:shd w:val="clear" w:color="auto" w:fill="A5AB81"/>
          </w:tcPr>
          <w:p>
            <w:pPr>
              <w:jc w:val="center"/>
              <w:spacing w:after="0"/>
              <w:rPr>
                <w:sz w:val="20"/>
                <w:szCs w:val="20"/>
                <w:color w:val="auto"/>
              </w:rPr>
            </w:pPr>
            <w:r>
              <w:rPr>
                <w:rFonts w:ascii="Arial" w:cs="Arial" w:eastAsia="Arial" w:hAnsi="Arial"/>
                <w:sz w:val="14"/>
                <w:szCs w:val="14"/>
                <w:b w:val="1"/>
                <w:bCs w:val="1"/>
                <w:color w:val="FF0000"/>
              </w:rPr>
              <w:t>Target</w:t>
            </w:r>
          </w:p>
        </w:tc>
        <w:tc>
          <w:tcPr>
            <w:tcW w:w="2560" w:type="dxa"/>
            <w:vAlign w:val="bottom"/>
            <w:vMerge w:val="restart"/>
            <w:shd w:val="clear" w:color="auto" w:fill="A5AB81"/>
          </w:tcPr>
          <w:p>
            <w:pPr>
              <w:jc w:val="center"/>
              <w:ind w:right="205"/>
              <w:spacing w:after="0"/>
              <w:rPr>
                <w:sz w:val="20"/>
                <w:szCs w:val="20"/>
                <w:color w:val="auto"/>
              </w:rPr>
            </w:pPr>
            <w:r>
              <w:rPr>
                <w:rFonts w:ascii="Arial" w:cs="Arial" w:eastAsia="Arial" w:hAnsi="Arial"/>
                <w:sz w:val="14"/>
                <w:szCs w:val="14"/>
                <w:b w:val="1"/>
                <w:bCs w:val="1"/>
                <w:color w:val="162442"/>
                <w:w w:val="99"/>
              </w:rPr>
              <w:t>50%</w:t>
            </w:r>
          </w:p>
        </w:tc>
        <w:tc>
          <w:tcPr>
            <w:tcW w:w="2840" w:type="dxa"/>
            <w:vAlign w:val="bottom"/>
            <w:vMerge w:val="restart"/>
            <w:shd w:val="clear" w:color="auto" w:fill="A5AB81"/>
          </w:tcPr>
          <w:p>
            <w:pPr>
              <w:jc w:val="center"/>
              <w:ind w:right="209"/>
              <w:spacing w:after="0"/>
              <w:rPr>
                <w:sz w:val="20"/>
                <w:szCs w:val="20"/>
                <w:color w:val="auto"/>
              </w:rPr>
            </w:pPr>
            <w:r>
              <w:rPr>
                <w:rFonts w:ascii="Arial" w:cs="Arial" w:eastAsia="Arial" w:hAnsi="Arial"/>
                <w:sz w:val="14"/>
                <w:szCs w:val="14"/>
                <w:b w:val="1"/>
                <w:bCs w:val="1"/>
                <w:color w:val="162442"/>
              </w:rPr>
              <w:t>100%</w:t>
            </w:r>
          </w:p>
        </w:tc>
        <w:tc>
          <w:tcPr>
            <w:tcW w:w="0" w:type="dxa"/>
            <w:vAlign w:val="bottom"/>
          </w:tcPr>
          <w:p>
            <w:pPr>
              <w:spacing w:after="0"/>
              <w:rPr>
                <w:sz w:val="1"/>
                <w:szCs w:val="1"/>
                <w:color w:val="auto"/>
              </w:rPr>
            </w:pPr>
          </w:p>
        </w:tc>
      </w:tr>
      <w:tr>
        <w:trPr>
          <w:trHeight w:val="107"/>
        </w:trPr>
        <w:tc>
          <w:tcPr>
            <w:tcW w:w="2200" w:type="dxa"/>
            <w:vAlign w:val="bottom"/>
            <w:shd w:val="clear" w:color="auto" w:fill="A5AB81"/>
          </w:tcPr>
          <w:p>
            <w:pPr>
              <w:spacing w:after="0"/>
              <w:rPr>
                <w:sz w:val="9"/>
                <w:szCs w:val="9"/>
                <w:color w:val="auto"/>
              </w:rPr>
            </w:pPr>
          </w:p>
        </w:tc>
        <w:tc>
          <w:tcPr>
            <w:tcW w:w="2560" w:type="dxa"/>
            <w:vAlign w:val="bottom"/>
            <w:vMerge w:val="continue"/>
            <w:shd w:val="clear" w:color="auto" w:fill="A5AB81"/>
          </w:tcPr>
          <w:p>
            <w:pPr>
              <w:spacing w:after="0"/>
              <w:rPr>
                <w:sz w:val="9"/>
                <w:szCs w:val="9"/>
                <w:color w:val="auto"/>
              </w:rPr>
            </w:pPr>
          </w:p>
        </w:tc>
        <w:tc>
          <w:tcPr>
            <w:tcW w:w="2840" w:type="dxa"/>
            <w:vAlign w:val="bottom"/>
            <w:vMerge w:val="continue"/>
            <w:shd w:val="clear" w:color="auto" w:fill="A5AB81"/>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200" w:type="dxa"/>
            <w:vAlign w:val="bottom"/>
            <w:shd w:val="clear" w:color="auto" w:fill="A5AB81"/>
          </w:tcPr>
          <w:p>
            <w:pPr>
              <w:spacing w:after="0"/>
              <w:rPr>
                <w:sz w:val="11"/>
                <w:szCs w:val="11"/>
                <w:color w:val="auto"/>
              </w:rPr>
            </w:pPr>
          </w:p>
        </w:tc>
        <w:tc>
          <w:tcPr>
            <w:tcW w:w="2560" w:type="dxa"/>
            <w:vAlign w:val="bottom"/>
            <w:shd w:val="clear" w:color="auto" w:fill="A5AB81"/>
          </w:tcPr>
          <w:p>
            <w:pPr>
              <w:spacing w:after="0"/>
              <w:rPr>
                <w:sz w:val="11"/>
                <w:szCs w:val="11"/>
                <w:color w:val="auto"/>
              </w:rPr>
            </w:pPr>
          </w:p>
        </w:tc>
        <w:tc>
          <w:tcPr>
            <w:tcW w:w="2840" w:type="dxa"/>
            <w:vAlign w:val="bottom"/>
            <w:shd w:val="clear" w:color="auto" w:fill="A5AB81"/>
          </w:tcPr>
          <w:p>
            <w:pPr>
              <w:spacing w:after="0"/>
              <w:rPr>
                <w:sz w:val="11"/>
                <w:szCs w:val="11"/>
                <w:color w:val="auto"/>
              </w:rPr>
            </w:pPr>
          </w:p>
        </w:tc>
        <w:tc>
          <w:tcPr>
            <w:tcW w:w="0" w:type="dxa"/>
            <w:vAlign w:val="bottom"/>
          </w:tcPr>
          <w:p>
            <w:pPr>
              <w:spacing w:after="0"/>
              <w:rPr>
                <w:sz w:val="1"/>
                <w:szCs w:val="1"/>
                <w:color w:val="auto"/>
              </w:rPr>
            </w:pPr>
          </w:p>
        </w:tc>
      </w:tr>
      <w:tr>
        <w:trPr>
          <w:trHeight w:val="469"/>
        </w:trPr>
        <w:tc>
          <w:tcPr>
            <w:tcW w:w="2200" w:type="dxa"/>
            <w:vAlign w:val="bottom"/>
            <w:shd w:val="clear" w:color="auto" w:fill="C8CCB3"/>
          </w:tcPr>
          <w:p>
            <w:pPr>
              <w:spacing w:after="0"/>
              <w:rPr>
                <w:sz w:val="24"/>
                <w:szCs w:val="24"/>
                <w:color w:val="auto"/>
              </w:rPr>
            </w:pPr>
          </w:p>
        </w:tc>
        <w:tc>
          <w:tcPr>
            <w:tcW w:w="2560" w:type="dxa"/>
            <w:vAlign w:val="bottom"/>
            <w:shd w:val="clear" w:color="auto" w:fill="C8CCB3"/>
          </w:tcPr>
          <w:p>
            <w:pPr>
              <w:spacing w:after="0"/>
              <w:rPr>
                <w:sz w:val="24"/>
                <w:szCs w:val="24"/>
                <w:color w:val="auto"/>
              </w:rPr>
            </w:pPr>
          </w:p>
        </w:tc>
        <w:tc>
          <w:tcPr>
            <w:tcW w:w="2840" w:type="dxa"/>
            <w:vAlign w:val="bottom"/>
            <w:shd w:val="clear" w:color="auto" w:fill="C8CCB3"/>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200" w:type="dxa"/>
            <w:vAlign w:val="bottom"/>
            <w:shd w:val="clear" w:color="auto" w:fill="A5AB81"/>
          </w:tcPr>
          <w:p>
            <w:pPr>
              <w:jc w:val="center"/>
              <w:spacing w:after="0"/>
              <w:rPr>
                <w:sz w:val="20"/>
                <w:szCs w:val="20"/>
                <w:color w:val="auto"/>
              </w:rPr>
            </w:pPr>
            <w:r>
              <w:rPr>
                <w:rFonts w:ascii="Arial" w:cs="Arial" w:eastAsia="Arial" w:hAnsi="Arial"/>
                <w:sz w:val="14"/>
                <w:szCs w:val="14"/>
                <w:b w:val="1"/>
                <w:bCs w:val="1"/>
                <w:color w:val="FF0000"/>
              </w:rPr>
              <w:t>Maximum</w:t>
            </w:r>
          </w:p>
        </w:tc>
        <w:tc>
          <w:tcPr>
            <w:tcW w:w="2560" w:type="dxa"/>
            <w:vAlign w:val="bottom"/>
            <w:vMerge w:val="restart"/>
            <w:shd w:val="clear" w:color="auto" w:fill="A5AB81"/>
          </w:tcPr>
          <w:p>
            <w:pPr>
              <w:jc w:val="center"/>
              <w:ind w:right="205"/>
              <w:spacing w:after="0"/>
              <w:rPr>
                <w:sz w:val="20"/>
                <w:szCs w:val="20"/>
                <w:color w:val="auto"/>
              </w:rPr>
            </w:pPr>
            <w:r>
              <w:rPr>
                <w:rFonts w:ascii="Arial" w:cs="Arial" w:eastAsia="Arial" w:hAnsi="Arial"/>
                <w:sz w:val="14"/>
                <w:szCs w:val="14"/>
                <w:b w:val="1"/>
                <w:bCs w:val="1"/>
                <w:color w:val="162442"/>
              </w:rPr>
              <w:t>≥ 90%</w:t>
            </w:r>
          </w:p>
        </w:tc>
        <w:tc>
          <w:tcPr>
            <w:tcW w:w="2840" w:type="dxa"/>
            <w:vAlign w:val="bottom"/>
            <w:vMerge w:val="restart"/>
            <w:shd w:val="clear" w:color="auto" w:fill="A5AB81"/>
          </w:tcPr>
          <w:p>
            <w:pPr>
              <w:jc w:val="center"/>
              <w:ind w:right="209"/>
              <w:spacing w:after="0"/>
              <w:rPr>
                <w:sz w:val="20"/>
                <w:szCs w:val="20"/>
                <w:color w:val="auto"/>
              </w:rPr>
            </w:pPr>
            <w:r>
              <w:rPr>
                <w:rFonts w:ascii="Arial" w:cs="Arial" w:eastAsia="Arial" w:hAnsi="Arial"/>
                <w:sz w:val="14"/>
                <w:szCs w:val="14"/>
                <w:b w:val="1"/>
                <w:bCs w:val="1"/>
                <w:color w:val="162442"/>
              </w:rPr>
              <w:t>200%</w:t>
            </w:r>
          </w:p>
        </w:tc>
        <w:tc>
          <w:tcPr>
            <w:tcW w:w="0" w:type="dxa"/>
            <w:vAlign w:val="bottom"/>
          </w:tcPr>
          <w:p>
            <w:pPr>
              <w:spacing w:after="0"/>
              <w:rPr>
                <w:sz w:val="1"/>
                <w:szCs w:val="1"/>
                <w:color w:val="auto"/>
              </w:rPr>
            </w:pPr>
          </w:p>
        </w:tc>
      </w:tr>
      <w:tr>
        <w:trPr>
          <w:trHeight w:val="107"/>
        </w:trPr>
        <w:tc>
          <w:tcPr>
            <w:tcW w:w="2200" w:type="dxa"/>
            <w:vAlign w:val="bottom"/>
            <w:shd w:val="clear" w:color="auto" w:fill="A5AB81"/>
          </w:tcPr>
          <w:p>
            <w:pPr>
              <w:spacing w:after="0"/>
              <w:rPr>
                <w:sz w:val="9"/>
                <w:szCs w:val="9"/>
                <w:color w:val="auto"/>
              </w:rPr>
            </w:pPr>
          </w:p>
        </w:tc>
        <w:tc>
          <w:tcPr>
            <w:tcW w:w="2560" w:type="dxa"/>
            <w:vAlign w:val="bottom"/>
            <w:vMerge w:val="continue"/>
            <w:shd w:val="clear" w:color="auto" w:fill="A5AB81"/>
          </w:tcPr>
          <w:p>
            <w:pPr>
              <w:spacing w:after="0"/>
              <w:rPr>
                <w:sz w:val="9"/>
                <w:szCs w:val="9"/>
                <w:color w:val="auto"/>
              </w:rPr>
            </w:pPr>
          </w:p>
        </w:tc>
        <w:tc>
          <w:tcPr>
            <w:tcW w:w="2840" w:type="dxa"/>
            <w:vAlign w:val="bottom"/>
            <w:vMerge w:val="continue"/>
            <w:shd w:val="clear" w:color="auto" w:fill="A5AB81"/>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200" w:type="dxa"/>
            <w:vAlign w:val="bottom"/>
            <w:shd w:val="clear" w:color="auto" w:fill="A5AB81"/>
          </w:tcPr>
          <w:p>
            <w:pPr>
              <w:spacing w:after="0"/>
              <w:rPr>
                <w:sz w:val="11"/>
                <w:szCs w:val="11"/>
                <w:color w:val="auto"/>
              </w:rPr>
            </w:pPr>
          </w:p>
        </w:tc>
        <w:tc>
          <w:tcPr>
            <w:tcW w:w="2560" w:type="dxa"/>
            <w:vAlign w:val="bottom"/>
            <w:shd w:val="clear" w:color="auto" w:fill="A5AB81"/>
          </w:tcPr>
          <w:p>
            <w:pPr>
              <w:spacing w:after="0"/>
              <w:rPr>
                <w:sz w:val="11"/>
                <w:szCs w:val="11"/>
                <w:color w:val="auto"/>
              </w:rPr>
            </w:pPr>
          </w:p>
        </w:tc>
        <w:tc>
          <w:tcPr>
            <w:tcW w:w="2840" w:type="dxa"/>
            <w:vAlign w:val="bottom"/>
            <w:shd w:val="clear" w:color="auto" w:fill="A5AB81"/>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ind w:left="340" w:hanging="331"/>
        <w:spacing w:after="0" w:line="280" w:lineRule="auto"/>
        <w:tabs>
          <w:tab w:leader="none" w:pos="328"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IMAX Peer Group = the Compensation Committee approved compensation peer group (as disclosed in the Company’s proxy report) at the time of the annual PSU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740"/>
          </w:cols>
          <w:pgMar w:left="640" w:top="1440" w:right="519" w:bottom="843" w:gutter="0" w:footer="0" w:header="0"/>
        </w:sectPr>
      </w:pPr>
    </w:p>
    <w:bookmarkStart w:id="247" w:name="page248"/>
    <w:bookmarkEnd w:id="247"/>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31" w:hanging="331"/>
        <w:spacing w:after="0" w:line="280" w:lineRule="auto"/>
        <w:tabs>
          <w:tab w:leader="none" w:pos="319"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Payout calculated by determining the threshold, target, and maximum percentiles for the peer companies, and interpolating the Company’s TSR relative to those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3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251"/>
          </w:cols>
          <w:pgMar w:left="649" w:top="1440" w:right="999" w:bottom="1440" w:gutter="0" w:footer="0" w:header="0"/>
        </w:sectPr>
      </w:pPr>
    </w:p>
    <w:bookmarkStart w:id="248" w:name="page249"/>
    <w:bookmarkEnd w:id="248"/>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L. Gelfond, certify that:</w:t>
      </w:r>
    </w:p>
    <w:p>
      <w:pPr>
        <w:spacing w:after="0" w:line="249" w:lineRule="exact"/>
        <w:rPr>
          <w:sz w:val="20"/>
          <w:szCs w:val="20"/>
          <w:color w:val="auto"/>
        </w:rPr>
      </w:pPr>
    </w:p>
    <w:p>
      <w:pPr>
        <w:ind w:left="380" w:hanging="320"/>
        <w:spacing w:after="0"/>
        <w:tabs>
          <w:tab w:leader="none" w:pos="3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2025 of the registrant, IMAX Corporation;</w:t>
      </w:r>
    </w:p>
    <w:p>
      <w:pPr>
        <w:spacing w:after="0" w:line="248" w:lineRule="exact"/>
        <w:rPr>
          <w:rFonts w:ascii="Times New Roman" w:cs="Times New Roman" w:eastAsia="Times New Roman" w:hAnsi="Times New Roman"/>
          <w:sz w:val="18"/>
          <w:szCs w:val="18"/>
          <w:color w:val="auto"/>
        </w:rPr>
      </w:pPr>
    </w:p>
    <w:p>
      <w:pPr>
        <w:jc w:val="both"/>
        <w:ind w:left="380" w:hanging="320"/>
        <w:spacing w:after="0" w:line="263" w:lineRule="auto"/>
        <w:tabs>
          <w:tab w:leader="none" w:pos="3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380" w:hanging="320"/>
        <w:spacing w:after="0" w:line="263" w:lineRule="auto"/>
        <w:tabs>
          <w:tab w:leader="none" w:pos="3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7"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020" w:hanging="317"/>
        <w:spacing w:after="0" w:line="279" w:lineRule="auto"/>
        <w:tabs>
          <w:tab w:leader="none" w:pos="1017"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020" w:right="20" w:hanging="317"/>
        <w:spacing w:after="0" w:line="279" w:lineRule="auto"/>
        <w:tabs>
          <w:tab w:leader="none" w:pos="1017"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020" w:hanging="317"/>
        <w:spacing w:after="0" w:line="279" w:lineRule="auto"/>
        <w:tabs>
          <w:tab w:leader="none" w:pos="101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23, 2025</w:t>
            </w: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Gelfond</w:t>
            </w:r>
          </w:p>
        </w:tc>
      </w:tr>
      <w:tr>
        <w:trPr>
          <w:trHeight w:val="216"/>
        </w:trPr>
        <w:tc>
          <w:tcPr>
            <w:tcW w:w="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Gelfond</w:t>
            </w:r>
          </w:p>
        </w:tc>
      </w:tr>
      <w:tr>
        <w:trPr>
          <w:trHeight w:val="233"/>
        </w:trPr>
        <w:tc>
          <w:tcPr>
            <w:tcW w:w="8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56" w:right="339" w:bottom="1440" w:gutter="0" w:footer="0" w:header="0"/>
        </w:sectPr>
      </w:pPr>
    </w:p>
    <w:bookmarkStart w:id="249" w:name="page250"/>
    <w:bookmarkEnd w:id="249"/>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31.2</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 - Oxley Act of 2002</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Natasha Fernandes, certify that:</w:t>
      </w:r>
    </w:p>
    <w:p>
      <w:pPr>
        <w:spacing w:after="0" w:line="249" w:lineRule="exact"/>
        <w:rPr>
          <w:sz w:val="20"/>
          <w:szCs w:val="20"/>
          <w:color w:val="auto"/>
        </w:rPr>
      </w:pPr>
    </w:p>
    <w:p>
      <w:pPr>
        <w:ind w:left="380" w:hanging="320"/>
        <w:spacing w:after="0"/>
        <w:tabs>
          <w:tab w:leader="none" w:pos="3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2025 of the registrant, IMAX Corporation;</w:t>
      </w:r>
    </w:p>
    <w:p>
      <w:pPr>
        <w:spacing w:after="0" w:line="248" w:lineRule="exact"/>
        <w:rPr>
          <w:rFonts w:ascii="Times New Roman" w:cs="Times New Roman" w:eastAsia="Times New Roman" w:hAnsi="Times New Roman"/>
          <w:sz w:val="18"/>
          <w:szCs w:val="18"/>
          <w:color w:val="auto"/>
        </w:rPr>
      </w:pPr>
    </w:p>
    <w:p>
      <w:pPr>
        <w:jc w:val="both"/>
        <w:ind w:left="380" w:hanging="320"/>
        <w:spacing w:after="0" w:line="263" w:lineRule="auto"/>
        <w:tabs>
          <w:tab w:leader="none" w:pos="3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380" w:hanging="320"/>
        <w:spacing w:after="0" w:line="255" w:lineRule="auto"/>
        <w:tabs>
          <w:tab w:leader="none" w:pos="3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Times New Roman" w:cs="Times New Roman" w:eastAsia="Times New Roman" w:hAnsi="Times New Roman"/>
          <w:sz w:val="18"/>
          <w:szCs w:val="18"/>
          <w:color w:val="auto"/>
        </w:rPr>
      </w:pPr>
    </w:p>
    <w:p>
      <w:pPr>
        <w:jc w:val="both"/>
        <w:ind w:left="1020" w:hanging="317"/>
        <w:spacing w:after="0" w:line="253" w:lineRule="auto"/>
        <w:tabs>
          <w:tab w:leader="none" w:pos="1017"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1020" w:hanging="317"/>
        <w:spacing w:after="0" w:line="279" w:lineRule="auto"/>
        <w:tabs>
          <w:tab w:leader="none" w:pos="1017"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020" w:hanging="317"/>
        <w:spacing w:after="0" w:line="263" w:lineRule="auto"/>
        <w:tabs>
          <w:tab w:leader="none" w:pos="101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Times New Roman" w:cs="Times New Roman" w:eastAsia="Times New Roman" w:hAnsi="Times New Roman"/>
          <w:sz w:val="18"/>
          <w:szCs w:val="18"/>
          <w:color w:val="auto"/>
        </w:rPr>
      </w:pPr>
    </w:p>
    <w:p>
      <w:pPr>
        <w:ind w:left="380" w:hanging="320"/>
        <w:spacing w:after="0" w:line="279" w:lineRule="auto"/>
        <w:tabs>
          <w:tab w:leader="none" w:pos="38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1020" w:right="20" w:hanging="317"/>
        <w:spacing w:after="0" w:line="279" w:lineRule="auto"/>
        <w:tabs>
          <w:tab w:leader="none" w:pos="1017"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020" w:hanging="317"/>
        <w:spacing w:after="0" w:line="279" w:lineRule="auto"/>
        <w:tabs>
          <w:tab w:leader="none" w:pos="101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23, 2025</w:t>
            </w: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16"/>
        </w:trPr>
        <w:tc>
          <w:tcPr>
            <w:tcW w:w="80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294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179"/>
        </w:trPr>
        <w:tc>
          <w:tcPr>
            <w:tcW w:w="8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940" w:type="dxa"/>
            <w:vAlign w:val="bottom"/>
          </w:tcPr>
          <w:p>
            <w:pPr>
              <w:ind w:left="1960"/>
              <w:spacing w:after="0" w:line="179" w:lineRule="exact"/>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Chief Financial Officer &amp; Executive Vice</w:t>
            </w:r>
          </w:p>
        </w:tc>
      </w:tr>
      <w:tr>
        <w:trPr>
          <w:trHeight w:val="233"/>
        </w:trPr>
        <w:tc>
          <w:tcPr>
            <w:tcW w:w="8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bl>
    <w:p>
      <w:pPr>
        <w:sectPr>
          <w:pgSz w:w="11900" w:h="16838" w:orient="portrait"/>
          <w:cols w:equalWidth="0" w:num="1">
            <w:col w:w="11240"/>
          </w:cols>
          <w:pgMar w:left="320" w:top="756" w:right="339" w:bottom="1440" w:gutter="0" w:footer="0" w:header="0"/>
        </w:sectPr>
      </w:pPr>
    </w:p>
    <w:bookmarkStart w:id="250" w:name="page251"/>
    <w:bookmarkEnd w:id="250"/>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32.1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83"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Richard L. Gelfond, Chief Executive Officer &amp; Director of IMAX Corporation, a Canadian corporation (the “Company”), hereby certify, to my knowledge, that:</w:t>
      </w:r>
    </w:p>
    <w:p>
      <w:pPr>
        <w:spacing w:after="0" w:line="204"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2025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23, 2025</w:t>
            </w: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L. Gelfond</w:t>
            </w:r>
          </w:p>
        </w:tc>
      </w:tr>
      <w:tr>
        <w:trPr>
          <w:trHeight w:val="216"/>
        </w:trPr>
        <w:tc>
          <w:tcPr>
            <w:tcW w:w="8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L. Gelfond</w:t>
            </w:r>
          </w:p>
        </w:tc>
      </w:tr>
      <w:tr>
        <w:trPr>
          <w:trHeight w:val="233"/>
        </w:trPr>
        <w:tc>
          <w:tcPr>
            <w:tcW w:w="8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56" w:right="33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25"/>
          <w:szCs w:val="25"/>
          <w:b w:val="1"/>
          <w:bCs w:val="1"/>
          <w:color w:val="auto"/>
        </w:rPr>
        <w:t>IMAX CORPORATION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Exhibit 32.2</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(Subsections (A) and (B) of Section 1350, Chapter 63 of Title 18, United States Code)</w:t>
      </w:r>
    </w:p>
    <w:p>
      <w:pPr>
        <w:spacing w:after="0" w:line="200" w:lineRule="exact"/>
        <w:rPr>
          <w:sz w:val="20"/>
          <w:szCs w:val="20"/>
          <w:color w:val="auto"/>
        </w:rPr>
      </w:pPr>
    </w:p>
    <w:p>
      <w:pPr>
        <w:spacing w:after="0" w:line="283" w:lineRule="exact"/>
        <w:rPr>
          <w:sz w:val="20"/>
          <w:szCs w:val="20"/>
          <w:color w:val="auto"/>
        </w:rPr>
      </w:pPr>
    </w:p>
    <w:p>
      <w:pPr>
        <w:jc w:val="both"/>
        <w:ind w:firstLine="643"/>
        <w:spacing w:after="0" w:line="279"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I, Natasha Fernandes, Chief Financial Officer of IMAX Corporation, a Canadian corporation (the “Company”), hereby certify, to my knowledge, that:</w:t>
      </w:r>
    </w:p>
    <w:p>
      <w:pPr>
        <w:spacing w:after="0" w:line="189" w:lineRule="exact"/>
        <w:rPr>
          <w:sz w:val="20"/>
          <w:szCs w:val="20"/>
          <w:color w:val="auto"/>
        </w:rPr>
      </w:pPr>
    </w:p>
    <w:p>
      <w:pPr>
        <w:jc w:val="both"/>
        <w:ind w:firstLine="643"/>
        <w:spacing w:after="0" w:line="263" w:lineRule="auto"/>
        <w:rPr>
          <w:sz w:val="20"/>
          <w:szCs w:val="20"/>
          <w:color w:val="auto"/>
        </w:rPr>
      </w:pPr>
      <w:r>
        <w:rPr>
          <w:rFonts w:ascii="Times New Roman" w:cs="Times New Roman" w:eastAsia="Times New Roman" w:hAnsi="Times New Roman"/>
          <w:sz w:val="18"/>
          <w:szCs w:val="18"/>
          <w:color w:val="auto"/>
        </w:rPr>
        <w:t>The Quarterly Report on Form 10-Q for the quarter ended September 30, 2025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23, 2025</w:t>
            </w: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Natasha Fernandes</w:t>
            </w:r>
          </w:p>
        </w:tc>
      </w:tr>
      <w:tr>
        <w:trPr>
          <w:trHeight w:val="216"/>
        </w:trPr>
        <w:tc>
          <w:tcPr>
            <w:tcW w:w="8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78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Natasha Fernandes</w:t>
            </w:r>
          </w:p>
        </w:tc>
      </w:tr>
      <w:tr>
        <w:trPr>
          <w:trHeight w:val="179"/>
        </w:trPr>
        <w:tc>
          <w:tcPr>
            <w:tcW w:w="80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780" w:type="dxa"/>
            <w:vAlign w:val="bottom"/>
          </w:tcPr>
          <w:p>
            <w:pPr>
              <w:ind w:left="2020"/>
              <w:spacing w:after="0" w:line="179" w:lineRule="exact"/>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rPr>
              <w:t>Chief Financial Officer &amp; Executive Vice</w:t>
            </w:r>
          </w:p>
        </w:tc>
      </w:tr>
      <w:tr>
        <w:trPr>
          <w:trHeight w:val="233"/>
        </w:trPr>
        <w:tc>
          <w:tcPr>
            <w:tcW w:w="8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 w:lineRule="exact"/>
        <w:rPr>
          <w:sz w:val="20"/>
          <w:szCs w:val="20"/>
          <w:color w:val="auto"/>
        </w:rPr>
      </w:pPr>
    </w:p>
    <w:sectPr>
      <w:pgSz w:w="11900" w:h="16838" w:orient="portrait"/>
      <w:cols w:equalWidth="0" w:num="1">
        <w:col w:w="11240"/>
      </w:cols>
      <w:pgMar w:left="320" w:top="7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25ACE2"/>
    <w:multiLevelType w:val="hybridMultilevel"/>
    <w:lvl w:ilvl="0">
      <w:lvlJc w:val="left"/>
      <w:lvlText w:val="☒"/>
      <w:numFmt w:val="bullet"/>
      <w:start w:val="1"/>
    </w:lvl>
  </w:abstractNum>
  <w:abstractNum w:abstractNumId="1">
    <w:nsid w:val="175DFCF0"/>
    <w:multiLevelType w:val="hybridMultilevel"/>
    <w:lvl w:ilvl="0">
      <w:lvlJc w:val="left"/>
      <w:lvlText w:val="☐"/>
      <w:numFmt w:val="bullet"/>
      <w:start w:val="1"/>
    </w:lvl>
  </w:abstractNum>
  <w:abstractNum w:abstractNumId="2">
    <w:nsid w:val="4F97E3E4"/>
    <w:multiLevelType w:val="hybridMultilevel"/>
    <w:lvl w:ilvl="0">
      <w:lvlJc w:val="left"/>
      <w:lvlText w:val="%1."/>
      <w:numFmt w:val="decimal"/>
      <w:start w:val="1"/>
    </w:lvl>
  </w:abstractNum>
  <w:abstractNum w:abstractNumId="3">
    <w:nsid w:val="53B0A9E"/>
    <w:multiLevelType w:val="hybridMultilevel"/>
    <w:lvl w:ilvl="0">
      <w:lvlJc w:val="left"/>
      <w:lvlText w:val="(%1)"/>
      <w:numFmt w:val="lowerRoman"/>
      <w:start w:val="4"/>
    </w:lvl>
  </w:abstractNum>
  <w:abstractNum w:abstractNumId="4">
    <w:nsid w:val="34FD6B4F"/>
    <w:multiLevelType w:val="hybridMultilevel"/>
    <w:lvl w:ilvl="0">
      <w:lvlJc w:val="left"/>
      <w:lvlText w:val="(%1)"/>
      <w:numFmt w:val="lowerRoman"/>
      <w:start w:val="6"/>
    </w:lvl>
  </w:abstractNum>
  <w:abstractNum w:abstractNumId="5">
    <w:nsid w:val="5915FF32"/>
    <w:multiLevelType w:val="hybridMultilevel"/>
    <w:lvl w:ilvl="0">
      <w:lvlJc w:val="left"/>
      <w:lvlText w:val="(%1)"/>
      <w:numFmt w:val="lowerRoman"/>
      <w:start w:val="9"/>
    </w:lvl>
  </w:abstractNum>
  <w:abstractNum w:abstractNumId="6">
    <w:nsid w:val="56438D15"/>
    <w:multiLevelType w:val="hybridMultilevel"/>
    <w:lvl w:ilvl="0">
      <w:lvlJc w:val="left"/>
      <w:lvlText w:val="%1."/>
      <w:numFmt w:val="decimal"/>
      <w:start w:val="2"/>
    </w:lvl>
  </w:abstractNum>
  <w:abstractNum w:abstractNumId="7">
    <w:nsid w:val="519E3149"/>
    <w:multiLevelType w:val="hybridMultilevel"/>
    <w:lvl w:ilvl="0">
      <w:lvlJc w:val="left"/>
      <w:lvlText w:val="%1."/>
      <w:numFmt w:val="decimal"/>
      <w:start w:val="4"/>
    </w:lvl>
  </w:abstractNum>
  <w:abstractNum w:abstractNumId="8">
    <w:nsid w:val="2C6E4AFD"/>
    <w:multiLevelType w:val="hybridMultilevel"/>
    <w:lvl w:ilvl="0">
      <w:lvlJc w:val="left"/>
      <w:lvlText w:val="%1."/>
      <w:numFmt w:val="decimal"/>
      <w:start w:val="5"/>
    </w:lvl>
  </w:abstractNum>
  <w:abstractNum w:abstractNumId="9">
    <w:nsid w:val="17A1B582"/>
    <w:multiLevelType w:val="hybridMultilevel"/>
    <w:lvl w:ilvl="0">
      <w:lvlJc w:val="left"/>
      <w:lvlText w:val="%1."/>
      <w:numFmt w:val="decimal"/>
      <w:start w:val="6"/>
    </w:lvl>
  </w:abstractNum>
  <w:abstractNum w:abstractNumId="10">
    <w:nsid w:val="4DF72E4E"/>
    <w:multiLevelType w:val="hybridMultilevel"/>
    <w:lvl w:ilvl="0">
      <w:lvlJc w:val="left"/>
      <w:lvlText w:val="(%1)"/>
      <w:numFmt w:val="decimal"/>
      <w:start w:val="737"/>
    </w:lvl>
  </w:abstractNum>
  <w:abstractNum w:abstractNumId="11">
    <w:nsid w:val="5046B5A9"/>
    <w:multiLevelType w:val="hybridMultilevel"/>
    <w:lvl w:ilvl="0">
      <w:lvlJc w:val="left"/>
      <w:lvlText w:val="%1."/>
      <w:numFmt w:val="decimal"/>
      <w:start w:val="7"/>
    </w:lvl>
  </w:abstractNum>
  <w:abstractNum w:abstractNumId="12">
    <w:nsid w:val="5D888A08"/>
    <w:multiLevelType w:val="hybridMultilevel"/>
    <w:lvl w:ilvl="0">
      <w:lvlJc w:val="left"/>
      <w:lvlText w:val="%1."/>
      <w:numFmt w:val="decimal"/>
      <w:start w:val="8"/>
    </w:lvl>
  </w:abstractNum>
  <w:abstractNum w:abstractNumId="13">
    <w:nsid w:val="2A082C70"/>
    <w:multiLevelType w:val="hybridMultilevel"/>
    <w:lvl w:ilvl="0">
      <w:lvlJc w:val="left"/>
      <w:lvlText w:val="(%1)"/>
      <w:numFmt w:val="decimal"/>
      <w:start w:val="1"/>
    </w:lvl>
  </w:abstractNum>
  <w:abstractNum w:abstractNumId="14">
    <w:nsid w:val="5EC6AFD4"/>
    <w:multiLevelType w:val="hybridMultilevel"/>
    <w:lvl w:ilvl="0">
      <w:lvlJc w:val="left"/>
      <w:lvlText w:val="(%1)"/>
      <w:numFmt w:val="decimal"/>
      <w:start w:val="1"/>
    </w:lvl>
  </w:abstractNum>
  <w:abstractNum w:abstractNumId="15">
    <w:nsid w:val="19E21BB2"/>
    <w:multiLevelType w:val="hybridMultilevel"/>
    <w:lvl w:ilvl="0">
      <w:lvlJc w:val="left"/>
      <w:lvlText w:val="(%1)"/>
      <w:numFmt w:val="decimal"/>
      <w:start w:val="1"/>
    </w:lvl>
  </w:abstractNum>
  <w:abstractNum w:abstractNumId="16">
    <w:nsid w:val="75E0858A"/>
    <w:multiLevelType w:val="hybridMultilevel"/>
    <w:lvl w:ilvl="0">
      <w:lvlJc w:val="left"/>
      <w:lvlText w:val="\emdash "/>
      <w:numFmt w:val="bullet"/>
      <w:start w:val="1"/>
    </w:lvl>
  </w:abstractNum>
  <w:abstractNum w:abstractNumId="17">
    <w:nsid w:val="57A61A29"/>
    <w:multiLevelType w:val="hybridMultilevel"/>
    <w:lvl w:ilvl="0">
      <w:lvlJc w:val="left"/>
      <w:lvlText w:val="(%1)"/>
      <w:numFmt w:val="decimal"/>
      <w:start w:val="1"/>
    </w:lvl>
  </w:abstractNum>
  <w:abstractNum w:abstractNumId="18">
    <w:nsid w:val="5399C654"/>
    <w:multiLevelType w:val="hybridMultilevel"/>
    <w:lvl w:ilvl="0">
      <w:lvlJc w:val="left"/>
      <w:lvlText w:val="(%1)"/>
      <w:numFmt w:val="decimal"/>
      <w:start w:val="1"/>
    </w:lvl>
  </w:abstractNum>
  <w:abstractNum w:abstractNumId="19">
    <w:nsid w:val="20EE1348"/>
    <w:multiLevelType w:val="hybridMultilevel"/>
    <w:lvl w:ilvl="0">
      <w:lvlJc w:val="left"/>
      <w:lvlText w:val="(%1)"/>
      <w:numFmt w:val="decimal"/>
      <w:start w:val="1"/>
    </w:lvl>
  </w:abstractNum>
  <w:abstractNum w:abstractNumId="20">
    <w:nsid w:val="4427069A"/>
    <w:multiLevelType w:val="hybridMultilevel"/>
    <w:lvl w:ilvl="0">
      <w:lvlJc w:val="left"/>
      <w:lvlText w:val="(%1)"/>
      <w:numFmt w:val="decimal"/>
      <w:start w:val="1"/>
    </w:lvl>
  </w:abstractNum>
  <w:abstractNum w:abstractNumId="21">
    <w:nsid w:val="B37E80A"/>
    <w:multiLevelType w:val="hybridMultilevel"/>
    <w:lvl w:ilvl="0">
      <w:lvlJc w:val="left"/>
      <w:lvlText w:val="(%1)"/>
      <w:numFmt w:val="decimal"/>
      <w:start w:val="1"/>
    </w:lvl>
  </w:abstractNum>
  <w:abstractNum w:abstractNumId="22">
    <w:nsid w:val="2157F6BC"/>
    <w:multiLevelType w:val="hybridMultilevel"/>
    <w:lvl w:ilvl="0">
      <w:lvlJc w:val="left"/>
      <w:lvlText w:val="•"/>
      <w:numFmt w:val="bullet"/>
      <w:start w:val="1"/>
    </w:lvl>
  </w:abstractNum>
  <w:abstractNum w:abstractNumId="23">
    <w:nsid w:val="704E1DD5"/>
    <w:multiLevelType w:val="hybridMultilevel"/>
    <w:lvl w:ilvl="0">
      <w:lvlJc w:val="left"/>
      <w:lvlText w:val="•"/>
      <w:numFmt w:val="bullet"/>
      <w:start w:val="1"/>
    </w:lvl>
  </w:abstractNum>
  <w:abstractNum w:abstractNumId="24">
    <w:nsid w:val="57D2F10E"/>
    <w:multiLevelType w:val="hybridMultilevel"/>
    <w:lvl w:ilvl="0">
      <w:lvlJc w:val="left"/>
      <w:lvlText w:val="(%1)"/>
      <w:numFmt w:val="decimal"/>
      <w:start w:val="1"/>
    </w:lvl>
  </w:abstractNum>
  <w:abstractNum w:abstractNumId="25">
    <w:nsid w:val="BFFAE18"/>
    <w:multiLevelType w:val="hybridMultilevel"/>
    <w:lvl w:ilvl="0">
      <w:lvlJc w:val="left"/>
      <w:lvlText w:val="(%1)"/>
      <w:numFmt w:val="decimal"/>
      <w:start w:val="1"/>
    </w:lvl>
  </w:abstractNum>
  <w:abstractNum w:abstractNumId="26">
    <w:nsid w:val="E3E47A8"/>
    <w:multiLevelType w:val="hybridMultilevel"/>
    <w:lvl w:ilvl="0">
      <w:lvlJc w:val="left"/>
      <w:lvlText w:val="%1."/>
      <w:numFmt w:val="decimal"/>
      <w:start w:val="1"/>
    </w:lvl>
  </w:abstractNum>
  <w:abstractNum w:abstractNumId="27">
    <w:nsid w:val="2E48F044"/>
    <w:multiLevelType w:val="hybridMultilevel"/>
    <w:lvl w:ilvl="0">
      <w:lvlJc w:val="left"/>
      <w:lvlText w:val="%1."/>
      <w:numFmt w:val="decimal"/>
      <w:start w:val="3"/>
    </w:lvl>
  </w:abstractNum>
  <w:abstractNum w:abstractNumId="28">
    <w:nsid w:val="49D0FEAC"/>
    <w:multiLevelType w:val="hybridMultilevel"/>
    <w:lvl w:ilvl="0">
      <w:lvlJc w:val="left"/>
      <w:lvlText w:val="(%1)"/>
      <w:numFmt w:val="decimal"/>
      <w:start w:val="1"/>
    </w:lvl>
  </w:abstractNum>
  <w:abstractNum w:abstractNumId="29">
    <w:nsid w:val="4BEE5A5B"/>
    <w:multiLevelType w:val="hybridMultilevel"/>
    <w:lvl w:ilvl="0">
      <w:lvlJc w:val="left"/>
      <w:lvlText w:val="(%1)"/>
      <w:numFmt w:val="decimal"/>
      <w:start w:val="1"/>
    </w:lvl>
  </w:abstractNum>
  <w:abstractNum w:abstractNumId="30">
    <w:nsid w:val="5551B9F3"/>
    <w:multiLevelType w:val="hybridMultilevel"/>
    <w:lvl w:ilvl="0">
      <w:lvlJc w:val="left"/>
      <w:lvlText w:val="(%1)"/>
      <w:numFmt w:val="decimal"/>
      <w:start w:val="1"/>
    </w:lvl>
  </w:abstractNum>
  <w:abstractNum w:abstractNumId="31">
    <w:nsid w:val="24F6AB8E"/>
    <w:multiLevelType w:val="hybridMultilevel"/>
    <w:lvl w:ilvl="0">
      <w:lvlJc w:val="left"/>
      <w:lvlText w:val="(%1)"/>
      <w:numFmt w:val="decimal"/>
      <w:start w:val="1"/>
    </w:lvl>
  </w:abstractNum>
  <w:abstractNum w:abstractNumId="32">
    <w:nsid w:val="634C574C"/>
    <w:multiLevelType w:val="hybridMultilevel"/>
    <w:lvl w:ilvl="0">
      <w:lvlJc w:val="left"/>
      <w:lvlText w:val="(%1)"/>
      <w:numFmt w:val="decimal"/>
      <w:start w:val="1"/>
    </w:lvl>
  </w:abstractNum>
  <w:abstractNum w:abstractNumId="33">
    <w:nsid w:val="24E99DD7"/>
    <w:multiLevelType w:val="hybridMultilevel"/>
    <w:lvl w:ilvl="0">
      <w:lvlJc w:val="left"/>
      <w:lvlText w:val="(%1)"/>
      <w:numFmt w:val="decimal"/>
      <w:start w:val="1"/>
    </w:lvl>
  </w:abstractNum>
  <w:abstractNum w:abstractNumId="34">
    <w:nsid w:val="2A31B62D"/>
    <w:multiLevelType w:val="hybridMultilevel"/>
    <w:lvl w:ilvl="0">
      <w:lvlJc w:val="left"/>
      <w:lvlText w:val="(%1)"/>
      <w:numFmt w:val="decimal"/>
      <w:start w:val="1"/>
    </w:lvl>
  </w:abstractNum>
  <w:abstractNum w:abstractNumId="35">
    <w:nsid w:val="1849C29B"/>
    <w:multiLevelType w:val="hybridMultilevel"/>
    <w:lvl w:ilvl="0">
      <w:lvlJc w:val="left"/>
      <w:lvlText w:val="(%1)"/>
      <w:numFmt w:val="decimal"/>
      <w:start w:val="1"/>
    </w:lvl>
  </w:abstractNum>
  <w:abstractNum w:abstractNumId="36">
    <w:nsid w:val="7DFF9D09"/>
    <w:multiLevelType w:val="hybridMultilevel"/>
    <w:lvl w:ilvl="0">
      <w:lvlJc w:val="left"/>
      <w:lvlText w:val="(%1)"/>
      <w:numFmt w:val="decimal"/>
      <w:start w:val="1"/>
    </w:lvl>
  </w:abstractNum>
  <w:abstractNum w:abstractNumId="37">
    <w:nsid w:val="754342"/>
    <w:multiLevelType w:val="hybridMultilevel"/>
    <w:lvl w:ilvl="0">
      <w:lvlJc w:val="left"/>
      <w:lvlText w:val="(%1)"/>
      <w:numFmt w:val="decimal"/>
      <w:start w:val="1"/>
    </w:lvl>
  </w:abstractNum>
  <w:abstractNum w:abstractNumId="38">
    <w:nsid w:val="69E7F3E5"/>
    <w:multiLevelType w:val="hybridMultilevel"/>
    <w:lvl w:ilvl="0">
      <w:lvlJc w:val="left"/>
      <w:lvlText w:val="(%1)"/>
      <w:numFmt w:val="decimal"/>
      <w:start w:val="1"/>
    </w:lvl>
  </w:abstractNum>
  <w:abstractNum w:abstractNumId="39">
    <w:nsid w:val="2A6DE806"/>
    <w:multiLevelType w:val="hybridMultilevel"/>
    <w:lvl w:ilvl="0">
      <w:lvlJc w:val="left"/>
      <w:lvlText w:val="•"/>
      <w:numFmt w:val="bullet"/>
      <w:start w:val="1"/>
    </w:lvl>
  </w:abstractNum>
  <w:abstractNum w:abstractNumId="40">
    <w:nsid w:val="1816F8C4"/>
    <w:multiLevelType w:val="hybridMultilevel"/>
    <w:lvl w:ilvl="0">
      <w:lvlJc w:val="left"/>
      <w:lvlText w:val="(%1)"/>
      <w:numFmt w:val="decimal"/>
      <w:start w:val="1"/>
    </w:lvl>
  </w:abstractNum>
  <w:abstractNum w:abstractNumId="41">
    <w:nsid w:val="37DF2233"/>
    <w:multiLevelType w:val="hybridMultilevel"/>
    <w:lvl w:ilvl="0">
      <w:lvlJc w:val="left"/>
      <w:lvlText w:val="(%1)"/>
      <w:numFmt w:val="decimal"/>
      <w:start w:val="1"/>
    </w:lvl>
  </w:abstractNum>
  <w:abstractNum w:abstractNumId="42">
    <w:nsid w:val="7AB49DAF"/>
    <w:multiLevelType w:val="hybridMultilevel"/>
    <w:lvl w:ilvl="0">
      <w:lvlJc w:val="left"/>
      <w:lvlText w:val="(%1)"/>
      <w:numFmt w:val="lowerLetter"/>
      <w:start w:val="1"/>
    </w:lvl>
  </w:abstractNum>
  <w:abstractNum w:abstractNumId="43">
    <w:nsid w:val="759F82CD"/>
    <w:multiLevelType w:val="hybridMultilevel"/>
    <w:lvl w:ilvl="0">
      <w:lvlJc w:val="left"/>
      <w:lvlText w:val="1"/>
      <w:numFmt w:val="bullet"/>
      <w:start w:val="1"/>
    </w:lvl>
  </w:abstractNum>
  <w:abstractNum w:abstractNumId="44">
    <w:nsid w:val="61E74EA3"/>
    <w:multiLevelType w:val="hybridMultilevel"/>
    <w:lvl w:ilvl="0">
      <w:lvlJc w:val="left"/>
      <w:lvlText w:val="(%1)"/>
      <w:numFmt w:val="lowerLetter"/>
      <w:start w:val="1"/>
    </w:lvl>
  </w:abstractNum>
  <w:abstractNum w:abstractNumId="45">
    <w:nsid w:val="597B4D84"/>
    <w:multiLevelType w:val="hybridMultilevel"/>
    <w:lvl w:ilvl="0">
      <w:lvlJc w:val="left"/>
      <w:lvlText w:val="2"/>
      <w:numFmt w:val="bullet"/>
      <w:start w:val="1"/>
    </w:lvl>
  </w:abstractNum>
  <w:abstractNum w:abstractNumId="46">
    <w:nsid w:val="F819E7F"/>
    <w:multiLevelType w:val="hybridMultilevel"/>
    <w:lvl w:ilvl="0">
      <w:lvlJc w:val="left"/>
      <w:lvlText w:val="(%1)"/>
      <w:numFmt w:val="lowerLetter"/>
      <w:start w:val="1"/>
    </w:lvl>
  </w:abstractNum>
  <w:abstractNum w:abstractNumId="47">
    <w:nsid w:val="57C7D42D"/>
    <w:multiLevelType w:val="hybridMultilevel"/>
    <w:lvl w:ilvl="0">
      <w:lvlJc w:val="left"/>
      <w:lvlText w:val="(%1)"/>
      <w:numFmt w:val="lowerRoman"/>
      <w:start w:val="1"/>
    </w:lvl>
  </w:abstractNum>
  <w:abstractNum w:abstractNumId="48">
    <w:nsid w:val="312167AD"/>
    <w:multiLevelType w:val="hybridMultilevel"/>
    <w:lvl w:ilvl="0">
      <w:lvlJc w:val="left"/>
      <w:lvlText w:val="1"/>
      <w:numFmt w:val="bullet"/>
      <w:start w:val="1"/>
    </w:lvl>
  </w:abstractNum>
  <w:abstractNum w:abstractNumId="49">
    <w:nsid w:val="631B64D4"/>
    <w:multiLevelType w:val="hybridMultilevel"/>
    <w:lvl w:ilvl="0">
      <w:lvlJc w:val="left"/>
      <w:lvlText w:val="2"/>
      <w:numFmt w:val="bullet"/>
      <w:start w:val="1"/>
    </w:lvl>
  </w:abstractNum>
  <w:abstractNum w:abstractNumId="50">
    <w:nsid w:val="78B5E776"/>
    <w:multiLevelType w:val="hybridMultilevel"/>
    <w:lvl w:ilvl="0">
      <w:lvlJc w:val="left"/>
      <w:lvlText w:val="3"/>
      <w:numFmt w:val="bullet"/>
      <w:start w:val="1"/>
    </w:lvl>
  </w:abstractNum>
  <w:abstractNum w:abstractNumId="51">
    <w:nsid w:val="75486E47"/>
    <w:multiLevelType w:val="hybridMultilevel"/>
    <w:lvl w:ilvl="0">
      <w:lvlJc w:val="left"/>
      <w:lvlText w:val="4"/>
      <w:numFmt w:val="bullet"/>
      <w:start w:val="1"/>
    </w:lvl>
  </w:abstractNum>
  <w:abstractNum w:abstractNumId="52">
    <w:nsid w:val="6E534CDE"/>
    <w:multiLevelType w:val="hybridMultilevel"/>
    <w:lvl w:ilvl="0">
      <w:lvlJc w:val="left"/>
      <w:lvlText w:val="(%1)"/>
      <w:numFmt w:val="lowerLetter"/>
      <w:start w:val="1"/>
    </w:lvl>
  </w:abstractNum>
  <w:abstractNum w:abstractNumId="53">
    <w:nsid w:val="1A0DDE32"/>
    <w:multiLevelType w:val="hybridMultilevel"/>
    <w:lvl w:ilvl="0">
      <w:lvlJc w:val="left"/>
      <w:lvlText w:val="(%1)"/>
      <w:numFmt w:val="lowerLetter"/>
      <w:start w:val="1"/>
    </w:lvl>
  </w:abstractNum>
  <w:abstractNum w:abstractNumId="54">
    <w:nsid w:val="65968C1C"/>
    <w:multiLevelType w:val="hybridMultilevel"/>
    <w:lvl w:ilvl="0">
      <w:lvlJc w:val="left"/>
      <w:lvlText w:val="(%1)"/>
      <w:numFmt w:val="lowerLetter"/>
      <w:start w:val="1"/>
    </w:lvl>
  </w:abstractNum>
  <w:abstractNum w:abstractNumId="55">
    <w:nsid w:val="46263DEC"/>
    <w:multiLevelType w:val="hybridMultilevel"/>
    <w:lvl w:ilvl="0">
      <w:lvlJc w:val="left"/>
      <w:lvlText w:val="(%1)"/>
      <w:numFmt w:val="lowerLetter"/>
      <w:start w:val="1"/>
    </w:lvl>
  </w:abstractNum>
  <w:abstractNum w:abstractNumId="56">
    <w:nsid w:val="260D8C4A"/>
    <w:multiLevelType w:val="hybridMultilevel"/>
    <w:lvl w:ilvl="0">
      <w:lvlJc w:val="left"/>
      <w:lvlText w:val="(%1)"/>
      <w:numFmt w:val="lowerLetter"/>
      <w:start w:val="1"/>
    </w:lvl>
  </w:abstractNum>
  <w:abstractNum w:abstractNumId="57">
    <w:nsid w:val="73D4D3C4"/>
    <w:multiLevelType w:val="hybridMultilevel"/>
    <w:lvl w:ilvl="0">
      <w:lvlJc w:val="left"/>
      <w:lvlText w:val="(%1)"/>
      <w:numFmt w:val="lowerLetter"/>
      <w:start w:val="2"/>
    </w:lvl>
  </w:abstractNum>
  <w:abstractNum w:abstractNumId="58">
    <w:nsid w:val="746F2E30"/>
    <w:multiLevelType w:val="hybridMultilevel"/>
    <w:lvl w:ilvl="0">
      <w:lvlJc w:val="left"/>
      <w:lvlText w:val="(%1)"/>
      <w:numFmt w:val="lowerLetter"/>
      <w:start w:val="1"/>
    </w:lvl>
  </w:abstractNum>
  <w:abstractNum w:abstractNumId="59">
    <w:nsid w:val="6FDE8AF6"/>
    <w:multiLevelType w:val="hybridMultilevel"/>
    <w:lvl w:ilvl="0">
      <w:lvlJc w:val="left"/>
      <w:lvlText w:val="(%1)"/>
      <w:numFmt w:val="lowerLetter"/>
      <w:start w:val="1"/>
    </w:lvl>
    <w:lvl w:ilvl="1">
      <w:lvlJc w:val="left"/>
      <w:lvlText w:val="(%2)"/>
      <w:numFmt w:val="lowerRoman"/>
      <w:start w:val="1"/>
    </w:lvl>
  </w:abstractNum>
  <w:abstractNum w:abstractNumId="60">
    <w:nsid w:val="3FC32E20"/>
    <w:multiLevelType w:val="hybridMultilevel"/>
    <w:lvl w:ilvl="0">
      <w:lvlJc w:val="left"/>
      <w:lvlText w:val="(%1)"/>
      <w:numFmt w:val="lowerRoman"/>
      <w:start w:val="7"/>
    </w:lvl>
  </w:abstractNum>
  <w:abstractNum w:abstractNumId="61">
    <w:nsid w:val="49C0E823"/>
    <w:multiLevelType w:val="hybridMultilevel"/>
    <w:lvl w:ilvl="0">
      <w:lvlJc w:val="left"/>
      <w:lvlText w:val="(%1)"/>
      <w:numFmt w:val="lowerLetter"/>
      <w:start w:val="2"/>
    </w:lvl>
    <w:lvl w:ilvl="1">
      <w:lvlJc w:val="left"/>
      <w:lvlText w:val="(%2)"/>
      <w:numFmt w:val="lowerRoman"/>
      <w:start w:val="1"/>
    </w:lvl>
  </w:abstractNum>
  <w:abstractNum w:abstractNumId="62">
    <w:nsid w:val="14D53685"/>
    <w:multiLevelType w:val="hybridMultilevel"/>
    <w:lvl w:ilvl="0">
      <w:lvlJc w:val="left"/>
      <w:lvlText w:val="(%1)"/>
      <w:numFmt w:val="lowerLetter"/>
      <w:start w:val="1"/>
    </w:lvl>
  </w:abstractNum>
  <w:abstractNum w:abstractNumId="63">
    <w:nsid w:val="230F856C"/>
    <w:multiLevelType w:val="hybridMultilevel"/>
    <w:lvl w:ilvl="0">
      <w:lvlJc w:val="left"/>
      <w:lvlText w:val="(%1)"/>
      <w:numFmt w:val="lowerRoman"/>
      <w:start w:val="1"/>
    </w:lvl>
  </w:abstractNum>
  <w:abstractNum w:abstractNumId="64">
    <w:nsid w:val="6EAA85FB"/>
    <w:multiLevelType w:val="hybridMultilevel"/>
    <w:lvl w:ilvl="0">
      <w:lvlJc w:val="left"/>
      <w:lvlText w:val="(%1)"/>
      <w:numFmt w:val="lowerRoman"/>
      <w:start w:val="3"/>
    </w:lvl>
  </w:abstractNum>
  <w:abstractNum w:abstractNumId="65">
    <w:nsid w:val="3F06ECB2"/>
    <w:multiLevelType w:val="hybridMultilevel"/>
    <w:lvl w:ilvl="0">
      <w:lvlJc w:val="left"/>
      <w:lvlText w:val="%1"/>
      <w:numFmt w:val="lowerLetter"/>
      <w:start w:val="1"/>
    </w:lvl>
    <w:lvl w:ilvl="1">
      <w:lvlJc w:val="left"/>
      <w:lvlText w:val="(%2)"/>
      <w:numFmt w:val="lowerLetter"/>
      <w:start w:val="1"/>
    </w:lvl>
  </w:abstractNum>
  <w:abstractNum w:abstractNumId="66">
    <w:nsid w:val="3B594807"/>
    <w:multiLevelType w:val="hybridMultilevel"/>
    <w:lvl w:ilvl="0">
      <w:lvlJc w:val="left"/>
      <w:lvlText w:val="(%1)"/>
      <w:numFmt w:val="lowerLetter"/>
      <w:start w:val="8"/>
    </w:lvl>
    <w:lvl w:ilvl="1">
      <w:lvlJc w:val="left"/>
      <w:lvlText w:val="%2"/>
      <w:numFmt w:val="lowerLetter"/>
      <w:start w:val="1"/>
    </w:lvl>
  </w:abstractNum>
  <w:abstractNum w:abstractNumId="67">
    <w:nsid w:val="6CAA2304"/>
    <w:multiLevelType w:val="hybridMultilevel"/>
    <w:lvl w:ilvl="0">
      <w:lvlJc w:val="left"/>
      <w:lvlText w:val="(%1)"/>
      <w:numFmt w:val="lowerLetter"/>
      <w:start w:val="1"/>
    </w:lvl>
  </w:abstractNum>
  <w:abstractNum w:abstractNumId="68">
    <w:nsid w:val="3F7C2FF4"/>
    <w:multiLevelType w:val="hybridMultilevel"/>
    <w:lvl w:ilvl="0">
      <w:lvlJc w:val="left"/>
      <w:lvlText w:val="(%1)"/>
      <w:numFmt w:val="lowerLetter"/>
      <w:start w:val="1"/>
    </w:lvl>
  </w:abstractNum>
  <w:abstractNum w:abstractNumId="69">
    <w:nsid w:val="25413BEC"/>
    <w:multiLevelType w:val="hybridMultilevel"/>
    <w:lvl w:ilvl="0">
      <w:lvlJc w:val="left"/>
      <w:lvlText w:val="(%1)"/>
      <w:numFmt w:val="lowerLetter"/>
      <w:start w:val="1"/>
    </w:lvl>
  </w:abstractNum>
  <w:abstractNum w:abstractNumId="70">
    <w:nsid w:val="17180B0B"/>
    <w:multiLevelType w:val="hybridMultilevel"/>
    <w:lvl w:ilvl="0">
      <w:lvlJc w:val="left"/>
      <w:lvlText w:val="(%1)"/>
      <w:numFmt w:val="lowerLetter"/>
      <w:start w:val="1"/>
    </w:lvl>
  </w:abstractNum>
  <w:abstractNum w:abstractNumId="71">
    <w:nsid w:val="579328B9"/>
    <w:multiLevelType w:val="hybridMultilevel"/>
    <w:lvl w:ilvl="0">
      <w:lvlJc w:val="left"/>
      <w:lvlText w:val="(%1)"/>
      <w:numFmt w:val="lowerRoman"/>
      <w:start w:val="1"/>
    </w:lvl>
  </w:abstractNum>
  <w:abstractNum w:abstractNumId="72">
    <w:nsid w:val="5D205E20"/>
    <w:multiLevelType w:val="hybridMultilevel"/>
    <w:lvl w:ilvl="0">
      <w:lvlJc w:val="left"/>
      <w:lvlText w:val="(%1)"/>
      <w:numFmt w:val="lowerLetter"/>
      <w:start w:val="1"/>
    </w:lvl>
  </w:abstractNum>
  <w:abstractNum w:abstractNumId="73">
    <w:nsid w:val="11CCA8BA"/>
    <w:multiLevelType w:val="hybridMultilevel"/>
    <w:lvl w:ilvl="0">
      <w:lvlJc w:val="left"/>
      <w:lvlText w:val="(%1)"/>
      <w:numFmt w:val="lowerLetter"/>
      <w:start w:val="1"/>
    </w:lvl>
  </w:abstractNum>
  <w:abstractNum w:abstractNumId="74">
    <w:nsid w:val="4D32AB86"/>
    <w:multiLevelType w:val="hybridMultilevel"/>
    <w:lvl w:ilvl="0">
      <w:lvlJc w:val="left"/>
      <w:lvlText w:val="(%1)"/>
      <w:numFmt w:val="lowerLetter"/>
      <w:start w:val="1"/>
    </w:lvl>
  </w:abstractNum>
  <w:abstractNum w:abstractNumId="75">
    <w:nsid w:val="3F07ACC3"/>
    <w:multiLevelType w:val="hybridMultilevel"/>
    <w:lvl w:ilvl="0">
      <w:lvlJc w:val="left"/>
      <w:lvlText w:val="(%1)"/>
      <w:numFmt w:val="lowerLetter"/>
      <w:start w:val="6"/>
    </w:lvl>
  </w:abstractNum>
  <w:abstractNum w:abstractNumId="76">
    <w:nsid w:val="6B47F63E"/>
    <w:multiLevelType w:val="hybridMultilevel"/>
    <w:lvl w:ilvl="0">
      <w:lvlJc w:val="left"/>
      <w:lvlText w:val="(%1)"/>
      <w:numFmt w:val="lowerLetter"/>
      <w:start w:val="1"/>
    </w:lvl>
  </w:abstractNum>
  <w:abstractNum w:abstractNumId="77">
    <w:nsid w:val="5CB44A05"/>
    <w:multiLevelType w:val="hybridMultilevel"/>
    <w:lvl w:ilvl="0">
      <w:lvlJc w:val="left"/>
      <w:lvlText w:val="(%1)"/>
      <w:numFmt w:val="lowerLetter"/>
      <w:start w:val="2"/>
    </w:lvl>
  </w:abstractNum>
  <w:abstractNum w:abstractNumId="78">
    <w:nsid w:val="16CF80F1"/>
    <w:multiLevelType w:val="hybridMultilevel"/>
    <w:lvl w:ilvl="0">
      <w:lvlJc w:val="left"/>
      <w:lvlText w:val="(%1)"/>
      <w:numFmt w:val="lowerLetter"/>
      <w:start w:val="1"/>
    </w:lvl>
  </w:abstractNum>
  <w:abstractNum w:abstractNumId="79">
    <w:nsid w:val="1C695DEC"/>
    <w:multiLevelType w:val="hybridMultilevel"/>
    <w:lvl w:ilvl="0">
      <w:lvlJc w:val="left"/>
      <w:lvlText w:val="(%1)"/>
      <w:numFmt w:val="lowerLetter"/>
      <w:start w:val="3"/>
    </w:lvl>
  </w:abstractNum>
  <w:abstractNum w:abstractNumId="80">
    <w:nsid w:val="3FCFAED9"/>
    <w:multiLevelType w:val="hybridMultilevel"/>
    <w:lvl w:ilvl="0">
      <w:lvlJc w:val="left"/>
      <w:lvlText w:val="(%1)"/>
      <w:numFmt w:val="upperLetter"/>
      <w:start w:val="2"/>
    </w:lvl>
  </w:abstractNum>
  <w:abstractNum w:abstractNumId="81">
    <w:nsid w:val="F856867"/>
    <w:multiLevelType w:val="hybridMultilevel"/>
    <w:lvl w:ilvl="0">
      <w:lvlJc w:val="left"/>
      <w:lvlText w:val="(%1)"/>
      <w:numFmt w:val="lowerLetter"/>
      <w:start w:val="2"/>
    </w:lvl>
  </w:abstractNum>
  <w:abstractNum w:abstractNumId="82">
    <w:nsid w:val="11B1CC33"/>
    <w:multiLevelType w:val="hybridMultilevel"/>
    <w:lvl w:ilvl="0">
      <w:lvlJc w:val="left"/>
      <w:lvlText w:val="(%1)"/>
      <w:numFmt w:val="decimal"/>
      <w:start w:val="2"/>
    </w:lvl>
  </w:abstractNum>
  <w:abstractNum w:abstractNumId="83">
    <w:nsid w:val="2E22FBB7"/>
    <w:multiLevelType w:val="hybridMultilevel"/>
    <w:lvl w:ilvl="0">
      <w:lvlJc w:val="left"/>
      <w:lvlText w:val="(%1)"/>
      <w:numFmt w:val="lowerLetter"/>
      <w:start w:val="1"/>
    </w:lvl>
  </w:abstractNum>
  <w:abstractNum w:abstractNumId="84">
    <w:nsid w:val="29934699"/>
    <w:multiLevelType w:val="hybridMultilevel"/>
    <w:lvl w:ilvl="0">
      <w:lvlJc w:val="left"/>
      <w:lvlText w:val="(%1)"/>
      <w:numFmt w:val="lowerLetter"/>
      <w:start w:val="1"/>
    </w:lvl>
  </w:abstractNum>
  <w:abstractNum w:abstractNumId="85">
    <w:nsid w:val="77485850"/>
    <w:multiLevelType w:val="hybridMultilevel"/>
    <w:lvl w:ilvl="0">
      <w:lvlJc w:val="left"/>
      <w:lvlText w:val="(%1)"/>
      <w:numFmt w:val="lowerLetter"/>
      <w:start w:val="3"/>
    </w:lvl>
    <w:lvl w:ilvl="1">
      <w:lvlJc w:val="left"/>
      <w:lvlText w:val="(%2)"/>
      <w:numFmt w:val="lowerRoman"/>
      <w:start w:val="1"/>
    </w:lvl>
  </w:abstractNum>
  <w:abstractNum w:abstractNumId="86">
    <w:nsid w:val="744939A3"/>
    <w:multiLevelType w:val="hybridMultilevel"/>
    <w:lvl w:ilvl="0">
      <w:lvlJc w:val="left"/>
      <w:lvlText w:val="(%1)"/>
      <w:numFmt w:val="lowerRoman"/>
      <w:start w:val="3"/>
    </w:lvl>
  </w:abstractNum>
  <w:abstractNum w:abstractNumId="87">
    <w:nsid w:val="4FA0D2E3"/>
    <w:multiLevelType w:val="hybridMultilevel"/>
    <w:lvl w:ilvl="0">
      <w:lvlJc w:val="left"/>
      <w:lvlText w:val="(%1)"/>
      <w:numFmt w:val="lowerRoman"/>
      <w:start w:val="6"/>
    </w:lvl>
  </w:abstractNum>
  <w:abstractNum w:abstractNumId="88">
    <w:nsid w:val="6B1D2C14"/>
    <w:multiLevelType w:val="hybridMultilevel"/>
    <w:lvl w:ilvl="0">
      <w:lvlJc w:val="left"/>
      <w:lvlText w:val="(%1)"/>
      <w:numFmt w:val="lowerLetter"/>
      <w:start w:val="1"/>
    </w:lvl>
  </w:abstractNum>
  <w:abstractNum w:abstractNumId="89">
    <w:nsid w:val="68B867D3"/>
    <w:multiLevelType w:val="hybridMultilevel"/>
    <w:lvl w:ilvl="0">
      <w:lvlJc w:val="left"/>
      <w:lvlText w:val="(%1)"/>
      <w:numFmt w:val="lowerLetter"/>
      <w:start w:val="2"/>
    </w:lvl>
  </w:abstractNum>
  <w:abstractNum w:abstractNumId="90">
    <w:nsid w:val="3F7F5DD9"/>
    <w:multiLevelType w:val="hybridMultilevel"/>
    <w:lvl w:ilvl="0">
      <w:lvlJc w:val="left"/>
      <w:lvlText w:val="(%1)"/>
      <w:numFmt w:val="lowerLetter"/>
      <w:start w:val="1"/>
    </w:lvl>
  </w:abstractNum>
  <w:abstractNum w:abstractNumId="91">
    <w:nsid w:val="2AE05A34"/>
    <w:multiLevelType w:val="hybridMultilevel"/>
    <w:lvl w:ilvl="0">
      <w:lvlJc w:val="left"/>
      <w:lvlText w:val="(%1)"/>
      <w:numFmt w:val="lowerLetter"/>
      <w:start w:val="2"/>
    </w:lvl>
  </w:abstractNum>
  <w:abstractNum w:abstractNumId="92">
    <w:nsid w:val="32794FF7"/>
    <w:multiLevelType w:val="hybridMultilevel"/>
    <w:lvl w:ilvl="0">
      <w:lvlJc w:val="left"/>
      <w:lvlText w:val="(%1)"/>
      <w:numFmt w:val="lowerLetter"/>
      <w:start w:val="1"/>
    </w:lvl>
  </w:abstractNum>
  <w:abstractNum w:abstractNumId="93">
    <w:nsid w:val="5454945E"/>
    <w:multiLevelType w:val="hybridMultilevel"/>
    <w:lvl w:ilvl="0">
      <w:lvlJc w:val="left"/>
      <w:lvlText w:val="(%1)"/>
      <w:numFmt w:val="lowerLetter"/>
      <w:start w:val="4"/>
    </w:lvl>
  </w:abstractNum>
  <w:abstractNum w:abstractNumId="94">
    <w:nsid w:val="4DEFDFA0"/>
    <w:multiLevelType w:val="hybridMultilevel"/>
    <w:lvl w:ilvl="0">
      <w:lvlJc w:val="left"/>
      <w:lvlText w:val="(%1)"/>
      <w:numFmt w:val="lowerLetter"/>
      <w:start w:val="1"/>
    </w:lvl>
    <w:lvl w:ilvl="1">
      <w:lvlJc w:val="left"/>
      <w:lvlText w:val="(%2)"/>
      <w:numFmt w:val="lowerRoman"/>
      <w:start w:val="1"/>
    </w:lvl>
  </w:abstractNum>
  <w:abstractNum w:abstractNumId="95">
    <w:nsid w:val="2123D5F2"/>
    <w:multiLevelType w:val="hybridMultilevel"/>
    <w:lvl w:ilvl="0">
      <w:lvlJc w:val="left"/>
      <w:lvlText w:val="(%1)"/>
      <w:numFmt w:val="lowerLetter"/>
      <w:start w:val="2"/>
    </w:lvl>
    <w:lvl w:ilvl="1">
      <w:lvlJc w:val="left"/>
      <w:lvlText w:val="(%2)"/>
      <w:numFmt w:val="lowerRoman"/>
      <w:start w:val="1"/>
    </w:lvl>
  </w:abstractNum>
  <w:abstractNum w:abstractNumId="96">
    <w:nsid w:val="135B8110"/>
    <w:multiLevelType w:val="hybridMultilevel"/>
    <w:lvl w:ilvl="0">
      <w:lvlJc w:val="left"/>
      <w:lvlText w:val="(%1)"/>
      <w:numFmt w:val="lowerRoman"/>
      <w:start w:val="6"/>
    </w:lvl>
    <w:lvl w:ilvl="1">
      <w:lvlJc w:val="left"/>
      <w:lvlText w:val="(%2)"/>
      <w:numFmt w:val="upperLetter"/>
      <w:start w:val="1"/>
    </w:lvl>
  </w:abstractNum>
  <w:abstractNum w:abstractNumId="97">
    <w:nsid w:val="94927A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0"/>
    </w:lvl>
  </w:abstractNum>
  <w:abstractNum w:abstractNumId="98">
    <w:nsid w:val="DCDF8F6"/>
    <w:multiLevelType w:val="hybridMultilevel"/>
    <w:lvl w:ilvl="0">
      <w:lvlJc w:val="left"/>
      <w:lvlText w:val="(%1)"/>
      <w:numFmt w:val="lowerLetter"/>
      <w:start w:val="5"/>
    </w:lvl>
    <w:lvl w:ilvl="1">
      <w:lvlJc w:val="left"/>
      <w:lvlText w:val="(%2)"/>
      <w:numFmt w:val="lowerLetter"/>
      <w:start w:val="6"/>
    </w:lvl>
    <w:lvl w:ilvl="2">
      <w:lvlJc w:val="left"/>
      <w:lvlText w:val="%3"/>
      <w:numFmt w:val="lowerRoman"/>
      <w:start w:val="1"/>
    </w:lvl>
  </w:abstractNum>
  <w:abstractNum w:abstractNumId="99">
    <w:nsid w:val="52D7B105"/>
    <w:multiLevelType w:val="hybridMultilevel"/>
    <w:lvl w:ilvl="0">
      <w:lvlJc w:val="left"/>
      <w:lvlText w:val="(%1)"/>
      <w:numFmt w:val="lowerLetter"/>
      <w:start w:val="1"/>
    </w:lvl>
  </w:abstractNum>
  <w:abstractNum w:abstractNumId="100">
    <w:nsid w:val="2E8A6394"/>
    <w:multiLevelType w:val="hybridMultilevel"/>
    <w:lvl w:ilvl="0">
      <w:lvlJc w:val="left"/>
      <w:lvlText w:val="(%1)"/>
      <w:numFmt w:val="lowerLetter"/>
      <w:start w:val="4"/>
    </w:lvl>
    <w:lvl w:ilvl="1">
      <w:lvlJc w:val="left"/>
      <w:lvlText w:val="(%2)"/>
      <w:numFmt w:val="lowerLetter"/>
      <w:start w:val="35"/>
    </w:lvl>
  </w:abstractNum>
  <w:abstractNum w:abstractNumId="101">
    <w:nsid w:val="24E60401"/>
    <w:multiLevelType w:val="hybridMultilevel"/>
    <w:lvl w:ilvl="0">
      <w:lvlJc w:val="left"/>
      <w:lvlText w:val="%1"/>
      <w:numFmt w:val="lowerLetter"/>
      <w:start w:val="1"/>
    </w:lvl>
    <w:lvl w:ilvl="1">
      <w:lvlJc w:val="left"/>
      <w:lvlText w:val="(%2)"/>
      <w:numFmt w:val="lowerLetter"/>
      <w:start w:val="9"/>
    </w:lvl>
  </w:abstractNum>
  <w:abstractNum w:abstractNumId="102">
    <w:nsid w:val="2A6AD9BE"/>
    <w:multiLevelType w:val="hybridMultilevel"/>
    <w:lvl w:ilvl="0">
      <w:lvlJc w:val="left"/>
      <w:lvlText w:val="(%1)"/>
      <w:numFmt w:val="lowerRoman"/>
      <w:start w:val="2"/>
    </w:lvl>
    <w:lvl w:ilvl="1">
      <w:lvlJc w:val="left"/>
      <w:lvlText w:val="(%2)"/>
      <w:numFmt w:val="upperLetter"/>
      <w:start w:val="1"/>
    </w:lvl>
  </w:abstractNum>
  <w:abstractNum w:abstractNumId="103">
    <w:nsid w:val="BAAC1B4"/>
    <w:multiLevelType w:val="hybridMultilevel"/>
    <w:lvl w:ilvl="0">
      <w:lvlJc w:val="left"/>
      <w:lvlText w:val="(%1)"/>
      <w:numFmt w:val="upperLetter"/>
      <w:start w:val="1"/>
    </w:lvl>
  </w:abstractNum>
  <w:abstractNum w:abstractNumId="104">
    <w:nsid w:val="36B2ACBC"/>
    <w:multiLevelType w:val="hybridMultilevel"/>
    <w:lvl w:ilvl="0">
      <w:lvlJc w:val="left"/>
      <w:lvlText w:val="%1"/>
      <w:numFmt w:val="lowerRoman"/>
      <w:start w:val="1"/>
    </w:lvl>
    <w:lvl w:ilvl="1">
      <w:lvlJc w:val="left"/>
      <w:lvlText w:val="(%2)"/>
      <w:numFmt w:val="upperLetter"/>
      <w:start w:val="12"/>
    </w:lvl>
  </w:abstractNum>
  <w:abstractNum w:abstractNumId="105">
    <w:nsid w:val="779D8544"/>
    <w:multiLevelType w:val="hybridMultilevel"/>
    <w:lvl w:ilvl="0">
      <w:lvlJc w:val="left"/>
      <w:lvlText w:val="(%1)"/>
      <w:numFmt w:val="lowerRoman"/>
      <w:start w:val="4"/>
    </w:lvl>
    <w:lvl w:ilvl="1">
      <w:lvlJc w:val="left"/>
      <w:lvlText w:val="%2"/>
      <w:numFmt w:val="upperLetter"/>
      <w:start w:val="1"/>
    </w:lvl>
  </w:abstractNum>
  <w:abstractNum w:abstractNumId="106">
    <w:nsid w:val="4AB26E78"/>
    <w:multiLevelType w:val="hybridMultilevel"/>
    <w:lvl w:ilvl="0">
      <w:lvlJc w:val="left"/>
      <w:lvlText w:val="(%1)"/>
      <w:numFmt w:val="lowerLetter"/>
      <w:start w:val="1"/>
    </w:lvl>
  </w:abstractNum>
  <w:abstractNum w:abstractNumId="107">
    <w:nsid w:val="21FAA2FA"/>
    <w:multiLevelType w:val="hybridMultilevel"/>
    <w:lvl w:ilvl="0">
      <w:lvlJc w:val="left"/>
      <w:lvlText w:val="%1"/>
      <w:numFmt w:val="lowerLetter"/>
      <w:start w:val="1"/>
    </w:lvl>
    <w:lvl w:ilvl="1">
      <w:lvlJc w:val="left"/>
      <w:lvlText w:val="(%2)"/>
      <w:numFmt w:val="upperLetter"/>
      <w:start w:val="61"/>
    </w:lvl>
  </w:abstractNum>
  <w:abstractNum w:abstractNumId="108">
    <w:nsid w:val="5451CF49"/>
    <w:multiLevelType w:val="hybridMultilevel"/>
    <w:lvl w:ilvl="0">
      <w:lvlJc w:val="left"/>
      <w:lvlText w:val="(%1)"/>
      <w:numFmt w:val="lowerLetter"/>
      <w:start w:val="2"/>
    </w:lvl>
    <w:lvl w:ilvl="1">
      <w:lvlJc w:val="left"/>
      <w:lvlText w:val="%2"/>
      <w:numFmt w:val="upperLetter"/>
      <w:start w:val="1"/>
    </w:lvl>
  </w:abstractNum>
  <w:abstractNum w:abstractNumId="109">
    <w:nsid w:val="6181EF69"/>
    <w:multiLevelType w:val="hybridMultilevel"/>
    <w:lvl w:ilvl="0">
      <w:lvlJc w:val="left"/>
      <w:lvlText w:val="(%1)"/>
      <w:numFmt w:val="lowerLetter"/>
      <w:start w:val="3"/>
    </w:lvl>
    <w:lvl w:ilvl="1">
      <w:lvlJc w:val="left"/>
      <w:lvlText w:val="(%2)"/>
      <w:numFmt w:val="lowerRoman"/>
      <w:start w:val="1"/>
    </w:lvl>
  </w:abstractNum>
  <w:abstractNum w:abstractNumId="110">
    <w:nsid w:val="3E6400E6"/>
    <w:multiLevelType w:val="hybridMultilevel"/>
    <w:lvl w:ilvl="0">
      <w:lvlJc w:val="left"/>
      <w:lvlText w:val="(%1)"/>
      <w:numFmt w:val="lowerRoman"/>
      <w:start w:val="4"/>
    </w:lvl>
  </w:abstractNum>
  <w:abstractNum w:abstractNumId="111">
    <w:nsid w:val="14217E23"/>
    <w:multiLevelType w:val="hybridMultilevel"/>
    <w:lvl w:ilvl="0">
      <w:lvlJc w:val="left"/>
      <w:lvlText w:val="(%1)"/>
      <w:numFmt w:val="lowerLetter"/>
      <w:start w:val="4"/>
    </w:lvl>
  </w:abstractNum>
  <w:abstractNum w:abstractNumId="112">
    <w:nsid w:val="710757D0"/>
    <w:multiLevelType w:val="hybridMultilevel"/>
    <w:lvl w:ilvl="0">
      <w:lvlJc w:val="left"/>
      <w:lvlText w:val="(%1)"/>
      <w:numFmt w:val="lowerLetter"/>
      <w:start w:val="1"/>
    </w:lvl>
    <w:lvl w:ilvl="1">
      <w:lvlJc w:val="left"/>
      <w:lvlText w:val="(%2)"/>
      <w:numFmt w:val="lowerRoman"/>
      <w:start w:val="1"/>
    </w:lvl>
  </w:abstractNum>
  <w:abstractNum w:abstractNumId="113">
    <w:nsid w:val="5015CD1A"/>
    <w:multiLevelType w:val="hybridMultilevel"/>
    <w:lvl w:ilvl="0">
      <w:lvlJc w:val="left"/>
      <w:lvlText w:val="(%1)"/>
      <w:numFmt w:val="lowerLetter"/>
      <w:start w:val="2"/>
    </w:lvl>
  </w:abstractNum>
  <w:abstractNum w:abstractNumId="114">
    <w:nsid w:val="424479DA"/>
    <w:multiLevelType w:val="hybridMultilevel"/>
    <w:lvl w:ilvl="0">
      <w:lvlJc w:val="left"/>
      <w:lvlText w:val="(%1)"/>
      <w:numFmt w:val="lowerLetter"/>
      <w:start w:val="1"/>
    </w:lvl>
  </w:abstractNum>
  <w:abstractNum w:abstractNumId="115">
    <w:nsid w:val="1A9A9E69"/>
    <w:multiLevelType w:val="hybridMultilevel"/>
    <w:lvl w:ilvl="0">
      <w:lvlJc w:val="left"/>
      <w:lvlText w:val="(%1)"/>
      <w:numFmt w:val="lowerLetter"/>
      <w:start w:val="6"/>
    </w:lvl>
    <w:lvl w:ilvl="1">
      <w:lvlJc w:val="left"/>
      <w:lvlText w:val="(%2)"/>
      <w:numFmt w:val="lowerRoman"/>
      <w:start w:val="1"/>
    </w:lvl>
  </w:abstractNum>
  <w:abstractNum w:abstractNumId="116">
    <w:nsid w:val="475E256A"/>
    <w:multiLevelType w:val="hybridMultilevel"/>
    <w:lvl w:ilvl="0">
      <w:lvlJc w:val="left"/>
      <w:lvlText w:val="(%1)"/>
      <w:numFmt w:val="lowerLetter"/>
      <w:start w:val="8"/>
    </w:lvl>
  </w:abstractNum>
  <w:abstractNum w:abstractNumId="117">
    <w:nsid w:val="368DB37E"/>
    <w:multiLevelType w:val="hybridMultilevel"/>
    <w:lvl w:ilvl="0">
      <w:lvlJc w:val="left"/>
      <w:lvlText w:val="(%1)"/>
      <w:numFmt w:val="lowerLetter"/>
      <w:start w:val="1"/>
    </w:lvl>
  </w:abstractNum>
  <w:abstractNum w:abstractNumId="118">
    <w:nsid w:val="6A3B714C"/>
    <w:multiLevelType w:val="hybridMultilevel"/>
    <w:lvl w:ilvl="0">
      <w:lvlJc w:val="left"/>
      <w:lvlText w:val="(%1)"/>
      <w:numFmt w:val="lowerLetter"/>
      <w:start w:val="2"/>
    </w:lvl>
    <w:lvl w:ilvl="1">
      <w:lvlJc w:val="left"/>
      <w:lvlText w:val="(%2)"/>
      <w:numFmt w:val="lowerRoman"/>
      <w:start w:val="1"/>
    </w:lvl>
  </w:abstractNum>
  <w:abstractNum w:abstractNumId="119">
    <w:nsid w:val="327B517E"/>
    <w:multiLevelType w:val="hybridMultilevel"/>
    <w:lvl w:ilvl="0">
      <w:lvlJc w:val="left"/>
      <w:lvlText w:val="(%1)"/>
      <w:numFmt w:val="lowerLetter"/>
      <w:start w:val="3"/>
    </w:lvl>
  </w:abstractNum>
  <w:abstractNum w:abstractNumId="120">
    <w:nsid w:val="1F461B51"/>
    <w:multiLevelType w:val="hybridMultilevel"/>
    <w:lvl w:ilvl="0">
      <w:lvlJc w:val="left"/>
      <w:lvlText w:val="(%1)"/>
      <w:numFmt w:val="lowerLetter"/>
      <w:start w:val="1"/>
    </w:lvl>
  </w:abstractNum>
  <w:abstractNum w:abstractNumId="121">
    <w:nsid w:val="29BACF25"/>
    <w:multiLevelType w:val="hybridMultilevel"/>
    <w:lvl w:ilvl="0">
      <w:lvlJc w:val="left"/>
      <w:lvlText w:val="(%1)"/>
      <w:numFmt w:val="lowerLetter"/>
      <w:start w:val="1"/>
    </w:lvl>
    <w:lvl w:ilvl="1">
      <w:lvlJc w:val="left"/>
      <w:lvlText w:val="(%2)"/>
      <w:numFmt w:val="lowerLetter"/>
      <w:start w:val="9"/>
    </w:lvl>
  </w:abstractNum>
  <w:abstractNum w:abstractNumId="122">
    <w:nsid w:val="5D5BABB3"/>
    <w:multiLevelType w:val="hybridMultilevel"/>
    <w:lvl w:ilvl="0">
      <w:lvlJc w:val="left"/>
      <w:lvlText w:val="(%1)"/>
      <w:numFmt w:val="lowerRoman"/>
      <w:start w:val="2"/>
    </w:lvl>
    <w:lvl w:ilvl="1">
      <w:lvlJc w:val="left"/>
      <w:lvlText w:val="(%2)"/>
      <w:numFmt w:val="upperLetter"/>
      <w:start w:val="1"/>
    </w:lvl>
  </w:abstractNum>
  <w:abstractNum w:abstractNumId="123">
    <w:nsid w:val="51BF6B48"/>
    <w:multiLevelType w:val="hybridMultilevel"/>
    <w:lvl w:ilvl="0">
      <w:lvlJc w:val="left"/>
      <w:lvlText w:val="%1"/>
      <w:numFmt w:val="lowerLetter"/>
      <w:start w:val="1"/>
    </w:lvl>
    <w:lvl w:ilvl="1">
      <w:lvlJc w:val="left"/>
      <w:lvlText w:val="(%2)"/>
      <w:numFmt w:val="lowerRoman"/>
      <w:start w:val="4"/>
    </w:lvl>
  </w:abstractNum>
  <w:abstractNum w:abstractNumId="124">
    <w:nsid w:val="7E0F6384"/>
    <w:multiLevelType w:val="hybridMultilevel"/>
    <w:lvl w:ilvl="0">
      <w:lvlJc w:val="left"/>
      <w:lvlText w:val="(%1)"/>
      <w:numFmt w:val="lowerLetter"/>
      <w:start w:val="2"/>
    </w:lvl>
    <w:lvl w:ilvl="1">
      <w:lvlJc w:val="left"/>
      <w:lvlText w:val="%2"/>
      <w:numFmt w:val="lowerRoman"/>
      <w:start w:val="1"/>
    </w:lvl>
  </w:abstractNum>
  <w:abstractNum w:abstractNumId="125">
    <w:nsid w:val="2B4B8B53"/>
    <w:multiLevelType w:val="hybridMultilevel"/>
    <w:lvl w:ilvl="0">
      <w:lvlJc w:val="left"/>
      <w:lvlText w:val="(%1)"/>
      <w:numFmt w:val="lowerLetter"/>
      <w:start w:val="1"/>
    </w:lvl>
    <w:lvl w:ilvl="1">
      <w:lvlJc w:val="left"/>
      <w:lvlText w:val="(%2)"/>
      <w:numFmt w:val="lowerRoman"/>
      <w:start w:val="1"/>
    </w:lvl>
  </w:abstractNum>
  <w:abstractNum w:abstractNumId="126">
    <w:nsid w:val="72E3413A"/>
    <w:multiLevelType w:val="hybridMultilevel"/>
    <w:lvl w:ilvl="0">
      <w:lvlJc w:val="left"/>
      <w:lvlText w:val="(%1)"/>
      <w:numFmt w:val="lowerRoman"/>
      <w:start w:val="5"/>
    </w:lvl>
  </w:abstractNum>
  <w:abstractNum w:abstractNumId="127">
    <w:nsid w:val="116AE49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28">
    <w:nsid w:val="3494B2FB"/>
    <w:multiLevelType w:val="hybridMultilevel"/>
    <w:lvl w:ilvl="0">
      <w:lvlJc w:val="left"/>
      <w:lvlText w:val="%1"/>
      <w:numFmt w:val="lowerLetter"/>
      <w:start w:val="1"/>
    </w:lvl>
    <w:lvl w:ilvl="1">
      <w:lvlJc w:val="left"/>
      <w:lvlText w:val="(%2)"/>
      <w:numFmt w:val="lowerRoman"/>
      <w:start w:val="13"/>
    </w:lvl>
    <w:lvl w:ilvl="2">
      <w:lvlJc w:val="left"/>
      <w:lvlText w:val="%3"/>
      <w:numFmt w:val="upperLetter"/>
      <w:start w:val="1"/>
    </w:lvl>
  </w:abstractNum>
  <w:abstractNum w:abstractNumId="129">
    <w:nsid w:val="B13A3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30">
    <w:nsid w:val="64429599"/>
    <w:multiLevelType w:val="hybridMultilevel"/>
    <w:lvl w:ilvl="0">
      <w:lvlJc w:val="left"/>
      <w:lvlText w:val="(%1)"/>
      <w:numFmt w:val="lowerLetter"/>
      <w:start w:val="1"/>
    </w:lvl>
  </w:abstractNum>
  <w:abstractNum w:abstractNumId="131">
    <w:nsid w:val="631F1690"/>
    <w:multiLevelType w:val="hybridMultilevel"/>
    <w:lvl w:ilvl="0">
      <w:lvlJc w:val="left"/>
      <w:lvlText w:val="(%1)"/>
      <w:numFmt w:val="lowerLetter"/>
      <w:start w:val="3"/>
    </w:lvl>
  </w:abstractNum>
  <w:abstractNum w:abstractNumId="132">
    <w:nsid w:val="25973E32"/>
    <w:multiLevelType w:val="hybridMultilevel"/>
    <w:lvl w:ilvl="0">
      <w:lvlJc w:val="left"/>
      <w:lvlText w:val="(%1)"/>
      <w:numFmt w:val="lowerLetter"/>
      <w:start w:val="1"/>
    </w:lvl>
    <w:lvl w:ilvl="1">
      <w:lvlJc w:val="left"/>
      <w:lvlText w:val="(%2)"/>
      <w:numFmt w:val="lowerRoman"/>
      <w:start w:val="1"/>
    </w:lvl>
  </w:abstractNum>
  <w:abstractNum w:abstractNumId="133">
    <w:nsid w:val="EAD6F57"/>
    <w:multiLevelType w:val="hybridMultilevel"/>
    <w:lvl w:ilvl="0">
      <w:lvlJc w:val="left"/>
      <w:lvlText w:val="(%1)"/>
      <w:numFmt w:val="lowerLetter"/>
      <w:start w:val="1"/>
    </w:lvl>
  </w:abstractNum>
  <w:abstractNum w:abstractNumId="134">
    <w:nsid w:val="6EC9D844"/>
    <w:multiLevelType w:val="hybridMultilevel"/>
    <w:lvl w:ilvl="0">
      <w:lvlJc w:val="left"/>
      <w:lvlText w:val="(%1)"/>
      <w:numFmt w:val="lowerLetter"/>
      <w:start w:val="1"/>
    </w:lvl>
  </w:abstractNum>
  <w:abstractNum w:abstractNumId="135">
    <w:nsid w:val="5C49EAEE"/>
    <w:multiLevelType w:val="hybridMultilevel"/>
    <w:lvl w:ilvl="0">
      <w:lvlJc w:val="left"/>
      <w:lvlText w:val="(%1)"/>
      <w:numFmt w:val="lowerLetter"/>
      <w:start w:val="6"/>
    </w:lvl>
  </w:abstractNum>
  <w:abstractNum w:abstractNumId="136">
    <w:nsid w:val="64AF49B"/>
    <w:multiLevelType w:val="hybridMultilevel"/>
    <w:lvl w:ilvl="0">
      <w:lvlJc w:val="left"/>
      <w:lvlText w:val="(%1)"/>
      <w:numFmt w:val="lowerLetter"/>
      <w:start w:val="1"/>
    </w:lvl>
  </w:abstractNum>
  <w:abstractNum w:abstractNumId="137">
    <w:nsid w:val="397C46BC"/>
    <w:multiLevelType w:val="hybridMultilevel"/>
    <w:lvl w:ilvl="0">
      <w:lvlJc w:val="left"/>
      <w:lvlText w:val="(%1)"/>
      <w:numFmt w:val="lowerLetter"/>
      <w:start w:val="2"/>
    </w:lvl>
  </w:abstractNum>
  <w:abstractNum w:abstractNumId="138">
    <w:nsid w:val="7E448DE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139">
    <w:nsid w:val="5A9CC3E5"/>
    <w:multiLevelType w:val="hybridMultilevel"/>
    <w:lvl w:ilvl="0">
      <w:lvlJc w:val="left"/>
      <w:lvlText w:val="(%1)"/>
      <w:numFmt w:val="lowerLetter"/>
      <w:start w:val="3"/>
    </w:lvl>
  </w:abstractNum>
  <w:abstractNum w:abstractNumId="140">
    <w:nsid w:val="1AFE3625"/>
    <w:multiLevelType w:val="hybridMultilevel"/>
    <w:lvl w:ilvl="0">
      <w:lvlJc w:val="left"/>
      <w:lvlText w:val="(%1)"/>
      <w:numFmt w:val="lowerLetter"/>
      <w:start w:val="1"/>
    </w:lvl>
  </w:abstractNum>
  <w:abstractNum w:abstractNumId="141">
    <w:nsid w:val="3CA88ECF"/>
    <w:multiLevelType w:val="hybridMultilevel"/>
    <w:lvl w:ilvl="0">
      <w:lvlJc w:val="left"/>
      <w:lvlText w:val="(%1)"/>
      <w:numFmt w:val="lowerLetter"/>
      <w:start w:val="1"/>
    </w:lvl>
    <w:lvl w:ilvl="1">
      <w:lvlJc w:val="left"/>
      <w:lvlText w:val="(%2)"/>
      <w:numFmt w:val="lowerLetter"/>
      <w:start w:val="9"/>
    </w:lvl>
  </w:abstractNum>
  <w:abstractNum w:abstractNumId="142">
    <w:nsid w:val="6EBE4208"/>
    <w:multiLevelType w:val="hybridMultilevel"/>
    <w:lvl w:ilvl="0">
      <w:lvlJc w:val="left"/>
      <w:lvlText w:val="(%1)"/>
      <w:numFmt w:val="lowerLetter"/>
      <w:start w:val="1"/>
    </w:lvl>
    <w:lvl w:ilvl="1">
      <w:lvlJc w:val="left"/>
      <w:lvlText w:val="(%2)"/>
      <w:numFmt w:val="lowerLetter"/>
      <w:start w:val="9"/>
    </w:lvl>
  </w:abstractNum>
  <w:abstractNum w:abstractNumId="143">
    <w:nsid w:val="C058DF5"/>
    <w:multiLevelType w:val="hybridMultilevel"/>
    <w:lvl w:ilvl="0">
      <w:lvlJc w:val="left"/>
      <w:lvlText w:val="%1"/>
      <w:numFmt w:val="lowerLetter"/>
      <w:start w:val="1"/>
    </w:lvl>
    <w:lvl w:ilvl="1">
      <w:lvlJc w:val="left"/>
      <w:lvlText w:val="(%2)"/>
      <w:numFmt w:val="lowerRoman"/>
      <w:start w:val="2"/>
    </w:lvl>
  </w:abstractNum>
  <w:abstractNum w:abstractNumId="144">
    <w:nsid w:val="CBE5BE9"/>
    <w:multiLevelType w:val="hybridMultilevel"/>
    <w:lvl w:ilvl="0">
      <w:lvlJc w:val="left"/>
      <w:lvlText w:val="(%1)"/>
      <w:numFmt w:val="lowerLetter"/>
      <w:start w:val="2"/>
    </w:lvl>
    <w:lvl w:ilvl="1">
      <w:lvlJc w:val="left"/>
      <w:lvlText w:val="%2"/>
      <w:numFmt w:val="lowerRoman"/>
      <w:start w:val="1"/>
    </w:lvl>
  </w:abstractNum>
  <w:abstractNum w:abstractNumId="145">
    <w:nsid w:val="3102BBE2"/>
    <w:multiLevelType w:val="hybridMultilevel"/>
    <w:lvl w:ilvl="0">
      <w:lvlJc w:val="left"/>
      <w:lvlText w:val="(%1)"/>
      <w:numFmt w:val="lowerLetter"/>
      <w:start w:val="5"/>
    </w:lvl>
  </w:abstractNum>
  <w:abstractNum w:abstractNumId="146">
    <w:nsid w:val="26A02C5E"/>
    <w:multiLevelType w:val="hybridMultilevel"/>
    <w:lvl w:ilvl="0">
      <w:lvlJc w:val="left"/>
      <w:lvlText w:val="(%1)"/>
      <w:numFmt w:val="lowerLetter"/>
      <w:start w:val="1"/>
    </w:lvl>
  </w:abstractNum>
  <w:abstractNum w:abstractNumId="147">
    <w:nsid w:val="541C8153"/>
    <w:multiLevelType w:val="hybridMultilevel"/>
    <w:lvl w:ilvl="0">
      <w:lvlJc w:val="left"/>
      <w:lvlText w:val="(%1)"/>
      <w:numFmt w:val="lowerLetter"/>
      <w:start w:val="1"/>
    </w:lvl>
  </w:abstractNum>
  <w:abstractNum w:abstractNumId="148">
    <w:nsid w:val="67906F60"/>
    <w:multiLevelType w:val="hybridMultilevel"/>
    <w:lvl w:ilvl="0">
      <w:lvlJc w:val="left"/>
      <w:lvlText w:val="(%1)"/>
      <w:numFmt w:val="lowerRoman"/>
      <w:start w:val="3"/>
    </w:lvl>
  </w:abstractNum>
  <w:abstractNum w:abstractNumId="149">
    <w:nsid w:val="10DB9DAA"/>
    <w:multiLevelType w:val="hybridMultilevel"/>
    <w:lvl w:ilvl="0">
      <w:lvlJc w:val="left"/>
      <w:lvlText w:val="(%1)"/>
      <w:numFmt w:val="upperLetter"/>
      <w:start w:val="1"/>
    </w:lvl>
  </w:abstractNum>
  <w:abstractNum w:abstractNumId="150">
    <w:nsid w:val="697D2D2"/>
    <w:multiLevelType w:val="hybridMultilevel"/>
    <w:lvl w:ilvl="0">
      <w:lvlJc w:val="left"/>
      <w:lvlText w:val="(%1)"/>
      <w:numFmt w:val="lowerLetter"/>
      <w:start w:val="1"/>
    </w:lvl>
    <w:lvl w:ilvl="1">
      <w:lvlJc w:val="left"/>
      <w:lvlText w:val="(%2)"/>
      <w:numFmt w:val="lowerRoman"/>
      <w:start w:val="1"/>
    </w:lvl>
  </w:abstractNum>
  <w:abstractNum w:abstractNumId="151">
    <w:nsid w:val="6D68AB2"/>
    <w:multiLevelType w:val="hybridMultilevel"/>
    <w:lvl w:ilvl="0">
      <w:lvlJc w:val="left"/>
      <w:lvlText w:val="%1"/>
      <w:numFmt w:val="lowerLetter"/>
      <w:start w:val="1"/>
    </w:lvl>
    <w:lvl w:ilvl="1">
      <w:lvlJc w:val="left"/>
      <w:lvlText w:val="(%2)"/>
      <w:numFmt w:val="lowerRoman"/>
      <w:start w:val="3"/>
    </w:lvl>
  </w:abstractNum>
  <w:abstractNum w:abstractNumId="152">
    <w:nsid w:val="3A966CD0"/>
    <w:multiLevelType w:val="hybridMultilevel"/>
    <w:lvl w:ilvl="0">
      <w:lvlJc w:val="left"/>
      <w:lvlText w:val="(%1)"/>
      <w:numFmt w:val="lowerLetter"/>
      <w:start w:val="3"/>
    </w:lvl>
    <w:lvl w:ilvl="1">
      <w:lvlJc w:val="left"/>
      <w:lvlText w:val="(%2)"/>
      <w:numFmt w:val="lowerRoman"/>
      <w:start w:val="1"/>
    </w:lvl>
  </w:abstractNum>
  <w:abstractNum w:abstractNumId="153">
    <w:nsid w:val="63F37E85"/>
    <w:multiLevelType w:val="hybridMultilevel"/>
    <w:lvl w:ilvl="0">
      <w:lvlJc w:val="left"/>
      <w:lvlText w:val="(%1)"/>
      <w:numFmt w:val="lowerLetter"/>
      <w:start w:val="1"/>
    </w:lvl>
  </w:abstractNum>
  <w:abstractNum w:abstractNumId="154">
    <w:nsid w:val="5895F5FA"/>
    <w:multiLevelType w:val="hybridMultilevel"/>
    <w:lvl w:ilvl="0">
      <w:lvlJc w:val="left"/>
      <w:lvlText w:val="(%1)"/>
      <w:numFmt w:val="lowerLetter"/>
      <w:start w:val="2"/>
    </w:lvl>
  </w:abstractNum>
  <w:abstractNum w:abstractNumId="155">
    <w:nsid w:val="38A5D054"/>
    <w:multiLevelType w:val="hybridMultilevel"/>
    <w:lvl w:ilvl="0">
      <w:lvlJc w:val="left"/>
      <w:lvlText w:val="(%1)"/>
      <w:numFmt w:val="lowerLetter"/>
      <w:start w:val="1"/>
    </w:lvl>
  </w:abstractNum>
  <w:abstractNum w:abstractNumId="156">
    <w:nsid w:val="F3F09D8"/>
    <w:multiLevelType w:val="hybridMultilevel"/>
    <w:lvl w:ilvl="0">
      <w:lvlJc w:val="left"/>
      <w:lvlText w:val="(%1)"/>
      <w:numFmt w:val="lowerLetter"/>
      <w:start w:val="2"/>
    </w:lvl>
  </w:abstractNum>
  <w:abstractNum w:abstractNumId="157">
    <w:nsid w:val="4B793735"/>
    <w:multiLevelType w:val="hybridMultilevel"/>
    <w:lvl w:ilvl="0">
      <w:lvlJc w:val="left"/>
      <w:lvlText w:val="%1"/>
      <w:numFmt w:val="lowerLetter"/>
      <w:start w:val="1"/>
    </w:lvl>
    <w:lvl w:ilvl="1">
      <w:lvlJc w:val="left"/>
      <w:lvlText w:val="(%2)"/>
      <w:numFmt w:val="lowerLetter"/>
      <w:start w:val="1"/>
    </w:lvl>
  </w:abstractNum>
  <w:abstractNum w:abstractNumId="158">
    <w:nsid w:val="4A10B4E8"/>
    <w:multiLevelType w:val="hybridMultilevel"/>
    <w:lvl w:ilvl="0">
      <w:lvlJc w:val="left"/>
      <w:lvlText w:val="(%1)"/>
      <w:numFmt w:val="lowerLetter"/>
      <w:start w:val="5"/>
    </w:lvl>
    <w:lvl w:ilvl="1">
      <w:lvlJc w:val="left"/>
      <w:lvlText w:val="%2"/>
      <w:numFmt w:val="lowerLetter"/>
      <w:start w:val="1"/>
    </w:lvl>
  </w:abstractNum>
  <w:abstractNum w:abstractNumId="159">
    <w:nsid w:val="43D3BCD4"/>
    <w:multiLevelType w:val="hybridMultilevel"/>
    <w:lvl w:ilvl="0">
      <w:lvlJc w:val="left"/>
      <w:lvlText w:val="(%1)"/>
      <w:numFmt w:val="lowerLetter"/>
      <w:start w:val="1"/>
    </w:lvl>
  </w:abstractNum>
  <w:abstractNum w:abstractNumId="160">
    <w:nsid w:val="4C2A7166"/>
    <w:multiLevelType w:val="hybridMultilevel"/>
    <w:lvl w:ilvl="0">
      <w:lvlJc w:val="left"/>
      <w:lvlText w:val="(%1)"/>
      <w:numFmt w:val="lowerRoman"/>
      <w:start w:val="1"/>
    </w:lvl>
  </w:abstractNum>
  <w:abstractNum w:abstractNumId="161">
    <w:nsid w:val="2E534A82"/>
    <w:multiLevelType w:val="hybridMultilevel"/>
    <w:lvl w:ilvl="0">
      <w:lvlJc w:val="left"/>
      <w:lvlText w:val="(%1)"/>
      <w:numFmt w:val="lowerRoman"/>
      <w:start w:val="13"/>
    </w:lvl>
  </w:abstractNum>
  <w:abstractNum w:abstractNumId="162">
    <w:nsid w:val="26F2D364"/>
    <w:multiLevelType w:val="hybridMultilevel"/>
    <w:lvl w:ilvl="0">
      <w:lvlJc w:val="left"/>
      <w:lvlText w:val="(%1)"/>
      <w:numFmt w:val="lowerRoman"/>
      <w:start w:val="22"/>
    </w:lvl>
  </w:abstractNum>
  <w:abstractNum w:abstractNumId="163">
    <w:nsid w:val="71C1AF98"/>
    <w:multiLevelType w:val="hybridMultilevel"/>
    <w:lvl w:ilvl="0">
      <w:lvlJc w:val="left"/>
      <w:lvlText w:val="(%1)"/>
      <w:numFmt w:val="lowerLetter"/>
      <w:start w:val="1"/>
    </w:lvl>
  </w:abstractNum>
  <w:abstractNum w:abstractNumId="164">
    <w:nsid w:val="3D00B9D9"/>
    <w:multiLevelType w:val="hybridMultilevel"/>
    <w:lvl w:ilvl="0">
      <w:lvlJc w:val="left"/>
      <w:lvlText w:val="(%1)"/>
      <w:numFmt w:val="lowerLetter"/>
      <w:start w:val="4"/>
    </w:lvl>
  </w:abstractNum>
  <w:abstractNum w:abstractNumId="165">
    <w:nsid w:val="15BCABA8"/>
    <w:multiLevelType w:val="hybridMultilevel"/>
    <w:lvl w:ilvl="0">
      <w:lvlJc w:val="left"/>
      <w:lvlText w:val="(%1)"/>
      <w:numFmt w:val="lowerLetter"/>
      <w:start w:val="15"/>
    </w:lvl>
  </w:abstractNum>
  <w:abstractNum w:abstractNumId="166">
    <w:nsid w:val="4E0B9A87"/>
    <w:multiLevelType w:val="hybridMultilevel"/>
    <w:lvl w:ilvl="0">
      <w:lvlJc w:val="left"/>
      <w:lvlText w:val="(%1)"/>
      <w:numFmt w:val="lowerLetter"/>
      <w:start w:val="27"/>
    </w:lvl>
  </w:abstractNum>
  <w:abstractNum w:abstractNumId="167">
    <w:nsid w:val="434BAE75"/>
    <w:multiLevelType w:val="hybridMultilevel"/>
    <w:lvl w:ilvl="0">
      <w:lvlJc w:val="left"/>
      <w:lvlText w:val="(%1)"/>
      <w:numFmt w:val="lowerLetter"/>
      <w:start w:val="1"/>
    </w:lvl>
  </w:abstractNum>
  <w:abstractNum w:abstractNumId="168">
    <w:nsid w:val="4F38F265"/>
    <w:multiLevelType w:val="hybridMultilevel"/>
    <w:lvl w:ilvl="0">
      <w:lvlJc w:val="left"/>
      <w:lvlText w:val="(%1)"/>
      <w:numFmt w:val="lowerLetter"/>
      <w:start w:val="6"/>
    </w:lvl>
  </w:abstractNum>
  <w:abstractNum w:abstractNumId="169">
    <w:nsid w:val="4C502870"/>
    <w:multiLevelType w:val="hybridMultilevel"/>
    <w:lvl w:ilvl="0">
      <w:lvlJc w:val="left"/>
      <w:lvlText w:val="(%1)"/>
      <w:numFmt w:val="lowerLetter"/>
      <w:start w:val="14"/>
    </w:lvl>
  </w:abstractNum>
  <w:abstractNum w:abstractNumId="170">
    <w:nsid w:val="1DE8725A"/>
    <w:multiLevelType w:val="hybridMultilevel"/>
    <w:lvl w:ilvl="0">
      <w:lvlJc w:val="left"/>
      <w:lvlText w:val="(%1)"/>
      <w:numFmt w:val="lowerLetter"/>
      <w:start w:val="22"/>
    </w:lvl>
  </w:abstractNum>
  <w:abstractNum w:abstractNumId="171">
    <w:nsid w:val="6A37288A"/>
    <w:multiLevelType w:val="hybridMultilevel"/>
    <w:lvl w:ilvl="0">
      <w:lvlJc w:val="left"/>
      <w:lvlText w:val="(%1)"/>
      <w:numFmt w:val="lowerLetter"/>
      <w:start w:val="27"/>
    </w:lvl>
  </w:abstractNum>
  <w:abstractNum w:abstractNumId="172">
    <w:nsid w:val="8F8B73F"/>
    <w:multiLevelType w:val="hybridMultilevel"/>
    <w:lvl w:ilvl="0">
      <w:lvlJc w:val="left"/>
      <w:lvlText w:val="(%1)"/>
      <w:numFmt w:val="lowerLetter"/>
      <w:start w:val="1"/>
    </w:lvl>
  </w:abstractNum>
  <w:abstractNum w:abstractNumId="173">
    <w:nsid w:val="CA6B462"/>
    <w:multiLevelType w:val="hybridMultilevel"/>
    <w:lvl w:ilvl="0">
      <w:lvlJc w:val="left"/>
      <w:lvlText w:val="(%1)"/>
      <w:numFmt w:val="lowerLetter"/>
      <w:start w:val="7"/>
    </w:lvl>
  </w:abstractNum>
  <w:abstractNum w:abstractNumId="174">
    <w:nsid w:val="763CB680"/>
    <w:multiLevelType w:val="hybridMultilevel"/>
    <w:lvl w:ilvl="0">
      <w:lvlJc w:val="left"/>
      <w:lvlText w:val="(%1)"/>
      <w:numFmt w:val="lowerLetter"/>
      <w:start w:val="17"/>
    </w:lvl>
  </w:abstractNum>
  <w:abstractNum w:abstractNumId="175">
    <w:nsid w:val="15B71329"/>
    <w:multiLevelType w:val="hybridMultilevel"/>
    <w:lvl w:ilvl="0">
      <w:lvlJc w:val="left"/>
      <w:lvlText w:val="(%1)"/>
      <w:numFmt w:val="lowerLetter"/>
      <w:start w:val="1"/>
    </w:lvl>
  </w:abstractNum>
  <w:abstractNum w:abstractNumId="176">
    <w:nsid w:val="3DA97044"/>
    <w:multiLevelType w:val="hybridMultilevel"/>
    <w:lvl w:ilvl="0">
      <w:lvlJc w:val="left"/>
      <w:lvlText w:val="(%1)"/>
      <w:numFmt w:val="lowerLetter"/>
      <w:start w:val="3"/>
    </w:lvl>
  </w:abstractNum>
  <w:abstractNum w:abstractNumId="177">
    <w:nsid w:val="1CDCE2DE"/>
    <w:multiLevelType w:val="hybridMultilevel"/>
    <w:lvl w:ilvl="0">
      <w:lvlJc w:val="left"/>
      <w:lvlText w:val="(%1)"/>
      <w:numFmt w:val="lowerLetter"/>
      <w:start w:val="11"/>
    </w:lvl>
  </w:abstractNum>
  <w:abstractNum w:abstractNumId="178">
    <w:nsid w:val="69D3947C"/>
    <w:multiLevelType w:val="hybridMultilevel"/>
    <w:lvl w:ilvl="0">
      <w:lvlJc w:val="left"/>
      <w:lvlText w:val="(%1)"/>
      <w:numFmt w:val="lowerLetter"/>
      <w:start w:val="1"/>
    </w:lvl>
  </w:abstractNum>
  <w:abstractNum w:abstractNumId="179">
    <w:nsid w:val="2539DFA5"/>
    <w:multiLevelType w:val="hybridMultilevel"/>
    <w:lvl w:ilvl="0">
      <w:lvlJc w:val="left"/>
      <w:lvlText w:val="(%1)"/>
      <w:numFmt w:val="lowerLetter"/>
      <w:start w:val="35"/>
    </w:lvl>
  </w:abstractNum>
  <w:abstractNum w:abstractNumId="180">
    <w:nsid w:val="2DB88089"/>
    <w:multiLevelType w:val="hybridMultilevel"/>
    <w:lvl w:ilvl="0">
      <w:lvlJc w:val="left"/>
      <w:lvlText w:val="(%1)"/>
      <w:numFmt w:val="lowerLetter"/>
      <w:start w:val="1"/>
    </w:lvl>
  </w:abstractNum>
  <w:abstractNum w:abstractNumId="181">
    <w:nsid w:val="706B674E"/>
    <w:multiLevelType w:val="hybridMultilevel"/>
    <w:lvl w:ilvl="0">
      <w:lvlJc w:val="left"/>
      <w:lvlText w:val="(%1)"/>
      <w:numFmt w:val="lowerLetter"/>
      <w:start w:val="1"/>
    </w:lvl>
  </w:abstractNum>
  <w:abstractNum w:abstractNumId="182">
    <w:nsid w:val="2C106A57"/>
    <w:multiLevelType w:val="hybridMultilevel"/>
    <w:lvl w:ilvl="0">
      <w:lvlJc w:val="left"/>
      <w:lvlText w:val="(%1)"/>
      <w:numFmt w:val="lowerLetter"/>
      <w:start w:val="2"/>
    </w:lvl>
    <w:lvl w:ilvl="1">
      <w:lvlJc w:val="left"/>
      <w:lvlText w:val="(%2)"/>
      <w:numFmt w:val="upperLetter"/>
      <w:start w:val="7"/>
    </w:lvl>
  </w:abstractNum>
  <w:abstractNum w:abstractNumId="183">
    <w:nsid w:val="684EED59"/>
    <w:multiLevelType w:val="hybridMultilevel"/>
    <w:lvl w:ilvl="0">
      <w:lvlJc w:val="left"/>
      <w:lvlText w:val="(%1)"/>
      <w:numFmt w:val="lowerLetter"/>
      <w:start w:val="1"/>
    </w:lvl>
    <w:lvl w:ilvl="1">
      <w:lvlJc w:val="left"/>
      <w:lvlText w:val="(%2)"/>
      <w:numFmt w:val="lowerRoman"/>
      <w:start w:val="1"/>
    </w:lvl>
  </w:abstractNum>
  <w:abstractNum w:abstractNumId="184">
    <w:nsid w:val="545EE5D3"/>
    <w:multiLevelType w:val="hybridMultilevel"/>
    <w:lvl w:ilvl="0">
      <w:lvlJc w:val="left"/>
      <w:lvlText w:val="(%1)"/>
      <w:numFmt w:val="lowerLetter"/>
      <w:start w:val="4"/>
    </w:lvl>
    <w:lvl w:ilvl="1">
      <w:lvlJc w:val="left"/>
      <w:lvlText w:val="(%2)"/>
      <w:numFmt w:val="lowerRoman"/>
      <w:start w:val="1"/>
    </w:lvl>
  </w:abstractNum>
  <w:abstractNum w:abstractNumId="185">
    <w:nsid w:val="4A66051"/>
    <w:multiLevelType w:val="hybridMultilevel"/>
    <w:lvl w:ilvl="0">
      <w:lvlJc w:val="left"/>
      <w:lvlText w:val="(%1)"/>
      <w:numFmt w:val="lowerRoman"/>
      <w:start w:val="5"/>
    </w:lvl>
  </w:abstractNum>
  <w:abstractNum w:abstractNumId="186">
    <w:nsid w:val="20F4BDAD"/>
    <w:multiLevelType w:val="hybridMultilevel"/>
    <w:lvl w:ilvl="0">
      <w:lvlJc w:val="left"/>
      <w:lvlText w:val="%1"/>
      <w:numFmt w:val="lowerLetter"/>
      <w:start w:val="1"/>
    </w:lvl>
    <w:lvl w:ilvl="1">
      <w:lvlJc w:val="left"/>
      <w:lvlText w:val="(%2)"/>
      <w:numFmt w:val="lowerRoman"/>
      <w:start w:val="1"/>
    </w:lvl>
  </w:abstractNum>
  <w:abstractNum w:abstractNumId="187">
    <w:nsid w:val="639DEFAC"/>
    <w:multiLevelType w:val="hybridMultilevel"/>
    <w:lvl w:ilvl="0">
      <w:lvlJc w:val="left"/>
      <w:lvlText w:val="(%1)"/>
      <w:numFmt w:val="lowerLetter"/>
      <w:start w:val="12"/>
    </w:lvl>
    <w:lvl w:ilvl="1">
      <w:lvlJc w:val="left"/>
      <w:lvlText w:val="%2"/>
      <w:numFmt w:val="lowerRoman"/>
      <w:start w:val="1"/>
    </w:lvl>
  </w:abstractNum>
  <w:abstractNum w:abstractNumId="188">
    <w:nsid w:val="501F9786"/>
    <w:multiLevelType w:val="hybridMultilevel"/>
    <w:lvl w:ilvl="0">
      <w:lvlJc w:val="left"/>
      <w:lvlText w:val="(%1)"/>
      <w:numFmt w:val="lowerLetter"/>
      <w:start w:val="14"/>
    </w:lvl>
  </w:abstractNum>
  <w:abstractNum w:abstractNumId="189">
    <w:nsid w:val="6B057295"/>
    <w:multiLevelType w:val="hybridMultilevel"/>
    <w:lvl w:ilvl="0">
      <w:lvlJc w:val="left"/>
      <w:lvlText w:val="(%1)"/>
      <w:numFmt w:val="lowerLetter"/>
      <w:start w:val="1"/>
    </w:lvl>
  </w:abstractNum>
  <w:abstractNum w:abstractNumId="190">
    <w:nsid w:val="2771AC80"/>
    <w:multiLevelType w:val="hybridMultilevel"/>
    <w:lvl w:ilvl="0">
      <w:lvlJc w:val="left"/>
      <w:lvlText w:val="(%1)"/>
      <w:numFmt w:val="lowerLetter"/>
      <w:start w:val="3"/>
    </w:lvl>
    <w:lvl w:ilvl="1">
      <w:lvlJc w:val="left"/>
      <w:lvlText w:val="(%2)"/>
      <w:numFmt w:val="lowerRoman"/>
      <w:start w:val="1"/>
    </w:lvl>
  </w:abstractNum>
  <w:abstractNum w:abstractNumId="191">
    <w:nsid w:val="1C4A08EC"/>
    <w:multiLevelType w:val="hybridMultilevel"/>
    <w:lvl w:ilvl="0">
      <w:lvlJc w:val="left"/>
      <w:lvlText w:val="%1"/>
      <w:numFmt w:val="lowerLetter"/>
      <w:start w:val="1"/>
    </w:lvl>
    <w:lvl w:ilvl="1">
      <w:lvlJc w:val="left"/>
      <w:lvlText w:val="(%2)"/>
      <w:numFmt w:val="lowerRoman"/>
      <w:start w:val="4"/>
    </w:lvl>
  </w:abstractNum>
  <w:abstractNum w:abstractNumId="192">
    <w:nsid w:val="1958BD17"/>
    <w:multiLevelType w:val="hybridMultilevel"/>
    <w:lvl w:ilvl="0">
      <w:lvlJc w:val="left"/>
      <w:lvlText w:val="(%1)"/>
      <w:numFmt w:val="lowerLetter"/>
      <w:start w:val="4"/>
    </w:lvl>
    <w:lvl w:ilvl="1">
      <w:lvlJc w:val="left"/>
      <w:lvlText w:val="%2"/>
      <w:numFmt w:val="lowerRoman"/>
      <w:start w:val="1"/>
    </w:lvl>
  </w:abstractNum>
  <w:abstractNum w:abstractNumId="193">
    <w:nsid w:val="4E647FE4"/>
    <w:multiLevelType w:val="hybridMultilevel"/>
    <w:lvl w:ilvl="0">
      <w:lvlJc w:val="left"/>
      <w:lvlText w:val="(%1)"/>
      <w:numFmt w:val="lowerLetter"/>
      <w:start w:val="10"/>
    </w:lvl>
  </w:abstractNum>
  <w:abstractNum w:abstractNumId="194">
    <w:nsid w:val="E0BB885"/>
    <w:multiLevelType w:val="hybridMultilevel"/>
    <w:lvl w:ilvl="0">
      <w:lvlJc w:val="left"/>
      <w:lvlText w:val="(%1)"/>
      <w:numFmt w:val="lowerLetter"/>
      <w:start w:val="1"/>
    </w:lvl>
  </w:abstractNum>
  <w:abstractNum w:abstractNumId="195">
    <w:nsid w:val="565976F1"/>
    <w:multiLevelType w:val="hybridMultilevel"/>
    <w:lvl w:ilvl="0">
      <w:lvlJc w:val="left"/>
      <w:lvlText w:val="(%1)"/>
      <w:numFmt w:val="lowerLetter"/>
      <w:start w:val="1"/>
    </w:lvl>
  </w:abstractNum>
  <w:abstractNum w:abstractNumId="196">
    <w:nsid w:val="64212B8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97">
    <w:nsid w:val="5C17530C"/>
    <w:multiLevelType w:val="hybridMultilevel"/>
    <w:lvl w:ilvl="0">
      <w:lvlJc w:val="left"/>
      <w:lvlText w:val="(%1)"/>
      <w:numFmt w:val="lowerLetter"/>
      <w:start w:val="2"/>
    </w:lvl>
  </w:abstractNum>
  <w:abstractNum w:abstractNumId="198">
    <w:nsid w:val="19A52566"/>
    <w:multiLevelType w:val="hybridMultilevel"/>
    <w:lvl w:ilvl="0">
      <w:lvlJc w:val="left"/>
      <w:lvlText w:val="(%1)"/>
      <w:numFmt w:val="lowerLetter"/>
      <w:start w:val="5"/>
    </w:lvl>
  </w:abstractNum>
  <w:abstractNum w:abstractNumId="199">
    <w:nsid w:val="335A1DF1"/>
    <w:multiLevelType w:val="hybridMultilevel"/>
    <w:lvl w:ilvl="0">
      <w:lvlJc w:val="left"/>
      <w:lvlText w:val="(%1)"/>
      <w:numFmt w:val="lowerLetter"/>
      <w:start w:val="1"/>
    </w:lvl>
  </w:abstractNum>
  <w:abstractNum w:abstractNumId="200">
    <w:nsid w:val="28677B7C"/>
    <w:multiLevelType w:val="hybridMultilevel"/>
    <w:lvl w:ilvl="0">
      <w:lvlJc w:val="left"/>
      <w:lvlText w:val="(%1)"/>
      <w:numFmt w:val="lowerLetter"/>
      <w:start w:val="1"/>
    </w:lvl>
  </w:abstractNum>
  <w:abstractNum w:abstractNumId="201">
    <w:nsid w:val="378D97C0"/>
    <w:multiLevelType w:val="hybridMultilevel"/>
    <w:lvl w:ilvl="0">
      <w:lvlJc w:val="left"/>
      <w:lvlText w:val="(%1)"/>
      <w:numFmt w:val="lowerLetter"/>
      <w:start w:val="1"/>
    </w:lvl>
  </w:abstractNum>
  <w:abstractNum w:abstractNumId="202">
    <w:nsid w:val="1D91467C"/>
    <w:multiLevelType w:val="hybridMultilevel"/>
    <w:lvl w:ilvl="0">
      <w:lvlJc w:val="left"/>
      <w:lvlText w:val="(%1)"/>
      <w:numFmt w:val="lowerLetter"/>
      <w:start w:val="1"/>
    </w:lvl>
  </w:abstractNum>
  <w:abstractNum w:abstractNumId="203">
    <w:nsid w:val="316032BB"/>
    <w:multiLevelType w:val="hybridMultilevel"/>
    <w:lvl w:ilvl="0">
      <w:lvlJc w:val="left"/>
      <w:lvlText w:val="(%1)"/>
      <w:numFmt w:val="lowerLetter"/>
      <w:start w:val="2"/>
    </w:lvl>
  </w:abstractNum>
  <w:abstractNum w:abstractNumId="204">
    <w:nsid w:val="44344C22"/>
    <w:multiLevelType w:val="hybridMultilevel"/>
    <w:lvl w:ilvl="0">
      <w:lvlJc w:val="left"/>
      <w:lvlText w:val="(%1)"/>
      <w:numFmt w:val="lowerLetter"/>
      <w:start w:val="5"/>
    </w:lvl>
  </w:abstractNum>
  <w:abstractNum w:abstractNumId="205">
    <w:nsid w:val="13CDFCFC"/>
    <w:multiLevelType w:val="hybridMultilevel"/>
    <w:lvl w:ilvl="0">
      <w:lvlJc w:val="left"/>
      <w:lvlText w:val="(%1)"/>
      <w:numFmt w:val="lowerLetter"/>
      <w:start w:val="1"/>
    </w:lvl>
  </w:abstractNum>
  <w:abstractNum w:abstractNumId="206">
    <w:nsid w:val="471745E4"/>
    <w:multiLevelType w:val="hybridMultilevel"/>
    <w:lvl w:ilvl="0">
      <w:lvlJc w:val="left"/>
      <w:lvlText w:val="(%1)"/>
      <w:numFmt w:val="lowerLetter"/>
      <w:start w:val="2"/>
    </w:lvl>
  </w:abstractNum>
  <w:abstractNum w:abstractNumId="207">
    <w:nsid w:val="1DDBC66"/>
    <w:multiLevelType w:val="hybridMultilevel"/>
    <w:lvl w:ilvl="0">
      <w:lvlJc w:val="left"/>
      <w:lvlText w:val="(%1)"/>
      <w:numFmt w:val="lowerLetter"/>
      <w:start w:val="1"/>
    </w:lvl>
    <w:lvl w:ilvl="1">
      <w:lvlJc w:val="left"/>
      <w:lvlText w:val="(%2)"/>
      <w:numFmt w:val="lowerRoman"/>
      <w:start w:val="1"/>
    </w:lvl>
  </w:abstractNum>
  <w:abstractNum w:abstractNumId="208">
    <w:nsid w:val="30AADFDA"/>
    <w:multiLevelType w:val="hybridMultilevel"/>
    <w:lvl w:ilvl="0">
      <w:lvlJc w:val="left"/>
      <w:lvlText w:val="(%1)"/>
      <w:numFmt w:val="lowerLetter"/>
      <w:start w:val="3"/>
    </w:lvl>
    <w:lvl w:ilvl="1">
      <w:lvlJc w:val="left"/>
      <w:lvlText w:val="(%2)"/>
      <w:numFmt w:val="lowerRoman"/>
      <w:start w:val="1"/>
    </w:lvl>
  </w:abstractNum>
  <w:abstractNum w:abstractNumId="209">
    <w:nsid w:val="30EADA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0">
    <w:nsid w:val="27179C0B"/>
    <w:multiLevelType w:val="hybridMultilevel"/>
    <w:lvl w:ilvl="0">
      <w:lvlJc w:val="left"/>
      <w:lvlText w:val="%1"/>
      <w:numFmt w:val="lowerLetter"/>
      <w:start w:val="1"/>
    </w:lvl>
    <w:lvl w:ilvl="1">
      <w:lvlJc w:val="left"/>
      <w:lvlText w:val="(%2)"/>
      <w:numFmt w:val="decimal"/>
      <w:start w:val="5"/>
    </w:lvl>
  </w:abstractNum>
  <w:abstractNum w:abstractNumId="211">
    <w:nsid w:val="5E636063"/>
    <w:multiLevelType w:val="hybridMultilevel"/>
    <w:lvl w:ilvl="0">
      <w:lvlJc w:val="left"/>
      <w:lvlText w:val="(%1)"/>
      <w:numFmt w:val="lowerLetter"/>
      <w:start w:val="3"/>
    </w:lvl>
    <w:lvl w:ilvl="1">
      <w:lvlJc w:val="left"/>
      <w:lvlText w:val="%2"/>
      <w:numFmt w:val="decimal"/>
      <w:start w:val="1"/>
    </w:lvl>
  </w:abstractNum>
  <w:abstractNum w:abstractNumId="212">
    <w:nsid w:val="215641AF"/>
    <w:multiLevelType w:val="hybridMultilevel"/>
    <w:lvl w:ilvl="0">
      <w:lvlJc w:val="left"/>
      <w:lvlText w:val="(%1)"/>
      <w:numFmt w:val="lowerLetter"/>
      <w:start w:val="1"/>
    </w:lvl>
  </w:abstractNum>
  <w:abstractNum w:abstractNumId="213">
    <w:nsid w:val="53280662"/>
    <w:multiLevelType w:val="hybridMultilevel"/>
    <w:lvl w:ilvl="0">
      <w:lvlJc w:val="left"/>
      <w:lvlText w:val="(%1)"/>
      <w:numFmt w:val="lowerLetter"/>
      <w:start w:val="2"/>
    </w:lvl>
  </w:abstractNum>
  <w:abstractNum w:abstractNumId="214">
    <w:nsid w:val="46B24DBC"/>
    <w:multiLevelType w:val="hybridMultilevel"/>
    <w:lvl w:ilvl="0">
      <w:lvlJc w:val="left"/>
      <w:lvlText w:val="(%1)"/>
      <w:numFmt w:val="lowerLetter"/>
      <w:start w:val="1"/>
    </w:lvl>
  </w:abstractNum>
  <w:abstractNum w:abstractNumId="215">
    <w:nsid w:val="75B52783"/>
    <w:multiLevelType w:val="hybridMultilevel"/>
    <w:lvl w:ilvl="0">
      <w:lvlJc w:val="left"/>
      <w:lvlText w:val="(%1)"/>
      <w:numFmt w:val="lowerLetter"/>
      <w:start w:val="1"/>
    </w:lvl>
  </w:abstractNum>
  <w:abstractNum w:abstractNumId="216">
    <w:nsid w:val="57CE66B4"/>
    <w:multiLevelType w:val="hybridMultilevel"/>
    <w:lvl w:ilvl="0">
      <w:lvlJc w:val="left"/>
      <w:lvlText w:val="(%1)"/>
      <w:numFmt w:val="lowerLetter"/>
      <w:start w:val="6"/>
    </w:lvl>
  </w:abstractNum>
  <w:abstractNum w:abstractNumId="217">
    <w:nsid w:val="67A70B69"/>
    <w:multiLevelType w:val="hybridMultilevel"/>
    <w:lvl w:ilvl="0">
      <w:lvlJc w:val="left"/>
      <w:lvlText w:val="(%1)"/>
      <w:numFmt w:val="lowerLetter"/>
      <w:start w:val="4"/>
    </w:lvl>
  </w:abstractNum>
  <w:abstractNum w:abstractNumId="218">
    <w:nsid w:val="5953172F"/>
    <w:multiLevelType w:val="hybridMultilevel"/>
    <w:lvl w:ilvl="0">
      <w:lvlJc w:val="left"/>
      <w:lvlText w:val="(%1)"/>
      <w:numFmt w:val="lowerLetter"/>
      <w:start w:val="1"/>
    </w:lvl>
    <w:lvl w:ilvl="1">
      <w:lvlJc w:val="left"/>
      <w:lvlText w:val="(%2)"/>
      <w:numFmt w:val="lowerRoman"/>
      <w:start w:val="1"/>
    </w:lvl>
  </w:abstractNum>
  <w:abstractNum w:abstractNumId="219">
    <w:nsid w:val="27EDFE3A"/>
    <w:multiLevelType w:val="hybridMultilevel"/>
    <w:lvl w:ilvl="0">
      <w:lvlJc w:val="left"/>
      <w:lvlText w:val="(%1)"/>
      <w:numFmt w:val="lowerRoman"/>
      <w:start w:val="3"/>
    </w:lvl>
  </w:abstractNum>
  <w:abstractNum w:abstractNumId="220">
    <w:nsid w:val="52AC7DFF"/>
    <w:multiLevelType w:val="hybridMultilevel"/>
    <w:lvl w:ilvl="0">
      <w:lvlJc w:val="left"/>
      <w:lvlText w:val="(%1)"/>
      <w:numFmt w:val="lowerLetter"/>
      <w:start w:val="1"/>
    </w:lvl>
  </w:abstractNum>
  <w:abstractNum w:abstractNumId="221">
    <w:nsid w:val="C4C3AF"/>
    <w:multiLevelType w:val="hybridMultilevel"/>
    <w:lvl w:ilvl="0">
      <w:lvlJc w:val="left"/>
      <w:lvlText w:val="(%1)"/>
      <w:numFmt w:val="lowerRoman"/>
      <w:start w:val="1"/>
    </w:lvl>
  </w:abstractNum>
  <w:abstractNum w:abstractNumId="222">
    <w:nsid w:val="44380727"/>
    <w:multiLevelType w:val="hybridMultilevel"/>
    <w:lvl w:ilvl="0">
      <w:lvlJc w:val="left"/>
      <w:lvlText w:val="(%1)"/>
      <w:numFmt w:val="lowerRoman"/>
      <w:start w:val="3"/>
    </w:lvl>
  </w:abstractNum>
  <w:abstractNum w:abstractNumId="223">
    <w:nsid w:val="6C053B16"/>
    <w:multiLevelType w:val="hybridMultilevel"/>
    <w:lvl w:ilvl="0">
      <w:lvlJc w:val="left"/>
      <w:lvlText w:val="(%1)"/>
      <w:numFmt w:val="lowerRoman"/>
      <w:start w:val="1"/>
    </w:lvl>
  </w:abstractNum>
  <w:abstractNum w:abstractNumId="224">
    <w:nsid w:val="4F294393"/>
    <w:multiLevelType w:val="hybridMultilevel"/>
    <w:lvl w:ilvl="0">
      <w:lvlJc w:val="left"/>
      <w:lvlText w:val="(%1)"/>
      <w:numFmt w:val="lowerLetter"/>
      <w:start w:val="1"/>
    </w:lvl>
    <w:lvl w:ilvl="1">
      <w:lvlJc w:val="left"/>
      <w:lvlText w:val="(%2)"/>
      <w:numFmt w:val="lowerRoman"/>
      <w:start w:val="1"/>
    </w:lvl>
  </w:abstractNum>
  <w:abstractNum w:abstractNumId="225">
    <w:nsid w:val="5243BFAC"/>
    <w:multiLevelType w:val="hybridMultilevel"/>
    <w:lvl w:ilvl="0">
      <w:lvlJc w:val="left"/>
      <w:lvlText w:val="%1"/>
      <w:numFmt w:val="lowerLetter"/>
      <w:start w:val="1"/>
    </w:lvl>
    <w:lvl w:ilvl="1">
      <w:lvlJc w:val="left"/>
      <w:lvlText w:val="(%2)"/>
      <w:numFmt w:val="lowerRoman"/>
      <w:start w:val="4"/>
    </w:lvl>
  </w:abstractNum>
  <w:abstractNum w:abstractNumId="226">
    <w:nsid w:val="425EB207"/>
    <w:multiLevelType w:val="hybridMultilevel"/>
    <w:lvl w:ilvl="0">
      <w:lvlJc w:val="left"/>
      <w:lvlText w:val="(%1)"/>
      <w:numFmt w:val="lowerLetter"/>
      <w:start w:val="2"/>
    </w:lvl>
    <w:lvl w:ilvl="1">
      <w:lvlJc w:val="left"/>
      <w:lvlText w:val="%2"/>
      <w:numFmt w:val="lowerRoman"/>
      <w:start w:val="1"/>
    </w:lvl>
  </w:abstractNum>
  <w:abstractNum w:abstractNumId="227">
    <w:nsid w:val="334A6F1F"/>
    <w:multiLevelType w:val="hybridMultilevel"/>
    <w:lvl w:ilvl="0">
      <w:lvlJc w:val="left"/>
      <w:lvlText w:val="(%1)"/>
      <w:numFmt w:val="lowerLetter"/>
      <w:start w:val="1"/>
    </w:lvl>
    <w:lvl w:ilvl="1">
      <w:lvlJc w:val="left"/>
      <w:lvlText w:val="(%2)"/>
      <w:numFmt w:val="lowerLetter"/>
      <w:start w:val="1"/>
    </w:lvl>
  </w:abstractNum>
  <w:abstractNum w:abstractNumId="228">
    <w:nsid w:val="2E5B12B8"/>
    <w:multiLevelType w:val="hybridMultilevel"/>
    <w:lvl w:ilvl="0">
      <w:lvlJc w:val="left"/>
      <w:lvlText w:val="(%1)"/>
      <w:numFmt w:val="lowerLetter"/>
      <w:start w:val="3"/>
    </w:lvl>
  </w:abstractNum>
  <w:abstractNum w:abstractNumId="229">
    <w:nsid w:val="5C03D76D"/>
    <w:multiLevelType w:val="hybridMultilevel"/>
    <w:lvl w:ilvl="0">
      <w:lvlJc w:val="left"/>
      <w:lvlText w:val="(%1)"/>
      <w:numFmt w:val="lowerLetter"/>
      <w:start w:val="5"/>
    </w:lvl>
  </w:abstractNum>
  <w:abstractNum w:abstractNumId="230">
    <w:nsid w:val="66A48D11"/>
    <w:multiLevelType w:val="hybridMultilevel"/>
    <w:lvl w:ilvl="0">
      <w:lvlJc w:val="left"/>
      <w:lvlText w:val="(%1)"/>
      <w:numFmt w:val="lowerLetter"/>
      <w:start w:val="1"/>
    </w:lvl>
  </w:abstractNum>
  <w:abstractNum w:abstractNumId="231">
    <w:nsid w:val="56C28E34"/>
    <w:multiLevelType w:val="hybridMultilevel"/>
    <w:lvl w:ilvl="0">
      <w:lvlJc w:val="left"/>
      <w:lvlText w:val="(%1)"/>
      <w:numFmt w:val="lowerLetter"/>
      <w:start w:val="1"/>
    </w:lvl>
  </w:abstractNum>
  <w:abstractNum w:abstractNumId="232">
    <w:nsid w:val="13916F2D"/>
    <w:multiLevelType w:val="hybridMultilevel"/>
    <w:lvl w:ilvl="0">
      <w:lvlJc w:val="left"/>
      <w:lvlText w:val="(%1)"/>
      <w:numFmt w:val="lowerLetter"/>
      <w:start w:val="2"/>
    </w:lvl>
  </w:abstractNum>
  <w:abstractNum w:abstractNumId="233">
    <w:nsid w:val="435D38D"/>
    <w:multiLevelType w:val="hybridMultilevel"/>
    <w:lvl w:ilvl="0">
      <w:lvlJc w:val="left"/>
      <w:lvlText w:val="%1."/>
      <w:numFmt w:val="decimal"/>
      <w:start w:val="2"/>
    </w:lvl>
    <w:lvl w:ilvl="1">
      <w:lvlJc w:val="left"/>
      <w:lvlText w:val="%2"/>
      <w:numFmt w:val="upperLetter"/>
      <w:start w:val="1"/>
    </w:lvl>
    <w:lvl w:ilvl="2">
      <w:lvlJc w:val="left"/>
      <w:lvlText w:val="(%3)"/>
      <w:numFmt w:val="lowerLetter"/>
      <w:start w:val="12"/>
    </w:lvl>
  </w:abstractNum>
  <w:abstractNum w:abstractNumId="234">
    <w:nsid w:val="822C0EF"/>
    <w:multiLevelType w:val="hybridMultilevel"/>
    <w:lvl w:ilvl="0">
      <w:lvlJc w:val="left"/>
      <w:lvlText w:val="(%1)"/>
      <w:numFmt w:val="lowerRoman"/>
      <w:start w:val="1"/>
    </w:lvl>
  </w:abstractNum>
  <w:abstractNum w:abstractNumId="235">
    <w:nsid w:val="57C5BB4F"/>
    <w:multiLevelType w:val="hybridMultilevel"/>
    <w:lvl w:ilvl="0">
      <w:lvlJc w:val="left"/>
      <w:lvlText w:val="%1."/>
      <w:numFmt w:val="decimal"/>
      <w:start w:val="3"/>
    </w:lvl>
    <w:lvl w:ilvl="1">
      <w:lvlJc w:val="left"/>
      <w:lvlText w:val="(%2)"/>
      <w:numFmt w:val="lowerRoman"/>
      <w:start w:val="4"/>
    </w:lvl>
    <w:lvl w:ilvl="2">
      <w:lvlJc w:val="left"/>
      <w:lvlText w:val="(%3)"/>
      <w:numFmt w:val="lowerRoman"/>
      <w:start w:val="3"/>
    </w:lvl>
  </w:abstractNum>
  <w:abstractNum w:abstractNumId="236">
    <w:nsid w:val="1803D089"/>
    <w:multiLevelType w:val="hybridMultilevel"/>
    <w:lvl w:ilvl="0">
      <w:lvlJc w:val="left"/>
      <w:lvlText w:val="%1."/>
      <w:numFmt w:val="decimal"/>
      <w:start w:val="5"/>
    </w:lvl>
    <w:lvl w:ilvl="1">
      <w:lvlJc w:val="left"/>
      <w:lvlText w:val="(%2)"/>
      <w:numFmt w:val="lowerLetter"/>
      <w:start w:val="5"/>
    </w:lvl>
    <w:lvl w:ilvl="2">
      <w:lvlJc w:val="left"/>
      <w:lvlText w:val="(%3)"/>
      <w:numFmt w:val="lowerLetter"/>
      <w:start w:val="35"/>
    </w:lvl>
  </w:abstractNum>
  <w:abstractNum w:abstractNumId="237">
    <w:nsid w:val="4F3A06D4"/>
    <w:multiLevelType w:val="hybridMultilevel"/>
    <w:lvl w:ilvl="0">
      <w:lvlJc w:val="left"/>
      <w:lvlText w:val="%1."/>
      <w:numFmt w:val="decimal"/>
      <w:start w:val="7"/>
    </w:lvl>
  </w:abstractNum>
  <w:abstractNum w:abstractNumId="238">
    <w:nsid w:val="59A377B6"/>
    <w:multiLevelType w:val="hybridMultilevel"/>
    <w:lvl w:ilvl="0">
      <w:lvlJc w:val="left"/>
      <w:lvlText w:val="•"/>
      <w:numFmt w:val="bullet"/>
      <w:start w:val="1"/>
    </w:lvl>
  </w:abstractNum>
  <w:abstractNum w:abstractNumId="239">
    <w:nsid w:val="48AEB063"/>
    <w:multiLevelType w:val="hybridMultilevel"/>
    <w:lvl w:ilvl="0">
      <w:lvlJc w:val="left"/>
      <w:lvlText w:val="•"/>
      <w:numFmt w:val="bullet"/>
      <w:start w:val="1"/>
    </w:lvl>
  </w:abstractNum>
  <w:abstractNum w:abstractNumId="240">
    <w:nsid w:val="24E135"/>
    <w:multiLevelType w:val="hybridMultilevel"/>
    <w:lvl w:ilvl="0">
      <w:lvlJc w:val="left"/>
      <w:lvlText w:val="•"/>
      <w:numFmt w:val="bullet"/>
      <w:start w:val="1"/>
    </w:lvl>
  </w:abstractNum>
  <w:abstractNum w:abstractNumId="241">
    <w:nsid w:val="BB13C1"/>
    <w:multiLevelType w:val="hybridMultilevel"/>
    <w:lvl w:ilvl="0">
      <w:lvlJc w:val="left"/>
      <w:lvlText w:val="•"/>
      <w:numFmt w:val="bullet"/>
      <w:start w:val="1"/>
    </w:lvl>
  </w:abstractNum>
  <w:abstractNum w:abstractNumId="242">
    <w:nsid w:val="271210C7"/>
    <w:multiLevelType w:val="hybridMultilevel"/>
    <w:lvl w:ilvl="0">
      <w:lvlJc w:val="left"/>
      <w:lvlText w:val="%1."/>
      <w:numFmt w:val="decimal"/>
      <w:start w:val="1"/>
    </w:lvl>
    <w:lvl w:ilvl="1">
      <w:lvlJc w:val="left"/>
      <w:lvlText w:val="(%2)"/>
      <w:numFmt w:val="lowerLetter"/>
      <w:start w:val="1"/>
    </w:lvl>
  </w:abstractNum>
  <w:abstractNum w:abstractNumId="243">
    <w:nsid w:val="217B22E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jpe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84" Type="http://schemas.openxmlformats.org/officeDocument/2006/relationships/hyperlink" Target="https://www.sec.gov/Archives/edgar/data/921582/000119312523032615/d39234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2025-10-23T07:50:25Z</dcterms:created>
  <dcterms:modified xsi:type="dcterms:W3CDTF">2025-10-23T07:50:25Z</dcterms:modified>
</cp:coreProperties>
</file>