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215900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233045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4"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7" w:lineRule="exact"/>
        <w:rPr>
          <w:sz w:val="24"/>
          <w:szCs w:val="24"/>
          <w:color w:val="auto"/>
        </w:rPr>
      </w:pPr>
    </w:p>
    <w:p>
      <w:pPr>
        <w:ind w:left="3900" w:right="1760" w:hanging="3893"/>
        <w:spacing w:after="0" w:line="286" w:lineRule="auto"/>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-286385</wp:posOffset>
            </wp:positionV>
            <wp:extent cx="85725" cy="869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8"/>
          <w:szCs w:val="18"/>
          <w:b w:val="1"/>
          <w:bCs w:val="1"/>
          <w:color w:val="auto"/>
        </w:rPr>
        <w:t>OR</w:t>
      </w:r>
    </w:p>
    <w:p>
      <w:pPr>
        <w:spacing w:after="0" w:line="47" w:lineRule="exact"/>
        <w:rPr>
          <w:sz w:val="24"/>
          <w:szCs w:val="24"/>
          <w:color w:val="auto"/>
        </w:rPr>
      </w:pPr>
    </w:p>
    <w:p>
      <w:pPr>
        <w:ind w:left="4240" w:right="1760" w:hanging="4233"/>
        <w:spacing w:after="0" w:line="295" w:lineRule="auto"/>
        <w:tabs>
          <w:tab w:leader="none" w:pos="51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001-35066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-295910</wp:posOffset>
            </wp:positionV>
            <wp:extent cx="85725" cy="86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699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43"/>
          <w:szCs w:val="43"/>
          <w:b w:val="1"/>
          <w:bCs w:val="1"/>
          <w:color w:val="auto"/>
        </w:rPr>
        <w:t>IMAX Corporation</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47" w:lineRule="exact"/>
        <w:rPr>
          <w:sz w:val="24"/>
          <w:szCs w:val="24"/>
          <w:color w:val="auto"/>
        </w:rPr>
      </w:pPr>
    </w:p>
    <w:tbl>
      <w:tblPr>
        <w:tblLayout w:type="fixed"/>
        <w:tblInd w:w="1320" w:type="dxa"/>
        <w:tblCellMar>
          <w:top w:w="0" w:type="dxa"/>
          <w:left w:w="0" w:type="dxa"/>
          <w:bottom w:w="0" w:type="dxa"/>
          <w:right w:w="0" w:type="dxa"/>
        </w:tblCellMar>
      </w:tblPr>
      <w:tr>
        <w:trPr>
          <w:trHeight w:val="213"/>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2"/>
              </w:rPr>
              <w:t>Canada</w:t>
            </w:r>
          </w:p>
        </w:tc>
        <w:tc>
          <w:tcPr>
            <w:tcW w:w="3960" w:type="dxa"/>
            <w:vAlign w:val="bottom"/>
          </w:tcPr>
          <w:p>
            <w:pPr>
              <w:jc w:val="right"/>
              <w:ind w:right="757"/>
              <w:spacing w:after="0"/>
              <w:rPr>
                <w:sz w:val="20"/>
                <w:szCs w:val="20"/>
                <w:color w:val="auto"/>
              </w:rPr>
            </w:pPr>
            <w:r>
              <w:rPr>
                <w:rFonts w:ascii="Arial" w:cs="Arial" w:eastAsia="Arial" w:hAnsi="Arial"/>
                <w:sz w:val="18"/>
                <w:szCs w:val="18"/>
                <w:b w:val="1"/>
                <w:bCs w:val="1"/>
                <w:color w:val="auto"/>
              </w:rPr>
              <w:t>98-0140269</w:t>
            </w:r>
          </w:p>
        </w:tc>
      </w:tr>
      <w:tr>
        <w:trPr>
          <w:trHeight w:val="147"/>
        </w:trPr>
        <w:tc>
          <w:tcPr>
            <w:tcW w:w="4420" w:type="dxa"/>
            <w:vAlign w:val="bottom"/>
          </w:tcPr>
          <w:p>
            <w:pPr>
              <w:jc w:val="center"/>
              <w:ind w:right="1337"/>
              <w:spacing w:after="0" w:line="147" w:lineRule="exact"/>
              <w:rPr>
                <w:sz w:val="20"/>
                <w:szCs w:val="20"/>
                <w:color w:val="auto"/>
              </w:rPr>
            </w:pPr>
            <w:r>
              <w:rPr>
                <w:rFonts w:ascii="Arial" w:cs="Arial" w:eastAsia="Arial" w:hAnsi="Arial"/>
                <w:sz w:val="14"/>
                <w:szCs w:val="14"/>
                <w:i w:val="1"/>
                <w:iCs w:val="1"/>
                <w:color w:val="auto"/>
                <w:w w:val="95"/>
              </w:rPr>
              <w:t>(State or other jurisdiction of</w:t>
            </w:r>
          </w:p>
        </w:tc>
        <w:tc>
          <w:tcPr>
            <w:tcW w:w="3960" w:type="dxa"/>
            <w:vAlign w:val="bottom"/>
          </w:tcPr>
          <w:p>
            <w:pPr>
              <w:jc w:val="center"/>
              <w:ind w:left="1357"/>
              <w:spacing w:after="0" w:line="147" w:lineRule="exact"/>
              <w:rPr>
                <w:sz w:val="20"/>
                <w:szCs w:val="20"/>
                <w:color w:val="auto"/>
              </w:rPr>
            </w:pPr>
            <w:r>
              <w:rPr>
                <w:rFonts w:ascii="Arial" w:cs="Arial" w:eastAsia="Arial" w:hAnsi="Arial"/>
                <w:sz w:val="14"/>
                <w:szCs w:val="14"/>
                <w:i w:val="1"/>
                <w:iCs w:val="1"/>
                <w:color w:val="auto"/>
                <w:w w:val="93"/>
              </w:rPr>
              <w:t>(I.R.S. Employer</w:t>
            </w:r>
          </w:p>
        </w:tc>
      </w:tr>
      <w:tr>
        <w:trPr>
          <w:trHeight w:val="181"/>
        </w:trPr>
        <w:tc>
          <w:tcPr>
            <w:tcW w:w="4420" w:type="dxa"/>
            <w:vAlign w:val="bottom"/>
          </w:tcPr>
          <w:p>
            <w:pPr>
              <w:jc w:val="center"/>
              <w:ind w:right="1337"/>
              <w:spacing w:after="0"/>
              <w:rPr>
                <w:sz w:val="20"/>
                <w:szCs w:val="20"/>
                <w:color w:val="auto"/>
              </w:rPr>
            </w:pPr>
            <w:r>
              <w:rPr>
                <w:rFonts w:ascii="Arial" w:cs="Arial" w:eastAsia="Arial" w:hAnsi="Arial"/>
                <w:sz w:val="14"/>
                <w:szCs w:val="14"/>
                <w:i w:val="1"/>
                <w:iCs w:val="1"/>
                <w:color w:val="auto"/>
                <w:w w:val="96"/>
              </w:rPr>
              <w:t>incorporation or organization)</w:t>
            </w:r>
          </w:p>
        </w:tc>
        <w:tc>
          <w:tcPr>
            <w:tcW w:w="3960" w:type="dxa"/>
            <w:vAlign w:val="bottom"/>
          </w:tcPr>
          <w:p>
            <w:pPr>
              <w:jc w:val="center"/>
              <w:ind w:left="1357"/>
              <w:spacing w:after="0"/>
              <w:rPr>
                <w:sz w:val="20"/>
                <w:szCs w:val="20"/>
                <w:color w:val="auto"/>
              </w:rPr>
            </w:pPr>
            <w:r>
              <w:rPr>
                <w:rFonts w:ascii="Arial" w:cs="Arial" w:eastAsia="Arial" w:hAnsi="Arial"/>
                <w:sz w:val="14"/>
                <w:szCs w:val="14"/>
                <w:i w:val="1"/>
                <w:iCs w:val="1"/>
                <w:color w:val="auto"/>
                <w:w w:val="96"/>
              </w:rPr>
              <w:t>Identification Number)</w:t>
            </w:r>
          </w:p>
        </w:tc>
      </w:tr>
      <w:tr>
        <w:trPr>
          <w:trHeight w:val="274"/>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0"/>
              </w:rPr>
              <w:t>2525 Speakman Drive,</w:t>
            </w:r>
          </w:p>
        </w:tc>
        <w:tc>
          <w:tcPr>
            <w:tcW w:w="3960" w:type="dxa"/>
            <w:vAlign w:val="bottom"/>
          </w:tcPr>
          <w:p>
            <w:pPr>
              <w:jc w:val="center"/>
              <w:ind w:left="1357"/>
              <w:spacing w:after="0"/>
              <w:rPr>
                <w:sz w:val="20"/>
                <w:szCs w:val="20"/>
                <w:color w:val="auto"/>
              </w:rPr>
            </w:pPr>
            <w:r>
              <w:rPr>
                <w:rFonts w:ascii="Arial" w:cs="Arial" w:eastAsia="Arial" w:hAnsi="Arial"/>
                <w:sz w:val="18"/>
                <w:szCs w:val="18"/>
                <w:b w:val="1"/>
                <w:bCs w:val="1"/>
                <w:color w:val="auto"/>
                <w:w w:val="89"/>
              </w:rPr>
              <w:t>902 Broadway, Floor 20</w:t>
            </w:r>
          </w:p>
        </w:tc>
      </w:tr>
      <w:tr>
        <w:trPr>
          <w:trHeight w:val="214"/>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0"/>
              </w:rPr>
              <w:t>Mississauga, Ontario, Canada L5K 1B1</w:t>
            </w:r>
          </w:p>
        </w:tc>
        <w:tc>
          <w:tcPr>
            <w:tcW w:w="3960" w:type="dxa"/>
            <w:vAlign w:val="bottom"/>
          </w:tcPr>
          <w:p>
            <w:pPr>
              <w:jc w:val="center"/>
              <w:ind w:left="1337"/>
              <w:spacing w:after="0"/>
              <w:rPr>
                <w:sz w:val="20"/>
                <w:szCs w:val="20"/>
                <w:color w:val="auto"/>
              </w:rPr>
            </w:pPr>
            <w:r>
              <w:rPr>
                <w:rFonts w:ascii="Arial" w:cs="Arial" w:eastAsia="Arial" w:hAnsi="Arial"/>
                <w:sz w:val="18"/>
                <w:szCs w:val="18"/>
                <w:b w:val="1"/>
                <w:bCs w:val="1"/>
                <w:color w:val="auto"/>
                <w:w w:val="91"/>
              </w:rPr>
              <w:t>New York, New York, USA 10010</w:t>
            </w:r>
          </w:p>
        </w:tc>
      </w:tr>
      <w:tr>
        <w:trPr>
          <w:trHeight w:val="231"/>
        </w:trPr>
        <w:tc>
          <w:tcPr>
            <w:tcW w:w="4420" w:type="dxa"/>
            <w:vAlign w:val="bottom"/>
          </w:tcPr>
          <w:p>
            <w:pPr>
              <w:jc w:val="center"/>
              <w:ind w:right="1337"/>
              <w:spacing w:after="0"/>
              <w:rPr>
                <w:sz w:val="20"/>
                <w:szCs w:val="20"/>
                <w:color w:val="auto"/>
              </w:rPr>
            </w:pPr>
            <w:r>
              <w:rPr>
                <w:rFonts w:ascii="Arial" w:cs="Arial" w:eastAsia="Arial" w:hAnsi="Arial"/>
                <w:sz w:val="18"/>
                <w:szCs w:val="18"/>
                <w:b w:val="1"/>
                <w:bCs w:val="1"/>
                <w:color w:val="auto"/>
                <w:w w:val="90"/>
              </w:rPr>
              <w:t>(905) 403-6500</w:t>
            </w:r>
          </w:p>
        </w:tc>
        <w:tc>
          <w:tcPr>
            <w:tcW w:w="3960" w:type="dxa"/>
            <w:vAlign w:val="bottom"/>
          </w:tcPr>
          <w:p>
            <w:pPr>
              <w:jc w:val="right"/>
              <w:ind w:right="617"/>
              <w:spacing w:after="0"/>
              <w:rPr>
                <w:sz w:val="20"/>
                <w:szCs w:val="20"/>
                <w:color w:val="auto"/>
              </w:rPr>
            </w:pPr>
            <w:r>
              <w:rPr>
                <w:rFonts w:ascii="Arial" w:cs="Arial" w:eastAsia="Arial" w:hAnsi="Arial"/>
                <w:sz w:val="18"/>
                <w:szCs w:val="18"/>
                <w:b w:val="1"/>
                <w:bCs w:val="1"/>
                <w:color w:val="auto"/>
              </w:rPr>
              <w:t>(212) 821-0100</w:t>
            </w:r>
          </w:p>
        </w:tc>
      </w:tr>
    </w:tbl>
    <w:p>
      <w:pPr>
        <w:spacing w:after="0" w:line="67" w:lineRule="exact"/>
        <w:rPr>
          <w:sz w:val="24"/>
          <w:szCs w:val="24"/>
          <w:color w:val="auto"/>
        </w:rPr>
      </w:pPr>
    </w:p>
    <w:p>
      <w:pPr>
        <w:jc w:val="center"/>
        <w:ind w:right="100"/>
        <w:spacing w:after="0"/>
        <w:rPr>
          <w:sz w:val="20"/>
          <w:szCs w:val="20"/>
          <w:color w:val="auto"/>
        </w:rPr>
      </w:pPr>
      <w:r>
        <w:rPr>
          <w:rFonts w:ascii="Arial" w:cs="Arial" w:eastAsia="Arial" w:hAnsi="Arial"/>
          <w:sz w:val="18"/>
          <w:szCs w:val="18"/>
          <w:i w:val="1"/>
          <w:iCs w:val="1"/>
          <w:color w:val="auto"/>
        </w:rPr>
        <w:t>(Address of principal executive offices, zip code, telephone numbers)</w:t>
      </w:r>
    </w:p>
    <w:p>
      <w:pPr>
        <w:spacing w:after="0" w:line="8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3280" w:type="dxa"/>
            <w:vAlign w:val="bottom"/>
            <w:gridSpan w:val="2"/>
          </w:tcPr>
          <w:p>
            <w:pPr>
              <w:ind w:left="880"/>
              <w:spacing w:after="0"/>
              <w:rPr>
                <w:sz w:val="20"/>
                <w:szCs w:val="20"/>
                <w:color w:val="auto"/>
              </w:rPr>
            </w:pPr>
            <w:r>
              <w:rPr>
                <w:rFonts w:ascii="Arial" w:cs="Arial" w:eastAsia="Arial" w:hAnsi="Arial"/>
                <w:sz w:val="14"/>
                <w:szCs w:val="14"/>
                <w:b w:val="1"/>
                <w:bCs w:val="1"/>
                <w:color w:val="auto"/>
              </w:rPr>
              <w:t>Trading Symbol(s)</w:t>
            </w:r>
          </w:p>
        </w:tc>
        <w:tc>
          <w:tcPr>
            <w:tcW w:w="3840" w:type="dxa"/>
            <w:vAlign w:val="bottom"/>
          </w:tcPr>
          <w:p>
            <w:pPr>
              <w:jc w:val="center"/>
              <w:ind w:left="4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4"/>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Common Shares, no par value</w:t>
            </w:r>
          </w:p>
        </w:tc>
        <w:tc>
          <w:tcPr>
            <w:tcW w:w="180" w:type="dxa"/>
            <w:vAlign w:val="bottom"/>
          </w:tcPr>
          <w:p>
            <w:pPr>
              <w:spacing w:after="0"/>
              <w:rPr>
                <w:sz w:val="19"/>
                <w:szCs w:val="19"/>
                <w:color w:val="auto"/>
              </w:rPr>
            </w:pPr>
          </w:p>
        </w:tc>
        <w:tc>
          <w:tcPr>
            <w:tcW w:w="3140" w:type="dxa"/>
            <w:vAlign w:val="bottom"/>
            <w:tcBorders>
              <w:top w:val="single" w:sz="8" w:color="auto"/>
            </w:tcBorders>
          </w:tcPr>
          <w:p>
            <w:pPr>
              <w:ind w:left="1340"/>
              <w:spacing w:after="0"/>
              <w:rPr>
                <w:sz w:val="20"/>
                <w:szCs w:val="20"/>
                <w:color w:val="auto"/>
              </w:rPr>
            </w:pPr>
            <w:r>
              <w:rPr>
                <w:rFonts w:ascii="Arial" w:cs="Arial" w:eastAsia="Arial" w:hAnsi="Arial"/>
                <w:sz w:val="18"/>
                <w:szCs w:val="18"/>
                <w:b w:val="1"/>
                <w:bCs w:val="1"/>
                <w:color w:val="auto"/>
              </w:rPr>
              <w:t>IMAX</w:t>
            </w:r>
          </w:p>
        </w:tc>
        <w:tc>
          <w:tcPr>
            <w:tcW w:w="140" w:type="dxa"/>
            <w:vAlign w:val="bottom"/>
          </w:tcPr>
          <w:p>
            <w:pPr>
              <w:spacing w:after="0"/>
              <w:rPr>
                <w:sz w:val="19"/>
                <w:szCs w:val="19"/>
                <w:color w:val="auto"/>
              </w:rPr>
            </w:pPr>
          </w:p>
        </w:tc>
        <w:tc>
          <w:tcPr>
            <w:tcW w:w="3840" w:type="dxa"/>
            <w:vAlign w:val="bottom"/>
            <w:tcBorders>
              <w:top w:val="single" w:sz="8" w:color="auto"/>
            </w:tcBorders>
          </w:tcPr>
          <w:p>
            <w:pPr>
              <w:jc w:val="center"/>
              <w:ind w:left="40"/>
              <w:spacing w:after="0"/>
              <w:rPr>
                <w:sz w:val="20"/>
                <w:szCs w:val="20"/>
                <w:color w:val="auto"/>
              </w:rPr>
            </w:pPr>
            <w:r>
              <w:rPr>
                <w:rFonts w:ascii="Arial" w:cs="Arial" w:eastAsia="Arial" w:hAnsi="Arial"/>
                <w:sz w:val="18"/>
                <w:szCs w:val="18"/>
                <w:b w:val="1"/>
                <w:bCs w:val="1"/>
                <w:color w:val="auto"/>
                <w:w w:val="89"/>
              </w:rPr>
              <w:t>The New York Stock Exchange</w:t>
            </w:r>
          </w:p>
        </w:tc>
      </w:tr>
    </w:tbl>
    <w:p>
      <w:pPr>
        <w:spacing w:after="0" w:line="263" w:lineRule="exact"/>
        <w:rPr>
          <w:sz w:val="24"/>
          <w:szCs w:val="24"/>
          <w:color w:val="auto"/>
        </w:rPr>
      </w:pPr>
    </w:p>
    <w:p>
      <w:pPr>
        <w:jc w:val="both"/>
        <w:ind w:right="100" w:firstLine="22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120" w:firstLine="22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100" w:firstLine="225"/>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6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00" w:firstLine="225"/>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240"/>
        <w:spacing w:after="0" w:line="196" w:lineRule="exact"/>
        <w:tabs>
          <w:tab w:leader="none" w:pos="906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left="2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Class</w:t>
            </w:r>
          </w:p>
        </w:tc>
        <w:tc>
          <w:tcPr>
            <w:tcW w:w="5480" w:type="dxa"/>
            <w:vAlign w:val="bottom"/>
          </w:tcPr>
          <w:p>
            <w:pPr>
              <w:jc w:val="center"/>
              <w:spacing w:after="0"/>
              <w:rPr>
                <w:sz w:val="20"/>
                <w:szCs w:val="20"/>
                <w:color w:val="auto"/>
              </w:rPr>
            </w:pPr>
            <w:r>
              <w:rPr>
                <w:rFonts w:ascii="Arial" w:cs="Arial" w:eastAsia="Arial" w:hAnsi="Arial"/>
                <w:sz w:val="14"/>
                <w:szCs w:val="14"/>
                <w:b w:val="1"/>
                <w:bCs w:val="1"/>
                <w:color w:val="auto"/>
                <w:w w:val="90"/>
              </w:rPr>
              <w:t>Outstanding as of June 30, 2020</w:t>
            </w:r>
          </w:p>
        </w:tc>
      </w:tr>
      <w:tr>
        <w:trPr>
          <w:trHeight w:val="22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40" w:type="dxa"/>
            <w:vAlign w:val="bottom"/>
          </w:tcPr>
          <w:p>
            <w:pPr>
              <w:spacing w:after="0"/>
              <w:rPr>
                <w:sz w:val="19"/>
                <w:szCs w:val="19"/>
                <w:color w:val="auto"/>
              </w:rPr>
            </w:pPr>
          </w:p>
        </w:tc>
        <w:tc>
          <w:tcPr>
            <w:tcW w:w="5480" w:type="dxa"/>
            <w:vAlign w:val="bottom"/>
            <w:tcBorders>
              <w:top w:val="single" w:sz="8" w:color="auto"/>
            </w:tcBorders>
          </w:tcPr>
          <w:p>
            <w:pPr>
              <w:jc w:val="right"/>
              <w:ind w:right="2260"/>
              <w:spacing w:after="0"/>
              <w:rPr>
                <w:sz w:val="20"/>
                <w:szCs w:val="20"/>
                <w:color w:val="auto"/>
              </w:rPr>
            </w:pPr>
            <w:r>
              <w:rPr>
                <w:rFonts w:ascii="Arial" w:cs="Arial" w:eastAsia="Arial" w:hAnsi="Arial"/>
                <w:sz w:val="18"/>
                <w:szCs w:val="18"/>
                <w:color w:val="auto"/>
              </w:rPr>
              <w:t>58,857,436</w:t>
            </w:r>
          </w:p>
        </w:tc>
      </w:tr>
      <w:tr>
        <w:trPr>
          <w:trHeight w:val="241"/>
        </w:trPr>
        <w:tc>
          <w:tcPr>
            <w:tcW w:w="5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r>
        <w:trPr>
          <w:trHeight w:val="227"/>
        </w:trPr>
        <w:tc>
          <w:tcPr>
            <w:tcW w:w="55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480" w:type="dxa"/>
            <w:vAlign w:val="bottom"/>
            <w:tcBorders>
              <w:bottom w:val="single" w:sz="8" w:color="9A9A9A"/>
            </w:tcBorders>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340"/>
          </w:cols>
          <w:pgMar w:left="320" w:top="43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9480" w:type="dxa"/>
            <w:vAlign w:val="bottom"/>
            <w:vMerge w:val="restart"/>
          </w:tcPr>
          <w:p>
            <w:pPr>
              <w:jc w:val="center"/>
              <w:ind w:left="31"/>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94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tcPr>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tcPr>
          <w:p>
            <w:pPr>
              <w:ind w:left="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480" w:type="dxa"/>
            <w:vAlign w:val="bottom"/>
          </w:tcPr>
          <w:p>
            <w:pPr>
              <w:ind w:left="6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Quantitative and Qualitative Disclosures about Market Risk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480" w:type="dxa"/>
            <w:vAlign w:val="bottom"/>
          </w:tcPr>
          <w:p>
            <w:pPr>
              <w:ind w:left="6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34"/>
        </w:trPr>
        <w:tc>
          <w:tcPr>
            <w:tcW w:w="820" w:type="dxa"/>
            <w:vAlign w:val="bottom"/>
          </w:tcPr>
          <w:p>
            <w:pPr>
              <w:spacing w:after="0"/>
              <w:rPr>
                <w:sz w:val="24"/>
                <w:szCs w:val="24"/>
                <w:color w:val="auto"/>
              </w:rPr>
            </w:pPr>
          </w:p>
        </w:tc>
        <w:tc>
          <w:tcPr>
            <w:tcW w:w="9480" w:type="dxa"/>
            <w:vAlign w:val="bottom"/>
          </w:tcPr>
          <w:p>
            <w:pPr>
              <w:jc w:val="center"/>
              <w:ind w:left="51"/>
              <w:spacing w:after="0"/>
              <w:rPr>
                <w:rFonts w:ascii="Arial" w:cs="Arial" w:eastAsia="Arial" w:hAnsi="Arial"/>
                <w:sz w:val="18"/>
                <w:szCs w:val="18"/>
                <w:b w:val="1"/>
                <w:bCs w:val="1"/>
                <w:u w:val="single" w:color="auto"/>
                <w:color w:val="0000EE"/>
              </w:rPr>
            </w:pPr>
            <w:hyperlink w:anchor="page76">
              <w:r>
                <w:rPr>
                  <w:rFonts w:ascii="Arial" w:cs="Arial" w:eastAsia="Arial" w:hAnsi="Arial"/>
                  <w:sz w:val="18"/>
                  <w:szCs w:val="18"/>
                  <w:b w:val="1"/>
                  <w:bCs w:val="1"/>
                  <w:u w:val="single" w:color="auto"/>
                  <w:color w:val="0000EE"/>
                </w:rPr>
                <w:t>PART II. OTHER INFORMATION</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tcPr>
          <w:p>
            <w:pPr>
              <w:ind w:left="6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Legal Proceedings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9480" w:type="dxa"/>
            <w:vAlign w:val="bottom"/>
          </w:tcPr>
          <w:p>
            <w:pPr>
              <w:ind w:left="6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tcPr>
          <w:p>
            <w:pPr>
              <w:ind w:left="6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Unregistered Sales of Equity Securities and Use of Proceeds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4"/>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9480" w:type="dxa"/>
            <w:vAlign w:val="bottom"/>
          </w:tcPr>
          <w:p>
            <w:pPr>
              <w:ind w:left="6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Exhibits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7"/>
        </w:trPr>
        <w:tc>
          <w:tcPr>
            <w:tcW w:w="820" w:type="dxa"/>
            <w:vAlign w:val="bottom"/>
          </w:tcPr>
          <w:p>
            <w:pPr>
              <w:spacing w:after="0"/>
              <w:rPr>
                <w:rFonts w:ascii="Arial" w:cs="Arial" w:eastAsia="Arial" w:hAnsi="Arial"/>
                <w:sz w:val="18"/>
                <w:szCs w:val="18"/>
                <w:u w:val="single" w:color="auto"/>
                <w:color w:val="0000EE"/>
                <w:w w:val="92"/>
              </w:rPr>
            </w:pPr>
            <w:hyperlink w:anchor="page79">
              <w:r>
                <w:rPr>
                  <w:rFonts w:ascii="Arial" w:cs="Arial" w:eastAsia="Arial" w:hAnsi="Arial"/>
                  <w:sz w:val="18"/>
                  <w:szCs w:val="18"/>
                  <w:u w:val="single" w:color="auto"/>
                  <w:color w:val="0000EE"/>
                  <w:w w:val="92"/>
                </w:rPr>
                <w:t>Signatures</w:t>
              </w:r>
            </w:hyperlink>
          </w:p>
        </w:tc>
        <w:tc>
          <w:tcPr>
            <w:tcW w:w="9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641"/>
        </w:trPr>
        <w:tc>
          <w:tcPr>
            <w:tcW w:w="820" w:type="dxa"/>
            <w:vAlign w:val="bottom"/>
          </w:tcPr>
          <w:p>
            <w:pPr>
              <w:spacing w:after="0"/>
              <w:rPr>
                <w:sz w:val="24"/>
                <w:szCs w:val="24"/>
                <w:color w:val="auto"/>
              </w:rPr>
            </w:pPr>
          </w:p>
        </w:tc>
        <w:tc>
          <w:tcPr>
            <w:tcW w:w="9480" w:type="dxa"/>
            <w:vAlign w:val="bottom"/>
          </w:tcPr>
          <w:p>
            <w:pPr>
              <w:jc w:val="center"/>
              <w:ind w:left="31"/>
              <w:spacing w:after="0"/>
              <w:rPr>
                <w:sz w:val="20"/>
                <w:szCs w:val="20"/>
                <w:color w:val="auto"/>
              </w:rPr>
            </w:pPr>
            <w:r>
              <w:rPr>
                <w:rFonts w:ascii="Arial" w:cs="Arial" w:eastAsia="Arial" w:hAnsi="Arial"/>
                <w:sz w:val="18"/>
                <w:szCs w:val="18"/>
                <w:color w:val="auto"/>
                <w:w w:val="79"/>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9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580" w:type="dxa"/>
            <w:vAlign w:val="bottom"/>
            <w:vMerge w:val="restart"/>
          </w:tcPr>
          <w:p>
            <w:pPr>
              <w:spacing w:after="0"/>
              <w:rPr>
                <w:sz w:val="20"/>
                <w:szCs w:val="20"/>
                <w:color w:val="auto"/>
              </w:rPr>
            </w:pPr>
            <w:r>
              <w:rPr>
                <w:rFonts w:ascii="Arial" w:cs="Arial" w:eastAsia="Arial" w:hAnsi="Arial"/>
                <w:sz w:val="18"/>
                <w:szCs w:val="18"/>
                <w:color w:val="auto"/>
              </w:rPr>
              <w:t>The following unaudited Condensed Consolidated Financial Statements are filed as part of this Report:</w:t>
            </w: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6"/>
        </w:trPr>
        <w:tc>
          <w:tcPr>
            <w:tcW w:w="105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105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at June 30, 2020 and December 31,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4"/>
        </w:trPr>
        <w:tc>
          <w:tcPr>
            <w:tcW w:w="105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for the three and six months ended June 30,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105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Comprehensive (Loss) Income for the three and six months ended June 30,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1058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six months ended June 30,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1058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Shareholders’ Equity for the three and six months ended June 30, 2020 and 2019</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7"/>
        </w:trPr>
        <w:tc>
          <w:tcPr>
            <w:tcW w:w="1058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41"/>
        </w:trPr>
        <w:tc>
          <w:tcPr>
            <w:tcW w:w="10580" w:type="dxa"/>
            <w:vAlign w:val="bottom"/>
          </w:tcPr>
          <w:p>
            <w:pPr>
              <w:ind w:left="5580"/>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5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60" w:type="dxa"/>
            <w:vAlign w:val="bottom"/>
          </w:tcPr>
          <w:p>
            <w:pPr>
              <w:jc w:val="right"/>
              <w:ind w:right="4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2"/>
        </w:trPr>
        <w:tc>
          <w:tcPr>
            <w:tcW w:w="77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318,986</w:t>
            </w:r>
          </w:p>
        </w:tc>
        <w:tc>
          <w:tcPr>
            <w:tcW w:w="1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109,484</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 of allowance for credit losses</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54,839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99,513</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Financing receivables, net of allowance for credit losses</w:t>
            </w:r>
          </w:p>
        </w:tc>
        <w:tc>
          <w:tcPr>
            <w:tcW w:w="30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123,865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128,038</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Variable consideration receivable, net of allowance for credit losses</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39,397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40,040</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60,179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42,989</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12,008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10,237</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Film assets</w:t>
            </w:r>
          </w:p>
        </w:tc>
        <w:tc>
          <w:tcPr>
            <w:tcW w:w="30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13,147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17,921</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287,220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306,849</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Investment in equity securities</w:t>
            </w:r>
          </w:p>
        </w:tc>
        <w:tc>
          <w:tcPr>
            <w:tcW w:w="30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13,192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15,685</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24,575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25,034</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Deferred income tax assets</w:t>
            </w:r>
          </w:p>
        </w:tc>
        <w:tc>
          <w:tcPr>
            <w:tcW w:w="30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46,826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23,905</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28,204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30,347</w:t>
            </w:r>
          </w:p>
        </w:tc>
        <w:tc>
          <w:tcPr>
            <w:tcW w:w="0" w:type="dxa"/>
            <w:vAlign w:val="bottom"/>
          </w:tcPr>
          <w:p>
            <w:pPr>
              <w:spacing w:after="0"/>
              <w:rPr>
                <w:sz w:val="1"/>
                <w:szCs w:val="1"/>
                <w:color w:val="auto"/>
              </w:rPr>
            </w:pPr>
          </w:p>
        </w:tc>
      </w:tr>
      <w:tr>
        <w:trPr>
          <w:trHeight w:val="227"/>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39,027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39,027</w:t>
            </w:r>
          </w:p>
        </w:tc>
        <w:tc>
          <w:tcPr>
            <w:tcW w:w="0" w:type="dxa"/>
            <w:vAlign w:val="bottom"/>
          </w:tcPr>
          <w:p>
            <w:pPr>
              <w:spacing w:after="0"/>
              <w:rPr>
                <w:sz w:val="1"/>
                <w:szCs w:val="1"/>
                <w:color w:val="auto"/>
              </w:rPr>
            </w:pPr>
          </w:p>
        </w:tc>
      </w:tr>
      <w:tr>
        <w:trPr>
          <w:trHeight w:val="221"/>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1,061,465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889,069</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Bank indebtedness</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297,765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18,229</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13,668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20,414</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and other liabilities</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108,917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112,779</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104,311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94,552</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liabilities</w:t>
            </w: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18,475</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543,136</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245,974</w:t>
            </w: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Non-controlling interests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4,237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5,908</w:t>
            </w: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Capital stock common shares — no par value. Authorized — unlimited number.</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58,878,749 issued and 58,857,436 outstanding (December 31, 2019 — 61,362,872 issued and</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61,175,852 outstanding)</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405,583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423,386</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Less: Treasury stock, 21,313 shares at cost (December 31, 2019 — 187,020)</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equity</w:t>
            </w: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172,690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171,789</w:t>
            </w:r>
          </w:p>
        </w:tc>
        <w:tc>
          <w:tcPr>
            <w:tcW w:w="0" w:type="dxa"/>
            <w:vAlign w:val="bottom"/>
          </w:tcPr>
          <w:p>
            <w:pPr>
              <w:spacing w:after="0"/>
              <w:rPr>
                <w:sz w:val="1"/>
                <w:szCs w:val="1"/>
                <w:color w:val="auto"/>
              </w:rPr>
            </w:pP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(134,395)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(40,253)</w:t>
            </w:r>
          </w:p>
        </w:tc>
        <w:tc>
          <w:tcPr>
            <w:tcW w:w="0" w:type="dxa"/>
            <w:vAlign w:val="bottom"/>
          </w:tcPr>
          <w:p>
            <w:pPr>
              <w:spacing w:after="0"/>
              <w:rPr>
                <w:sz w:val="1"/>
                <w:szCs w:val="1"/>
                <w:color w:val="auto"/>
              </w:rPr>
            </w:pPr>
          </w:p>
        </w:tc>
      </w:tr>
      <w:tr>
        <w:trPr>
          <w:trHeight w:val="228"/>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(4,180)</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20"/>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shareholders' equity attributable to common shareholders</w:t>
            </w:r>
          </w:p>
        </w:tc>
        <w:tc>
          <w:tcPr>
            <w:tcW w:w="30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b w:val="1"/>
                <w:bCs w:val="1"/>
                <w:color w:val="auto"/>
              </w:rPr>
              <w:t>439,369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b w:val="1"/>
                <w:bCs w:val="1"/>
                <w:color w:val="auto"/>
              </w:rPr>
              <w:t>547,694</w:t>
            </w:r>
          </w:p>
        </w:tc>
        <w:tc>
          <w:tcPr>
            <w:tcW w:w="0" w:type="dxa"/>
            <w:vAlign w:val="bottom"/>
          </w:tcPr>
          <w:p>
            <w:pPr>
              <w:spacing w:after="0"/>
              <w:rPr>
                <w:sz w:val="1"/>
                <w:szCs w:val="1"/>
                <w:color w:val="auto"/>
              </w:rPr>
            </w:pPr>
          </w:p>
        </w:tc>
      </w:tr>
      <w:tr>
        <w:trPr>
          <w:trHeight w:val="22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74,723</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89,493</w:t>
            </w:r>
          </w:p>
        </w:tc>
        <w:tc>
          <w:tcPr>
            <w:tcW w:w="0" w:type="dxa"/>
            <w:vAlign w:val="bottom"/>
          </w:tcPr>
          <w:p>
            <w:pPr>
              <w:spacing w:after="0"/>
              <w:rPr>
                <w:sz w:val="1"/>
                <w:szCs w:val="1"/>
                <w:color w:val="auto"/>
              </w:rPr>
            </w:pPr>
          </w:p>
        </w:tc>
      </w:tr>
      <w:tr>
        <w:trPr>
          <w:trHeight w:val="22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514,092</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637,187</w:t>
            </w:r>
          </w:p>
        </w:tc>
        <w:tc>
          <w:tcPr>
            <w:tcW w:w="0" w:type="dxa"/>
            <w:vAlign w:val="bottom"/>
          </w:tcPr>
          <w:p>
            <w:pPr>
              <w:spacing w:after="0"/>
              <w:rPr>
                <w:sz w:val="1"/>
                <w:szCs w:val="1"/>
                <w:color w:val="auto"/>
              </w:rPr>
            </w:pPr>
          </w:p>
        </w:tc>
      </w:tr>
      <w:tr>
        <w:trPr>
          <w:trHeight w:val="22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1,061,465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889,069</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448"/>
        </w:trPr>
        <w:tc>
          <w:tcPr>
            <w:tcW w:w="20" w:type="dxa"/>
            <w:vAlign w:val="bottom"/>
            <w:vMerge w:val="restart"/>
          </w:tcPr>
          <w:p>
            <w:pPr>
              <w:spacing w:after="0"/>
              <w:rPr>
                <w:sz w:val="24"/>
                <w:szCs w:val="24"/>
                <w:color w:val="auto"/>
              </w:rPr>
            </w:pPr>
          </w:p>
        </w:tc>
        <w:tc>
          <w:tcPr>
            <w:tcW w:w="5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Technology sales</w:t>
            </w:r>
          </w:p>
        </w:tc>
        <w:tc>
          <w:tcPr>
            <w:tcW w:w="84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2,687</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19,694</w:t>
            </w:r>
          </w:p>
        </w:tc>
        <w:tc>
          <w:tcPr>
            <w:tcW w:w="120" w:type="dxa"/>
            <w:vAlign w:val="bottom"/>
          </w:tcPr>
          <w:p>
            <w:pPr>
              <w:spacing w:after="0"/>
              <w:rPr>
                <w:sz w:val="19"/>
                <w:szCs w:val="19"/>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8,349</w:t>
            </w:r>
          </w:p>
        </w:tc>
        <w:tc>
          <w:tcPr>
            <w:tcW w:w="14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34,894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Image enhancement and maintenance services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3,799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56,662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24,520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100,809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Technology rentals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25,863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5,834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44,033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Finance income</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2,506</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2,578</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5,054</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8,855</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104,797</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43,757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184,995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 applicable to revenues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Technology sales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2,546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11,939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6,415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21,374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Image enhancement and maintenance services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7,244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26,781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25,060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46,024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Technology rentals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6,753</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6,524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14,884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12,904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16,543</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45,244</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46,359</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80,302</w:t>
            </w: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(Margin loss) gross margin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(7,688)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59,553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104,693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29,796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32,136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58,432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59,785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3,432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1,344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2,665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Credit loss expense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1,440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11,657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Exit costs, restructuring charges and associated impairments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income from operations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(41,500)</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24,050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(79,939)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38,049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Gain (loss) in fair value of equity securities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Retirement benefits non-service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891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(Loss) income before taxes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(40,295)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19,282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(83,672)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35,501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10,248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in losses of investees, net of tax</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(30,047)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13,836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(89,458)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26,323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loss (income) attributable to non-controlling interests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4,080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14,137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6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(25,967)</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11,397</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(75,321)</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19,662</w:t>
            </w:r>
          </w:p>
        </w:tc>
        <w:tc>
          <w:tcPr>
            <w:tcW w:w="0" w:type="dxa"/>
            <w:vAlign w:val="bottom"/>
          </w:tcPr>
          <w:p>
            <w:pPr>
              <w:spacing w:after="0"/>
              <w:rPr>
                <w:sz w:val="1"/>
                <w:szCs w:val="1"/>
                <w:color w:val="auto"/>
              </w:rPr>
            </w:pPr>
          </w:p>
        </w:tc>
      </w:tr>
      <w:tr>
        <w:trPr>
          <w:trHeight w:val="20"/>
        </w:trPr>
        <w:tc>
          <w:tcPr>
            <w:tcW w:w="5720" w:type="dxa"/>
            <w:vAlign w:val="bottom"/>
            <w:gridSpan w:val="3"/>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6920" w:type="dxa"/>
            <w:vAlign w:val="bottom"/>
            <w:gridSpan w:val="5"/>
          </w:tcPr>
          <w:p>
            <w:pPr>
              <w:spacing w:after="0"/>
              <w:rPr>
                <w:sz w:val="20"/>
                <w:szCs w:val="20"/>
                <w:color w:val="auto"/>
              </w:rPr>
            </w:pPr>
            <w:r>
              <w:rPr>
                <w:rFonts w:ascii="Arial" w:cs="Arial" w:eastAsia="Arial" w:hAnsi="Arial"/>
                <w:sz w:val="18"/>
                <w:szCs w:val="18"/>
                <w:b w:val="1"/>
                <w:bCs w:val="1"/>
                <w:color w:val="auto"/>
                <w:w w:val="94"/>
              </w:rPr>
              <w:t>Net (loss) income per share attributable to common shareholders - basic and diluted:</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 — basic and diluted</w:t>
            </w:r>
          </w:p>
        </w:tc>
        <w:tc>
          <w:tcPr>
            <w:tcW w:w="84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4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6"/>
                <w:szCs w:val="16"/>
                <w:color w:val="auto"/>
              </w:rPr>
            </w:pPr>
          </w:p>
        </w:tc>
      </w:tr>
      <w:tr>
        <w:trPr>
          <w:trHeight w:val="212"/>
        </w:trPr>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20"/>
        </w:trPr>
        <w:tc>
          <w:tcPr>
            <w:tcW w:w="55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2019</w:t>
            </w:r>
          </w:p>
        </w:tc>
      </w:tr>
      <w:tr>
        <w:trPr>
          <w:trHeight w:val="220"/>
        </w:trPr>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(30,047)</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13,836</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(89,458)</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11"/>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26,323</w:t>
            </w:r>
          </w:p>
        </w:tc>
      </w:tr>
      <w:tr>
        <w:trPr>
          <w:trHeight w:val="220"/>
        </w:trPr>
        <w:tc>
          <w:tcPr>
            <w:tcW w:w="5580" w:type="dxa"/>
            <w:vAlign w:val="bottom"/>
          </w:tcPr>
          <w:p>
            <w:pPr>
              <w:ind w:left="260"/>
              <w:spacing w:after="0"/>
              <w:rPr>
                <w:sz w:val="20"/>
                <w:szCs w:val="20"/>
                <w:color w:val="auto"/>
              </w:rPr>
            </w:pPr>
            <w:r>
              <w:rPr>
                <w:rFonts w:ascii="Arial" w:cs="Arial" w:eastAsia="Arial" w:hAnsi="Arial"/>
                <w:sz w:val="18"/>
                <w:szCs w:val="18"/>
                <w:color w:val="auto"/>
              </w:rPr>
              <w:t>Unrealized net gain (loss) from cash flow hedging instruments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365</w:t>
            </w:r>
          </w:p>
        </w:tc>
      </w:tr>
      <w:tr>
        <w:trPr>
          <w:trHeight w:val="227"/>
        </w:trPr>
        <w:tc>
          <w:tcPr>
            <w:tcW w:w="5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Realized net loss from cash flow hedging instruments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693</w:t>
            </w:r>
          </w:p>
        </w:tc>
      </w:tr>
      <w:tr>
        <w:trPr>
          <w:trHeight w:val="227"/>
        </w:trPr>
        <w:tc>
          <w:tcPr>
            <w:tcW w:w="558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7"/>
        </w:trPr>
        <w:tc>
          <w:tcPr>
            <w:tcW w:w="5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Defined benefit and postretirement benefit plans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0"/>
        </w:trPr>
        <w:tc>
          <w:tcPr>
            <w:tcW w:w="5580" w:type="dxa"/>
            <w:vAlign w:val="bottom"/>
          </w:tcPr>
          <w:p>
            <w:pPr>
              <w:spacing w:after="0"/>
              <w:rPr>
                <w:sz w:val="20"/>
                <w:szCs w:val="20"/>
                <w:color w:val="auto"/>
              </w:rPr>
            </w:pPr>
            <w:r>
              <w:rPr>
                <w:rFonts w:ascii="Arial" w:cs="Arial" w:eastAsia="Arial" w:hAnsi="Arial"/>
                <w:sz w:val="18"/>
                <w:szCs w:val="18"/>
                <w:b w:val="1"/>
                <w:bCs w:val="1"/>
                <w:color w:val="auto"/>
              </w:rPr>
              <w:t>Other comprehensive income (loss), before tax</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2,171</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(1,429)</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886</w:t>
            </w:r>
          </w:p>
        </w:tc>
      </w:tr>
      <w:tr>
        <w:trPr>
          <w:trHeight w:val="227"/>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w w:val="93"/>
              </w:rPr>
              <w:t>Income tax (expense) benefit related to other comprehensive (loss) income</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r>
      <w:tr>
        <w:trPr>
          <w:trHeight w:val="22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608</w:t>
            </w:r>
          </w:p>
        </w:tc>
      </w:tr>
      <w:tr>
        <w:trPr>
          <w:trHeight w:val="221"/>
        </w:trPr>
        <w:tc>
          <w:tcPr>
            <w:tcW w:w="5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(loss) income</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(28,318)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13,073</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(90,634)</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26,931</w:t>
            </w:r>
          </w:p>
        </w:tc>
      </w:tr>
      <w:tr>
        <w:trPr>
          <w:trHeight w:val="227"/>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3"/>
              </w:rPr>
              <w:t>Less: Comprehensive (loss) income attributable to non-controlling interests</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3,930</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14,323</w:t>
            </w:r>
          </w:p>
        </w:tc>
        <w:tc>
          <w:tcPr>
            <w:tcW w:w="1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w:t>
            </w:r>
          </w:p>
        </w:tc>
      </w:tr>
      <w:tr>
        <w:trPr>
          <w:trHeight w:val="221"/>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95"/>
              </w:rPr>
              <w:t>Comprehensive (loss) income attributable to common shareholders</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(24,388)</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11,033</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(76,311)</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11"/>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20,324</w:t>
            </w:r>
          </w:p>
        </w:tc>
      </w:tr>
      <w:tr>
        <w:trPr>
          <w:trHeight w:val="20"/>
        </w:trPr>
        <w:tc>
          <w:tcPr>
            <w:tcW w:w="5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6"/>
                <w:szCs w:val="16"/>
                <w:color w:val="auto"/>
              </w:rPr>
            </w:pPr>
          </w:p>
        </w:tc>
      </w:tr>
      <w:tr>
        <w:trPr>
          <w:trHeight w:val="212"/>
        </w:trPr>
        <w:tc>
          <w:tcPr>
            <w:tcW w:w="6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8"/>
                <w:szCs w:val="18"/>
                <w:color w:val="auto"/>
              </w:rPr>
            </w:pPr>
          </w:p>
        </w:tc>
      </w:tr>
      <w:tr>
        <w:trPr>
          <w:trHeight w:val="220"/>
        </w:trPr>
        <w:tc>
          <w:tcPr>
            <w:tcW w:w="672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711"/>
              <w:spacing w:after="0"/>
              <w:rPr>
                <w:sz w:val="20"/>
                <w:szCs w:val="20"/>
                <w:color w:val="auto"/>
              </w:rPr>
            </w:pPr>
            <w:r>
              <w:rPr>
                <w:rFonts w:ascii="Arial" w:cs="Arial" w:eastAsia="Arial" w:hAnsi="Arial"/>
                <w:sz w:val="14"/>
                <w:szCs w:val="14"/>
                <w:b w:val="1"/>
                <w:bCs w:val="1"/>
                <w:color w:val="auto"/>
              </w:rPr>
              <w:t>2019</w:t>
            </w:r>
          </w:p>
        </w:tc>
      </w:tr>
      <w:tr>
        <w:trPr>
          <w:trHeight w:val="220"/>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(used in) provided by:</w:t>
            </w:r>
          </w:p>
        </w:tc>
        <w:tc>
          <w:tcPr>
            <w:tcW w:w="8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r>
      <w:tr>
        <w:trPr>
          <w:trHeight w:val="227"/>
        </w:trPr>
        <w:tc>
          <w:tcPr>
            <w:tcW w:w="67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860" w:type="dxa"/>
            <w:vAlign w:val="bottom"/>
            <w:gridSpan w:val="2"/>
            <w:shd w:val="clear" w:color="auto" w:fill="CFF0FC"/>
          </w:tcPr>
          <w:p>
            <w:pPr>
              <w:jc w:val="right"/>
              <w:ind w:right="791"/>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(89,458)</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26,323</w:t>
            </w:r>
          </w:p>
        </w:tc>
      </w:tr>
      <w:tr>
        <w:trPr>
          <w:trHeight w:val="227"/>
        </w:trPr>
        <w:tc>
          <w:tcPr>
            <w:tcW w:w="6720" w:type="dxa"/>
            <w:vAlign w:val="bottom"/>
          </w:tcPr>
          <w:p>
            <w:pPr>
              <w:spacing w:after="0"/>
              <w:rPr>
                <w:sz w:val="20"/>
                <w:szCs w:val="20"/>
                <w:color w:val="auto"/>
              </w:rPr>
            </w:pPr>
            <w:r>
              <w:rPr>
                <w:rFonts w:ascii="Arial" w:cs="Arial" w:eastAsia="Arial" w:hAnsi="Arial"/>
                <w:sz w:val="18"/>
                <w:szCs w:val="18"/>
                <w:color w:val="auto"/>
              </w:rPr>
              <w:t>Adjustments to reconcile net (loss) income to cash from operating activities:</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27,182</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29,804</w:t>
            </w:r>
          </w:p>
        </w:tc>
      </w:tr>
      <w:tr>
        <w:trPr>
          <w:trHeight w:val="227"/>
        </w:trPr>
        <w:tc>
          <w:tcPr>
            <w:tcW w:w="6720" w:type="dxa"/>
            <w:vAlign w:val="bottom"/>
          </w:tcPr>
          <w:p>
            <w:pPr>
              <w:ind w:left="260"/>
              <w:spacing w:after="0"/>
              <w:rPr>
                <w:sz w:val="20"/>
                <w:szCs w:val="20"/>
                <w:color w:val="auto"/>
              </w:rPr>
            </w:pPr>
            <w:r>
              <w:rPr>
                <w:rFonts w:ascii="Arial" w:cs="Arial" w:eastAsia="Arial" w:hAnsi="Arial"/>
                <w:sz w:val="18"/>
                <w:szCs w:val="18"/>
                <w:color w:val="auto"/>
              </w:rPr>
              <w:t>Credit loss expense</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11,657</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1,358</w:t>
            </w:r>
          </w:p>
        </w:tc>
      </w:tr>
      <w:tr>
        <w:trPr>
          <w:trHeight w:val="227"/>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Write-downs</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6,806</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508</w:t>
            </w:r>
          </w:p>
        </w:tc>
      </w:tr>
      <w:tr>
        <w:trPr>
          <w:trHeight w:val="227"/>
        </w:trPr>
        <w:tc>
          <w:tcPr>
            <w:tcW w:w="6720" w:type="dxa"/>
            <w:vAlign w:val="bottom"/>
          </w:tcPr>
          <w:p>
            <w:pPr>
              <w:ind w:left="260"/>
              <w:spacing w:after="0"/>
              <w:rPr>
                <w:sz w:val="20"/>
                <w:szCs w:val="20"/>
                <w:color w:val="auto"/>
              </w:rPr>
            </w:pPr>
            <w:r>
              <w:rPr>
                <w:rFonts w:ascii="Arial" w:cs="Arial" w:eastAsia="Arial" w:hAnsi="Arial"/>
                <w:sz w:val="18"/>
                <w:szCs w:val="18"/>
                <w:color w:val="auto"/>
              </w:rPr>
              <w:t>Deferred income tax (benefit) expense</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(4,878)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1,296</w:t>
            </w:r>
          </w:p>
        </w:tc>
      </w:tr>
      <w:tr>
        <w:trPr>
          <w:trHeight w:val="227"/>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and other non-cash compensation</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10,850</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11,710</w:t>
            </w:r>
          </w:p>
        </w:tc>
      </w:tr>
      <w:tr>
        <w:trPr>
          <w:trHeight w:val="227"/>
        </w:trPr>
        <w:tc>
          <w:tcPr>
            <w:tcW w:w="6720" w:type="dxa"/>
            <w:vAlign w:val="bottom"/>
          </w:tcPr>
          <w:p>
            <w:pPr>
              <w:ind w:left="260"/>
              <w:spacing w:after="0"/>
              <w:rPr>
                <w:sz w:val="20"/>
                <w:szCs w:val="20"/>
                <w:color w:val="auto"/>
              </w:rPr>
            </w:pPr>
            <w:r>
              <w:rPr>
                <w:rFonts w:ascii="Arial" w:cs="Arial" w:eastAsia="Arial" w:hAnsi="Arial"/>
                <w:sz w:val="18"/>
                <w:szCs w:val="18"/>
                <w:color w:val="auto"/>
              </w:rPr>
              <w:t>Unrealized foreign currency exchange loss (gain)</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7"/>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in fair value of equity securities</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2,514</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2,053</w:t>
            </w:r>
          </w:p>
        </w:tc>
      </w:tr>
      <w:tr>
        <w:trPr>
          <w:trHeight w:val="227"/>
        </w:trPr>
        <w:tc>
          <w:tcPr>
            <w:tcW w:w="6720" w:type="dxa"/>
            <w:vAlign w:val="bottom"/>
          </w:tcPr>
          <w:p>
            <w:pPr>
              <w:ind w:left="260"/>
              <w:spacing w:after="0"/>
              <w:rPr>
                <w:sz w:val="20"/>
                <w:szCs w:val="20"/>
                <w:color w:val="auto"/>
              </w:rPr>
            </w:pPr>
            <w:r>
              <w:rPr>
                <w:rFonts w:ascii="Arial" w:cs="Arial" w:eastAsia="Arial" w:hAnsi="Arial"/>
                <w:sz w:val="18"/>
                <w:szCs w:val="18"/>
                <w:color w:val="auto"/>
              </w:rPr>
              <w:t>Equity in losses of investees</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222</w:t>
            </w:r>
          </w:p>
        </w:tc>
      </w:tr>
      <w:tr>
        <w:trPr>
          <w:trHeight w:val="228"/>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7"/>
        </w:trPr>
        <w:tc>
          <w:tcPr>
            <w:tcW w:w="67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36,971</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489</w:t>
            </w:r>
          </w:p>
        </w:tc>
      </w:tr>
      <w:tr>
        <w:trPr>
          <w:trHeight w:val="227"/>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(16,887)</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w:t>
            </w:r>
          </w:p>
        </w:tc>
      </w:tr>
      <w:tr>
        <w:trPr>
          <w:trHeight w:val="227"/>
        </w:trPr>
        <w:tc>
          <w:tcPr>
            <w:tcW w:w="6720" w:type="dxa"/>
            <w:vAlign w:val="bottom"/>
          </w:tcPr>
          <w:p>
            <w:pPr>
              <w:ind w:left="260"/>
              <w:spacing w:after="0"/>
              <w:rPr>
                <w:sz w:val="20"/>
                <w:szCs w:val="20"/>
                <w:color w:val="auto"/>
              </w:rPr>
            </w:pPr>
            <w:r>
              <w:rPr>
                <w:rFonts w:ascii="Arial" w:cs="Arial" w:eastAsia="Arial" w:hAnsi="Arial"/>
                <w:sz w:val="18"/>
                <w:szCs w:val="18"/>
                <w:color w:val="auto"/>
              </w:rPr>
              <w:t>Film assets</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(4,057)</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(8,214)</w:t>
            </w:r>
          </w:p>
        </w:tc>
      </w:tr>
      <w:tr>
        <w:trPr>
          <w:trHeight w:val="227"/>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9,799</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r>
      <w:tr>
        <w:trPr>
          <w:trHeight w:val="227"/>
        </w:trPr>
        <w:tc>
          <w:tcPr>
            <w:tcW w:w="6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Changes in other operating assets and liabilities</w:t>
            </w:r>
          </w:p>
        </w:tc>
        <w:tc>
          <w:tcPr>
            <w:tcW w:w="8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(12,220)</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(12,437)</w:t>
            </w:r>
          </w:p>
        </w:tc>
      </w:tr>
      <w:tr>
        <w:trPr>
          <w:trHeight w:val="221"/>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8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(20,880)</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48,517</w:t>
            </w:r>
          </w:p>
        </w:tc>
      </w:tr>
      <w:tr>
        <w:trPr>
          <w:trHeight w:val="219"/>
        </w:trPr>
        <w:tc>
          <w:tcPr>
            <w:tcW w:w="6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plant and equipment</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(4,175)</w:t>
            </w:r>
          </w:p>
        </w:tc>
      </w:tr>
      <w:tr>
        <w:trPr>
          <w:trHeight w:val="227"/>
        </w:trPr>
        <w:tc>
          <w:tcPr>
            <w:tcW w:w="6720" w:type="dxa"/>
            <w:vAlign w:val="bottom"/>
          </w:tcPr>
          <w:p>
            <w:pPr>
              <w:spacing w:after="0"/>
              <w:rPr>
                <w:sz w:val="20"/>
                <w:szCs w:val="20"/>
                <w:color w:val="auto"/>
              </w:rPr>
            </w:pPr>
            <w:r>
              <w:rPr>
                <w:rFonts w:ascii="Arial" w:cs="Arial" w:eastAsia="Arial" w:hAnsi="Arial"/>
                <w:sz w:val="18"/>
                <w:szCs w:val="18"/>
                <w:color w:val="auto"/>
              </w:rPr>
              <w:t>Purchase of equipment for joint revenue sharing arrangements</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(22,235)</w:t>
            </w:r>
          </w:p>
        </w:tc>
      </w:tr>
      <w:tr>
        <w:trPr>
          <w:trHeight w:val="228"/>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other intangible assets</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w:t>
            </w:r>
          </w:p>
        </w:tc>
      </w:tr>
      <w:tr>
        <w:trPr>
          <w:trHeight w:val="227"/>
        </w:trPr>
        <w:tc>
          <w:tcPr>
            <w:tcW w:w="6720" w:type="dxa"/>
            <w:vAlign w:val="bottom"/>
          </w:tcPr>
          <w:p>
            <w:pPr>
              <w:spacing w:after="0"/>
              <w:rPr>
                <w:sz w:val="20"/>
                <w:szCs w:val="20"/>
                <w:color w:val="auto"/>
              </w:rPr>
            </w:pPr>
            <w:r>
              <w:rPr>
                <w:rFonts w:ascii="Arial" w:cs="Arial" w:eastAsia="Arial" w:hAnsi="Arial"/>
                <w:sz w:val="18"/>
                <w:szCs w:val="18"/>
                <w:color w:val="auto"/>
              </w:rPr>
              <w:t>Investment in equity securities</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(15,153)</w:t>
            </w:r>
          </w:p>
        </w:tc>
      </w:tr>
      <w:tr>
        <w:trPr>
          <w:trHeight w:val="221"/>
        </w:trPr>
        <w:tc>
          <w:tcPr>
            <w:tcW w:w="6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8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(5,723)</w:t>
            </w:r>
          </w:p>
        </w:tc>
        <w:tc>
          <w:tcPr>
            <w:tcW w:w="1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(42,684)</w:t>
            </w:r>
          </w:p>
        </w:tc>
      </w:tr>
      <w:tr>
        <w:trPr>
          <w:trHeight w:val="219"/>
        </w:trPr>
        <w:tc>
          <w:tcPr>
            <w:tcW w:w="6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Increase in credit facility borrowings</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2"/>
              </w:rPr>
              <w:t>280,244</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35,000</w:t>
            </w:r>
          </w:p>
        </w:tc>
      </w:tr>
      <w:tr>
        <w:trPr>
          <w:trHeight w:val="227"/>
        </w:trPr>
        <w:tc>
          <w:tcPr>
            <w:tcW w:w="6720" w:type="dxa"/>
            <w:vAlign w:val="bottom"/>
          </w:tcPr>
          <w:p>
            <w:pPr>
              <w:spacing w:after="0"/>
              <w:rPr>
                <w:sz w:val="20"/>
                <w:szCs w:val="20"/>
                <w:color w:val="auto"/>
              </w:rPr>
            </w:pPr>
            <w:r>
              <w:rPr>
                <w:rFonts w:ascii="Arial" w:cs="Arial" w:eastAsia="Arial" w:hAnsi="Arial"/>
                <w:sz w:val="18"/>
                <w:szCs w:val="18"/>
                <w:color w:val="auto"/>
              </w:rPr>
              <w:t>Repayment of credit facility borrowings</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28"/>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Credit facility amendment fees paid</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27"/>
        </w:trPr>
        <w:tc>
          <w:tcPr>
            <w:tcW w:w="6720" w:type="dxa"/>
            <w:vAlign w:val="bottom"/>
          </w:tcPr>
          <w:p>
            <w:pPr>
              <w:spacing w:after="0"/>
              <w:rPr>
                <w:sz w:val="20"/>
                <w:szCs w:val="20"/>
                <w:color w:val="auto"/>
              </w:rPr>
            </w:pPr>
            <w:r>
              <w:rPr>
                <w:rFonts w:ascii="Arial" w:cs="Arial" w:eastAsia="Arial" w:hAnsi="Arial"/>
                <w:sz w:val="18"/>
                <w:szCs w:val="18"/>
                <w:color w:val="auto"/>
              </w:rPr>
              <w:t>Settlement of restricted share units and options</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(2,757)</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(7,619)</w:t>
            </w:r>
          </w:p>
        </w:tc>
      </w:tr>
      <w:tr>
        <w:trPr>
          <w:trHeight w:val="228"/>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repurchased for future settlement of restricted share units</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w:t>
            </w:r>
          </w:p>
        </w:tc>
      </w:tr>
      <w:tr>
        <w:trPr>
          <w:trHeight w:val="227"/>
        </w:trPr>
        <w:tc>
          <w:tcPr>
            <w:tcW w:w="6720" w:type="dxa"/>
            <w:vAlign w:val="bottom"/>
          </w:tcPr>
          <w:p>
            <w:pPr>
              <w:spacing w:after="0"/>
              <w:rPr>
                <w:sz w:val="20"/>
                <w:szCs w:val="20"/>
                <w:color w:val="auto"/>
              </w:rPr>
            </w:pPr>
            <w:r>
              <w:rPr>
                <w:rFonts w:ascii="Arial" w:cs="Arial" w:eastAsia="Arial" w:hAnsi="Arial"/>
                <w:sz w:val="18"/>
                <w:szCs w:val="18"/>
                <w:color w:val="auto"/>
              </w:rPr>
              <w:t>Repurchase of common shares, IMAX China</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(16,813)</w:t>
            </w:r>
          </w:p>
        </w:tc>
      </w:tr>
      <w:tr>
        <w:trPr>
          <w:trHeight w:val="228"/>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Taxes withheld and paid on employee stock awards vested</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r>
      <w:tr>
        <w:trPr>
          <w:trHeight w:val="227"/>
        </w:trPr>
        <w:tc>
          <w:tcPr>
            <w:tcW w:w="6720" w:type="dxa"/>
            <w:vAlign w:val="bottom"/>
          </w:tcPr>
          <w:p>
            <w:pPr>
              <w:spacing w:after="0"/>
              <w:rPr>
                <w:sz w:val="20"/>
                <w:szCs w:val="20"/>
                <w:color w:val="auto"/>
              </w:rPr>
            </w:pPr>
            <w:r>
              <w:rPr>
                <w:rFonts w:ascii="Arial" w:cs="Arial" w:eastAsia="Arial" w:hAnsi="Arial"/>
                <w:sz w:val="18"/>
                <w:szCs w:val="18"/>
                <w:color w:val="auto"/>
              </w:rPr>
              <w:t>Common shares issued - stock options exercised</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2,379</w:t>
            </w:r>
          </w:p>
        </w:tc>
      </w:tr>
      <w:tr>
        <w:trPr>
          <w:trHeight w:val="228"/>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Repurchase of common shares</w:t>
            </w:r>
          </w:p>
        </w:tc>
        <w:tc>
          <w:tcPr>
            <w:tcW w:w="8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(36,624)</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r>
      <w:tr>
        <w:trPr>
          <w:trHeight w:val="227"/>
        </w:trPr>
        <w:tc>
          <w:tcPr>
            <w:tcW w:w="6720" w:type="dxa"/>
            <w:vAlign w:val="bottom"/>
          </w:tcPr>
          <w:p>
            <w:pPr>
              <w:spacing w:after="0"/>
              <w:rPr>
                <w:sz w:val="20"/>
                <w:szCs w:val="20"/>
                <w:color w:val="auto"/>
              </w:rPr>
            </w:pPr>
            <w:r>
              <w:rPr>
                <w:rFonts w:ascii="Arial" w:cs="Arial" w:eastAsia="Arial" w:hAnsi="Arial"/>
                <w:sz w:val="18"/>
                <w:szCs w:val="18"/>
                <w:color w:val="auto"/>
              </w:rPr>
              <w:t>Issuance of subsidiary shares to non-controlling interests (net of return on capital)</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1,106</w:t>
            </w:r>
          </w:p>
        </w:tc>
      </w:tr>
      <w:tr>
        <w:trPr>
          <w:trHeight w:val="228"/>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Dividends paid to non-controlling interests</w:t>
            </w:r>
          </w:p>
        </w:tc>
        <w:tc>
          <w:tcPr>
            <w:tcW w:w="8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(2,118)</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w:t>
            </w:r>
          </w:p>
        </w:tc>
      </w:tr>
      <w:tr>
        <w:trPr>
          <w:trHeight w:val="220"/>
        </w:trPr>
        <w:tc>
          <w:tcPr>
            <w:tcW w:w="6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8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2"/>
              </w:rPr>
              <w:t>235,674</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(41,265)</w:t>
            </w:r>
          </w:p>
        </w:tc>
      </w:tr>
      <w:tr>
        <w:trPr>
          <w:trHeight w:val="22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Effects of exchange rate changes on cash</w:t>
            </w:r>
          </w:p>
        </w:tc>
        <w:tc>
          <w:tcPr>
            <w:tcW w:w="8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293</w:t>
            </w:r>
          </w:p>
        </w:tc>
      </w:tr>
      <w:tr>
        <w:trPr>
          <w:trHeight w:val="220"/>
        </w:trPr>
        <w:tc>
          <w:tcPr>
            <w:tcW w:w="672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 during period</w:t>
            </w: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w w:val="92"/>
              </w:rPr>
              <w:t>209,502</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(35,139)</w:t>
            </w:r>
          </w:p>
        </w:tc>
      </w:tr>
      <w:tr>
        <w:trPr>
          <w:trHeight w:val="227"/>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8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w w:val="92"/>
              </w:rPr>
              <w:t>109,484</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141,590</w:t>
            </w:r>
          </w:p>
        </w:tc>
      </w:tr>
      <w:tr>
        <w:trPr>
          <w:trHeight w:val="220"/>
        </w:trPr>
        <w:tc>
          <w:tcPr>
            <w:tcW w:w="672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80" w:type="dxa"/>
            <w:vAlign w:val="bottom"/>
          </w:tcPr>
          <w:p>
            <w:pPr>
              <w:spacing w:after="0"/>
              <w:rPr>
                <w:sz w:val="19"/>
                <w:szCs w:val="19"/>
                <w:color w:val="auto"/>
              </w:rPr>
            </w:pPr>
          </w:p>
        </w:tc>
        <w:tc>
          <w:tcPr>
            <w:tcW w:w="98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2"/>
              </w:rPr>
              <w:t>318,986</w:t>
            </w: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106,451</w:t>
            </w:r>
          </w:p>
        </w:tc>
      </w:tr>
      <w:tr>
        <w:trPr>
          <w:trHeight w:val="20"/>
        </w:trPr>
        <w:tc>
          <w:tcPr>
            <w:tcW w:w="6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 w:name="page8"/>
    <w:bookmarkEnd w:id="7"/>
    <w:p>
      <w:pPr>
        <w:ind w:left="4680"/>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231"/>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20"/>
        </w:trPr>
        <w:tc>
          <w:tcPr>
            <w:tcW w:w="56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2019</w:t>
            </w:r>
          </w:p>
        </w:tc>
      </w:tr>
      <w:tr>
        <w:trPr>
          <w:trHeight w:val="220"/>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capital stock:</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7"/>
        </w:trPr>
        <w:tc>
          <w:tcPr>
            <w:tcW w:w="56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404,164</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418,907</w:t>
            </w:r>
          </w:p>
        </w:tc>
        <w:tc>
          <w:tcPr>
            <w:tcW w:w="12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419,348</w:t>
            </w:r>
          </w:p>
        </w:tc>
        <w:tc>
          <w:tcPr>
            <w:tcW w:w="140" w:type="dxa"/>
            <w:vAlign w:val="bottom"/>
          </w:tcPr>
          <w:p>
            <w:pPr>
              <w:spacing w:after="0"/>
              <w:rPr>
                <w:sz w:val="19"/>
                <w:szCs w:val="19"/>
                <w:color w:val="auto"/>
              </w:rPr>
            </w:pPr>
          </w:p>
        </w:tc>
        <w:tc>
          <w:tcPr>
            <w:tcW w:w="4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421,539</w:t>
            </w:r>
          </w:p>
        </w:tc>
      </w:tr>
      <w:tr>
        <w:trPr>
          <w:trHeight w:val="227"/>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shares held in treasury</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1,090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2,632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3,709</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r>
      <w:tr>
        <w:trPr>
          <w:trHeight w:val="227"/>
        </w:trPr>
        <w:tc>
          <w:tcPr>
            <w:tcW w:w="5600" w:type="dxa"/>
            <w:vAlign w:val="bottom"/>
          </w:tcPr>
          <w:p>
            <w:pPr>
              <w:ind w:left="260"/>
              <w:spacing w:after="0"/>
              <w:rPr>
                <w:sz w:val="20"/>
                <w:szCs w:val="20"/>
                <w:color w:val="auto"/>
              </w:rPr>
            </w:pPr>
            <w:r>
              <w:rPr>
                <w:rFonts w:ascii="Arial" w:cs="Arial" w:eastAsia="Arial" w:hAnsi="Arial"/>
                <w:sz w:val="18"/>
                <w:szCs w:val="18"/>
                <w:color w:val="auto"/>
              </w:rPr>
              <w:t>Employee stock options exercised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1,728</w:t>
            </w:r>
          </w:p>
        </w:tc>
      </w:tr>
      <w:tr>
        <w:trPr>
          <w:trHeight w:val="227"/>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stock options exercised at the grant date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97</w:t>
            </w:r>
          </w:p>
        </w:tc>
      </w:tr>
      <w:tr>
        <w:trPr>
          <w:trHeight w:val="227"/>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9"/>
              </w:rPr>
              <w:t>Average carrying value of repurchased and retired common shares</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(17,803)</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r>
      <w:tr>
        <w:trPr>
          <w:trHeight w:val="221"/>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405,254</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422,101</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405,254</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422,101</w:t>
            </w:r>
          </w:p>
        </w:tc>
      </w:tr>
      <w:tr>
        <w:trPr>
          <w:trHeight w:val="219"/>
        </w:trPr>
        <w:tc>
          <w:tcPr>
            <w:tcW w:w="5600" w:type="dxa"/>
            <w:vAlign w:val="bottom"/>
          </w:tcPr>
          <w:p>
            <w:pPr>
              <w:spacing w:after="0"/>
              <w:rPr>
                <w:sz w:val="20"/>
                <w:szCs w:val="20"/>
                <w:color w:val="auto"/>
              </w:rPr>
            </w:pPr>
            <w:r>
              <w:rPr>
                <w:rFonts w:ascii="Arial" w:cs="Arial" w:eastAsia="Arial" w:hAnsi="Arial"/>
                <w:sz w:val="18"/>
                <w:szCs w:val="18"/>
                <w:b w:val="1"/>
                <w:bCs w:val="1"/>
                <w:color w:val="auto"/>
              </w:rPr>
              <w:t>Adjustments to other equity: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168,892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176,587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171,789</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179,595</w:t>
            </w:r>
          </w:p>
        </w:tc>
      </w:tr>
      <w:tr>
        <w:trPr>
          <w:trHeight w:val="227"/>
        </w:trPr>
        <w:tc>
          <w:tcPr>
            <w:tcW w:w="5600" w:type="dxa"/>
            <w:vAlign w:val="bottom"/>
          </w:tcPr>
          <w:p>
            <w:pPr>
              <w:ind w:left="260"/>
              <w:spacing w:after="0"/>
              <w:rPr>
                <w:sz w:val="20"/>
                <w:szCs w:val="20"/>
                <w:color w:val="auto"/>
              </w:rPr>
            </w:pPr>
            <w:r>
              <w:rPr>
                <w:rFonts w:ascii="Arial" w:cs="Arial" w:eastAsia="Arial" w:hAnsi="Arial"/>
                <w:sz w:val="18"/>
                <w:szCs w:val="18"/>
                <w:color w:val="auto"/>
              </w:rPr>
              <w:t>Amortization of share-based payment expense - stock options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4,488</w:t>
            </w:r>
          </w:p>
        </w:tc>
      </w:tr>
      <w:tr>
        <w:trPr>
          <w:trHeight w:val="227"/>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Amortization of share-based payment expense - restricted share units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4,948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4,842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7,762</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7,253</w:t>
            </w:r>
          </w:p>
        </w:tc>
      </w:tr>
      <w:tr>
        <w:trPr>
          <w:trHeight w:val="227"/>
        </w:trPr>
        <w:tc>
          <w:tcPr>
            <w:tcW w:w="5600" w:type="dxa"/>
            <w:vAlign w:val="bottom"/>
          </w:tcPr>
          <w:p>
            <w:pPr>
              <w:ind w:left="260"/>
              <w:spacing w:after="0"/>
              <w:rPr>
                <w:sz w:val="20"/>
                <w:szCs w:val="20"/>
                <w:color w:val="auto"/>
              </w:rPr>
            </w:pPr>
            <w:r>
              <w:rPr>
                <w:rFonts w:ascii="Arial" w:cs="Arial" w:eastAsia="Arial" w:hAnsi="Arial"/>
                <w:sz w:val="18"/>
                <w:szCs w:val="18"/>
                <w:color w:val="auto"/>
                <w:w w:val="91"/>
              </w:rPr>
              <w:t>Amortization of share-based payment expense - performance stock units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793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7"/>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share units vested</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(7,225)</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(7,294)</w:t>
            </w:r>
          </w:p>
        </w:tc>
      </w:tr>
      <w:tr>
        <w:trPr>
          <w:trHeight w:val="227"/>
        </w:trPr>
        <w:tc>
          <w:tcPr>
            <w:tcW w:w="5600" w:type="dxa"/>
            <w:vAlign w:val="bottom"/>
          </w:tcPr>
          <w:p>
            <w:pPr>
              <w:ind w:left="260"/>
              <w:spacing w:after="0"/>
              <w:rPr>
                <w:sz w:val="20"/>
                <w:szCs w:val="20"/>
                <w:color w:val="auto"/>
              </w:rPr>
            </w:pPr>
            <w:r>
              <w:rPr>
                <w:rFonts w:ascii="Arial" w:cs="Arial" w:eastAsia="Arial" w:hAnsi="Arial"/>
                <w:sz w:val="18"/>
                <w:szCs w:val="18"/>
                <w:color w:val="auto"/>
                <w:w w:val="89"/>
              </w:rPr>
              <w:t>Cash received from the issuance of common shares in excess of par value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651</w:t>
            </w:r>
          </w:p>
        </w:tc>
      </w:tr>
      <w:tr>
        <w:trPr>
          <w:trHeight w:val="227"/>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stock options exercised at the grant date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r>
      <w:tr>
        <w:trPr>
          <w:trHeight w:val="227"/>
        </w:trPr>
        <w:tc>
          <w:tcPr>
            <w:tcW w:w="5600" w:type="dxa"/>
            <w:vAlign w:val="bottom"/>
          </w:tcPr>
          <w:p>
            <w:pPr>
              <w:ind w:left="260"/>
              <w:spacing w:after="0"/>
              <w:rPr>
                <w:sz w:val="20"/>
                <w:szCs w:val="20"/>
                <w:color w:val="auto"/>
              </w:rPr>
            </w:pPr>
            <w:r>
              <w:rPr>
                <w:rFonts w:ascii="Arial" w:cs="Arial" w:eastAsia="Arial" w:hAnsi="Arial"/>
                <w:sz w:val="18"/>
                <w:szCs w:val="18"/>
                <w:color w:val="auto"/>
              </w:rPr>
              <w:t>Common shares repurchased, IMAX China</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(16,813)</w:t>
            </w:r>
          </w:p>
        </w:tc>
      </w:tr>
      <w:tr>
        <w:trPr>
          <w:trHeight w:val="227"/>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1"/>
              </w:rPr>
              <w:t>Stock options exercised from treasury shares purchased on open market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w:t>
            </w:r>
          </w:p>
        </w:tc>
      </w:tr>
      <w:tr>
        <w:trPr>
          <w:trHeight w:val="220"/>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172,690</w:t>
            </w: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166,232</w:t>
            </w: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172,690</w:t>
            </w:r>
          </w:p>
        </w:tc>
        <w:tc>
          <w:tcPr>
            <w:tcW w:w="14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166,232</w:t>
            </w:r>
          </w:p>
        </w:tc>
      </w:tr>
      <w:tr>
        <w:trPr>
          <w:trHeight w:val="221"/>
        </w:trPr>
        <w:tc>
          <w:tcPr>
            <w:tcW w:w="5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accumulated deficit: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7"/>
        </w:trPr>
        <w:tc>
          <w:tcPr>
            <w:tcW w:w="56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(108,428)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(40,253)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(85,385)</w:t>
            </w:r>
          </w:p>
        </w:tc>
      </w:tr>
      <w:tr>
        <w:trPr>
          <w:trHeight w:val="227"/>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income attributable to common shareholders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(25,967)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11,397</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(75,321)</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19,662</w:t>
            </w:r>
          </w:p>
        </w:tc>
      </w:tr>
      <w:tr>
        <w:trPr>
          <w:trHeight w:val="227"/>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Common shares repurchased and retired</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(18,821)</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r>
      <w:tr>
        <w:trPr>
          <w:trHeight w:val="221"/>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(134,395)</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(66,828)</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(134,395)</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(66,828)</w:t>
            </w:r>
          </w:p>
        </w:tc>
      </w:tr>
      <w:tr>
        <w:trPr>
          <w:trHeight w:val="219"/>
        </w:trPr>
        <w:tc>
          <w:tcPr>
            <w:tcW w:w="5600" w:type="dxa"/>
            <w:vAlign w:val="bottom"/>
          </w:tcPr>
          <w:p>
            <w:pPr>
              <w:spacing w:after="0"/>
              <w:rPr>
                <w:sz w:val="20"/>
                <w:szCs w:val="20"/>
                <w:color w:val="auto"/>
              </w:rPr>
            </w:pPr>
            <w:r>
              <w:rPr>
                <w:rFonts w:ascii="Arial" w:cs="Arial" w:eastAsia="Arial" w:hAnsi="Arial"/>
                <w:sz w:val="18"/>
                <w:szCs w:val="18"/>
                <w:b w:val="1"/>
                <w:bCs w:val="1"/>
                <w:color w:val="auto"/>
              </w:rPr>
              <w:t>Adjustments to accumulated other comprehensive loss: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(3,190)</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w:t>
            </w:r>
          </w:p>
        </w:tc>
      </w:tr>
      <w:tr>
        <w:trPr>
          <w:trHeight w:val="227"/>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1,579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662</w:t>
            </w:r>
          </w:p>
        </w:tc>
      </w:tr>
      <w:tr>
        <w:trPr>
          <w:trHeight w:val="221"/>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(4,180)</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(4,180)</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w:t>
            </w:r>
          </w:p>
        </w:tc>
      </w:tr>
      <w:tr>
        <w:trPr>
          <w:trHeight w:val="219"/>
        </w:trPr>
        <w:tc>
          <w:tcPr>
            <w:tcW w:w="5600" w:type="dxa"/>
            <w:vAlign w:val="bottom"/>
          </w:tcPr>
          <w:p>
            <w:pPr>
              <w:spacing w:after="0"/>
              <w:rPr>
                <w:sz w:val="20"/>
                <w:szCs w:val="20"/>
                <w:color w:val="auto"/>
              </w:rPr>
            </w:pPr>
            <w:r>
              <w:rPr>
                <w:rFonts w:ascii="Arial" w:cs="Arial" w:eastAsia="Arial" w:hAnsi="Arial"/>
                <w:sz w:val="18"/>
                <w:szCs w:val="18"/>
                <w:b w:val="1"/>
                <w:bCs w:val="1"/>
                <w:color w:val="auto"/>
              </w:rPr>
              <w:t>Adjustments to non-controlling interests: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79,508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85,434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89,493</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80,757</w:t>
            </w:r>
          </w:p>
        </w:tc>
      </w:tr>
      <w:tr>
        <w:trPr>
          <w:trHeight w:val="227"/>
        </w:trPr>
        <w:tc>
          <w:tcPr>
            <w:tcW w:w="5600" w:type="dxa"/>
            <w:vAlign w:val="bottom"/>
          </w:tcPr>
          <w:p>
            <w:pPr>
              <w:ind w:left="260"/>
              <w:spacing w:after="0"/>
              <w:rPr>
                <w:sz w:val="20"/>
                <w:szCs w:val="20"/>
                <w:color w:val="auto"/>
              </w:rPr>
            </w:pPr>
            <w:r>
              <w:rPr>
                <w:rFonts w:ascii="Arial" w:cs="Arial" w:eastAsia="Arial" w:hAnsi="Arial"/>
                <w:sz w:val="18"/>
                <w:szCs w:val="18"/>
                <w:color w:val="auto"/>
              </w:rPr>
              <w:t>Net (loss) income attributable to non-controlling interests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2,703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(12,466)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7,035</w:t>
            </w:r>
          </w:p>
        </w:tc>
      </w:tr>
      <w:tr>
        <w:trPr>
          <w:trHeight w:val="227"/>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r>
      <w:tr>
        <w:trPr>
          <w:trHeight w:val="227"/>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Dividends paid to non-controlling shareholders</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r>
      <w:tr>
        <w:trPr>
          <w:trHeight w:val="221"/>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74,723</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85,472</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74,723</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85,472</w:t>
            </w:r>
          </w:p>
        </w:tc>
      </w:tr>
      <w:tr>
        <w:trPr>
          <w:trHeight w:val="220"/>
        </w:trPr>
        <w:tc>
          <w:tcPr>
            <w:tcW w:w="560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514,092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604,051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514,092</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604,051</w:t>
            </w: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accompanying notes, which are an integral part of these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IMAX CORPORATION</w:t>
      </w:r>
    </w:p>
    <w:p>
      <w:pPr>
        <w:spacing w:after="0" w:line="24" w:lineRule="exact"/>
        <w:rPr>
          <w:sz w:val="20"/>
          <w:szCs w:val="20"/>
          <w:color w:val="auto"/>
        </w:rPr>
      </w:pPr>
    </w:p>
    <w:p>
      <w:pPr>
        <w:ind w:left="3640" w:right="2500" w:hanging="925"/>
        <w:spacing w:after="0" w:line="278" w:lineRule="auto"/>
        <w:rPr>
          <w:sz w:val="20"/>
          <w:szCs w:val="20"/>
          <w:color w:val="auto"/>
        </w:rPr>
      </w:pPr>
      <w:r>
        <w:rPr>
          <w:rFonts w:ascii="Arial" w:cs="Arial" w:eastAsia="Arial" w:hAnsi="Arial"/>
          <w:sz w:val="16"/>
          <w:szCs w:val="16"/>
          <w:b w:val="1"/>
          <w:bCs w:val="1"/>
          <w:color w:val="auto"/>
        </w:rPr>
        <w:t xml:space="preserve">NOTES TO CONDENSED CONSOLIDATED FINANCIAL STATEMENTS </w:t>
      </w:r>
      <w:r>
        <w:rPr>
          <w:rFonts w:ascii="Arial" w:cs="Arial" w:eastAsia="Arial" w:hAnsi="Arial"/>
          <w:sz w:val="16"/>
          <w:szCs w:val="16"/>
          <w:i w:val="1"/>
          <w:iCs w:val="1"/>
          <w:color w:val="auto"/>
        </w:rPr>
        <w:t>(Tabular amounts in thousands of U.S. dollars, unless otherwise stated)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r>
        <w:rPr>
          <w:rFonts w:ascii="Arial" w:cs="Arial" w:eastAsia="Arial" w:hAnsi="Arial"/>
          <w:sz w:val="18"/>
          <w:szCs w:val="18"/>
          <w:b w:val="1"/>
          <w:bCs w:val="1"/>
          <w:i w:val="1"/>
          <w:iCs w:val="1"/>
          <w:color w:val="auto"/>
        </w:rPr>
        <w:t>)</w:t>
      </w:r>
    </w:p>
    <w:p>
      <w:pPr>
        <w:spacing w:after="0" w:line="7" w:lineRule="exact"/>
        <w:rPr>
          <w:sz w:val="20"/>
          <w:szCs w:val="20"/>
          <w:color w:val="auto"/>
        </w:rPr>
      </w:pPr>
    </w:p>
    <w:p>
      <w:pPr>
        <w:jc w:val="both"/>
        <w:ind w:left="240" w:right="9420" w:hanging="233"/>
        <w:spacing w:after="0" w:line="577" w:lineRule="auto"/>
        <w:tabs>
          <w:tab w:leader="none" w:pos="238"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Basis of Presentation </w:t>
      </w:r>
      <w:r>
        <w:rPr>
          <w:rFonts w:ascii="Arial" w:cs="Arial" w:eastAsia="Arial" w:hAnsi="Arial"/>
          <w:sz w:val="14"/>
          <w:szCs w:val="14"/>
          <w:i w:val="1"/>
          <w:iCs w:val="1"/>
          <w:color w:val="auto"/>
        </w:rPr>
        <w:t>Accounting Principles</w:t>
      </w:r>
    </w:p>
    <w:p>
      <w:pPr>
        <w:spacing w:after="0" w:line="1"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IMAX Corporation, together with its consolidated subsidiaries (the “Company”), prepares its financial statements in accordance with United States Generally Accepted Accounting Principles (“U.S. GAAP”) and pursuant to the rules and regulations of the Securities and Exchange Commission.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interim results presented in the Company’s Condensed Consolidated Statements of Operations are not necessarily indicative of results for a full year, particularly in this interim period due to the impacts of the COVID-19 global pandemic. (See Note 2.)</w:t>
      </w:r>
    </w:p>
    <w:p>
      <w:pPr>
        <w:spacing w:after="0" w:line="142"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Company’s Condensed Consolidated Financial Statements should be read in conjunction with the audited Consolidated Financial Statements included in the its 2019 Annual Report on Form 10-K (the “2019 Form 10-K”), which should be consulted for a summary of the significant accounting policies utilized by the Company. The Condensed Consolidated Financial Statements are prepared following the same accounting policies disclosed in the Company’s 2019 Form 10-K, except as described in Note 4 below. In the first quarter of 2020, the Company updated certain account names within Revenues and Costs and Expenses Applicable to Revenues in its Condensed Consolidated Statements of Operations to better describe the nature of its revenue-generating activities and related costs.</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19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These Condensed Consolidated Financial Statements include the accounts of the Company, except for subsidiaries which have been identified as variable interest entities (“VIEs”) where the Company is not the primary beneficiary. All intercompany accounts and transactions, including all unrealized intercompany profits on transactions with equity method investees, have been eliminated.</w:t>
      </w:r>
    </w:p>
    <w:p>
      <w:pPr>
        <w:spacing w:after="0" w:line="145"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The Company has interests in ten film production companies, which have been identified as VIEs. The Company is the primary beneficiary of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17(b). The Company does not consolidate the other five film production companies because it does not have the power to direct their activities and does not have the obligation to absorb the majority of the expected losses or the right to receive expected residual returns. The Company uses the equity method of accounting for these entities, which are not material to the Company’s Condensed Consolidated Financial Statements. A loss in value of an investment that is other than temporary is recognized as a charge to the Condensed Consolidated Statements of Operations.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assets and liabilities of the Company’s consolidated VIEs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60" w:type="dxa"/>
            <w:vAlign w:val="bottom"/>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77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2019</w:t>
            </w:r>
          </w:p>
        </w:tc>
      </w:tr>
      <w:tr>
        <w:trPr>
          <w:trHeight w:val="220"/>
        </w:trPr>
        <w:tc>
          <w:tcPr>
            <w:tcW w:w="7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7,010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9,677</w:t>
            </w:r>
          </w:p>
        </w:tc>
      </w:tr>
      <w:tr>
        <w:trPr>
          <w:trHeight w:val="227"/>
        </w:trPr>
        <w:tc>
          <w:tcPr>
            <w:tcW w:w="772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40"/>
              <w:spacing w:after="0"/>
              <w:rPr>
                <w:sz w:val="20"/>
                <w:szCs w:val="20"/>
                <w:color w:val="auto"/>
              </w:rPr>
            </w:pPr>
            <w:r>
              <w:rPr>
                <w:rFonts w:ascii="Arial" w:cs="Arial" w:eastAsia="Arial" w:hAnsi="Arial"/>
                <w:sz w:val="18"/>
                <w:szCs w:val="18"/>
                <w:color w:val="auto"/>
              </w:rPr>
              <w:t>15,494</w:t>
            </w:r>
          </w:p>
        </w:tc>
        <w:tc>
          <w:tcPr>
            <w:tcW w:w="1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60"/>
              <w:spacing w:after="0"/>
              <w:rPr>
                <w:sz w:val="20"/>
                <w:szCs w:val="20"/>
                <w:color w:val="auto"/>
              </w:rPr>
            </w:pPr>
            <w:r>
              <w:rPr>
                <w:rFonts w:ascii="Arial" w:cs="Arial" w:eastAsia="Arial" w:hAnsi="Arial"/>
                <w:sz w:val="18"/>
                <w:szCs w:val="18"/>
                <w:color w:val="auto"/>
              </w:rPr>
              <w:t>15,528</w:t>
            </w:r>
          </w:p>
        </w:tc>
      </w:tr>
    </w:tbl>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Estimates and Assumptions</w:t>
      </w:r>
    </w:p>
    <w:p>
      <w:pPr>
        <w:spacing w:after="0" w:line="180"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In preparing the Company’s Condensed Consolidated Financial Statements, management makes judgments in applying various accounting policies. The areas of policy judgment are consistent with those reported in the Company’s 2019 Form 10-K, with the exception of the adoption of the estimate of current expected credit losses that became effective January 1, 2020, which also involves significant judgment and estimation, and is described in Note 4 below. In addition, management makes assumptions about the Company’s future operating results and cash flows in deriving critical accounting estimates used in preparing the Condensed Consolidated Financial Statements. As disclosed in the Company’s 2019 Form 10-K, such sources of estimation include estimates used to determine the recoverable amounts of receivables, inventory, film assets, long-lived assets (including assets used to support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joint revenue sharing arrangements), goodwill and deferred tax assets, as well as estimates of variable consideration related to future box office performance.</w:t>
      </w:r>
    </w:p>
    <w:p>
      <w:pPr>
        <w:spacing w:after="0" w:line="217" w:lineRule="exact"/>
        <w:rPr>
          <w:sz w:val="20"/>
          <w:szCs w:val="20"/>
          <w:color w:val="auto"/>
        </w:rPr>
      </w:pPr>
    </w:p>
    <w:p>
      <w:pPr>
        <w:jc w:val="both"/>
        <w:ind w:firstLine="225"/>
        <w:spacing w:after="0" w:line="283" w:lineRule="auto"/>
        <w:rPr>
          <w:sz w:val="20"/>
          <w:szCs w:val="20"/>
          <w:color w:val="auto"/>
        </w:rPr>
      </w:pPr>
      <w:r>
        <w:rPr>
          <w:rFonts w:ascii="Arial" w:cs="Arial" w:eastAsia="Arial" w:hAnsi="Arial"/>
          <w:sz w:val="16"/>
          <w:szCs w:val="16"/>
          <w:color w:val="auto"/>
        </w:rPr>
        <w:t>To date, the Company’s operations have been significantly impacted by the COVID-19 pandemic, as described in Note 2. There continues to be significant ongoing uncertainty surrounding the extent and duration of the impacts that the pandemic will have on box office results and the installation of IMAX Theater Systems, as well as the Company’s customers, suppliers, and employees. There is heightened potential for future credit losses on receivables, inventory write downs, impairments of film assets, impairments of long-lived assets (including the theater system equipment supporting the Company’s joint revenue sharing arrangements), impairments of goodwill, valuation allowances against deferred tax assets, and the reversal of variable consideration receivables that are based on future box office performance. In the current environment, assumptions about box office results, IMAX Theater System installations, and customer creditworthiness have greater variability than normal, which could in the future significantly affect the valuation of the Company’s assets, both financial and non-financial. The Company’s cash flow estimates for testing the recoverability of certain long-lived assets are based on a longer time horizon due to the long-term nature of its underlying contracts, allowing time for a recovery of the cash flows associated with the underlying assets groups, which management has factored into its estimates. The accuracy of management’s estimates is dependent, in part, on the timing of the reopening of theaters in the IMAX network, and on the release of new films by production studios. These theater reopening and film release scenarios are highly uncertain and have been factored into management’s cash flow estimates. As an understanding of the longer-term impacts of COVID-19 on the Company’s customers and business develops, there is a heightened potential for changes in management’s estimates over the remainder of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Impact of COVID-19 Pandemic</w:t>
      </w:r>
    </w:p>
    <w:p>
      <w:pPr>
        <w:spacing w:after="0" w:line="184"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In late-January 2020, in response to the public health risks associated with the novel coronavirus and the disease that it causes (“COVID-19”), the Chinese government directed exhibitors in China to temporarily close more than 70,000 movie theaters, including all of the approximately 700 IMAX theaters in mainland China.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caused movie theaters in countries around the world to temporarily close, including substantially all of the IMAX theaters in those countries. As a result of the theater closures, Hollywood and Chinese movie studios have postponed the theatrical release of multiple films, including many scheduled to be shown in IMAX theaters, while other films have been released directly to streaming platforms. As of the date of this report, stay-at-home orders have been lifted in many countries and movie theaters are gradually reopening with reduced capacities, physical distancing requirements, and other safety measures. Subsequent to June 30, 2020, approximately 40% of the theaters in the IMAX commercial multiplex network have begun to report gross box office (“GBO”) results in July. These theaters span across 40 countries and include the Domestic, Greater China and Rest of World markets.</w:t>
      </w:r>
    </w:p>
    <w:p>
      <w:pPr>
        <w:spacing w:after="0" w:line="155"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repercussions of the COVID-19 global pandemic have resulted in a significant decrease in the Company’s revenues, earnings and operating cash flows during the three and six months ended June 30, 2020 as GBO results declined significantly, the installation of certain theater systems was delayed, and maintenance services were generally suspended. During the time period when a significant number of theaters in the IMAX network are closed, the Company has and will continue to experience a significant decline in earnings and operating cash flows as it is generating significantly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and may continue to be delayed. In addition, the Company has experienced and may continue to experience delays in collecting payments due under existing theater sale or lease arrangements from its exhibitor partners who are now facing financial difficulties as a result of the theater closures.</w:t>
      </w:r>
    </w:p>
    <w:p>
      <w:pPr>
        <w:spacing w:after="0" w:line="130"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T</w:t>
      </w:r>
      <w:r>
        <w:rPr>
          <w:rFonts w:ascii="Arial" w:cs="Arial" w:eastAsia="Arial" w:hAnsi="Arial"/>
          <w:sz w:val="16"/>
          <w:szCs w:val="16"/>
          <w:color w:val="212529"/>
        </w:rPr>
        <w:t>he Company may continue to be significantly impacted by the COVID-19 global pandemic even after some or all theaters are reopened. The global</w:t>
      </w:r>
      <w:r>
        <w:rPr>
          <w:rFonts w:ascii="Arial" w:cs="Arial" w:eastAsia="Arial" w:hAnsi="Arial"/>
          <w:sz w:val="16"/>
          <w:szCs w:val="16"/>
          <w:color w:val="auto"/>
        </w:rPr>
        <w:t xml:space="preserve"> </w:t>
      </w:r>
      <w:r>
        <w:rPr>
          <w:rFonts w:ascii="Arial" w:cs="Arial" w:eastAsia="Arial" w:hAnsi="Arial"/>
          <w:sz w:val="16"/>
          <w:szCs w:val="16"/>
          <w:color w:val="212529"/>
        </w:rPr>
        <w:t>economic impact of COVID-19 has led to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until such time as consumer behavior normalizes and consumer spending recovers.</w:t>
      </w:r>
    </w:p>
    <w:p>
      <w:pPr>
        <w:spacing w:after="0" w:line="118"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In response to uncertainties associated with the COVID-19 pandemic, the Company has taken and is continuing to take significant steps to preserve cash by eliminating non-essential costs, reducing employee hours and deferring all non-essential capital expenditures to minimum levels. The Company has also implemented an active cash management process, which, among other things, requires senior management approval of all outgoing payments. In addition, in the first quarter of 2020, the Company drew down the $280.0 million in available borrowing capacity under its credit facility, which was then amended in June 2020 to, among other things, suspend the senior secured net leverage ratio financial covenant in the underlying credit agreement through the first quarter of 2021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jc w:val="both"/>
        <w:spacing w:after="0" w:line="252" w:lineRule="auto"/>
        <w:rPr>
          <w:sz w:val="20"/>
          <w:szCs w:val="20"/>
          <w:color w:val="auto"/>
        </w:rPr>
      </w:pPr>
      <w:r>
        <w:rPr>
          <w:rFonts w:ascii="Arial" w:cs="Arial" w:eastAsia="Arial" w:hAnsi="Arial"/>
          <w:sz w:val="18"/>
          <w:szCs w:val="18"/>
          <w:color w:val="auto"/>
        </w:rPr>
        <w:t>(see Note 7). Furthermore, the Company has applied for wage subsidies, tax credits and other financial support under the newly enacted COVID-19 relief legislation in the countries in which it operates. The Company received approximately $2.2 million in July 2020 under the Canada Emergency Wage Subsidy program and expects to receive approximately $1.0 million under the U.S. CARES Act, both of which were recognized in the second quarter of 2020 as reductions to Selling, General and Administrative Expenses ($2.9 million) and Costs and Expenses Applicable to Revenues ($0.3 million) in the Condensed Consolidated Statements of Operations. The Company will continue to review and apply for additional subsidies and credits for the remaining terms of these programs, where applicable.</w:t>
      </w:r>
    </w:p>
    <w:p>
      <w:pPr>
        <w:spacing w:after="0" w:line="165"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Consistent with the first quarter of 2020, the Company performed a quantitative goodwill impairment test taking into account the latest available information and determined that its goodwill was not impaired as of June 30, 2020. As of that date, the Company’s total Goodwill was $39.0 million, of which $19.0 million relates to the IMAX Systems reporting unit, $13.6 million relates to the Joint Revenue Sharing Arrangement reporting unit, and $6.4 million relates to the IMAX Maintenance reporting unit. The impairment test was performed on a reporting unit level by comparing each unit’s carrying value, including goodwill, to its fair value. The fair value of each reporting unit was assessed using a discounted cash flow model based on management’s estimated long-term projections, against which various sensitivity analyses were performed. These estimates and the likelihood of future changes in these estimates depend on a number of underlying variables and a range of possible outcomes. Actual results may materially differ from management’s estimates, especially due to the uncertainties associated with the COVID-19 pandemic. (See Note 1.)</w:t>
      </w:r>
    </w:p>
    <w:p>
      <w:pPr>
        <w:spacing w:after="0" w:line="144"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In the second quarter of 2020, the Company also updated its recoverability tests of the carrying values of the theater system equipment supporting its joint revenue sharing arrangements, which are recorded within Property, Plant and Equipment. In performing its reviews of recoverability, the Company estimated the undiscounted future cash flows expected to result from the use of the assets and determined that there was no impairment as of the date of each test. The cash flow estimates used in these reviews are consistent with management’s estimated long-term projections, against which various sensitivity analyses were performed. These estimates are highly uncertain due to the COVID-19 pandemic, therefore management’s estimated cash flows factor in a number of underlying variables and ranges of possible cash flow scenarios. Actual results may materially differ from management’s estimates, especially due to the uncertainties associated with the COVID-19 pandemic. (See Note 1.)</w:t>
      </w:r>
    </w:p>
    <w:p>
      <w:pPr>
        <w:spacing w:after="0" w:line="142"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If business conditions deteriorate further, or should they remain depressed for a prolonged period of time, management’s estimates of operating results and future cash flows for the IMAX Systems and Joint Revenue Sharing Arrangements reporting units may be insufficient to support the goodwill assigned to them, thus requiring impairment charges. The Company will continue to evaluate the recoverability of goodwill at the reporting unit level on an annual basis as of the beginning of its fourth fiscal quarter and whenever events or changes in circumstances indicate there may be a potential impairment. Estimates related to future expected credit losses (Note 4) and deferred tax assets (Note 11) could also be materially impacted by changes in estimates in the future. (See Note 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Recently Issued Accounting Standards Not Yet Adopted</w:t>
      </w:r>
    </w:p>
    <w:p>
      <w:pPr>
        <w:spacing w:after="0" w:line="18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(“ASU 2020-04”). The purpose of ASU 2019-05 is to provide optional expedients and exceptions for applying GAAP to contracts, hedging relationships, and other transactions affected by reference rate reform if certain criteria are met. The amendments in ASU 2020-04 are effective for all entities as of March 12, 2020 through December 31, 2022. The Company is currently assessing the impact of ASU 2020-04 on its Condensed Consolidated Financial Statements.</w:t>
      </w:r>
    </w:p>
    <w:p>
      <w:pPr>
        <w:spacing w:after="0" w:line="151"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considers the applicability and impact of all recently issued FASB accounting standard codification updates. Accounting standards updates that are not noted above were assessed and determined to be not applicable or not significant to the Company’s Condensed Consolidated Financial Statements for the period ended June 30, 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Current Expected Credit Losses</w:t>
      </w:r>
    </w:p>
    <w:p>
      <w:pPr>
        <w:spacing w:after="0" w:line="184"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In 2016, the FASB issued ASU No. 2016-13, “Financial Instruments – Credit Losses (Topic 326): Measurement of Credit Losses on Financial Instruments” (“ASC Topic 326”), which amends previously issued guidance regarding the impairment of financial instruments by creating an impairment model that is based on expected losses rather than incurred losses. The standard requires financial assets measured on the amortized cost basis to be presented at the net amount expected to be collected. The Company’s accounts receivable, financing receivables and variable consideration receivables are within the scope of ASU No. 2016-13. The Company adopted ASU No. 2016-13 and several associated ASUs on January 1, 2020 with no required cumulative-effect adjustment to accumulated deficit.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i w:val="1"/>
          <w:iCs w:val="1"/>
          <w:color w:val="auto"/>
        </w:rPr>
        <w:t>Accounts Receivable</w:t>
      </w:r>
    </w:p>
    <w:p>
      <w:pPr>
        <w:spacing w:after="0" w:line="19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Accounts receivable principally includes amounts currently due to the Company under theater sale and sales-type lease arrangements, contingent fees earned from theaters operators as a result of box office performance, and fees for theater maintenance services. To a lesser extent, accounts receivable also includes amounts due from movie studios and other content creators for digitally remastering films into IMAX formats, as well as for film distribution and post-production services.</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In order to mitigate the credit risk associated with accounts receivable,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for theater operators are as follows:</w:t>
      </w:r>
    </w:p>
    <w:p>
      <w:pPr>
        <w:spacing w:after="0" w:line="137" w:lineRule="exact"/>
        <w:rPr>
          <w:sz w:val="20"/>
          <w:szCs w:val="20"/>
          <w:color w:val="auto"/>
        </w:rPr>
      </w:pPr>
    </w:p>
    <w:p>
      <w:pPr>
        <w:ind w:left="960" w:hanging="365"/>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 Standing — The theater operator continues to be in good standing as payments and reporting are up to date.</w:t>
      </w:r>
    </w:p>
    <w:p>
      <w:pPr>
        <w:spacing w:after="0" w:line="180" w:lineRule="exact"/>
        <w:rPr>
          <w:rFonts w:ascii="Arial" w:cs="Arial" w:eastAsia="Arial" w:hAnsi="Arial"/>
          <w:sz w:val="18"/>
          <w:szCs w:val="18"/>
          <w:color w:val="auto"/>
        </w:rPr>
      </w:pPr>
    </w:p>
    <w:p>
      <w:pPr>
        <w:jc w:val="both"/>
        <w:ind w:left="960" w:hanging="365"/>
        <w:spacing w:after="0" w:line="25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51" w:lineRule="exact"/>
        <w:rPr>
          <w:rFonts w:ascii="Arial" w:cs="Arial" w:eastAsia="Arial" w:hAnsi="Arial"/>
          <w:sz w:val="18"/>
          <w:szCs w:val="18"/>
          <w:color w:val="auto"/>
        </w:rPr>
      </w:pPr>
    </w:p>
    <w:p>
      <w:pPr>
        <w:jc w:val="both"/>
        <w:ind w:left="960" w:hanging="365"/>
        <w:spacing w:after="0" w:line="270"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 depending on the individual facts and circumstances related to each customer, finance income recognition may be suspended for the net investment in lease and financed sale receivable balances for customers in the Pre-Approved Transactions Only category. See below for a discussion of the Company’s net investment in leases and financed sale receivables.</w:t>
      </w:r>
    </w:p>
    <w:p>
      <w:pPr>
        <w:spacing w:after="0" w:line="136" w:lineRule="exact"/>
        <w:rPr>
          <w:rFonts w:ascii="Arial" w:cs="Arial" w:eastAsia="Arial" w:hAnsi="Arial"/>
          <w:sz w:val="17"/>
          <w:szCs w:val="17"/>
          <w:color w:val="auto"/>
        </w:rPr>
      </w:pPr>
    </w:p>
    <w:p>
      <w:pPr>
        <w:jc w:val="both"/>
        <w:ind w:left="960" w:hanging="365"/>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stopped.</w:t>
      </w:r>
    </w:p>
    <w:p>
      <w:pPr>
        <w:spacing w:after="0" w:line="14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ability of the Company to collect its accounts receivable balances is heavily dependent on the viability and solvency of individual theater operators which is significantly influenced by consumer behavior and general economic conditions. Theater operators, or other customers, may experience financial difficulties that could cause them to be unable to fulfill their payment obligations to the Company.</w:t>
      </w:r>
    </w:p>
    <w:p>
      <w:pPr>
        <w:spacing w:after="0" w:line="15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w:t>
      </w:r>
    </w:p>
    <w:p>
      <w:pPr>
        <w:spacing w:after="0" w:line="14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summarizes the activity in the allowance for credit losses related to accounts receivable for the three and six months ended June 30,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w w:val="92"/>
              </w:rPr>
              <w:t>Three Months Ended June 30, 2020</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98"/>
              </w:rPr>
              <w:t>Six Months Ended June 30, 2020</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280"/>
              <w:spacing w:after="0" w:line="131" w:lineRule="exact"/>
              <w:rPr>
                <w:sz w:val="20"/>
                <w:szCs w:val="20"/>
                <w:color w:val="auto"/>
              </w:rPr>
            </w:pPr>
            <w:r>
              <w:rPr>
                <w:rFonts w:ascii="Arial" w:cs="Arial" w:eastAsia="Arial" w:hAnsi="Arial"/>
                <w:sz w:val="14"/>
                <w:szCs w:val="14"/>
                <w:b w:val="1"/>
                <w:bCs w:val="1"/>
                <w:color w:val="auto"/>
              </w:rPr>
              <w:t>Theater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3"/>
              </w:rPr>
              <w:t>Studios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340"/>
              <w:spacing w:after="0" w:line="131" w:lineRule="exact"/>
              <w:rPr>
                <w:sz w:val="20"/>
                <w:szCs w:val="20"/>
                <w:color w:val="auto"/>
              </w:rPr>
            </w:pPr>
            <w:r>
              <w:rPr>
                <w:rFonts w:ascii="Arial" w:cs="Arial" w:eastAsia="Arial" w:hAnsi="Arial"/>
                <w:sz w:val="14"/>
                <w:szCs w:val="14"/>
                <w:b w:val="1"/>
                <w:bCs w:val="1"/>
                <w:color w:val="auto"/>
              </w:rPr>
              <w:t>Theater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7"/>
              </w:rPr>
              <w:t>Studios</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Operators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Operators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6,504</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60" w:type="dxa"/>
            <w:vAlign w:val="bottom"/>
          </w:tcPr>
          <w:p>
            <w:pPr>
              <w:ind w:left="120"/>
              <w:spacing w:after="0"/>
              <w:rPr>
                <w:sz w:val="20"/>
                <w:szCs w:val="20"/>
                <w:color w:val="auto"/>
              </w:rPr>
            </w:pPr>
            <w:r>
              <w:rPr>
                <w:rFonts w:ascii="Arial" w:cs="Arial" w:eastAsia="Arial" w:hAnsi="Arial"/>
                <w:sz w:val="18"/>
                <w:szCs w:val="18"/>
                <w:color w:val="auto"/>
              </w:rPr>
              <w:t>Current period provision</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660" w:type="dxa"/>
            <w:vAlign w:val="bottom"/>
          </w:tcPr>
          <w:p>
            <w:pPr>
              <w:ind w:left="120"/>
              <w:spacing w:after="0"/>
              <w:rPr>
                <w:sz w:val="20"/>
                <w:szCs w:val="20"/>
                <w:color w:val="auto"/>
              </w:rPr>
            </w:pPr>
            <w:r>
              <w:rPr>
                <w:rFonts w:ascii="Arial" w:cs="Arial" w:eastAsia="Arial" w:hAnsi="Arial"/>
                <w:sz w:val="18"/>
                <w:szCs w:val="18"/>
                <w:color w:val="auto"/>
              </w:rPr>
              <w:t>Recoveries</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0"/>
        </w:trPr>
        <w:tc>
          <w:tcPr>
            <w:tcW w:w="2660" w:type="dxa"/>
            <w:vAlign w:val="bottom"/>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jc w:val="both"/>
        <w:ind w:firstLine="225"/>
        <w:spacing w:after="0" w:line="288" w:lineRule="auto"/>
        <w:rPr>
          <w:sz w:val="20"/>
          <w:szCs w:val="20"/>
          <w:color w:val="auto"/>
        </w:rPr>
      </w:pPr>
      <w:r>
        <w:rPr>
          <w:rFonts w:ascii="Arial" w:cs="Arial" w:eastAsia="Arial" w:hAnsi="Arial"/>
          <w:sz w:val="16"/>
          <w:szCs w:val="16"/>
          <w:color w:val="auto"/>
        </w:rPr>
        <w:t>For the three and six months ended June 30, 2020, the Company recorded provisions for current expected credit losses of $1.3 million and $7.7 million, respectively, reflecting a reduction in the credit quality of its theater and studio related accounts receivable, which management believes is primarily related to the COVID-19 global pandemic. For the three months ended June 30, 2020, the reductions to the provisions for the Theater Operators and Other categories are principally due to decreases in the underlying receivable balances.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Notes 1 and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4907280</wp:posOffset>
            </wp:positionH>
            <wp:positionV relativeFrom="paragraph">
              <wp:posOffset>-835660</wp:posOffset>
            </wp:positionV>
            <wp:extent cx="25400" cy="127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400" cy="127000"/>
                    </a:xfrm>
                    <a:prstGeom prst="rect">
                      <a:avLst/>
                    </a:prstGeom>
                    <a:noFill/>
                  </pic:spPr>
                </pic:pic>
              </a:graphicData>
            </a:graphic>
          </wp:anchor>
        </w:drawing>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Receivables</w:t>
      </w:r>
    </w:p>
    <w:p>
      <w:pPr>
        <w:spacing w:after="0" w:line="180"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Financing receivables are due from theater operators and consist of the Company’s net investment in sales-type leases and receivables associated with financed sales of IMAX Theater Systems. Similar to accounts receivable,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internal credit quality classifications utilized by the Company for accounts receivable, as described above, are also used for financing receivables.</w:t>
      </w:r>
    </w:p>
    <w:p>
      <w:pPr>
        <w:spacing w:after="0" w:line="12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ability of the Company to collect its financing receivable balances is heavily dependent on the viability and solvency of individual theater operators which is significantly influenced by consumer behavior and general economic conditions. Theater operators may experience financial difficulties that could cause them to be unable to fulfill their payment obligations to the Company.</w:t>
      </w:r>
    </w:p>
    <w:p>
      <w:pPr>
        <w:spacing w:after="0" w:line="15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that utilizes historical loss rates which are then adjusted for specific receivables that are judged to have a higher than normal risk profile after taking into account management’s internal credit quality classifications, as well as macro-economic and industry risk factors.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at June 30, 2020 and December 31, 2019, financing receivables consist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2"/>
        </w:trPr>
        <w:tc>
          <w:tcPr>
            <w:tcW w:w="5060" w:type="dxa"/>
            <w:vAlign w:val="bottom"/>
            <w:tcBorders>
              <w:bottom w:val="single" w:sz="8" w:color="CFF0FC"/>
            </w:tcBorders>
          </w:tcPr>
          <w:p>
            <w:pPr>
              <w:spacing w:after="0"/>
              <w:rPr>
                <w:sz w:val="18"/>
                <w:szCs w:val="18"/>
                <w:color w:val="auto"/>
              </w:rPr>
            </w:pPr>
          </w:p>
        </w:tc>
        <w:tc>
          <w:tcPr>
            <w:tcW w:w="26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investment in leases</w:t>
            </w:r>
          </w:p>
        </w:tc>
        <w:tc>
          <w:tcPr>
            <w:tcW w:w="2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60" w:type="dxa"/>
            <w:vAlign w:val="bottom"/>
          </w:tcPr>
          <w:p>
            <w:pPr>
              <w:spacing w:after="0"/>
              <w:rPr>
                <w:sz w:val="20"/>
                <w:szCs w:val="20"/>
                <w:color w:val="auto"/>
              </w:rPr>
            </w:pPr>
            <w:r>
              <w:rPr>
                <w:rFonts w:ascii="Arial" w:cs="Arial" w:eastAsia="Arial" w:hAnsi="Arial"/>
                <w:sz w:val="18"/>
                <w:szCs w:val="18"/>
                <w:color w:val="auto"/>
              </w:rPr>
              <w:t>Gross minimum payments due under sales-type leases</w:t>
            </w:r>
          </w:p>
        </w:tc>
        <w:tc>
          <w:tcPr>
            <w:tcW w:w="296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17,142</w:t>
            </w:r>
          </w:p>
        </w:tc>
        <w:tc>
          <w:tcPr>
            <w:tcW w:w="100" w:type="dxa"/>
            <w:vAlign w:val="bottom"/>
          </w:tcPr>
          <w:p>
            <w:pPr>
              <w:spacing w:after="0"/>
              <w:rPr>
                <w:sz w:val="19"/>
                <w:szCs w:val="19"/>
                <w:color w:val="auto"/>
              </w:rPr>
            </w:pP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16,766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Unearned finance income</w:t>
            </w:r>
          </w:p>
        </w:tc>
        <w:tc>
          <w:tcPr>
            <w:tcW w:w="2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20"/>
        </w:trPr>
        <w:tc>
          <w:tcPr>
            <w:tcW w:w="5060" w:type="dxa"/>
            <w:vAlign w:val="bottom"/>
          </w:tcPr>
          <w:p>
            <w:pPr>
              <w:spacing w:after="0"/>
              <w:rPr>
                <w:sz w:val="20"/>
                <w:szCs w:val="20"/>
                <w:color w:val="auto"/>
              </w:rPr>
            </w:pPr>
            <w:r>
              <w:rPr>
                <w:rFonts w:ascii="Arial" w:cs="Arial" w:eastAsia="Arial" w:hAnsi="Arial"/>
                <w:sz w:val="18"/>
                <w:szCs w:val="18"/>
                <w:color w:val="auto"/>
                <w:w w:val="96"/>
              </w:rPr>
              <w:t>Present value of minimum payments due under sales-type leases</w:t>
            </w:r>
          </w:p>
        </w:tc>
        <w:tc>
          <w:tcPr>
            <w:tcW w:w="26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2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investment in leases</w:t>
            </w:r>
          </w:p>
        </w:tc>
        <w:tc>
          <w:tcPr>
            <w:tcW w:w="26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15,784</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2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60" w:type="dxa"/>
            <w:vAlign w:val="bottom"/>
          </w:tcPr>
          <w:p>
            <w:pPr>
              <w:spacing w:after="0"/>
              <w:rPr>
                <w:sz w:val="20"/>
                <w:szCs w:val="20"/>
                <w:color w:val="auto"/>
              </w:rPr>
            </w:pPr>
            <w:r>
              <w:rPr>
                <w:rFonts w:ascii="Arial" w:cs="Arial" w:eastAsia="Arial" w:hAnsi="Arial"/>
                <w:sz w:val="18"/>
                <w:szCs w:val="18"/>
                <w:color w:val="auto"/>
              </w:rPr>
              <w:t>Gross minimum payments due under financed sales</w:t>
            </w: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146,660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Unearned finance income</w:t>
            </w:r>
          </w:p>
        </w:tc>
        <w:tc>
          <w:tcPr>
            <w:tcW w:w="2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(30,590)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(33,313)</w:t>
            </w:r>
          </w:p>
        </w:tc>
        <w:tc>
          <w:tcPr>
            <w:tcW w:w="0" w:type="dxa"/>
            <w:vAlign w:val="bottom"/>
          </w:tcPr>
          <w:p>
            <w:pPr>
              <w:spacing w:after="0"/>
              <w:rPr>
                <w:sz w:val="1"/>
                <w:szCs w:val="1"/>
                <w:color w:val="auto"/>
              </w:rPr>
            </w:pPr>
          </w:p>
        </w:tc>
      </w:tr>
      <w:tr>
        <w:trPr>
          <w:trHeight w:val="220"/>
        </w:trPr>
        <w:tc>
          <w:tcPr>
            <w:tcW w:w="5060" w:type="dxa"/>
            <w:vAlign w:val="bottom"/>
          </w:tcPr>
          <w:p>
            <w:pPr>
              <w:spacing w:after="0"/>
              <w:rPr>
                <w:sz w:val="20"/>
                <w:szCs w:val="20"/>
                <w:color w:val="auto"/>
              </w:rPr>
            </w:pPr>
            <w:r>
              <w:rPr>
                <w:rFonts w:ascii="Arial" w:cs="Arial" w:eastAsia="Arial" w:hAnsi="Arial"/>
                <w:sz w:val="18"/>
                <w:szCs w:val="18"/>
                <w:color w:val="auto"/>
              </w:rPr>
              <w:t>Present value of minimum payments due under financed sales</w:t>
            </w:r>
          </w:p>
        </w:tc>
        <w:tc>
          <w:tcPr>
            <w:tcW w:w="26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2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(3,709)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2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financed sales receivables</w:t>
            </w:r>
          </w:p>
        </w:tc>
        <w:tc>
          <w:tcPr>
            <w:tcW w:w="26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108,081</w:t>
            </w: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financing receivables</w:t>
            </w:r>
          </w:p>
        </w:tc>
        <w:tc>
          <w:tcPr>
            <w:tcW w:w="26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123,865</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060" w:type="dxa"/>
            <w:vAlign w:val="bottom"/>
          </w:tcPr>
          <w:p>
            <w:pPr>
              <w:spacing w:after="0"/>
              <w:rPr>
                <w:sz w:val="20"/>
                <w:szCs w:val="20"/>
                <w:color w:val="auto"/>
              </w:rPr>
            </w:pPr>
            <w:r>
              <w:rPr>
                <w:rFonts w:ascii="Arial" w:cs="Arial" w:eastAsia="Arial" w:hAnsi="Arial"/>
                <w:sz w:val="18"/>
                <w:szCs w:val="18"/>
                <w:color w:val="auto"/>
              </w:rPr>
              <w:t>Net financed sales receivables due within one year</w:t>
            </w:r>
          </w:p>
        </w:tc>
        <w:tc>
          <w:tcPr>
            <w:tcW w:w="296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31,061</w:t>
            </w:r>
          </w:p>
        </w:tc>
        <w:tc>
          <w:tcPr>
            <w:tcW w:w="100" w:type="dxa"/>
            <w:vAlign w:val="bottom"/>
          </w:tcPr>
          <w:p>
            <w:pPr>
              <w:spacing w:after="0"/>
              <w:rPr>
                <w:sz w:val="24"/>
                <w:szCs w:val="24"/>
                <w:color w:val="auto"/>
              </w:rPr>
            </w:pP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27,595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financed sales receivables due after one year</w:t>
            </w:r>
          </w:p>
        </w:tc>
        <w:tc>
          <w:tcPr>
            <w:tcW w:w="2960" w:type="dxa"/>
            <w:vAlign w:val="bottom"/>
            <w:gridSpan w:val="2"/>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77,020</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60" w:type="dxa"/>
            <w:vAlign w:val="bottom"/>
          </w:tcPr>
          <w:p>
            <w:pPr>
              <w:spacing w:after="0"/>
              <w:rPr>
                <w:sz w:val="20"/>
                <w:szCs w:val="20"/>
                <w:color w:val="auto"/>
              </w:rPr>
            </w:pPr>
            <w:r>
              <w:rPr>
                <w:rFonts w:ascii="Arial" w:cs="Arial" w:eastAsia="Arial" w:hAnsi="Arial"/>
                <w:sz w:val="18"/>
                <w:szCs w:val="18"/>
                <w:color w:val="auto"/>
              </w:rPr>
              <w:t>Total financed sales receivables</w:t>
            </w:r>
          </w:p>
        </w:tc>
        <w:tc>
          <w:tcPr>
            <w:tcW w:w="26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108,081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660" w:type="dxa"/>
            <w:vAlign w:val="bottom"/>
            <w:vMerge w:val="restart"/>
          </w:tcPr>
          <w:p>
            <w:pPr>
              <w:jc w:val="right"/>
              <w:ind w:right="1911"/>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0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ind w:left="240"/>
        <w:spacing w:after="0"/>
        <w:rPr>
          <w:sz w:val="20"/>
          <w:szCs w:val="20"/>
          <w:color w:val="auto"/>
        </w:rPr>
      </w:pPr>
      <w:r>
        <w:rPr>
          <w:rFonts w:ascii="Arial" w:cs="Arial" w:eastAsia="Arial" w:hAnsi="Arial"/>
          <w:sz w:val="17"/>
          <w:szCs w:val="17"/>
          <w:color w:val="auto"/>
        </w:rPr>
        <w:t>As at June 30, 2020 and December 31, 2019, the weighted-average remaining lease term and weighted-average interest rate associated with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Company’s sales-type lease arrangements and financed sale receivables, as applicable, are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120" w:type="dxa"/>
            <w:vAlign w:val="bottom"/>
          </w:tcPr>
          <w:p>
            <w:pPr>
              <w:ind w:left="60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98"/>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r>
      <w:tr>
        <w:trPr>
          <w:trHeight w:val="198"/>
        </w:trPr>
        <w:tc>
          <w:tcPr>
            <w:tcW w:w="8800" w:type="dxa"/>
            <w:vAlign w:val="bottom"/>
            <w:gridSpan w:val="2"/>
          </w:tcPr>
          <w:p>
            <w:pPr>
              <w:ind w:left="8400"/>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r>
      <w:tr>
        <w:trPr>
          <w:trHeight w:val="220"/>
        </w:trPr>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1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r>
      <w:tr>
        <w:trPr>
          <w:trHeight w:val="227"/>
        </w:trPr>
        <w:tc>
          <w:tcPr>
            <w:tcW w:w="8800" w:type="dxa"/>
            <w:vAlign w:val="bottom"/>
            <w:gridSpan w:val="2"/>
          </w:tcPr>
          <w:p>
            <w:pPr>
              <w:spacing w:after="0"/>
              <w:rPr>
                <w:sz w:val="20"/>
                <w:szCs w:val="20"/>
                <w:color w:val="auto"/>
              </w:rPr>
            </w:pPr>
            <w:r>
              <w:rPr>
                <w:rFonts w:ascii="Arial" w:cs="Arial" w:eastAsia="Arial" w:hAnsi="Arial"/>
                <w:sz w:val="18"/>
                <w:szCs w:val="18"/>
                <w:color w:val="auto"/>
              </w:rPr>
              <w:t>Sales-type lease arrangements</w:t>
            </w:r>
          </w:p>
        </w:tc>
        <w:tc>
          <w:tcPr>
            <w:tcW w:w="38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9"/>
                <w:szCs w:val="19"/>
                <w:color w:val="auto"/>
              </w:rPr>
            </w:pPr>
          </w:p>
        </w:tc>
      </w:tr>
      <w:tr>
        <w:trPr>
          <w:trHeight w:val="228"/>
        </w:trPr>
        <w:tc>
          <w:tcPr>
            <w:tcW w:w="88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Weighted-average interest rate</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7"/>
        </w:trPr>
        <w:tc>
          <w:tcPr>
            <w:tcW w:w="8800" w:type="dxa"/>
            <w:vAlign w:val="bottom"/>
            <w:gridSpan w:val="2"/>
          </w:tcPr>
          <w:p>
            <w:pPr>
              <w:spacing w:after="0"/>
              <w:rPr>
                <w:sz w:val="20"/>
                <w:szCs w:val="20"/>
                <w:color w:val="auto"/>
              </w:rPr>
            </w:pPr>
            <w:r>
              <w:rPr>
                <w:rFonts w:ascii="Arial" w:cs="Arial" w:eastAsia="Arial" w:hAnsi="Arial"/>
                <w:sz w:val="18"/>
                <w:szCs w:val="18"/>
                <w:color w:val="auto"/>
              </w:rPr>
              <w:t>Sales-type lease arrangements</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6.85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8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Financed sales receivables</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9.02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tables provide information on the Company’s net investment in leases by credit quality indicator as at June 30, 2020 and December 31, 2019:</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As at June 30, 2020</w:t>
            </w: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investment in leases: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7,804</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15,447</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net investment in leases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540" w:type="dxa"/>
            <w:vAlign w:val="bottom"/>
            <w:gridSpan w:val="2"/>
          </w:tcPr>
          <w:p>
            <w:pPr>
              <w:spacing w:after="0"/>
              <w:rPr>
                <w:sz w:val="20"/>
                <w:szCs w:val="20"/>
                <w:color w:val="auto"/>
              </w:rPr>
            </w:pPr>
            <w:r>
              <w:rPr>
                <w:rFonts w:ascii="Arial" w:cs="Arial" w:eastAsia="Arial" w:hAnsi="Arial"/>
                <w:sz w:val="18"/>
                <w:szCs w:val="18"/>
                <w:color w:val="auto"/>
              </w:rPr>
              <w:t>Current-period gross write-offs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1"/>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Current-period recoveries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Current-period net write-offs</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As at December 31, 2019</w:t>
            </w: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Net investment in leases: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net investment in leases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ind w:firstLine="225"/>
        <w:spacing w:after="0" w:line="270" w:lineRule="auto"/>
        <w:rPr>
          <w:sz w:val="20"/>
          <w:szCs w:val="20"/>
          <w:color w:val="auto"/>
        </w:rPr>
      </w:pPr>
      <w:r>
        <w:rPr>
          <w:rFonts w:ascii="Arial" w:cs="Arial" w:eastAsia="Arial" w:hAnsi="Arial"/>
          <w:sz w:val="18"/>
          <w:szCs w:val="18"/>
          <w:color w:val="auto"/>
        </w:rPr>
        <w:t>The following tables provide information on the Company’s financed sale receivables by credit quality indicator as at June 30, 2020 and December 31, 2019:</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As at June 30, 2020</w:t>
            </w: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11,474</w:t>
            </w:r>
          </w:p>
        </w:tc>
        <w:tc>
          <w:tcPr>
            <w:tcW w:w="4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15,495</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47,551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105,889</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financed sales receivables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50,399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540" w:type="dxa"/>
            <w:vAlign w:val="bottom"/>
            <w:gridSpan w:val="2"/>
          </w:tcPr>
          <w:p>
            <w:pPr>
              <w:spacing w:after="0"/>
              <w:rPr>
                <w:sz w:val="20"/>
                <w:szCs w:val="20"/>
                <w:color w:val="auto"/>
              </w:rPr>
            </w:pPr>
            <w:r>
              <w:rPr>
                <w:rFonts w:ascii="Arial" w:cs="Arial" w:eastAsia="Arial" w:hAnsi="Arial"/>
                <w:sz w:val="18"/>
                <w:szCs w:val="18"/>
                <w:color w:val="auto"/>
              </w:rPr>
              <w:t>Current-period gross write-offs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Current-period recoveries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Current-period net write-offs</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By Origination Year</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As at December 31, 2019</w:t>
            </w: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18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20"/>
        </w:trPr>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Financed sales receivables:</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Credit quality classification:</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 good standing</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14,414</w:t>
            </w:r>
          </w:p>
        </w:tc>
        <w:tc>
          <w:tcPr>
            <w:tcW w:w="4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102,450</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Credit Watch</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9,279</w:t>
            </w:r>
          </w:p>
        </w:tc>
        <w:tc>
          <w:tcPr>
            <w:tcW w:w="100" w:type="dxa"/>
            <w:vAlign w:val="bottom"/>
          </w:tcPr>
          <w:p>
            <w:pPr>
              <w:spacing w:after="0"/>
              <w:rPr>
                <w:sz w:val="19"/>
                <w:szCs w:val="19"/>
                <w:color w:val="auto"/>
              </w:rPr>
            </w:pPr>
          </w:p>
        </w:tc>
      </w:tr>
      <w:tr>
        <w:trPr>
          <w:trHeight w:val="227"/>
        </w:trPr>
        <w:tc>
          <w:tcPr>
            <w:tcW w:w="3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Pre-approved transactions</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FF0FC"/>
          </w:tcPr>
          <w:p>
            <w:pPr>
              <w:spacing w:after="0"/>
              <w:rPr>
                <w:sz w:val="19"/>
                <w:szCs w:val="19"/>
                <w:color w:val="auto"/>
              </w:rPr>
            </w:pPr>
          </w:p>
        </w:tc>
      </w:tr>
      <w:tr>
        <w:trPr>
          <w:trHeight w:val="227"/>
        </w:trPr>
        <w:tc>
          <w:tcPr>
            <w:tcW w:w="3540" w:type="dxa"/>
            <w:vAlign w:val="bottom"/>
            <w:gridSpan w:val="2"/>
          </w:tcPr>
          <w:p>
            <w:pPr>
              <w:ind w:left="120"/>
              <w:spacing w:after="0"/>
              <w:rPr>
                <w:sz w:val="20"/>
                <w:szCs w:val="20"/>
                <w:color w:val="auto"/>
              </w:rPr>
            </w:pPr>
            <w:r>
              <w:rPr>
                <w:rFonts w:ascii="Arial" w:cs="Arial" w:eastAsia="Arial" w:hAnsi="Arial"/>
                <w:sz w:val="18"/>
                <w:szCs w:val="18"/>
                <w:color w:val="auto"/>
              </w:rPr>
              <w:t>Transactions suspended</w:t>
            </w: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r>
      <w:tr>
        <w:trPr>
          <w:trHeight w:val="220"/>
        </w:trPr>
        <w:tc>
          <w:tcPr>
            <w:tcW w:w="3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financed sales receivables</w:t>
            </w: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tables provide an aging analysis for the Company’s net investment in leases and financed sale receivables as at June 30, 2020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rPr>
              <w:t>As at June 30, 2020</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2"/>
              </w:rPr>
              <w:t>90+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1"/>
                <w:szCs w:val="11"/>
                <w:color w:val="auto"/>
              </w:rPr>
            </w:pPr>
          </w:p>
        </w:tc>
        <w:tc>
          <w:tcPr>
            <w:tcW w:w="940" w:type="dxa"/>
            <w:vAlign w:val="bottom"/>
            <w:gridSpan w:val="2"/>
          </w:tcPr>
          <w:p>
            <w:pPr>
              <w:jc w:val="center"/>
              <w:ind w:right="222"/>
              <w:spacing w:after="0" w:line="131" w:lineRule="exact"/>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12"/>
                <w:szCs w:val="12"/>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7"/>
              </w:rPr>
              <w:t>Unbilled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2"/>
              <w:spacing w:after="0" w:line="147" w:lineRule="exact"/>
              <w:rPr>
                <w:sz w:val="20"/>
                <w:szCs w:val="20"/>
                <w:color w:val="auto"/>
              </w:rPr>
            </w:pPr>
            <w:r>
              <w:rPr>
                <w:rFonts w:ascii="Arial" w:cs="Arial" w:eastAsia="Arial" w:hAnsi="Arial"/>
                <w:sz w:val="14"/>
                <w:szCs w:val="14"/>
                <w:b w:val="1"/>
                <w:bCs w:val="1"/>
                <w:color w:val="auto"/>
                <w:w w:val="98"/>
              </w:rPr>
              <w:t>for Credit</w:t>
            </w:r>
          </w:p>
        </w:tc>
        <w:tc>
          <w:tcPr>
            <w:tcW w:w="18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Days</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4"/>
                <w:szCs w:val="14"/>
                <w:color w:val="auto"/>
              </w:rPr>
            </w:pPr>
          </w:p>
        </w:tc>
        <w:tc>
          <w:tcPr>
            <w:tcW w:w="94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16,243</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13,795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97,995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111,790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(3,709)</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108,081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113,230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(4,168</w:t>
            </w:r>
          </w:p>
        </w:tc>
        <w:tc>
          <w:tcPr>
            <w:tcW w:w="20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123,865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2"/>
              </w:rPr>
              <w:t>As at December 31, 2019</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30-89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2"/>
              </w:rPr>
              <w:t>90+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1"/>
                <w:szCs w:val="11"/>
                <w:color w:val="auto"/>
              </w:rPr>
            </w:pPr>
          </w:p>
        </w:tc>
        <w:tc>
          <w:tcPr>
            <w:tcW w:w="940" w:type="dxa"/>
            <w:vAlign w:val="bottom"/>
            <w:gridSpan w:val="2"/>
          </w:tcPr>
          <w:p>
            <w:pPr>
              <w:jc w:val="center"/>
              <w:ind w:right="222"/>
              <w:spacing w:after="0" w:line="131" w:lineRule="exact"/>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Billed</w:t>
            </w:r>
          </w:p>
        </w:tc>
        <w:tc>
          <w:tcPr>
            <w:tcW w:w="100" w:type="dxa"/>
            <w:vAlign w:val="bottom"/>
          </w:tcPr>
          <w:p>
            <w:pPr>
              <w:spacing w:after="0"/>
              <w:rPr>
                <w:sz w:val="12"/>
                <w:szCs w:val="12"/>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7"/>
              </w:rPr>
              <w:t>Unbilled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2"/>
              <w:spacing w:after="0" w:line="147" w:lineRule="exact"/>
              <w:rPr>
                <w:sz w:val="20"/>
                <w:szCs w:val="20"/>
                <w:color w:val="auto"/>
              </w:rPr>
            </w:pPr>
            <w:r>
              <w:rPr>
                <w:rFonts w:ascii="Arial" w:cs="Arial" w:eastAsia="Arial" w:hAnsi="Arial"/>
                <w:sz w:val="14"/>
                <w:szCs w:val="14"/>
                <w:b w:val="1"/>
                <w:bCs w:val="1"/>
                <w:color w:val="auto"/>
                <w:w w:val="98"/>
              </w:rPr>
              <w:t>for Credit</w:t>
            </w:r>
          </w:p>
        </w:tc>
        <w:tc>
          <w:tcPr>
            <w:tcW w:w="18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Days</w:t>
            </w:r>
          </w:p>
        </w:tc>
        <w:tc>
          <w:tcPr>
            <w:tcW w:w="18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Days</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Receivable</w:t>
            </w:r>
          </w:p>
        </w:tc>
        <w:tc>
          <w:tcPr>
            <w:tcW w:w="80" w:type="dxa"/>
            <w:vAlign w:val="bottom"/>
          </w:tcPr>
          <w:p>
            <w:pPr>
              <w:spacing w:after="0"/>
              <w:rPr>
                <w:sz w:val="14"/>
                <w:szCs w:val="14"/>
                <w:color w:val="auto"/>
              </w:rPr>
            </w:pPr>
          </w:p>
        </w:tc>
        <w:tc>
          <w:tcPr>
            <w:tcW w:w="94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15,761</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2,772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103,451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113,347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112,432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129,108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Borders>
              <w:top w:val="single" w:sz="8" w:color="CFF0FC"/>
              <w:bottom w:val="single" w:sz="8" w:color="CFF0FC"/>
            </w:tcBorders>
            <w:shd w:val="clear" w:color="auto" w:fill="CFF0FC"/>
          </w:tcPr>
          <w:p>
            <w:pPr>
              <w:jc w:val="right"/>
              <w:ind w:right="62"/>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128,038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77"/>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jc w:val="both"/>
        <w:ind w:firstLine="225"/>
        <w:spacing w:after="0" w:line="252" w:lineRule="auto"/>
        <w:rPr>
          <w:sz w:val="20"/>
          <w:szCs w:val="20"/>
          <w:color w:val="auto"/>
        </w:rPr>
      </w:pPr>
      <w:r>
        <w:rPr>
          <w:rFonts w:ascii="Arial" w:cs="Arial" w:eastAsia="Arial" w:hAnsi="Arial"/>
          <w:sz w:val="18"/>
          <w:szCs w:val="18"/>
          <w:color w:val="auto"/>
        </w:rPr>
        <w:t>The Company considers financing receivables with an aging between 60-89 days as indications of theaters with potential collection concerns. The Company will begin to focus its review on these financing receivables and increase its discussions internally and with the theater regarding payment status. Once a theater’s aging exceeds 90 days, the Company’s policy is to perform an enhanced review to assess collectibility of the theater’s past due accounts. The over 90 days past due category may be an indicator of potential impairment as up to 90 days outstanding is considered to be a reasonable time to resolve any issues. Given the potential impacts of the COVID-19 global pandemic on the Company’s customers, management is enhancing its monitoring procedures with respect to overdue receivables.</w:t>
      </w:r>
    </w:p>
    <w:p>
      <w:pPr>
        <w:spacing w:after="0" w:line="16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provides information about the Company’s net investment in leases and financed sale receivables with billed amounts past due for which it continues to accrue finance income as at June 30, 2020 and December 31, 2019:</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As at June 30, 2020</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31" w:lineRule="exact"/>
              <w:rPr>
                <w:sz w:val="20"/>
                <w:szCs w:val="20"/>
                <w:color w:val="auto"/>
              </w:rPr>
            </w:pPr>
            <w:r>
              <w:rPr>
                <w:rFonts w:ascii="Arial" w:cs="Arial" w:eastAsia="Arial" w:hAnsi="Arial"/>
                <w:sz w:val="14"/>
                <w:szCs w:val="14"/>
                <w:b w:val="1"/>
                <w:bCs w:val="1"/>
                <w:color w:val="auto"/>
                <w:w w:val="89"/>
              </w:rPr>
              <w:t>Accrued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30-89 Days</w:t>
            </w:r>
          </w:p>
        </w:tc>
        <w:tc>
          <w:tcPr>
            <w:tcW w:w="140" w:type="dxa"/>
            <w:vAlign w:val="bottom"/>
          </w:tcPr>
          <w:p>
            <w:pPr>
              <w:spacing w:after="0"/>
              <w:rPr>
                <w:sz w:val="12"/>
                <w:szCs w:val="12"/>
                <w:color w:val="auto"/>
              </w:rPr>
            </w:pPr>
          </w:p>
        </w:tc>
        <w:tc>
          <w:tcPr>
            <w:tcW w:w="7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4"/>
              </w:rPr>
              <w:t>90+ Days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Billed</w:t>
            </w: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Unbilled</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10,187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64,654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(2,427)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3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at December 31, 2019</w:t>
            </w: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31" w:lineRule="exact"/>
              <w:rPr>
                <w:sz w:val="20"/>
                <w:szCs w:val="20"/>
                <w:color w:val="auto"/>
              </w:rPr>
            </w:pPr>
            <w:r>
              <w:rPr>
                <w:rFonts w:ascii="Arial" w:cs="Arial" w:eastAsia="Arial" w:hAnsi="Arial"/>
                <w:sz w:val="14"/>
                <w:szCs w:val="14"/>
                <w:b w:val="1"/>
                <w:bCs w:val="1"/>
                <w:color w:val="auto"/>
                <w:w w:val="89"/>
              </w:rPr>
              <w:t>Accrued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30-89 Days</w:t>
            </w:r>
          </w:p>
        </w:tc>
        <w:tc>
          <w:tcPr>
            <w:tcW w:w="140" w:type="dxa"/>
            <w:vAlign w:val="bottom"/>
          </w:tcPr>
          <w:p>
            <w:pPr>
              <w:spacing w:after="0"/>
              <w:rPr>
                <w:sz w:val="12"/>
                <w:szCs w:val="12"/>
                <w:color w:val="auto"/>
              </w:rPr>
            </w:pPr>
          </w:p>
        </w:tc>
        <w:tc>
          <w:tcPr>
            <w:tcW w:w="7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4"/>
              </w:rPr>
              <w:t>90+ Days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Billed</w:t>
            </w:r>
          </w:p>
        </w:tc>
        <w:tc>
          <w:tcPr>
            <w:tcW w:w="14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Unbilled</w:t>
            </w: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Current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Pr>
          <w:p>
            <w:pPr>
              <w:spacing w:after="0"/>
              <w:rPr>
                <w:sz w:val="20"/>
                <w:szCs w:val="20"/>
                <w:color w:val="auto"/>
              </w:rPr>
            </w:pPr>
            <w:r>
              <w:rPr>
                <w:rFonts w:ascii="Arial" w:cs="Arial" w:eastAsia="Arial" w:hAnsi="Arial"/>
                <w:sz w:val="18"/>
                <w:szCs w:val="18"/>
                <w:color w:val="auto"/>
              </w:rPr>
              <w:t>Financed sales receivables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7,959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provides information about the Company’s net investment in leases and financed sale receivables that are on nonaccrual status as at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December 31, 2019:</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As at June 30, 2020</w:t>
            </w: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left="480"/>
              <w:spacing w:after="0"/>
              <w:rPr>
                <w:sz w:val="20"/>
                <w:szCs w:val="20"/>
                <w:color w:val="auto"/>
              </w:rPr>
            </w:pPr>
            <w:r>
              <w:rPr>
                <w:rFonts w:ascii="Arial" w:cs="Arial" w:eastAsia="Arial" w:hAnsi="Arial"/>
                <w:sz w:val="14"/>
                <w:szCs w:val="14"/>
                <w:b w:val="1"/>
                <w:bCs w:val="1"/>
                <w:color w:val="auto"/>
                <w:w w:val="91"/>
              </w:rPr>
              <w:t>As at December 31, 2019</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2"/>
              </w:rPr>
              <w:t>Recorded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2"/>
              </w:rPr>
              <w:t>Recorded</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2"/>
              </w:rPr>
              <w:t>Allowance</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6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5"/>
              </w:rPr>
              <w:t>for Credit</w:t>
            </w:r>
          </w:p>
        </w:tc>
        <w:tc>
          <w:tcPr>
            <w:tcW w:w="22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8"/>
              <w:spacing w:after="0"/>
              <w:rPr>
                <w:sz w:val="20"/>
                <w:szCs w:val="20"/>
                <w:color w:val="auto"/>
              </w:rPr>
            </w:pPr>
            <w:r>
              <w:rPr>
                <w:rFonts w:ascii="Arial" w:cs="Arial" w:eastAsia="Arial" w:hAnsi="Arial"/>
                <w:sz w:val="14"/>
                <w:szCs w:val="14"/>
                <w:b w:val="1"/>
                <w:bCs w:val="1"/>
                <w:color w:val="auto"/>
                <w:w w:val="87"/>
              </w:rPr>
              <w:t>Receivable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4"/>
                <w:szCs w:val="14"/>
                <w:b w:val="1"/>
                <w:bCs w:val="1"/>
                <w:color w:val="auto"/>
                <w:w w:val="87"/>
              </w:rPr>
              <w:t>Receivable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investment in leases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80" w:type="dxa"/>
            <w:vAlign w:val="bottom"/>
          </w:tcPr>
          <w:p>
            <w:pPr>
              <w:spacing w:after="0"/>
              <w:rPr>
                <w:sz w:val="20"/>
                <w:szCs w:val="20"/>
                <w:color w:val="auto"/>
              </w:rPr>
            </w:pPr>
            <w:r>
              <w:rPr>
                <w:rFonts w:ascii="Arial" w:cs="Arial" w:eastAsia="Arial" w:hAnsi="Arial"/>
                <w:sz w:val="18"/>
                <w:szCs w:val="18"/>
                <w:color w:val="auto"/>
              </w:rPr>
              <w:t>Net financed sales receivables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9"/>
                <w:szCs w:val="19"/>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89"/>
              </w:rPr>
              <w:t>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A theater operator that is classified within the “All Transactions Suspended” category is placed on nonaccrual status and all revenue recognitions related to the theater are stopped. While the recognition of finance income is suspended, payments received by a customer are applied against the outstanding balance owed. If payments are sufficient to cover any unreserved receivables, a recovery of provision taken on the billed amount, if applicable, is recorded to the extent of the residual cash received. Once the collectibility issues are resolved and the customer has returned to being in good standing, the Company will resume recognition of finance income.</w:t>
      </w:r>
    </w:p>
    <w:p>
      <w:pPr>
        <w:spacing w:after="0" w:line="16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and six months ended June 30, 2020, the Company recognized $0.1 million and $0.2 million, respectively (2019 — $0.1 million and $0.2 million, respectively) in finance income related to the net investment in leases with billed amounts past due. For the three and six months ended June 30, 2020, the Company recognized $0.9 million and $3.0 million, respectively (2019 —$2.1 million and $4.6 million, respectively) in finance income related to the financed sale receivables with billed amounts past due.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jc w:val="both"/>
        <w:ind w:firstLine="225"/>
        <w:spacing w:after="0" w:line="270" w:lineRule="auto"/>
        <w:rPr>
          <w:sz w:val="20"/>
          <w:szCs w:val="20"/>
          <w:color w:val="auto"/>
        </w:rPr>
      </w:pPr>
      <w:r>
        <w:rPr>
          <w:rFonts w:ascii="Arial" w:cs="Arial" w:eastAsia="Arial" w:hAnsi="Arial"/>
          <w:sz w:val="18"/>
          <w:szCs w:val="18"/>
          <w:color w:val="auto"/>
        </w:rPr>
        <w:t>The following table summarizes the activity in the allowance for credit losses related to the Company’s net investment in leases and financed sale receivables for the three and six months ended June 30, 2020 and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Three Months Ended June 30, 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Six Months Ended June 30, 2020</w:t>
            </w:r>
          </w:p>
        </w:tc>
        <w:tc>
          <w:tcPr>
            <w:tcW w:w="100" w:type="dxa"/>
            <w:vAlign w:val="bottom"/>
          </w:tcPr>
          <w:p>
            <w:pPr>
              <w:spacing w:after="0"/>
              <w:rPr>
                <w:sz w:val="14"/>
                <w:szCs w:val="14"/>
                <w:color w:val="auto"/>
              </w:rPr>
            </w:pPr>
          </w:p>
        </w:tc>
      </w:tr>
      <w:tr>
        <w:trPr>
          <w:trHeight w:val="236"/>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Net Investment</w:t>
            </w:r>
          </w:p>
        </w:tc>
        <w:tc>
          <w:tcPr>
            <w:tcW w:w="14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Financed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Net Investment</w:t>
            </w:r>
          </w:p>
        </w:tc>
        <w:tc>
          <w:tcPr>
            <w:tcW w:w="12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Financed</w:t>
            </w:r>
          </w:p>
        </w:tc>
      </w:tr>
      <w:tr>
        <w:trPr>
          <w:trHeight w:val="212"/>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in Leases</w:t>
            </w: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Sales Receivables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in Leases</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Sales Receivables</w:t>
            </w:r>
          </w:p>
        </w:tc>
      </w:tr>
      <w:tr>
        <w:trPr>
          <w:trHeight w:val="22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700" w:type="dxa"/>
            <w:vAlign w:val="bottom"/>
          </w:tcPr>
          <w:p>
            <w:pPr>
              <w:ind w:left="120"/>
              <w:spacing w:after="0"/>
              <w:rPr>
                <w:sz w:val="20"/>
                <w:szCs w:val="20"/>
                <w:color w:val="auto"/>
              </w:rPr>
            </w:pPr>
            <w:r>
              <w:rPr>
                <w:rFonts w:ascii="Arial" w:cs="Arial" w:eastAsia="Arial" w:hAnsi="Arial"/>
                <w:sz w:val="18"/>
                <w:szCs w:val="18"/>
                <w:color w:val="auto"/>
              </w:rPr>
              <w:t>Current period provision</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19"/>
                <w:szCs w:val="19"/>
                <w:color w:val="auto"/>
              </w:rPr>
            </w:pPr>
          </w:p>
        </w:tc>
      </w:tr>
      <w:tr>
        <w:trPr>
          <w:trHeight w:val="227"/>
        </w:trPr>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4700" w:type="dxa"/>
            <w:vAlign w:val="bottom"/>
          </w:tcPr>
          <w:p>
            <w:pPr>
              <w:ind w:left="120"/>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r>
      <w:tr>
        <w:trPr>
          <w:trHeight w:val="220"/>
        </w:trPr>
        <w:tc>
          <w:tcPr>
            <w:tcW w:w="470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Three Months Ended June 30, 2019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496"/>
              <w:spacing w:after="0"/>
              <w:rPr>
                <w:sz w:val="20"/>
                <w:szCs w:val="20"/>
                <w:color w:val="auto"/>
              </w:rPr>
            </w:pPr>
            <w:r>
              <w:rPr>
                <w:rFonts w:ascii="Arial" w:cs="Arial" w:eastAsia="Arial" w:hAnsi="Arial"/>
                <w:sz w:val="14"/>
                <w:szCs w:val="14"/>
                <w:b w:val="1"/>
                <w:bCs w:val="1"/>
                <w:color w:val="auto"/>
              </w:rPr>
              <w:t>Six Months Ended June 30, 2019</w:t>
            </w:r>
          </w:p>
        </w:tc>
        <w:tc>
          <w:tcPr>
            <w:tcW w:w="100" w:type="dxa"/>
            <w:vAlign w:val="bottom"/>
          </w:tcPr>
          <w:p>
            <w:pPr>
              <w:spacing w:after="0"/>
              <w:rPr>
                <w:sz w:val="24"/>
                <w:szCs w:val="24"/>
                <w:color w:val="auto"/>
              </w:rPr>
            </w:pPr>
          </w:p>
        </w:tc>
      </w:tr>
      <w:tr>
        <w:trPr>
          <w:trHeight w:val="236"/>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Net Investment</w:t>
            </w:r>
          </w:p>
        </w:tc>
        <w:tc>
          <w:tcPr>
            <w:tcW w:w="14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Net Financed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Net Investment</w:t>
            </w:r>
          </w:p>
        </w:tc>
        <w:tc>
          <w:tcPr>
            <w:tcW w:w="12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Net Financed</w:t>
            </w:r>
          </w:p>
        </w:tc>
      </w:tr>
      <w:tr>
        <w:trPr>
          <w:trHeight w:val="212"/>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in Leases</w:t>
            </w: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Sales Receivables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in Leases</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Sales Receivables</w:t>
            </w:r>
          </w:p>
        </w:tc>
      </w:tr>
      <w:tr>
        <w:trPr>
          <w:trHeight w:val="220"/>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700" w:type="dxa"/>
            <w:vAlign w:val="bottom"/>
          </w:tcPr>
          <w:p>
            <w:pPr>
              <w:ind w:left="120"/>
              <w:spacing w:after="0"/>
              <w:rPr>
                <w:sz w:val="20"/>
                <w:szCs w:val="20"/>
                <w:color w:val="auto"/>
              </w:rPr>
            </w:pPr>
            <w:r>
              <w:rPr>
                <w:rFonts w:ascii="Arial" w:cs="Arial" w:eastAsia="Arial" w:hAnsi="Arial"/>
                <w:sz w:val="18"/>
                <w:szCs w:val="18"/>
                <w:color w:val="auto"/>
              </w:rPr>
              <w:t>Charge-offs</w:t>
            </w:r>
          </w:p>
        </w:tc>
        <w:tc>
          <w:tcPr>
            <w:tcW w:w="18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4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Recoveries</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4700" w:type="dxa"/>
            <w:vAlign w:val="bottom"/>
          </w:tcPr>
          <w:p>
            <w:pPr>
              <w:ind w:left="120"/>
              <w:spacing w:after="0"/>
              <w:rPr>
                <w:sz w:val="20"/>
                <w:szCs w:val="20"/>
                <w:color w:val="auto"/>
              </w:rPr>
            </w:pPr>
            <w:r>
              <w:rPr>
                <w:rFonts w:ascii="Arial" w:cs="Arial" w:eastAsia="Arial" w:hAnsi="Arial"/>
                <w:sz w:val="18"/>
                <w:szCs w:val="18"/>
                <w:color w:val="auto"/>
              </w:rPr>
              <w:t>Provision</w:t>
            </w:r>
          </w:p>
        </w:tc>
        <w:tc>
          <w:tcPr>
            <w:tcW w:w="18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0"/>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6"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For the three and six months ended June 30, 2020, the Company recorded a provision for current expected credit losses of $0.2 million and $3.1 million, respectively, reflecting a reduction in the credit quality of its theater related financing receivables, which management believes is primarily related to the COVID-19 global pandemic.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Notes 1 and 2.)</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Variable Consideration Receivable</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16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ability of the Company to collect its variable consideration receivables is heavily dependent on the viability and solvency of individual theater operators which is significantly influenced by consumer behavior and general economic conditions. Theater operators may experience financial difficulties that could cause them to be unable to fulfill their payment obligations to the Company.</w:t>
      </w:r>
    </w:p>
    <w:p>
      <w:pPr>
        <w:spacing w:after="0" w:line="14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develops its estimate of credit losses by class of receivable and customer type through a calculation utilizing historical loss rates for financed sale receivables which are then adjusted for specific receivables that are judged to have a higher than normal risk profile after taking into account management’s internal credit quality classifications, as well as macro-economic and industry risk factors.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jc w:val="both"/>
        <w:ind w:firstLine="225"/>
        <w:spacing w:after="0" w:line="255" w:lineRule="auto"/>
        <w:rPr>
          <w:sz w:val="20"/>
          <w:szCs w:val="20"/>
          <w:color w:val="auto"/>
        </w:rPr>
      </w:pPr>
      <w:r>
        <w:rPr>
          <w:rFonts w:ascii="Arial" w:cs="Arial" w:eastAsia="Arial" w:hAnsi="Arial"/>
          <w:sz w:val="18"/>
          <w:szCs w:val="18"/>
          <w:color w:val="auto"/>
        </w:rPr>
        <w:t>The following table summarizes the activity in the allowance for credit losses related to variable consideration receivables for the three and six months ended June 30, 2020:</w:t>
      </w:r>
    </w:p>
    <w:tbl>
      <w:tblPr>
        <w:tblLayout w:type="fixed"/>
        <w:tblInd w:w="0" w:type="dxa"/>
        <w:tblCellMar>
          <w:top w:w="0" w:type="dxa"/>
          <w:left w:w="0" w:type="dxa"/>
          <w:bottom w:w="0" w:type="dxa"/>
          <w:right w:w="0" w:type="dxa"/>
        </w:tblCellMar>
      </w:tblPr>
      <w:tr>
        <w:trPr>
          <w:trHeight w:val="140"/>
        </w:trPr>
        <w:tc>
          <w:tcPr>
            <w:tcW w:w="7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2"/>
                <w:szCs w:val="12"/>
                <w:color w:val="auto"/>
              </w:rPr>
            </w:pPr>
          </w:p>
        </w:tc>
        <w:tc>
          <w:tcPr>
            <w:tcW w:w="190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91"/>
              </w:rPr>
              <w:t>Six Months Ended June 30,</w:t>
            </w:r>
          </w:p>
        </w:tc>
      </w:tr>
      <w:tr>
        <w:trPr>
          <w:trHeight w:val="170"/>
        </w:trPr>
        <w:tc>
          <w:tcPr>
            <w:tcW w:w="7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June 30, 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center"/>
              <w:ind w:right="27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r>
      <w:tr>
        <w:trPr>
          <w:trHeight w:val="131"/>
        </w:trPr>
        <w:tc>
          <w:tcPr>
            <w:tcW w:w="7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79"/>
              <w:spacing w:after="0" w:line="131" w:lineRule="exact"/>
              <w:rPr>
                <w:sz w:val="20"/>
                <w:szCs w:val="20"/>
                <w:color w:val="auto"/>
              </w:rPr>
            </w:pPr>
            <w:r>
              <w:rPr>
                <w:rFonts w:ascii="Arial" w:cs="Arial" w:eastAsia="Arial" w:hAnsi="Arial"/>
                <w:sz w:val="14"/>
                <w:szCs w:val="14"/>
                <w:b w:val="1"/>
                <w:bCs w:val="1"/>
                <w:color w:val="auto"/>
                <w:w w:val="94"/>
              </w:rPr>
              <w:t>Theater</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278"/>
              <w:spacing w:after="0" w:line="131" w:lineRule="exact"/>
              <w:rPr>
                <w:sz w:val="20"/>
                <w:szCs w:val="20"/>
                <w:color w:val="auto"/>
              </w:rPr>
            </w:pPr>
            <w:r>
              <w:rPr>
                <w:rFonts w:ascii="Arial" w:cs="Arial" w:eastAsia="Arial" w:hAnsi="Arial"/>
                <w:sz w:val="14"/>
                <w:szCs w:val="14"/>
                <w:b w:val="1"/>
                <w:bCs w:val="1"/>
                <w:color w:val="auto"/>
                <w:w w:val="94"/>
              </w:rPr>
              <w:t>Theater</w:t>
            </w:r>
          </w:p>
        </w:tc>
        <w:tc>
          <w:tcPr>
            <w:tcW w:w="120" w:type="dxa"/>
            <w:vAlign w:val="bottom"/>
          </w:tcPr>
          <w:p>
            <w:pPr>
              <w:spacing w:after="0"/>
              <w:rPr>
                <w:sz w:val="11"/>
                <w:szCs w:val="11"/>
                <w:color w:val="auto"/>
              </w:rPr>
            </w:pPr>
          </w:p>
        </w:tc>
      </w:tr>
      <w:tr>
        <w:trPr>
          <w:trHeight w:val="170"/>
        </w:trPr>
        <w:tc>
          <w:tcPr>
            <w:tcW w:w="7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Operators</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Operators</w:t>
            </w:r>
          </w:p>
        </w:tc>
      </w:tr>
      <w:tr>
        <w:trPr>
          <w:trHeight w:val="220"/>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7"/>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300" w:type="dxa"/>
            <w:vAlign w:val="bottom"/>
          </w:tcPr>
          <w:p>
            <w:pPr>
              <w:ind w:left="120"/>
              <w:spacing w:after="0"/>
              <w:rPr>
                <w:sz w:val="20"/>
                <w:szCs w:val="20"/>
                <w:color w:val="auto"/>
              </w:rPr>
            </w:pPr>
            <w:r>
              <w:rPr>
                <w:rFonts w:ascii="Arial" w:cs="Arial" w:eastAsia="Arial" w:hAnsi="Arial"/>
                <w:sz w:val="18"/>
                <w:szCs w:val="18"/>
                <w:color w:val="auto"/>
              </w:rPr>
              <w:t>Current period provision</w:t>
            </w:r>
          </w:p>
        </w:tc>
        <w:tc>
          <w:tcPr>
            <w:tcW w:w="16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9"/>
                <w:szCs w:val="19"/>
                <w:color w:val="auto"/>
              </w:rPr>
            </w:pPr>
          </w:p>
        </w:tc>
      </w:tr>
      <w:tr>
        <w:trPr>
          <w:trHeight w:val="227"/>
        </w:trPr>
        <w:tc>
          <w:tcPr>
            <w:tcW w:w="7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Write-offs</w:t>
            </w:r>
          </w:p>
        </w:tc>
        <w:tc>
          <w:tcPr>
            <w:tcW w:w="1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7"/>
        </w:trPr>
        <w:tc>
          <w:tcPr>
            <w:tcW w:w="7300" w:type="dxa"/>
            <w:vAlign w:val="bottom"/>
          </w:tcPr>
          <w:p>
            <w:pPr>
              <w:ind w:left="120"/>
              <w:spacing w:after="0"/>
              <w:rPr>
                <w:sz w:val="20"/>
                <w:szCs w:val="20"/>
                <w:color w:val="auto"/>
              </w:rPr>
            </w:pPr>
            <w:r>
              <w:rPr>
                <w:rFonts w:ascii="Arial" w:cs="Arial" w:eastAsia="Arial" w:hAnsi="Arial"/>
                <w:sz w:val="18"/>
                <w:szCs w:val="18"/>
                <w:color w:val="auto"/>
              </w:rPr>
              <w:t>Recoveries</w:t>
            </w:r>
          </w:p>
        </w:tc>
        <w:tc>
          <w:tcPr>
            <w:tcW w:w="16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0"/>
        </w:trPr>
        <w:tc>
          <w:tcPr>
            <w:tcW w:w="7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7"/>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For the six months ended June 30, 2020, the Company recorded a provision of $0.9 million for current expected credit losses, reflecting a reduction in the credit quality of its theater related variable consideration receivables, which management believes is primarily related to the COVID-19 global pandemic.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(See Notes 1 and 2.)</w:t>
      </w:r>
    </w:p>
    <w:p>
      <w:pPr>
        <w:spacing w:after="0" w:line="188" w:lineRule="exact"/>
        <w:rPr>
          <w:sz w:val="20"/>
          <w:szCs w:val="20"/>
          <w:color w:val="auto"/>
        </w:rPr>
      </w:pPr>
    </w:p>
    <w:p>
      <w:pPr>
        <w:ind w:left="220" w:hanging="213"/>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Lease Arrangements</w:t>
      </w:r>
    </w:p>
    <w:p>
      <w:pPr>
        <w:spacing w:after="0" w:line="184"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IMAX Corporation as a Lessee</w:t>
      </w:r>
    </w:p>
    <w:p>
      <w:pPr>
        <w:spacing w:after="0" w:line="180" w:lineRule="exact"/>
        <w:rPr>
          <w:sz w:val="20"/>
          <w:szCs w:val="20"/>
          <w:color w:val="auto"/>
        </w:rPr>
      </w:pPr>
    </w:p>
    <w:p>
      <w:pPr>
        <w:jc w:val="both"/>
        <w:ind w:firstLine="225"/>
        <w:spacing w:after="0" w:line="285" w:lineRule="auto"/>
        <w:rPr>
          <w:sz w:val="20"/>
          <w:szCs w:val="20"/>
          <w:color w:val="auto"/>
        </w:rPr>
      </w:pPr>
      <w:r>
        <w:rPr>
          <w:rFonts w:ascii="Arial" w:cs="Arial" w:eastAsia="Arial" w:hAnsi="Arial"/>
          <w:sz w:val="16"/>
          <w:szCs w:val="16"/>
          <w:color w:val="auto"/>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liability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 The Company rents or subleases certain office space to third parties, which have a remaining term of less than 12 months and are not expected to be renewed.</w:t>
      </w:r>
    </w:p>
    <w:p>
      <w:pPr>
        <w:spacing w:after="0" w:line="14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For three and six months ended June 30, 2020 and 2019, the components of lease expense recorded within Selling, General and Administrative expenses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4"/>
                <w:szCs w:val="14"/>
                <w:color w:val="auto"/>
              </w:rPr>
            </w:pPr>
          </w:p>
        </w:tc>
      </w:tr>
      <w:tr>
        <w:trPr>
          <w:trHeight w:val="220"/>
        </w:trPr>
        <w:tc>
          <w:tcPr>
            <w:tcW w:w="3740" w:type="dxa"/>
            <w:vAlign w:val="bottom"/>
          </w:tcPr>
          <w:p>
            <w:pPr>
              <w:spacing w:after="0"/>
              <w:rPr>
                <w:sz w:val="19"/>
                <w:szCs w:val="19"/>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0"/>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15"/>
                <w:szCs w:val="15"/>
                <w:color w:val="auto"/>
              </w:rPr>
              <w:t>(1)</w:t>
            </w:r>
          </w:p>
        </w:tc>
        <w:tc>
          <w:tcPr>
            <w:tcW w:w="17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3740" w:type="dxa"/>
            <w:vAlign w:val="bottom"/>
          </w:tcPr>
          <w:p>
            <w:pPr>
              <w:spacing w:after="0"/>
              <w:rPr>
                <w:sz w:val="20"/>
                <w:szCs w:val="20"/>
                <w:color w:val="auto"/>
              </w:rPr>
            </w:pPr>
            <w:r>
              <w:rPr>
                <w:rFonts w:ascii="Arial" w:cs="Arial" w:eastAsia="Arial" w:hAnsi="Arial"/>
                <w:sz w:val="18"/>
                <w:szCs w:val="18"/>
                <w:color w:val="auto"/>
              </w:rPr>
              <w:t>Amortization of lease assets</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701</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19"/>
                <w:szCs w:val="19"/>
                <w:color w:val="auto"/>
              </w:rPr>
            </w:pPr>
          </w:p>
        </w:tc>
      </w:tr>
      <w:tr>
        <w:trPr>
          <w:trHeight w:val="228"/>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17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8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FF0FC"/>
          </w:tcPr>
          <w:p>
            <w:pPr>
              <w:spacing w:after="0"/>
              <w:rPr>
                <w:sz w:val="19"/>
                <w:szCs w:val="19"/>
                <w:color w:val="auto"/>
              </w:rPr>
            </w:pPr>
          </w:p>
        </w:tc>
      </w:tr>
      <w:tr>
        <w:trPr>
          <w:trHeight w:val="220"/>
        </w:trPr>
        <w:tc>
          <w:tcPr>
            <w:tcW w:w="3740" w:type="dxa"/>
            <w:vAlign w:val="bottom"/>
          </w:tcPr>
          <w:p>
            <w:pPr>
              <w:spacing w:after="0"/>
              <w:rPr>
                <w:sz w:val="20"/>
                <w:szCs w:val="20"/>
                <w:color w:val="auto"/>
              </w:rPr>
            </w:pPr>
            <w:r>
              <w:rPr>
                <w:rFonts w:ascii="Arial" w:cs="Arial" w:eastAsia="Arial" w:hAnsi="Arial"/>
                <w:sz w:val="18"/>
                <w:szCs w:val="18"/>
                <w:color w:val="auto"/>
              </w:rPr>
              <w:t>Total lease cost</w:t>
            </w:r>
          </w:p>
        </w:tc>
        <w:tc>
          <w:tcPr>
            <w:tcW w:w="1720" w:type="dxa"/>
            <w:vAlign w:val="bottom"/>
          </w:tcPr>
          <w:p>
            <w:pPr>
              <w:spacing w:after="0"/>
              <w:rPr>
                <w:sz w:val="19"/>
                <w:szCs w:val="19"/>
                <w:color w:val="auto"/>
              </w:rPr>
            </w:pPr>
          </w:p>
        </w:tc>
        <w:tc>
          <w:tcPr>
            <w:tcW w:w="7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1,067</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1,158</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220345</wp:posOffset>
            </wp:positionV>
            <wp:extent cx="949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66" w:lineRule="exact"/>
        <w:rPr>
          <w:sz w:val="20"/>
          <w:szCs w:val="20"/>
          <w:color w:val="auto"/>
        </w:rPr>
      </w:pPr>
    </w:p>
    <w:p>
      <w:pPr>
        <w:ind w:left="5540" w:right="1140" w:hanging="5533"/>
        <w:spacing w:after="0" w:line="518" w:lineRule="auto"/>
        <w:tabs>
          <w:tab w:leader="none" w:pos="38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short-term leases and variable lease costs, which are not significant for the three and six months ended June 30, 2020 and 2019.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35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ind w:left="240"/>
        <w:spacing w:after="0"/>
        <w:rPr>
          <w:sz w:val="20"/>
          <w:szCs w:val="20"/>
          <w:color w:val="auto"/>
        </w:rPr>
      </w:pPr>
      <w:r>
        <w:rPr>
          <w:rFonts w:ascii="Arial" w:cs="Arial" w:eastAsia="Arial" w:hAnsi="Arial"/>
          <w:sz w:val="18"/>
          <w:szCs w:val="18"/>
          <w:color w:val="auto"/>
        </w:rPr>
        <w:t>For three and six months ended June 30, 2020 and 2019, supplemental cash flow information related to leases is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26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2620" w:type="dxa"/>
            <w:vAlign w:val="bottom"/>
            <w:tcBorders>
              <w:bottom w:val="single" w:sz="8" w:color="CFF0FC"/>
            </w:tcBorders>
          </w:tcPr>
          <w:p>
            <w:pPr>
              <w:spacing w:after="0"/>
              <w:rPr>
                <w:sz w:val="19"/>
                <w:szCs w:val="19"/>
                <w:color w:val="auto"/>
              </w:rPr>
            </w:pPr>
          </w:p>
        </w:tc>
        <w:tc>
          <w:tcPr>
            <w:tcW w:w="410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0"/>
        </w:trPr>
        <w:tc>
          <w:tcPr>
            <w:tcW w:w="6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FF0FC"/>
          </w:tcPr>
          <w:p>
            <w:pPr>
              <w:spacing w:after="0"/>
              <w:rPr>
                <w:sz w:val="19"/>
                <w:szCs w:val="19"/>
                <w:color w:val="auto"/>
              </w:rPr>
            </w:pPr>
          </w:p>
        </w:tc>
      </w:tr>
      <w:tr>
        <w:trPr>
          <w:trHeight w:val="227"/>
        </w:trPr>
        <w:tc>
          <w:tcPr>
            <w:tcW w:w="6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17,515</w:t>
            </w:r>
          </w:p>
        </w:tc>
        <w:tc>
          <w:tcPr>
            <w:tcW w:w="100" w:type="dxa"/>
            <w:vAlign w:val="bottom"/>
            <w:tcBorders>
              <w:bottom w:val="single" w:sz="8" w:color="CFF0FC"/>
            </w:tcBorders>
          </w:tcPr>
          <w:p>
            <w:pPr>
              <w:spacing w:after="0"/>
              <w:rPr>
                <w:sz w:val="19"/>
                <w:szCs w:val="19"/>
                <w:color w:val="auto"/>
              </w:rPr>
            </w:pPr>
          </w:p>
        </w:tc>
      </w:tr>
      <w:tr>
        <w:trPr>
          <w:trHeight w:val="220"/>
        </w:trPr>
        <w:tc>
          <w:tcPr>
            <w:tcW w:w="2620" w:type="dxa"/>
            <w:vAlign w:val="bottom"/>
            <w:tcBorders>
              <w:bottom w:val="single" w:sz="8" w:color="CFF0FC"/>
            </w:tcBorders>
            <w:shd w:val="clear" w:color="auto" w:fill="CFF0FC"/>
          </w:tcPr>
          <w:p>
            <w:pPr>
              <w:spacing w:after="0"/>
              <w:rPr>
                <w:sz w:val="19"/>
                <w:szCs w:val="19"/>
                <w:color w:val="auto"/>
              </w:rPr>
            </w:pPr>
          </w:p>
        </w:tc>
        <w:tc>
          <w:tcPr>
            <w:tcW w:w="41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48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0"/>
        </w:trPr>
        <w:tc>
          <w:tcPr>
            <w:tcW w:w="9440" w:type="dxa"/>
            <w:vAlign w:val="bottom"/>
            <w:gridSpan w:val="8"/>
          </w:tcPr>
          <w:p>
            <w:pPr>
              <w:ind w:left="240"/>
              <w:spacing w:after="0"/>
              <w:rPr>
                <w:sz w:val="20"/>
                <w:szCs w:val="20"/>
                <w:color w:val="auto"/>
              </w:rPr>
            </w:pPr>
            <w:r>
              <w:rPr>
                <w:rFonts w:ascii="Arial" w:cs="Arial" w:eastAsia="Arial" w:hAnsi="Arial"/>
                <w:sz w:val="18"/>
                <w:szCs w:val="18"/>
                <w:color w:val="auto"/>
                <w:w w:val="98"/>
              </w:rPr>
              <w:t>As at June 30, 2020 and December 31, 2019, supplemental balance sheet information related to leases is as follows:</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8"/>
        </w:trPr>
        <w:tc>
          <w:tcPr>
            <w:tcW w:w="26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3"/>
          </w:tcPr>
          <w:p>
            <w:pPr>
              <w:ind w:left="2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2620" w:type="dxa"/>
            <w:vAlign w:val="bottom"/>
            <w:tcBorders>
              <w:bottom w:val="single" w:sz="8" w:color="CFF0FC"/>
            </w:tcBorders>
          </w:tcPr>
          <w:p>
            <w:pPr>
              <w:spacing w:after="0"/>
              <w:rPr>
                <w:sz w:val="18"/>
                <w:szCs w:val="18"/>
                <w:color w:val="auto"/>
              </w:rPr>
            </w:pPr>
          </w:p>
        </w:tc>
        <w:tc>
          <w:tcPr>
            <w:tcW w:w="410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r>
      <w:tr>
        <w:trPr>
          <w:trHeight w:val="220"/>
        </w:trPr>
        <w:tc>
          <w:tcPr>
            <w:tcW w:w="2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2620" w:type="dxa"/>
            <w:vAlign w:val="bottom"/>
          </w:tcPr>
          <w:p>
            <w:pPr>
              <w:spacing w:after="0"/>
              <w:rPr>
                <w:sz w:val="20"/>
                <w:szCs w:val="20"/>
                <w:color w:val="auto"/>
              </w:rPr>
            </w:pPr>
            <w:r>
              <w:rPr>
                <w:rFonts w:ascii="Arial" w:cs="Arial" w:eastAsia="Arial" w:hAnsi="Arial"/>
                <w:sz w:val="18"/>
                <w:szCs w:val="18"/>
                <w:color w:val="auto"/>
              </w:rPr>
              <w:t>Right-of-Use Assets</w:t>
            </w:r>
          </w:p>
        </w:tc>
        <w:tc>
          <w:tcPr>
            <w:tcW w:w="4100" w:type="dxa"/>
            <w:vAlign w:val="bottom"/>
          </w:tcPr>
          <w:p>
            <w:pPr>
              <w:ind w:left="1180"/>
              <w:spacing w:after="0"/>
              <w:rPr>
                <w:sz w:val="20"/>
                <w:szCs w:val="20"/>
                <w:color w:val="auto"/>
              </w:rPr>
            </w:pPr>
            <w:r>
              <w:rPr>
                <w:rFonts w:ascii="Arial" w:cs="Arial" w:eastAsia="Arial" w:hAnsi="Arial"/>
                <w:sz w:val="18"/>
                <w:szCs w:val="18"/>
                <w:color w:val="auto"/>
              </w:rPr>
              <w:t>Property, plant and equipment</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15,074</w:t>
            </w:r>
          </w:p>
        </w:tc>
        <w:tc>
          <w:tcPr>
            <w:tcW w:w="2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16,262</w:t>
            </w:r>
          </w:p>
        </w:tc>
        <w:tc>
          <w:tcPr>
            <w:tcW w:w="100" w:type="dxa"/>
            <w:vAlign w:val="bottom"/>
          </w:tcPr>
          <w:p>
            <w:pPr>
              <w:spacing w:after="0"/>
              <w:rPr>
                <w:sz w:val="19"/>
                <w:szCs w:val="19"/>
                <w:color w:val="auto"/>
              </w:rPr>
            </w:pPr>
          </w:p>
        </w:tc>
      </w:tr>
      <w:tr>
        <w:trPr>
          <w:trHeight w:val="228"/>
        </w:trPr>
        <w:tc>
          <w:tcPr>
            <w:tcW w:w="2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4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2620" w:type="dxa"/>
            <w:vAlign w:val="bottom"/>
          </w:tcPr>
          <w:p>
            <w:pPr>
              <w:spacing w:after="0"/>
              <w:rPr>
                <w:sz w:val="20"/>
                <w:szCs w:val="20"/>
                <w:color w:val="auto"/>
              </w:rPr>
            </w:pPr>
            <w:r>
              <w:rPr>
                <w:rFonts w:ascii="Arial" w:cs="Arial" w:eastAsia="Arial" w:hAnsi="Arial"/>
                <w:sz w:val="18"/>
                <w:szCs w:val="18"/>
                <w:color w:val="auto"/>
              </w:rPr>
              <w:t>Operating Leases</w:t>
            </w:r>
          </w:p>
        </w:tc>
        <w:tc>
          <w:tcPr>
            <w:tcW w:w="4100" w:type="dxa"/>
            <w:vAlign w:val="bottom"/>
          </w:tcPr>
          <w:p>
            <w:pPr>
              <w:ind w:left="1180"/>
              <w:spacing w:after="0"/>
              <w:rPr>
                <w:sz w:val="20"/>
                <w:szCs w:val="20"/>
                <w:color w:val="auto"/>
              </w:rPr>
            </w:pPr>
            <w:r>
              <w:rPr>
                <w:rFonts w:ascii="Arial" w:cs="Arial" w:eastAsia="Arial" w:hAnsi="Arial"/>
                <w:sz w:val="18"/>
                <w:szCs w:val="18"/>
                <w:color w:val="auto"/>
              </w:rPr>
              <w:t>Accrued and other liabilities</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17,791</w:t>
            </w:r>
          </w:p>
        </w:tc>
        <w:tc>
          <w:tcPr>
            <w:tcW w:w="2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18,677</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1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at June 30, 2020 and December 31, 2019, the weighted-average remaining lease term and weighted-average interest rate associated with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Company’s operating leases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1100" w:type="dxa"/>
            <w:vAlign w:val="bottom"/>
          </w:tcPr>
          <w:p>
            <w:pPr>
              <w:ind w:left="500"/>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r>
      <w:tr>
        <w:trPr>
          <w:trHeight w:val="198"/>
        </w:trPr>
        <w:tc>
          <w:tcPr>
            <w:tcW w:w="8740" w:type="dxa"/>
            <w:vAlign w:val="bottom"/>
            <w:gridSpan w:val="2"/>
          </w:tcPr>
          <w:p>
            <w:pPr>
              <w:ind w:left="8240"/>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7"/>
                <w:szCs w:val="17"/>
                <w:color w:val="auto"/>
              </w:rPr>
            </w:pPr>
          </w:p>
        </w:tc>
      </w:tr>
      <w:tr>
        <w:trPr>
          <w:trHeight w:val="220"/>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7.8</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8.1</w:t>
            </w:r>
          </w:p>
        </w:tc>
        <w:tc>
          <w:tcPr>
            <w:tcW w:w="180" w:type="dxa"/>
            <w:vAlign w:val="bottom"/>
            <w:tcBorders>
              <w:top w:val="single" w:sz="8" w:color="CFF0FC"/>
            </w:tcBorders>
            <w:shd w:val="clear" w:color="auto" w:fill="CFF0FC"/>
          </w:tcPr>
          <w:p>
            <w:pPr>
              <w:spacing w:after="0"/>
              <w:rPr>
                <w:sz w:val="19"/>
                <w:szCs w:val="19"/>
                <w:color w:val="auto"/>
              </w:rPr>
            </w:pPr>
          </w:p>
        </w:tc>
      </w:tr>
      <w:tr>
        <w:trPr>
          <w:trHeight w:val="227"/>
        </w:trPr>
        <w:tc>
          <w:tcPr>
            <w:tcW w:w="874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5.90  %</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5.90  %</w:t>
            </w:r>
          </w:p>
        </w:tc>
      </w:tr>
      <w:tr>
        <w:trPr>
          <w:trHeight w:val="426"/>
        </w:trPr>
        <w:tc>
          <w:tcPr>
            <w:tcW w:w="8740" w:type="dxa"/>
            <w:vAlign w:val="bottom"/>
            <w:gridSpan w:val="2"/>
          </w:tcPr>
          <w:p>
            <w:pPr>
              <w:ind w:left="240"/>
              <w:spacing w:after="0"/>
              <w:rPr>
                <w:sz w:val="20"/>
                <w:szCs w:val="20"/>
                <w:color w:val="auto"/>
              </w:rPr>
            </w:pPr>
            <w:r>
              <w:rPr>
                <w:rFonts w:ascii="Arial" w:cs="Arial" w:eastAsia="Arial" w:hAnsi="Arial"/>
                <w:sz w:val="18"/>
                <w:szCs w:val="18"/>
                <w:color w:val="auto"/>
              </w:rPr>
              <w:t>As at June 30, 2020, the maturities of the Company’s operating lease liabilities are as follows: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2"/>
        </w:trPr>
        <w:tc>
          <w:tcPr>
            <w:tcW w:w="7640" w:type="dxa"/>
            <w:vAlign w:val="bottom"/>
            <w:tcBorders>
              <w:bottom w:val="single" w:sz="8" w:color="CFF0FC"/>
            </w:tcBorders>
          </w:tcPr>
          <w:p>
            <w:pPr>
              <w:spacing w:after="0"/>
              <w:rPr>
                <w:sz w:val="24"/>
                <w:szCs w:val="24"/>
                <w:color w:val="auto"/>
              </w:rPr>
            </w:pPr>
          </w:p>
        </w:tc>
        <w:tc>
          <w:tcPr>
            <w:tcW w:w="1100" w:type="dxa"/>
            <w:vAlign w:val="bottom"/>
            <w:tcBorders>
              <w:bottom w:val="single" w:sz="8" w:color="CFF0FC"/>
            </w:tcBorders>
          </w:tcPr>
          <w:p>
            <w:pPr>
              <w:spacing w:after="0"/>
              <w:rPr>
                <w:sz w:val="24"/>
                <w:szCs w:val="24"/>
                <w:color w:val="auto"/>
              </w:rPr>
            </w:pPr>
          </w:p>
        </w:tc>
        <w:tc>
          <w:tcPr>
            <w:tcW w:w="520" w:type="dxa"/>
            <w:vAlign w:val="bottom"/>
            <w:tcBorders>
              <w:bottom w:val="single" w:sz="8" w:color="CFF0FC"/>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Operating Leases</w:t>
            </w:r>
          </w:p>
        </w:tc>
      </w:tr>
      <w:tr>
        <w:trPr>
          <w:trHeight w:val="220"/>
        </w:trPr>
        <w:tc>
          <w:tcPr>
            <w:tcW w:w="8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2020 (six months remaining)</w:t>
            </w:r>
          </w:p>
        </w:tc>
        <w:tc>
          <w:tcPr>
            <w:tcW w:w="5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76"/>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1,803</w:t>
            </w:r>
          </w:p>
        </w:tc>
      </w:tr>
      <w:tr>
        <w:trPr>
          <w:trHeight w:val="227"/>
        </w:trPr>
        <w:tc>
          <w:tcPr>
            <w:tcW w:w="7640" w:type="dxa"/>
            <w:vAlign w:val="bottom"/>
          </w:tcPr>
          <w:p>
            <w:pPr>
              <w:spacing w:after="0"/>
              <w:rPr>
                <w:sz w:val="20"/>
                <w:szCs w:val="20"/>
                <w:color w:val="auto"/>
              </w:rPr>
            </w:pPr>
            <w:r>
              <w:rPr>
                <w:rFonts w:ascii="Arial" w:cs="Arial" w:eastAsia="Arial" w:hAnsi="Arial"/>
                <w:sz w:val="18"/>
                <w:szCs w:val="18"/>
                <w:color w:val="auto"/>
              </w:rPr>
              <w:t>2021</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3,318</w:t>
            </w:r>
          </w:p>
        </w:tc>
      </w:tr>
      <w:tr>
        <w:trPr>
          <w:trHeight w:val="228"/>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2,811</w:t>
            </w:r>
          </w:p>
        </w:tc>
      </w:tr>
      <w:tr>
        <w:trPr>
          <w:trHeight w:val="227"/>
        </w:trPr>
        <w:tc>
          <w:tcPr>
            <w:tcW w:w="7640" w:type="dxa"/>
            <w:vAlign w:val="bottom"/>
          </w:tcPr>
          <w:p>
            <w:pPr>
              <w:spacing w:after="0"/>
              <w:rPr>
                <w:sz w:val="20"/>
                <w:szCs w:val="20"/>
                <w:color w:val="auto"/>
              </w:rPr>
            </w:pPr>
            <w:r>
              <w:rPr>
                <w:rFonts w:ascii="Arial" w:cs="Arial" w:eastAsia="Arial" w:hAnsi="Arial"/>
                <w:sz w:val="18"/>
                <w:szCs w:val="18"/>
                <w:color w:val="auto"/>
              </w:rPr>
              <w:t>2023</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2,247</w:t>
            </w:r>
          </w:p>
        </w:tc>
      </w:tr>
      <w:tr>
        <w:trPr>
          <w:trHeight w:val="228"/>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2,198</w:t>
            </w:r>
          </w:p>
        </w:tc>
      </w:tr>
      <w:tr>
        <w:trPr>
          <w:trHeight w:val="227"/>
        </w:trPr>
        <w:tc>
          <w:tcPr>
            <w:tcW w:w="8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10,177</w:t>
            </w:r>
          </w:p>
        </w:tc>
      </w:tr>
      <w:tr>
        <w:trPr>
          <w:trHeight w:val="221"/>
        </w:trPr>
        <w:tc>
          <w:tcPr>
            <w:tcW w:w="8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76"/>
              </w:rPr>
              <w:t>$</w:t>
            </w: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22,554</w:t>
            </w:r>
          </w:p>
        </w:tc>
      </w:tr>
      <w:tr>
        <w:trPr>
          <w:trHeight w:val="227"/>
        </w:trPr>
        <w:tc>
          <w:tcPr>
            <w:tcW w:w="8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interest expense</w:t>
            </w:r>
          </w:p>
        </w:tc>
        <w:tc>
          <w:tcPr>
            <w:tcW w:w="5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(4,763)</w:t>
            </w:r>
          </w:p>
        </w:tc>
      </w:tr>
      <w:tr>
        <w:trPr>
          <w:trHeight w:val="220"/>
        </w:trPr>
        <w:tc>
          <w:tcPr>
            <w:tcW w:w="8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Present value of operating lease liabilities</w:t>
            </w:r>
          </w:p>
        </w:tc>
        <w:tc>
          <w:tcPr>
            <w:tcW w:w="5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17,791</w:t>
            </w:r>
          </w:p>
        </w:tc>
      </w:tr>
      <w:tr>
        <w:trPr>
          <w:trHeight w:val="20"/>
        </w:trPr>
        <w:tc>
          <w:tcPr>
            <w:tcW w:w="7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IMAX Corporation as a Lessor</w:t>
      </w:r>
    </w:p>
    <w:p>
      <w:pPr>
        <w:spacing w:after="0" w:line="180"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Company provides IMAX Theater Systems to customers through long-term lease arrangements that for accounting purposes are classified as sales-type leases. Under these arrangements, in exchange for providing the IMAX Theater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2(n) in the Company’s 2019 Form 10-K. Under the Company’s sales-type lease arrangements, the customer has the ability and the right to operate the hardware components or direct others to operate them in a manner determined by the customer. The Company’s sales-type leases are typically non-cancellable for 10 to 20 years with renewal provisions from inception. Except for those sales arrangements that are classified as sales-type leases, the Company’s leases generally do not contain an automatic transfer of title at the end of the lease term. The Company’s sales-type lease arrangements do not contain a guarantee of residual value at the end of the lease term. The customer is required to pay for executory costs such as insurance and taxes and is required to pay the Company for maintenance and extended warranty generally after the first year of the lease until the end of the lease term. The customer is responsible for obtaining insurance coverage for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jc w:val="both"/>
        <w:spacing w:after="0" w:line="270" w:lineRule="auto"/>
        <w:rPr>
          <w:sz w:val="20"/>
          <w:szCs w:val="20"/>
          <w:color w:val="auto"/>
        </w:rPr>
      </w:pPr>
      <w:r>
        <w:rPr>
          <w:rFonts w:ascii="Arial" w:cs="Arial" w:eastAsia="Arial" w:hAnsi="Arial"/>
          <w:sz w:val="18"/>
          <w:szCs w:val="18"/>
          <w:color w:val="auto"/>
        </w:rPr>
        <w:t>IMAX Theater System commencing on the date specified in the arrangement’s shipping terms and ending on the date the IMAX Theater System is returned to the Company.</w:t>
      </w:r>
    </w:p>
    <w:p>
      <w:pPr>
        <w:spacing w:after="0" w:line="149"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Company also provides IMAX Theater systems to customers through joint revenue sharing arrangements. Under the traditional form of these arrangements, in exchange for providing the IMAX system under a long-term lease, the Company earns rent based on a percentage of contingent box office receipts and, in some cases, concession revenues, rather than requiring the customer to pay a fixed upfront fee or annual minimum payments. The Company has assessed the nature of its joint revenue sharing arrangements and concluded that the arrangements contain an operating lease.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equipment under joint revenue sharing arrangements does not transfer to the customer. The Company’s joint revenue sharing arrangements do not contain a guarantee of residual value at the end of the term. The customer is required to pay for executory costs such as insurance and taxes and is required to pay the Company for maintenance and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3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classifies its lease arrangements at inception of the arrangement and, if required, after a modification of the lease arrangement, to determine whether they are sales-type leases or operating leases.</w:t>
      </w:r>
    </w:p>
    <w:p>
      <w:pPr>
        <w:spacing w:after="0" w:line="13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On April 10, 2020, the FASB staff issued a question-and-answer document to address stakeholder questions on the application of the lease accounting guidance for lease concessions related to the effects of the COVID-19 pandemic. The guidance allows concessions related to the timing of payments, where the total consideration has not changed, to not be accounted for as lease modifications. Instead, any such concessions can be accounted for as if no change was made to the contract or as variable lease payments. In the second quarter of 2020, the Company adopted the FASB relief guidance and elected to account for any such lease concessions as if no change was made to the underlying contracts. The adoption of this guidance did not have a material effect on the Company’s Condensed Consolidated Financial Statements.</w:t>
      </w:r>
    </w:p>
    <w:p>
      <w:pPr>
        <w:spacing w:after="0" w:line="173" w:lineRule="exact"/>
        <w:rPr>
          <w:sz w:val="20"/>
          <w:szCs w:val="20"/>
          <w:color w:val="auto"/>
        </w:rPr>
      </w:pPr>
    </w:p>
    <w:p>
      <w:pPr>
        <w:ind w:left="220" w:hanging="213"/>
        <w:spacing w:after="0"/>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0" w:lineRule="exact"/>
        <w:rPr>
          <w:rFonts w:ascii="Arial" w:cs="Arial" w:eastAsia="Arial" w:hAnsi="Arial"/>
          <w:sz w:val="18"/>
          <w:szCs w:val="18"/>
          <w:b w:val="1"/>
          <w:bCs w:val="1"/>
          <w:color w:val="auto"/>
        </w:rPr>
      </w:pPr>
    </w:p>
    <w:p>
      <w:pPr>
        <w:spacing w:after="0" w:line="21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As at June 30, 2020 and December 31, 2019, inventories consist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77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2019</w:t>
            </w:r>
          </w:p>
        </w:tc>
      </w:tr>
      <w:tr>
        <w:trPr>
          <w:trHeight w:val="22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040" w:type="dxa"/>
            <w:vAlign w:val="bottom"/>
            <w:shd w:val="clear" w:color="auto" w:fill="CFF0FC"/>
          </w:tcPr>
          <w:p>
            <w:pPr>
              <w:jc w:val="right"/>
              <w:ind w:right="8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7"/>
              </w:rPr>
              <w:t>34,139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26,538</w:t>
            </w:r>
          </w:p>
        </w:tc>
      </w:tr>
      <w:tr>
        <w:trPr>
          <w:trHeight w:val="227"/>
        </w:trPr>
        <w:tc>
          <w:tcPr>
            <w:tcW w:w="7720" w:type="dxa"/>
            <w:vAlign w:val="bottom"/>
          </w:tcPr>
          <w:p>
            <w:pPr>
              <w:spacing w:after="0"/>
              <w:rPr>
                <w:sz w:val="20"/>
                <w:szCs w:val="20"/>
                <w:color w:val="auto"/>
              </w:rPr>
            </w:pPr>
            <w:r>
              <w:rPr>
                <w:rFonts w:ascii="Arial" w:cs="Arial" w:eastAsia="Arial" w:hAnsi="Arial"/>
                <w:sz w:val="18"/>
                <w:szCs w:val="18"/>
                <w:color w:val="auto"/>
              </w:rPr>
              <w:t>Work-in-process</w:t>
            </w:r>
          </w:p>
        </w:tc>
        <w:tc>
          <w:tcPr>
            <w:tcW w:w="104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5,839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7"/>
              <w:spacing w:after="0"/>
              <w:rPr>
                <w:sz w:val="20"/>
                <w:szCs w:val="20"/>
                <w:color w:val="auto"/>
              </w:rPr>
            </w:pPr>
            <w:r>
              <w:rPr>
                <w:rFonts w:ascii="Arial" w:cs="Arial" w:eastAsia="Arial" w:hAnsi="Arial"/>
                <w:sz w:val="18"/>
                <w:szCs w:val="18"/>
                <w:color w:val="auto"/>
              </w:rPr>
              <w:t>4,608</w:t>
            </w:r>
          </w:p>
        </w:tc>
      </w:tr>
      <w:tr>
        <w:trPr>
          <w:trHeight w:val="227"/>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0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7"/>
              </w:rPr>
              <w:t>20,201</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11,843</w:t>
            </w:r>
          </w:p>
        </w:tc>
      </w:tr>
      <w:tr>
        <w:trPr>
          <w:trHeight w:val="220"/>
        </w:trPr>
        <w:tc>
          <w:tcPr>
            <w:tcW w:w="7720" w:type="dxa"/>
            <w:vAlign w:val="bottom"/>
          </w:tcPr>
          <w:p>
            <w:pPr>
              <w:spacing w:after="0"/>
              <w:rPr>
                <w:sz w:val="19"/>
                <w:szCs w:val="19"/>
                <w:color w:val="auto"/>
              </w:rPr>
            </w:pPr>
          </w:p>
        </w:tc>
        <w:tc>
          <w:tcPr>
            <w:tcW w:w="1040" w:type="dxa"/>
            <w:vAlign w:val="bottom"/>
            <w:tcBorders>
              <w:bottom w:val="single" w:sz="8" w:color="auto"/>
            </w:tcBorders>
          </w:tcPr>
          <w:p>
            <w:pPr>
              <w:jc w:val="right"/>
              <w:ind w:right="86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7"/>
              </w:rPr>
              <w:t>60,179</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42,989</w:t>
            </w: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When compared to December 31, 2019, inventories increased by $17.2 million due to delays in manufacturing, shipments and installation of IMAX Theater Systems at customer sites due to government restrictions in various countries limiting public gatherings as a result of the COVID-19 global pandemic.</w:t>
      </w:r>
    </w:p>
    <w:p>
      <w:pPr>
        <w:spacing w:after="0" w:line="14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At June 30, 2020, inventories include finished goods of $4.0 million (December 31, 2019 — $0.7 million) for which title had passed to the customer, but the criteria for revenue recognition were not met as of the balance sheet date.</w:t>
      </w:r>
    </w:p>
    <w:p>
      <w:pPr>
        <w:spacing w:after="0" w:line="13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During the three and six months ended June 30, 2020, the Company recognized write-downs of $0.1 million for excess and obsolete inventory based on current estimates of net realizable value. (2019 — $nil).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ind w:left="220" w:hanging="213"/>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Other Financing Arrangements</w:t>
      </w:r>
    </w:p>
    <w:p>
      <w:pPr>
        <w:spacing w:after="0" w:line="197"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As at June 30, 2020 and December 31, 2019, bank indebtedness includes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5040" w:type="dxa"/>
            <w:vAlign w:val="bottom"/>
            <w:tcBorders>
              <w:bottom w:val="single" w:sz="8" w:color="CFF0FC"/>
            </w:tcBorders>
          </w:tcPr>
          <w:p>
            <w:pPr>
              <w:spacing w:after="0"/>
              <w:rPr>
                <w:sz w:val="18"/>
                <w:szCs w:val="18"/>
                <w:color w:val="auto"/>
              </w:rPr>
            </w:pPr>
          </w:p>
        </w:tc>
        <w:tc>
          <w:tcPr>
            <w:tcW w:w="27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2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27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r>
      <w:tr>
        <w:trPr>
          <w:trHeight w:val="227"/>
        </w:trPr>
        <w:tc>
          <w:tcPr>
            <w:tcW w:w="5040" w:type="dxa"/>
            <w:vAlign w:val="bottom"/>
          </w:tcPr>
          <w:p>
            <w:pPr>
              <w:spacing w:after="0"/>
              <w:rPr>
                <w:sz w:val="20"/>
                <w:szCs w:val="20"/>
                <w:color w:val="auto"/>
              </w:rPr>
            </w:pPr>
            <w:r>
              <w:rPr>
                <w:rFonts w:ascii="Arial" w:cs="Arial" w:eastAsia="Arial" w:hAnsi="Arial"/>
                <w:sz w:val="18"/>
                <w:szCs w:val="18"/>
                <w:color w:val="auto"/>
              </w:rPr>
              <w:t>Working Capital Facility</w:t>
            </w: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8"/>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issuance costs</w:t>
            </w:r>
          </w:p>
        </w:tc>
        <w:tc>
          <w:tcPr>
            <w:tcW w:w="2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(2,479)</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(1,771)</w:t>
            </w:r>
          </w:p>
        </w:tc>
      </w:tr>
      <w:tr>
        <w:trPr>
          <w:trHeight w:val="220"/>
        </w:trPr>
        <w:tc>
          <w:tcPr>
            <w:tcW w:w="50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297,765</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18,229</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1"/>
          <w:szCs w:val="21"/>
          <w:color w:val="auto"/>
        </w:rPr>
        <w:t>Credit Agreement</w:t>
      </w:r>
    </w:p>
    <w:p>
      <w:pPr>
        <w:spacing w:after="0" w:line="22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has a credit agreement, the Fifth Amended and Restated Credit Agreement, with Wells Fargo Bank, National Association (“Wells Fargo”), as agent, and a syndicate of lenders party thereto (the “Credit Agreement”). The Company’s obligations under the Credit Agreement are guaranteed by certain of its subsidiaries (the “Guarantors”) and are secured by first-priority security interests in substantially all the assets of the Company and the Guarantors. The facility provided by the Credit Agreement (the “Credit Facility”) matures on June 28, 2023.</w:t>
      </w:r>
    </w:p>
    <w:p>
      <w:pPr>
        <w:spacing w:after="0" w:line="13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Credit Agreement has a revolving borrowing capacity of $300.0 million, and contains an uncommitted accordion feature allowing the Company to further expand its borrowing capacity to $440.0 million or greater, subject to certain conditions, depending on the mix of revolving and term loans comprising the incremental facility.</w:t>
      </w:r>
    </w:p>
    <w:p>
      <w:pPr>
        <w:spacing w:after="0" w:line="14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the first quarter of 2020, in response to uncertainties associated with the outbreak of the COVID-19 global pandemic and its impact on the Company’s business, the Company drew down the $280.0 million in available borrowing capacity under the Credit Facility, resulting in total outstanding borrowings of $300.0 million.</w:t>
      </w:r>
    </w:p>
    <w:p>
      <w:pPr>
        <w:spacing w:after="0" w:line="158"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Credit Agreement contains a covenant that requires the Company to maintain a Senior Secured Net Leverage Ratio (as defined in the Credit Agreement), as at the last day of any Fiscal Quarter (as defined in the Credit Agreement) of no greater than 3.25:1.00. In addition, the Credit Agreement contains customary affirmative and negative covenants, including covenants that limit indebtedness, liens, capital expenditures, asset sales, investments and restricted payments, in each case subject to negotiated exceptions and baskets. The Credit Agreement also contains customary representations, warranties and event of default provisions.</w:t>
      </w:r>
    </w:p>
    <w:p>
      <w:pPr>
        <w:spacing w:after="0" w:line="151"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On June 10, 2020, the Company entered into the First Amendment to the Credit Agreement (the “Amendment”), which, among other things, (i) suspends the Senior Secured Net Leverage Ratio covenant through the first quarter of 2021, (ii) re-establishes the Senior Secured Net Leverage Ratio covenant thereafter, provided that for subsequent quarters that such covenant is tested, as applicable, the Company will be permitted to use its quarterly EBITDA (as defined in the Credit Agreement) from the third and fourth quarters of 2019 in lieu of the EBITDA for the corresponding quarters of 2020, (iii) adds a $75.0 million minimum liquidity covenant measured at the end of each calendar month and (iv) restricts the Company’s ability to make certain restricted payments, dispositions and investments, create or assume liens and incur debt that would otherwise have been permitted by the Credit Agreement. The modifications to the negative covenants, the minimum liquidity covenant and modifications to certain other provisions in the Credit Agreement pursuant to the Amendment were effective from the date of the Amendment until the earlier of the delivery of the compliance certificate for the fourth quarter of 2021 and the date on which the Company, in its sole discretion, elects to calculate its compliance with the Senior Secured Net Leverage Ratio by using either its actual EBITDA or annualized EBITDA (the “Designated Period”). The Company was in compliance with all of its requirements under the Credit Agreement, as amended, as at June 30, 2020, and based on current projections expects to be in compliance through at least the next year.</w:t>
      </w:r>
    </w:p>
    <w:p>
      <w:pPr>
        <w:spacing w:after="0" w:line="130"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Borrowings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provided, however, that from the effective date of the Amendment until the Company delivers a compliance certificate under the Credit Facility following the end of the Designated Period, the applicable margin for LIBOR borrowings will be 2.50% per annum and the applicable margin for U.S. base rate borrowings will be 1.75% per annum. The effective interest rate for the three and six months ended June 30, 2020 was 1.83% and 1.86%, respectively (2019 — 3.52% and 3.55%, respectively).</w:t>
      </w:r>
    </w:p>
    <w:p>
      <w:pPr>
        <w:spacing w:after="0" w:line="16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In addition, the Credit Facility has standby fees ranging from 0.25% to 0.38% per annum, based on the Company’s Total Leverage Ratio with respect to the unused portion of the Credit Facility; provided, however, that from the effective date of the Amendment until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1" w:name="page22"/>
    <w:bookmarkEnd w:id="21"/>
    <w:p>
      <w:pPr>
        <w:jc w:val="both"/>
        <w:spacing w:after="0" w:line="270" w:lineRule="auto"/>
        <w:rPr>
          <w:sz w:val="20"/>
          <w:szCs w:val="20"/>
          <w:color w:val="auto"/>
        </w:rPr>
      </w:pPr>
      <w:r>
        <w:rPr>
          <w:rFonts w:ascii="Arial" w:cs="Arial" w:eastAsia="Arial" w:hAnsi="Arial"/>
          <w:sz w:val="18"/>
          <w:szCs w:val="18"/>
          <w:color w:val="auto"/>
        </w:rPr>
        <w:t>the Company delivers a compliance certificate under the Credit Facility following the end of the Designated Period, the standby fee will be 0.50% per annum.</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incurred fees of approximately $1.0 million in connection with the Amendment, which are being amortized on a straight-line basis through December 31, 2021.</w:t>
      </w:r>
    </w:p>
    <w:p>
      <w:pPr>
        <w:spacing w:after="0" w:line="13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As at June 30, 2020 and December 31, 2019, the Company did not have any letters of credit or advance payment guarantees outstanding under the Credit Facility.</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Working Capital Facility</w:t>
      </w:r>
    </w:p>
    <w:p>
      <w:pPr>
        <w:spacing w:after="0" w:line="194"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On July 24, 2019, IMAX (Shanghai) Multimedia Technology Co., Ltd. (“IMAX Shanghai”), one of the Company’s majority-owned subsidiaries in China, renewed its unsecured revolving facility for up to 200.0 million Renminbi (approximately $30.0 million) to fund ongoing working capital requirements (the “Working Capital Facility”). As at June 30, 2020, there was 1.7 million Renminbi ($0.2 million) in borrowings outstanding under the Working Capital Facility and 198.3 million Renminbi ($29.8 million) was available for future borrowings. There were no amounts drawn under the Working Capital facility at December 31, 2019. The amounts available for borrowing under the Working Capital Facility are not subject to a standby fee. The effective interest rate for the three and six months ended June 30, 2020 was 4.35%, respectively. Subsequent to June 30, 2020, IMAX Shanghai renewed its Working Capital Facility.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Wells Fargo Foreign Exchange Facility</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Within the Credit Facility, the Company is able to purchase foreign currency forward contracts and/or other swap arrangements. The net settlement loss on its foreign currency forward contracts was $0.3 million at June 30, 2020, as the notional value exceeded the fair value of the forward contracts (December 31, 2019 — $0.5 million net settlement gain). As at June 30, 2020, the Company has $36.0 million in notional value of such arrangements outstanding (December 31, 2019 — $36.1 million).</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NBC Facility</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On October 28, 2019, the Company entered into a $5.0 million facility with the National Bank of Canada (the “NBC Facility”) fully insured by Export Development Canada for use solely in conjunction with the issuance of performance guarantees and letters of credit. The Company did not have any letters of credit or advance payment guarantees outstanding as at June 30, 2020 and December 31, 2019 under the NBC Facility.</w:t>
      </w:r>
    </w:p>
    <w:p>
      <w:pPr>
        <w:spacing w:after="0" w:line="124" w:lineRule="exact"/>
        <w:rPr>
          <w:sz w:val="20"/>
          <w:szCs w:val="20"/>
          <w:color w:val="auto"/>
        </w:rPr>
      </w:pPr>
    </w:p>
    <w:p>
      <w:pPr>
        <w:ind w:left="240" w:right="7520" w:hanging="233"/>
        <w:spacing w:after="0" w:line="459" w:lineRule="auto"/>
        <w:tabs>
          <w:tab w:leader="none" w:pos="23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Contingencies and Guarantees </w:t>
      </w:r>
      <w:r>
        <w:rPr>
          <w:rFonts w:ascii="Arial" w:cs="Arial" w:eastAsia="Arial" w:hAnsi="Arial"/>
          <w:sz w:val="18"/>
          <w:szCs w:val="18"/>
          <w:b w:val="1"/>
          <w:bCs w:val="1"/>
          <w:i w:val="1"/>
          <w:iCs w:val="1"/>
          <w:color w:val="auto"/>
        </w:rPr>
        <w:t>Commitments</w:t>
      </w:r>
    </w:p>
    <w:p>
      <w:pPr>
        <w:jc w:val="both"/>
        <w:ind w:firstLine="224"/>
        <w:spacing w:after="0" w:line="259" w:lineRule="auto"/>
        <w:rPr>
          <w:sz w:val="20"/>
          <w:szCs w:val="20"/>
          <w:color w:val="auto"/>
        </w:rPr>
      </w:pPr>
      <w:r>
        <w:rPr>
          <w:rFonts w:ascii="Arial" w:cs="Arial" w:eastAsia="Arial" w:hAnsi="Arial"/>
          <w:sz w:val="18"/>
          <w:szCs w:val="18"/>
          <w:color w:val="auto"/>
        </w:rPr>
        <w:t>In the ordinary course of business, the Company enters into contractual agreements with third parties that include non-cancellable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 and guarantees</w:t>
      </w:r>
    </w:p>
    <w:p>
      <w:pPr>
        <w:spacing w:after="0" w:line="194" w:lineRule="exact"/>
        <w:rPr>
          <w:sz w:val="20"/>
          <w:szCs w:val="20"/>
          <w:color w:val="auto"/>
        </w:rPr>
      </w:pPr>
    </w:p>
    <w:p>
      <w:pPr>
        <w:jc w:val="both"/>
        <w:ind w:firstLine="224"/>
        <w:spacing w:after="0" w:line="285" w:lineRule="auto"/>
        <w:rPr>
          <w:sz w:val="20"/>
          <w:szCs w:val="20"/>
          <w:color w:val="auto"/>
        </w:rPr>
      </w:pPr>
      <w:r>
        <w:rPr>
          <w:rFonts w:ascii="Arial" w:cs="Arial" w:eastAsia="Arial" w:hAnsi="Arial"/>
          <w:sz w:val="16"/>
          <w:szCs w:val="16"/>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will record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jc w:val="both"/>
        <w:ind w:firstLine="230"/>
        <w:spacing w:after="0" w:line="265" w:lineRule="auto"/>
        <w:tabs>
          <w:tab w:leader="none" w:pos="106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consisting of past and future rents owed to the Company, plus interest and costs, as well as an additional $2,512 each day in interest from October 1, 2007 until the date the award is paid. In July 2008, E-City commenced a proceeding in Mumbai, India seeking an order that the ICC award may not be recognized in India and on June 10, 2013, the Bombay High Court ruled that it had jurisdiction over the proceeding filed by E-City. The Company appealed that ruling to the Supreme Court of India, and on March 10, 2017, the Supreme Court set aside the Bombay High Court’s judgement and dismissed E-City’s petition. On March 29, 2017, the Company filed an Execution Application in the Bombay High Court seeking to enforce the ICC award against E-City and several related parties.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October 2015,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157" w:lineRule="exact"/>
        <w:rPr>
          <w:rFonts w:ascii="Arial" w:cs="Arial" w:eastAsia="Arial" w:hAnsi="Arial"/>
          <w:sz w:val="17"/>
          <w:szCs w:val="17"/>
          <w:color w:val="auto"/>
        </w:rPr>
      </w:pPr>
    </w:p>
    <w:p>
      <w:pPr>
        <w:jc w:val="both"/>
        <w:ind w:firstLine="230"/>
        <w:spacing w:after="0" w:line="281" w:lineRule="auto"/>
        <w:tabs>
          <w:tab w:leader="none" w:pos="1072"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November 11, 2013, Giencourt Investments, S.A. (“Giencourt”) initiated arbitration before the International Centre for Dispute Resolution in Miami, Florida, based on alleged breaches by the Company of its theater agreement and related license agreement with Giencourt. An arbitration hearing for witness testimony was held during the week of December 14, 2015. At the hearing, Giencourt’s expert identified monetary damages of up to approximately $10.4 million, which Giencourt sought to recover from the Company. The Company asserted a counterclaim against Giencourt for breach of contract and sought to recover lost profits in excess of $24.0 million under the agreements. Subsequently, in December 2015, Giencourt made a motion to the panel seeking to enforce a purported settlement of the matter based on negotiations between Giencourt and the Company. The panel held a final hearing with closing arguments in October 2016. On February 7, 2017, the panel issued a Partial Final Award and on July 21, 2017, the panel issued a Final Award (collectively, the “Award”), which held that the parties had reached a binding settlement, and therefore the panel did not reach the merits of the dispute. The Company strongly disputes that discussions about a potential resolution of this matter amounted to an enforceable settlement. In October 2017, the Company filed a petition to vacate the arbitration award in the United States Court for the Southern District of Florida on various grounds, including that the panel exceeded its jurisdiction, and a hearing was held on June 27, 2019. On September 27, 2019, a Magistrate Judge filed a non-binding recommendation that the Company’s petition be dismissed. On October 14, 2019, the Company filed an objection to that recommendation. The Company’s petition to vacate the arbitration award was denied by the District Judge on January 10, 2020. The Company filed an appeal of this decision on February 7, 2020 with the Eleventh Circuit Court of Appeals, but such appeal was dismissed on May 29, 2020. At this time, the Company is unable to determine the amounts that it may ultimately owe pursuant to the Award, or the timing of any such payments, but believes it has adequate provisions recorded in its Condensed Consolidated Balance Sheets related to the Award. In addition to the above, the Company has initiated a claim against Giencourt in the Ontario Superior Court seeking damages from Giencourt with respect to contractual claims under various terminated agreements between the parties. These proceedings are in preliminary stages, and no assurances can be given with respect to the ultimate outcome of the matter, but any amounts, if awarded to the Company under these proceedings, may reduce the Company’s overall financial obligations to Giencourt.</w:t>
      </w:r>
    </w:p>
    <w:p>
      <w:pPr>
        <w:spacing w:after="0" w:line="355" w:lineRule="exact"/>
        <w:rPr>
          <w:rFonts w:ascii="Arial" w:cs="Arial" w:eastAsia="Arial" w:hAnsi="Arial"/>
          <w:sz w:val="16"/>
          <w:szCs w:val="16"/>
          <w:color w:val="auto"/>
        </w:rPr>
      </w:pPr>
    </w:p>
    <w:p>
      <w:pPr>
        <w:jc w:val="both"/>
        <w:ind w:firstLine="231"/>
        <w:spacing w:after="0" w:line="259" w:lineRule="auto"/>
        <w:tabs>
          <w:tab w:leader="none" w:pos="10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184" w:lineRule="exact"/>
        <w:rPr>
          <w:rFonts w:ascii="Arial" w:cs="Arial" w:eastAsia="Arial" w:hAnsi="Arial"/>
          <w:sz w:val="18"/>
          <w:szCs w:val="18"/>
          <w:color w:val="auto"/>
        </w:rPr>
      </w:pPr>
    </w:p>
    <w:p>
      <w:pPr>
        <w:jc w:val="both"/>
        <w:ind w:firstLine="230"/>
        <w:spacing w:after="0" w:line="271" w:lineRule="auto"/>
        <w:tabs>
          <w:tab w:leader="none" w:pos="1072"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Guarantees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subsidiaries of the Company have provided significant financial guarantees to third parties under the Credit Agreement.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3" w:name="page24"/>
    <w:bookmarkEnd w:id="23"/>
    <w:p>
      <w:pPr>
        <w:ind w:left="240"/>
        <w:spacing w:after="0"/>
        <w:rPr>
          <w:sz w:val="20"/>
          <w:szCs w:val="20"/>
          <w:color w:val="auto"/>
        </w:rPr>
      </w:pPr>
      <w:r>
        <w:rPr>
          <w:rFonts w:ascii="Arial" w:cs="Arial" w:eastAsia="Arial" w:hAnsi="Arial"/>
          <w:sz w:val="18"/>
          <w:szCs w:val="18"/>
          <w:i w:val="1"/>
          <w:iCs w:val="1"/>
          <w:color w:val="auto"/>
        </w:rPr>
        <w:t>Product Warranties</w:t>
      </w:r>
    </w:p>
    <w:p>
      <w:pPr>
        <w:spacing w:after="0" w:line="19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Company’s accrual for product warranties, which was recorded as part of accrued and other liabilities in the Condensed Consolidated Balance Sheets, was less than $0.1 million and $0.2 million at June 30, 2020 and December 31, 2019, respectively.</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Director/Officer Indemnifications</w:t>
      </w:r>
    </w:p>
    <w:p>
      <w:pPr>
        <w:spacing w:after="0" w:line="20"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 xml:space="preserve">The Company’s General By-law contains an indemnification of its directors/officers, former directors/officers and persons who have acted at its request to be a director/officer of an entity in which the Company is a shareholder or creditor, to indemnify them, to the extent permitted by the </w:t>
      </w:r>
      <w:r>
        <w:rPr>
          <w:rFonts w:ascii="Arial" w:cs="Arial" w:eastAsia="Arial" w:hAnsi="Arial"/>
          <w:sz w:val="16"/>
          <w:szCs w:val="16"/>
          <w:i w:val="1"/>
          <w:iCs w:val="1"/>
          <w:color w:val="auto"/>
        </w:rPr>
        <w:t>Canada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Corporations Act</w:t>
      </w:r>
      <w:r>
        <w:rPr>
          <w:rFonts w:ascii="Arial" w:cs="Arial" w:eastAsia="Arial" w:hAnsi="Arial"/>
          <w:sz w:val="16"/>
          <w:szCs w:val="16"/>
          <w:color w:val="auto"/>
        </w:rPr>
        <w:t>, against expenses (including legal fees), judgments, fines and any amounts actually and reasonably incurred by them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Condensed Consolidated Balance Sheets as at June 30, 2020 and December 31, 2019, with respect to this indemnity.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Indemnification Agreements</w:t>
      </w:r>
    </w:p>
    <w:p>
      <w:pPr>
        <w:spacing w:after="0" w:line="20"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7"/>
          <w:szCs w:val="17"/>
          <w:color w:val="auto"/>
        </w:rPr>
        <w:t>In the normal course of the Company’s operations, the Company provides indemnifications to counterparties in transactions such as: IMAX Theater Systems lease and sale agreements and the supervision of installation or servicing of IMAX Theater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Theater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56" w:lineRule="exact"/>
        <w:rPr>
          <w:sz w:val="20"/>
          <w:szCs w:val="20"/>
          <w:color w:val="auto"/>
        </w:rPr>
      </w:pPr>
    </w:p>
    <w:p>
      <w:pPr>
        <w:ind w:left="220" w:hanging="213"/>
        <w:spacing w:after="0"/>
        <w:tabs>
          <w:tab w:leader="none" w:pos="2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Consolidated Statements of Operations Supplemental Information</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Selling Expenses</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defers direct selling costs such as sales commissions and other amounts related to its sales and sales-type lease arrangements until the related revenue is recognized. These costs and direct advertising and marketing, which are included in Costs and Expenses Applicable to Revenues – Technology Sales, totaled $0.2 million and $0.4 million for the three and six months ended June 30, 2020, respectively (2019 — $0.4 million and $0.9 million, respectively).</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Film exploitation costs, including advertising and marketing, totaled a recovery of less than $0.1 million and expense of $2.6 million for the three and six months ended June 30, 2020, respectively (2019 — expense of $9.6 million and $14.1 million, respectively), and are recorded as incurred in Costs and Expenses Applicable to Revenues – Image Enhancement and Maintenance Services.</w:t>
      </w:r>
    </w:p>
    <w:p>
      <w:pPr>
        <w:spacing w:after="0" w:line="158"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Commissions are recognized as Costs and Expenses Applicable to Revenues – Technology Rentals in the month they are earned. These costs totaled less than $0.1 million and $0.2 million for the three and six months ended June 30, 2020, respectively (2019 — recovery of $0.4 million and recovery of $0.6 million, respectively). Direct advertising and marketing costs for each theater are charged to Costs and Expenses Applicable to Revenues – Technology Rentals as incurred. These costs totaled less than $0.1 million and $0.4 million for the three and six months ended June 30, 2020, respectively (2019 — $0.7 million and $0.9 million,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Foreign Exchange</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Included in Selling, General and Administrative Expenses for the three and six months ended June 30, 2020 is a loss of $0.3 million and a loss of $1.0 million, respectively (2019 — loss of $0.2 million and loss of $0.4 million, respectively) for net foreign exchange gains/losses related to the translation of foreign currency denominated monetary assets and liabilities. See Note 16(c) for additional information.</w:t>
      </w:r>
    </w:p>
    <w:p>
      <w:pPr>
        <w:spacing w:after="0" w:line="158"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Collaborative Arrangements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Joint Revenue Sharing Arrangements</w:t>
      </w:r>
    </w:p>
    <w:p>
      <w:pPr>
        <w:spacing w:after="0" w:line="180" w:lineRule="exact"/>
        <w:rPr>
          <w:sz w:val="20"/>
          <w:szCs w:val="20"/>
          <w:color w:val="auto"/>
        </w:rPr>
      </w:pPr>
    </w:p>
    <w:p>
      <w:pPr>
        <w:jc w:val="both"/>
        <w:ind w:firstLine="225"/>
        <w:spacing w:after="0" w:line="267" w:lineRule="auto"/>
        <w:rPr>
          <w:sz w:val="20"/>
          <w:szCs w:val="20"/>
          <w:color w:val="auto"/>
        </w:rPr>
      </w:pPr>
      <w:r>
        <w:rPr>
          <w:rFonts w:ascii="Arial" w:cs="Arial" w:eastAsia="Arial" w:hAnsi="Arial"/>
          <w:sz w:val="17"/>
          <w:szCs w:val="17"/>
          <w:color w:val="auto"/>
        </w:rPr>
        <w:t>In a joint revenue sharing arrangement, the Company receives a portion of a theater’s box office and in certain arrangements a portion of concession revenues and a small upfront or initial payment, in exchange for placing an IMAX Theater System at the theater operator’s venue.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equipment under joint revenue sharing arrangements generally does not transfer to the customer. The Company’s joint revenue sharing arrangements do not contain a guarantee of residual value at the end of the term. The customer is required to pay for executory costs such as insurance and taxes and is required to pay the Company for maintenance and extended warranty throughout the term. The customer is responsible for obtaining insurance coverage for the IMAX Theater System commencing on the date specified in the arrangement’s shipping terms and ending on the date the IMAX Theater System is returned to the Company.</w:t>
      </w:r>
    </w:p>
    <w:p>
      <w:pPr>
        <w:spacing w:after="0" w:line="14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 has signed traditional and hybrid joint revenue sharing agreements with 41 exhibitors for a total of 1,237 IMAX Theater Systems, of which 868 theaters were included in the IMAX network as at June 30, 2020, the terms of which are similar in nature, rights and obligations. The accounting policy for the Company’s joint revenue sharing arrangements is disclosed in Note 2(n) of the Company’s 2019 Form 10-K.</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Amounts attributable to transactions arising between the Company and its customers under joint revenue sharing arrangements are included in Revenues</w:t>
      </w:r>
    </w:p>
    <w:p>
      <w:pPr>
        <w:spacing w:after="0" w:line="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Technology Sales and Revenues — Technology Rentals and for the three and six months ended June 30, 2020 amounted to $0.1 million and $6.9 million, respectively (2019 — $27.8 million and $48.2 million, respectively).</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In an IMAX DMR arrangement, the Company transforms conventional motion pictures into the Company’s large screen format, allowing the release of Hollywood content to the global IMAX theater network. In a typical IMAX DMR film arrangement, the Company receives a percentage of the box office receipts from a movie studio in exchange for converting a commercial film into IMAX DMR format and distributing it through the IMAX network. In recent years, the percentage of gross box office receipts earned in IMAX DMR arrangements has averaged approximately 12.5%, except for within Greater China, where the Company receives a lower percentage of net box office receipts for certain Hollywood films.</w:t>
      </w:r>
    </w:p>
    <w:p>
      <w:pPr>
        <w:spacing w:after="0" w:line="15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six months ended June 30, 2020, the majority of IMAX DMR revenue was earned from the exhibition of 14 IMAX DMR films (2019 – 39) throughout the IMAX theater network. The accounting policy for the Company’s IMAX DMR arrangements is disclosed in Note 2(n) of the Company’s 2019 Form 10-K.</w:t>
      </w:r>
    </w:p>
    <w:p>
      <w:pPr>
        <w:spacing w:after="0" w:line="145"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Amounts attributable to transactions arising between the Company and its customers under IMAX DMR arrangements are included in Revenues – Image Enhancement and Maintenance Services and for the three and six months ended June 30, 2020 amounted to $0.6 million and $11.2 million, respectively (2019 — $39.3 million and $67.2 million, respectively).</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Co-Produced Film Arrangements</w:t>
      </w:r>
    </w:p>
    <w:p>
      <w:pPr>
        <w:spacing w:after="0" w:line="19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In certain film arrangements, the Company co-produces a film with a third party whereby the third party retains the copyright and rights to the film. In some cases, the Company obtains exclusive theatrical distribution rights to the film. Under these arrangements, both parties contribute funding to the Company’s partly-owned subsidiary for the production and distribution of the film and for associated exploitation costs.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5" w:name="page26"/>
    <w:bookmarkEnd w:id="25"/>
    <w:p>
      <w:pPr>
        <w:jc w:val="both"/>
        <w:ind w:firstLine="225"/>
        <w:spacing w:after="0" w:line="259" w:lineRule="auto"/>
        <w:rPr>
          <w:sz w:val="20"/>
          <w:szCs w:val="20"/>
          <w:color w:val="auto"/>
        </w:rPr>
      </w:pPr>
      <w:r>
        <w:rPr>
          <w:rFonts w:ascii="Arial" w:cs="Arial" w:eastAsia="Arial" w:hAnsi="Arial"/>
          <w:sz w:val="18"/>
          <w:szCs w:val="18"/>
          <w:color w:val="auto"/>
        </w:rPr>
        <w:t>As at June 30, 2020, the Company has two significant co-produced film arrangements which represent the VIE total assets balance of $7.0 million and liabilities balance of $15.5 million and three other co-produced film arrangements, the terms of which are similar. The accounting policies relating to co-produced film arrangements are disclosed in Notes 2(a) and 2(n) of the Company’s 2019 Form 10-K.</w:t>
      </w:r>
    </w:p>
    <w:p>
      <w:pPr>
        <w:spacing w:after="0" w:line="15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and six months ended June 30, 2020, expenses totaling $1.2 million and $1.4 million, respectively (2019 — less than $0.1 million and $0.2 million, respectively) attributable to transactions between the Company and other parties involved in the production of the films have been included in Costs and Expenses Applicable to Revenues – Image Enhancement and Maintenance Services.</w:t>
      </w:r>
    </w:p>
    <w:p>
      <w:pPr>
        <w:spacing w:after="0" w:line="14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and six months ended June 30, 2020, revenue of $0.1 million and $0.1 million, respectively (2019 — $nil and less than $0.1 million, respectively) and Costs and Expenses Applicable to Revenues of $nil and $nil, respectively (2019 — $nil and less than $0.1 million, respectively) attributable to this collaborative arrangement have been recorded in Revenue – Image Enhancement and Maintenance Services and Costs and Expenses Applicable to Revenues – Image Enhancement and Maintenance Services.</w:t>
      </w:r>
    </w:p>
    <w:p>
      <w:pPr>
        <w:spacing w:after="0" w:line="145" w:lineRule="exact"/>
        <w:rPr>
          <w:sz w:val="20"/>
          <w:szCs w:val="20"/>
          <w:color w:val="auto"/>
        </w:rPr>
      </w:pPr>
    </w:p>
    <w:p>
      <w:pPr>
        <w:ind w:left="320" w:hanging="313"/>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Consolidated Statements of Cash Flows Supplemental Information</w:t>
      </w:r>
    </w:p>
    <w:p>
      <w:pPr>
        <w:spacing w:after="0" w:line="197" w:lineRule="exact"/>
        <w:rPr>
          <w:rFonts w:ascii="Arial" w:cs="Arial" w:eastAsia="Arial" w:hAnsi="Arial"/>
          <w:sz w:val="18"/>
          <w:szCs w:val="18"/>
          <w:b w:val="1"/>
          <w:bCs w:val="1"/>
          <w:color w:val="auto"/>
        </w:rPr>
      </w:pPr>
    </w:p>
    <w:p>
      <w:pPr>
        <w:ind w:left="600" w:hanging="379"/>
        <w:spacing w:after="0" w:line="270" w:lineRule="auto"/>
        <w:tabs>
          <w:tab w:leader="none" w:pos="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Changes in other operating assets and liabilities as reported in the Condensed Consolidated Statements of Cash Flows are comprised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00" w:type="dxa"/>
            <w:vAlign w:val="bottom"/>
          </w:tcPr>
          <w:p>
            <w:pPr>
              <w:spacing w:after="0"/>
              <w:rPr>
                <w:sz w:val="19"/>
                <w:szCs w:val="19"/>
                <w:color w:val="auto"/>
              </w:rPr>
            </w:pPr>
          </w:p>
        </w:tc>
        <w:tc>
          <w:tcPr>
            <w:tcW w:w="3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Decrease (increase) in:</w:t>
            </w:r>
          </w:p>
        </w:tc>
        <w:tc>
          <w:tcPr>
            <w:tcW w:w="21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tcPr>
          <w:p>
            <w:pPr>
              <w:ind w:left="120"/>
              <w:spacing w:after="0"/>
              <w:rPr>
                <w:sz w:val="20"/>
                <w:szCs w:val="20"/>
                <w:color w:val="auto"/>
              </w:rPr>
            </w:pPr>
            <w:r>
              <w:rPr>
                <w:rFonts w:ascii="Arial" w:cs="Arial" w:eastAsia="Arial" w:hAnsi="Arial"/>
                <w:sz w:val="18"/>
                <w:szCs w:val="18"/>
                <w:color w:val="auto"/>
              </w:rPr>
              <w:t>Financing receivables</w:t>
            </w:r>
          </w:p>
        </w:tc>
        <w:tc>
          <w:tcPr>
            <w:tcW w:w="3280" w:type="dxa"/>
            <w:vAlign w:val="bottom"/>
            <w:gridSpan w:val="2"/>
          </w:tcPr>
          <w:p>
            <w:pPr>
              <w:jc w:val="right"/>
              <w:ind w:right="891"/>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776</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Prepaid expenses</w:t>
            </w:r>
          </w:p>
        </w:tc>
        <w:tc>
          <w:tcPr>
            <w:tcW w:w="2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(2,332)</w:t>
            </w: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27"/>
        </w:trPr>
        <w:tc>
          <w:tcPr>
            <w:tcW w:w="5300" w:type="dxa"/>
            <w:vAlign w:val="bottom"/>
          </w:tcPr>
          <w:p>
            <w:pPr>
              <w:ind w:left="120"/>
              <w:spacing w:after="0"/>
              <w:rPr>
                <w:sz w:val="20"/>
                <w:szCs w:val="20"/>
                <w:color w:val="auto"/>
              </w:rPr>
            </w:pPr>
            <w:r>
              <w:rPr>
                <w:rFonts w:ascii="Arial" w:cs="Arial" w:eastAsia="Arial" w:hAnsi="Arial"/>
                <w:sz w:val="18"/>
                <w:szCs w:val="18"/>
                <w:color w:val="auto"/>
              </w:rPr>
              <w:t>Variable consideration receivable</w:t>
            </w:r>
          </w:p>
        </w:tc>
        <w:tc>
          <w:tcPr>
            <w:tcW w:w="2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(220)</w:t>
            </w:r>
          </w:p>
        </w:tc>
        <w:tc>
          <w:tcPr>
            <w:tcW w:w="6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7"/>
        </w:trPr>
        <w:tc>
          <w:tcPr>
            <w:tcW w:w="5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assets</w:t>
            </w:r>
          </w:p>
        </w:tc>
        <w:tc>
          <w:tcPr>
            <w:tcW w:w="2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(4,492)</w:t>
            </w: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27"/>
        </w:trPr>
        <w:tc>
          <w:tcPr>
            <w:tcW w:w="5300" w:type="dxa"/>
            <w:vAlign w:val="bottom"/>
          </w:tcPr>
          <w:p>
            <w:pPr>
              <w:spacing w:after="0"/>
              <w:rPr>
                <w:sz w:val="20"/>
                <w:szCs w:val="20"/>
                <w:color w:val="auto"/>
              </w:rPr>
            </w:pPr>
            <w:r>
              <w:rPr>
                <w:rFonts w:ascii="Arial" w:cs="Arial" w:eastAsia="Arial" w:hAnsi="Arial"/>
                <w:sz w:val="18"/>
                <w:szCs w:val="18"/>
                <w:color w:val="auto"/>
              </w:rPr>
              <w:t>Increase (decrease) in:</w:t>
            </w:r>
          </w:p>
        </w:tc>
        <w:tc>
          <w:tcPr>
            <w:tcW w:w="2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2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(6,716)</w:t>
            </w:r>
          </w:p>
        </w:tc>
        <w:tc>
          <w:tcPr>
            <w:tcW w:w="6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(9,817)</w:t>
            </w:r>
          </w:p>
        </w:tc>
        <w:tc>
          <w:tcPr>
            <w:tcW w:w="0" w:type="dxa"/>
            <w:vAlign w:val="bottom"/>
          </w:tcPr>
          <w:p>
            <w:pPr>
              <w:spacing w:after="0"/>
              <w:rPr>
                <w:sz w:val="1"/>
                <w:szCs w:val="1"/>
                <w:color w:val="auto"/>
              </w:rPr>
            </w:pPr>
          </w:p>
        </w:tc>
      </w:tr>
      <w:tr>
        <w:trPr>
          <w:trHeight w:val="227"/>
        </w:trPr>
        <w:tc>
          <w:tcPr>
            <w:tcW w:w="5300" w:type="dxa"/>
            <w:vAlign w:val="bottom"/>
          </w:tcPr>
          <w:p>
            <w:pPr>
              <w:ind w:left="120"/>
              <w:spacing w:after="0"/>
              <w:rPr>
                <w:sz w:val="20"/>
                <w:szCs w:val="20"/>
                <w:color w:val="auto"/>
              </w:rPr>
            </w:pPr>
            <w:r>
              <w:rPr>
                <w:rFonts w:ascii="Arial" w:cs="Arial" w:eastAsia="Arial" w:hAnsi="Arial"/>
                <w:sz w:val="18"/>
                <w:szCs w:val="18"/>
                <w:color w:val="auto"/>
              </w:rPr>
              <w:t>Accrued and other liabilities</w:t>
            </w:r>
          </w:p>
        </w:tc>
        <w:tc>
          <w:tcPr>
            <w:tcW w:w="2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764</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20"/>
        </w:trPr>
        <w:tc>
          <w:tcPr>
            <w:tcW w:w="5300" w:type="dxa"/>
            <w:vAlign w:val="bottom"/>
            <w:tcBorders>
              <w:top w:val="single" w:sz="8" w:color="CFF0FC"/>
              <w:bottom w:val="single" w:sz="8" w:color="CFF0FC"/>
            </w:tcBorders>
            <w:shd w:val="clear" w:color="auto" w:fill="CFF0FC"/>
          </w:tcPr>
          <w:p>
            <w:pPr>
              <w:spacing w:after="0"/>
              <w:rPr>
                <w:sz w:val="19"/>
                <w:szCs w:val="19"/>
                <w:color w:val="auto"/>
              </w:rPr>
            </w:pPr>
          </w:p>
        </w:tc>
        <w:tc>
          <w:tcPr>
            <w:tcW w:w="218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(12,220)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220"/>
              <w:spacing w:after="0"/>
              <w:rPr>
                <w:sz w:val="20"/>
                <w:szCs w:val="20"/>
                <w:color w:val="auto"/>
              </w:rPr>
            </w:pPr>
            <w:r>
              <w:rPr>
                <w:rFonts w:ascii="Arial" w:cs="Arial" w:eastAsia="Arial" w:hAnsi="Arial"/>
                <w:sz w:val="18"/>
                <w:szCs w:val="18"/>
                <w:color w:val="auto"/>
                <w:w w:val="97"/>
              </w:rPr>
              <w:t>(b)  Depreciation and amortization are comprised of the following:</w:t>
            </w:r>
          </w:p>
        </w:tc>
        <w:tc>
          <w:tcPr>
            <w:tcW w:w="2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30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3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00" w:type="dxa"/>
            <w:vAlign w:val="bottom"/>
          </w:tcPr>
          <w:p>
            <w:pPr>
              <w:spacing w:after="0"/>
              <w:rPr>
                <w:sz w:val="19"/>
                <w:szCs w:val="19"/>
                <w:color w:val="auto"/>
              </w:rPr>
            </w:pPr>
          </w:p>
        </w:tc>
        <w:tc>
          <w:tcPr>
            <w:tcW w:w="3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Film assets</w:t>
            </w:r>
          </w:p>
        </w:tc>
        <w:tc>
          <w:tcPr>
            <w:tcW w:w="21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1"/>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3,515</w:t>
            </w:r>
          </w:p>
        </w:tc>
        <w:tc>
          <w:tcPr>
            <w:tcW w:w="2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w:t>
            </w:r>
          </w:p>
        </w:tc>
        <w:tc>
          <w:tcPr>
            <w:tcW w:w="2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13,178</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tcPr>
          <w:p>
            <w:pPr>
              <w:ind w:left="120"/>
              <w:spacing w:after="0"/>
              <w:rPr>
                <w:sz w:val="20"/>
                <w:szCs w:val="20"/>
                <w:color w:val="auto"/>
              </w:rPr>
            </w:pPr>
            <w:r>
              <w:rPr>
                <w:rFonts w:ascii="Arial" w:cs="Arial" w:eastAsia="Arial" w:hAnsi="Arial"/>
                <w:sz w:val="18"/>
                <w:szCs w:val="18"/>
                <w:color w:val="auto"/>
              </w:rPr>
              <w:t>Other property, plant and equipment</w:t>
            </w:r>
          </w:p>
        </w:tc>
        <w:tc>
          <w:tcPr>
            <w:tcW w:w="2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5,686</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w:t>
            </w:r>
          </w:p>
        </w:tc>
        <w:tc>
          <w:tcPr>
            <w:tcW w:w="2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00" w:type="dxa"/>
            <w:vAlign w:val="bottom"/>
          </w:tcPr>
          <w:p>
            <w:pPr>
              <w:spacing w:after="0"/>
              <w:rPr>
                <w:sz w:val="20"/>
                <w:szCs w:val="20"/>
                <w:color w:val="auto"/>
              </w:rPr>
            </w:pPr>
            <w:r>
              <w:rPr>
                <w:rFonts w:ascii="Arial" w:cs="Arial" w:eastAsia="Arial" w:hAnsi="Arial"/>
                <w:sz w:val="18"/>
                <w:szCs w:val="18"/>
                <w:color w:val="auto"/>
              </w:rPr>
              <w:t>Other assets</w:t>
            </w:r>
          </w:p>
        </w:tc>
        <w:tc>
          <w:tcPr>
            <w:tcW w:w="2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1,266</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21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00" w:type="dxa"/>
            <w:vAlign w:val="bottom"/>
            <w:tcBorders>
              <w:bottom w:val="single" w:sz="8" w:color="auto"/>
            </w:tcBorders>
          </w:tcPr>
          <w:p>
            <w:pPr>
              <w:jc w:val="right"/>
              <w:ind w:right="91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27,182</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180" w:type="dxa"/>
            <w:vAlign w:val="bottom"/>
            <w:vMerge w:val="restart"/>
          </w:tcPr>
          <w:p>
            <w:pPr>
              <w:jc w:val="right"/>
              <w:ind w:right="1680"/>
              <w:spacing w:after="0"/>
              <w:rPr>
                <w:sz w:val="20"/>
                <w:szCs w:val="20"/>
                <w:color w:val="auto"/>
              </w:rPr>
            </w:pPr>
            <w:r>
              <w:rPr>
                <w:rFonts w:ascii="Arial" w:cs="Arial" w:eastAsia="Arial" w:hAnsi="Arial"/>
                <w:sz w:val="18"/>
                <w:szCs w:val="18"/>
                <w:color w:val="auto"/>
              </w:rPr>
              <w:t>26</w:t>
            </w: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53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ind w:left="220"/>
        <w:spacing w:after="0"/>
        <w:tabs>
          <w:tab w:leader="none" w:pos="5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Write-downs are comprised of the following:</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w w:val="98"/>
              </w:rPr>
              <w:t>Six Months Ended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52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14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Film assets </w:t>
            </w:r>
            <w:r>
              <w:rPr>
                <w:rFonts w:ascii="Arial" w:cs="Arial" w:eastAsia="Arial" w:hAnsi="Arial"/>
                <w:sz w:val="15"/>
                <w:szCs w:val="15"/>
                <w:color w:val="auto"/>
              </w:rPr>
              <w:t>(1)</w:t>
            </w:r>
          </w:p>
        </w:tc>
        <w:tc>
          <w:tcPr>
            <w:tcW w:w="3520" w:type="dxa"/>
            <w:vAlign w:val="bottom"/>
            <w:gridSpan w:val="2"/>
            <w:shd w:val="clear" w:color="auto" w:fill="CFF0FC"/>
          </w:tcPr>
          <w:p>
            <w:pPr>
              <w:jc w:val="right"/>
              <w:ind w:right="971"/>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4,504</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5"/>
                <w:szCs w:val="15"/>
                <w:color w:val="auto"/>
              </w:rPr>
              <w:t>(2)</w:t>
            </w:r>
          </w:p>
        </w:tc>
        <w:tc>
          <w:tcPr>
            <w:tcW w:w="2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1,151</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Joint revenue sharing arrangements </w:t>
            </w:r>
            <w:r>
              <w:rPr>
                <w:rFonts w:ascii="Arial" w:cs="Arial" w:eastAsia="Arial" w:hAnsi="Arial"/>
                <w:sz w:val="15"/>
                <w:szCs w:val="15"/>
                <w:color w:val="auto"/>
              </w:rPr>
              <w:t>(3)</w:t>
            </w:r>
          </w:p>
        </w:tc>
        <w:tc>
          <w:tcPr>
            <w:tcW w:w="2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2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Inventories</w:t>
            </w:r>
          </w:p>
        </w:tc>
        <w:tc>
          <w:tcPr>
            <w:tcW w:w="2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intangible assets</w:t>
            </w:r>
          </w:p>
        </w:tc>
        <w:tc>
          <w:tcPr>
            <w:tcW w:w="236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3620" w:type="dxa"/>
            <w:vAlign w:val="bottom"/>
            <w:tcBorders>
              <w:bottom w:val="single" w:sz="8" w:color="CFF0FC"/>
            </w:tcBorders>
            <w:shd w:val="clear" w:color="auto" w:fill="CFF0FC"/>
          </w:tcPr>
          <w:p>
            <w:pPr>
              <w:spacing w:after="0"/>
              <w:rPr>
                <w:sz w:val="19"/>
                <w:szCs w:val="19"/>
                <w:color w:val="auto"/>
              </w:rPr>
            </w:pPr>
          </w:p>
        </w:tc>
        <w:tc>
          <w:tcPr>
            <w:tcW w:w="23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7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6,806</w:t>
            </w:r>
          </w:p>
        </w:tc>
        <w:tc>
          <w:tcPr>
            <w:tcW w:w="2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380" w:hanging="373"/>
        <w:spacing w:after="0" w:line="287"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the six months ended June 30, 2020, the Company recorded an impairment loss of $4.5 million (2019 — $nil) to write-down the carrying value of certain documentary and alternative content film assets due to a decrease in projected box office totals and related revenues based on management’s regular quarterly recoverability assessments. As of June 30, 2020, following the recording of these write-downs, the Company’s film assets totaled $13.1 million, which principally consists of documentary and DMR content. The recoverability of these assets assumes the return to historical levels of box office results as theaters reopen following the lifting of COVID-19 restrictions. There can be no assurances that there will not be additional write-downs to the carrying values of these assets as the Company continues to assess the ongoing impact of the COVID-19 pandemic. (See Notes 1 and 2.)</w:t>
      </w:r>
    </w:p>
    <w:p>
      <w:pPr>
        <w:spacing w:after="0" w:line="2" w:lineRule="exact"/>
        <w:rPr>
          <w:rFonts w:ascii="Arial" w:cs="Arial" w:eastAsia="Arial" w:hAnsi="Arial"/>
          <w:sz w:val="16"/>
          <w:szCs w:val="16"/>
          <w:color w:val="auto"/>
        </w:rPr>
      </w:pPr>
    </w:p>
    <w:p>
      <w:pPr>
        <w:ind w:left="380" w:hanging="373"/>
        <w:spacing w:after="0" w:line="27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six months ended June 30, 2020, the Company recorded a $1.2 million (2019 - $nil) write-down of other assets, of which $1.0 million relates to the write-down of certain content-related assets which became impaired in the period.</w:t>
      </w:r>
    </w:p>
    <w:p>
      <w:pPr>
        <w:spacing w:after="0" w:line="1" w:lineRule="exact"/>
        <w:rPr>
          <w:rFonts w:ascii="Arial" w:cs="Arial" w:eastAsia="Arial" w:hAnsi="Arial"/>
          <w:sz w:val="18"/>
          <w:szCs w:val="18"/>
          <w:color w:val="auto"/>
        </w:rPr>
      </w:pPr>
    </w:p>
    <w:p>
      <w:pPr>
        <w:jc w:val="both"/>
        <w:ind w:left="380" w:hanging="373"/>
        <w:spacing w:after="0" w:line="253"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six months ended June 30, 2020, the Company recorded charges of $0.9 million in Costs and Expenses Applicable to Technology Rentals principally related to the write-down of xenon-based digital systems which were upgraded by customers to laser-based digital systems and taken out of service. In the six months ended June 30, 2019, the Company recorded a charge of $0.1 million in Costs and Expenses Applicable to Technology Rentals and $0.1 million in Revenues -Technology Rentals upon the upgrade of xenon-based digital systems under joint revenue sharing arrangements to laser-based digital systems.</w:t>
      </w:r>
    </w:p>
    <w:p>
      <w:pPr>
        <w:spacing w:after="0" w:line="164" w:lineRule="exact"/>
        <w:rPr>
          <w:rFonts w:ascii="Arial" w:cs="Arial" w:eastAsia="Arial" w:hAnsi="Arial"/>
          <w:sz w:val="18"/>
          <w:szCs w:val="18"/>
          <w:color w:val="auto"/>
        </w:rPr>
      </w:pPr>
    </w:p>
    <w:p>
      <w:pPr>
        <w:ind w:left="600" w:hanging="379"/>
        <w:spacing w:after="0"/>
        <w:tabs>
          <w:tab w:leader="none" w:pos="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Significant non-cash investing activities are comprised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5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5580" w:type="dxa"/>
            <w:vAlign w:val="bottom"/>
          </w:tcPr>
          <w:p>
            <w:pPr>
              <w:spacing w:after="0"/>
              <w:rPr>
                <w:sz w:val="19"/>
                <w:szCs w:val="19"/>
                <w:color w:val="auto"/>
              </w:rPr>
            </w:pPr>
          </w:p>
        </w:tc>
        <w:tc>
          <w:tcPr>
            <w:tcW w:w="3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r>
      <w:tr>
        <w:trPr>
          <w:trHeight w:val="220"/>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increase in accruals related to:</w:t>
            </w:r>
          </w:p>
        </w:tc>
        <w:tc>
          <w:tcPr>
            <w:tcW w:w="19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5580" w:type="dxa"/>
            <w:vAlign w:val="bottom"/>
          </w:tcPr>
          <w:p>
            <w:pPr>
              <w:ind w:left="140"/>
              <w:spacing w:after="0"/>
              <w:rPr>
                <w:sz w:val="20"/>
                <w:szCs w:val="20"/>
                <w:color w:val="auto"/>
              </w:rPr>
            </w:pPr>
            <w:r>
              <w:rPr>
                <w:rFonts w:ascii="Arial" w:cs="Arial" w:eastAsia="Arial" w:hAnsi="Arial"/>
                <w:sz w:val="18"/>
                <w:szCs w:val="18"/>
                <w:color w:val="auto"/>
              </w:rPr>
              <w:t>Investment in joint revenue sharing arrangements</w:t>
            </w:r>
          </w:p>
        </w:tc>
        <w:tc>
          <w:tcPr>
            <w:tcW w:w="3040" w:type="dxa"/>
            <w:vAlign w:val="bottom"/>
            <w:gridSpan w:val="2"/>
          </w:tcPr>
          <w:p>
            <w:pPr>
              <w:jc w:val="right"/>
              <w:ind w:right="95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(1,887)</w:t>
            </w: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19"/>
                <w:szCs w:val="19"/>
                <w:color w:val="auto"/>
              </w:rPr>
            </w:pPr>
          </w:p>
        </w:tc>
      </w:tr>
      <w:tr>
        <w:trPr>
          <w:trHeight w:val="227"/>
        </w:trPr>
        <w:tc>
          <w:tcPr>
            <w:tcW w:w="5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Acquisition of other intangible assets</w:t>
            </w:r>
          </w:p>
        </w:tc>
        <w:tc>
          <w:tcPr>
            <w:tcW w:w="19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27"/>
        </w:trPr>
        <w:tc>
          <w:tcPr>
            <w:tcW w:w="558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1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r>
      <w:tr>
        <w:trPr>
          <w:trHeight w:val="220"/>
        </w:trPr>
        <w:tc>
          <w:tcPr>
            <w:tcW w:w="558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51"/>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(1,739)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left="300" w:hanging="293"/>
        <w:spacing w:after="0"/>
        <w:tabs>
          <w:tab w:leader="none" w:pos="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4" w:lineRule="exact"/>
        <w:rPr>
          <w:rFonts w:ascii="Arial" w:cs="Arial" w:eastAsia="Arial" w:hAnsi="Arial"/>
          <w:sz w:val="18"/>
          <w:szCs w:val="18"/>
          <w:b w:val="1"/>
          <w:bCs w:val="1"/>
          <w:color w:val="auto"/>
        </w:rPr>
      </w:pPr>
    </w:p>
    <w:p>
      <w:pPr>
        <w:ind w:left="600" w:hanging="379"/>
        <w:spacing w:after="0"/>
        <w:tabs>
          <w:tab w:leader="none" w:pos="600" w:val="left"/>
        </w:tabs>
        <w:numPr>
          <w:ilvl w:val="1"/>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 Expense</w:t>
      </w:r>
    </w:p>
    <w:p>
      <w:pPr>
        <w:spacing w:after="0" w:line="22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Company’s effective tax benefit rate for the three months ended June 30, 2020, is 25.4% and differs from the Canadian statutory tax rate of 26.2%, primarily due to permanent book to tax differences, investment and other tax credits, jurisdictional tax rate differences, management’s estimates of contingent liabilities related to the resolution of various tax examinations and withholding taxes associated with the reversal of the indefinite reinvestment assertion for certain foreign subsidiaries, as discussed below.</w:t>
      </w:r>
    </w:p>
    <w:p>
      <w:pPr>
        <w:spacing w:after="0" w:line="162"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$19.7 million in the first quarter of 2020 for the estimated applicable foreign withholding taxes associated with these historical earnings, which will become payable upon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27" w:name="page28"/>
    <w:bookmarkEnd w:id="27"/>
    <w:p>
      <w:pPr>
        <w:jc w:val="both"/>
        <w:spacing w:after="0" w:line="306" w:lineRule="auto"/>
        <w:rPr>
          <w:sz w:val="20"/>
          <w:szCs w:val="20"/>
          <w:color w:val="auto"/>
        </w:rPr>
      </w:pPr>
      <w:r>
        <w:rPr>
          <w:rFonts w:ascii="Arial" w:cs="Arial" w:eastAsia="Arial" w:hAnsi="Arial"/>
          <w:sz w:val="16"/>
          <w:szCs w:val="16"/>
          <w:color w:val="auto"/>
        </w:rPr>
        <w:t>repatriation of any such earnings. In the second quarter of 2020, the estimate of the applicable foreign withholding taxes was reduced by $1.2 million to $18.5 million due to a reduction in the amount of distributable historical earnings. Cash held outside of Canada as at June 30, 2020 was $75.0 million (December 31, 2019 — $90.1 million), of which $61.5 million was held in the People’s Republic of China (“PRC”) (December 31, 2019 — $67.6 million).</w:t>
      </w:r>
    </w:p>
    <w:p>
      <w:pPr>
        <w:spacing w:after="0" w:line="12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months ended June 30, 2020, the Company recorded income tax benefit of $10.2 million (2019 — tax expense of $5.3 million), which includes the $1.2 million reduction to the foreign withholding taxes discussed above. In addition, in the second quarter of 2020, the Company recognized income tax expense of $0.3 million (2019 — $0.1 million) related to the provision for uncertain tax positions.</w:t>
      </w:r>
    </w:p>
    <w:p>
      <w:pPr>
        <w:spacing w:after="0" w:line="14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Company’s effective tax rate for the six months ended June 30, 2020 is -6.3% and differs from the Canadian statutory tax rate of 26.2%, primarily due to permanent book to tax differences, investment and other tax credits, jurisdictional tax rate differences, managements estimates of contingent liabilities related to the resolution of various tax examinations and withholding taxes associated with the reversal of the indefinite reinvestment assertion for certain foreign subsidiaries, as discussed above.</w:t>
      </w:r>
    </w:p>
    <w:p>
      <w:pPr>
        <w:spacing w:after="0" w:line="14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six months ended June 30, 2020, the Company recorded income tax expense of $5.3 million (2019 — $9.0 million), which includes the $18.5 million foreign withholding taxes discussed above. In addition, in the six months ended June 30, 2020, the Company recognized income tax expense of $5.1 million (2019 — $0.5 million) related to the provision for uncertain tax positions and an expense of $0.7 million (2019 — $0.3 million) recognized to reduce the tax benefit available on share-based compensation costs recognized in the period.</w:t>
      </w:r>
    </w:p>
    <w:p>
      <w:pPr>
        <w:spacing w:after="0" w:line="189"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As at June 30, 2020, the Company’s Condensed Consolidated Balance Sheets include net deferred income tax assets of $46.8 million, which is net of a valuation allowance of $0.2 million (December 31, 2019 — $23.9 million). As at June 30, 2020, the Company’s Condensed Consolidated Balance Sheets include a deferred income tax liability of $18.5 million (December 31, 2019 — $nil). During the three months ended June 30, 2020, deferred tax assets increased by $8.9 million due to losses recognized in the period. The recoverability of these deferred tax assets is subject to certain levels of future taxable income and the uncertainties associated with accounting estimates, as discussed in Note 1. Based on a review of the projected future earnings of the Company there was no change in management’s estimates of the recoverability of the Company’s deferred tax assets. Should actual results differ from management’s estimates of future taxable income, an increased valuation allowance may be required.</w:t>
      </w:r>
    </w:p>
    <w:p>
      <w:pPr>
        <w:spacing w:after="0" w:line="155"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Company’s Chinese subsidiary had taken a deduction for certain share-based compensation issued by its parent company in a prior period and had recognized a related deferred tax asset of $1.4 million (December 31, 2019 — $1.4 million). Chinese regulatory authorities responsible for capital and exchange controls will need to review and approve the proposed settlement of these transactions before they can be completed. There may be a requirement for future investment of funds into China in order to secure the deduction. Should the Company proceed, any such future investment would come from existing capital invested in the IMAX China group of companies being redeployed amongst the IMAX China group of companies, including the Chinese subsidiary.</w:t>
      </w:r>
    </w:p>
    <w:p>
      <w:pPr>
        <w:spacing w:after="0" w:line="326"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Income Tax Effect on Other Comprehensive (Loss) Income</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income tax (expense) benefit included in the Company’s other comprehensive (loss) income are related to the following items: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12"/>
        </w:trPr>
        <w:tc>
          <w:tcPr>
            <w:tcW w:w="5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4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0"/>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Unrealized change in cash flow hedging instruments</w:t>
            </w:r>
          </w:p>
        </w:tc>
        <w:tc>
          <w:tcPr>
            <w:tcW w:w="12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(354)</w:t>
            </w:r>
          </w:p>
        </w:tc>
        <w:tc>
          <w:tcPr>
            <w:tcW w:w="1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5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395</w:t>
            </w:r>
          </w:p>
        </w:tc>
        <w:tc>
          <w:tcPr>
            <w:tcW w:w="340" w:type="dxa"/>
            <w:vAlign w:val="bottom"/>
            <w:tcBorders>
              <w:top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7"/>
        </w:trPr>
        <w:tc>
          <w:tcPr>
            <w:tcW w:w="5140" w:type="dxa"/>
            <w:vAlign w:val="bottom"/>
          </w:tcPr>
          <w:p>
            <w:pPr>
              <w:spacing w:after="0"/>
              <w:rPr>
                <w:sz w:val="20"/>
                <w:szCs w:val="20"/>
                <w:color w:val="auto"/>
              </w:rPr>
            </w:pPr>
            <w:r>
              <w:rPr>
                <w:rFonts w:ascii="Arial" w:cs="Arial" w:eastAsia="Arial" w:hAnsi="Arial"/>
                <w:sz w:val="18"/>
                <w:szCs w:val="18"/>
                <w:color w:val="auto"/>
                <w:w w:val="96"/>
              </w:rPr>
              <w:t>Realized change in cash flow hedging instruments upon settlement</w:t>
            </w: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8"/>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Unrecognized actuarial gain on defined benefit plan</w:t>
            </w:r>
          </w:p>
        </w:tc>
        <w:tc>
          <w:tcPr>
            <w:tcW w:w="1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(442)</w:t>
            </w:r>
          </w:p>
        </w:tc>
        <w:tc>
          <w:tcPr>
            <w:tcW w:w="1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(177)</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80" w:type="dxa"/>
            <w:vAlign w:val="bottom"/>
            <w:vMerge w:val="restart"/>
          </w:tcPr>
          <w:p>
            <w:pPr>
              <w:jc w:val="right"/>
              <w:ind w:right="620"/>
              <w:spacing w:after="0"/>
              <w:rPr>
                <w:sz w:val="20"/>
                <w:szCs w:val="20"/>
                <w:color w:val="auto"/>
              </w:rPr>
            </w:pPr>
            <w:r>
              <w:rPr>
                <w:rFonts w:ascii="Arial" w:cs="Arial" w:eastAsia="Arial" w:hAnsi="Arial"/>
                <w:sz w:val="18"/>
                <w:szCs w:val="18"/>
                <w:color w:val="auto"/>
              </w:rPr>
              <w:t>28</w:t>
            </w: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514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ind w:left="320" w:hanging="313"/>
        <w:spacing w:after="0"/>
        <w:tabs>
          <w:tab w:leader="none" w:pos="3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Share-Based Compensation</w:t>
      </w:r>
    </w:p>
    <w:p>
      <w:pPr>
        <w:spacing w:after="0" w:line="180" w:lineRule="exact"/>
        <w:rPr>
          <w:sz w:val="20"/>
          <w:szCs w:val="20"/>
          <w:color w:val="auto"/>
        </w:rPr>
      </w:pPr>
    </w:p>
    <w:p>
      <w:pPr>
        <w:jc w:val="both"/>
        <w:ind w:firstLine="225"/>
        <w:spacing w:after="0" w:line="300" w:lineRule="auto"/>
        <w:rPr>
          <w:sz w:val="20"/>
          <w:szCs w:val="20"/>
          <w:color w:val="auto"/>
        </w:rPr>
      </w:pPr>
      <w:r>
        <w:rPr>
          <w:rFonts w:ascii="Arial" w:cs="Arial" w:eastAsia="Arial" w:hAnsi="Arial"/>
          <w:sz w:val="17"/>
          <w:szCs w:val="17"/>
          <w:color w:val="auto"/>
        </w:rPr>
        <w:t>For the three and six months ended June 30, 2020, share-based compensation expense totaled $6.5 million and $10.7 million, respectively (2019 — $7.0 million and $11.4 million, respectively) and is reflected in the following accounts in the Condensed Consolidated Statements of Operations: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w:t>
            </w:r>
          </w:p>
        </w:tc>
      </w:tr>
      <w:tr>
        <w:trPr>
          <w:trHeight w:val="212"/>
        </w:trPr>
        <w:tc>
          <w:tcPr>
            <w:tcW w:w="6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20"/>
        </w:trPr>
        <w:tc>
          <w:tcPr>
            <w:tcW w:w="60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2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Cost and expenses applicable to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821</w:t>
            </w:r>
          </w:p>
        </w:tc>
      </w:tr>
      <w:tr>
        <w:trPr>
          <w:trHeight w:val="227"/>
        </w:trPr>
        <w:tc>
          <w:tcPr>
            <w:tcW w:w="60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Arial" w:cs="Arial" w:eastAsia="Arial" w:hAnsi="Arial"/>
                <w:sz w:val="18"/>
                <w:szCs w:val="18"/>
                <w:color w:val="auto"/>
                <w:w w:val="84"/>
              </w:rPr>
              <w:t>6,467</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6,485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8"/>
                <w:szCs w:val="18"/>
                <w:color w:val="auto"/>
              </w:rPr>
              <w:t>10,174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10,388</w:t>
            </w:r>
          </w:p>
        </w:tc>
      </w:tr>
      <w:tr>
        <w:trPr>
          <w:trHeight w:val="228"/>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180</w:t>
            </w:r>
          </w:p>
        </w:tc>
      </w:tr>
      <w:tr>
        <w:trPr>
          <w:trHeight w:val="220"/>
        </w:trPr>
        <w:tc>
          <w:tcPr>
            <w:tcW w:w="60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84"/>
              </w:rPr>
              <w:t>6,467</w:t>
            </w: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4"/>
              </w:rPr>
              <w:t>7,027</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10,659</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11,389</w:t>
            </w: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357"/>
        <w:spacing w:after="0" w:line="259" w:lineRule="auto"/>
        <w:rPr>
          <w:sz w:val="20"/>
          <w:szCs w:val="20"/>
          <w:color w:val="auto"/>
        </w:rPr>
      </w:pPr>
      <w:r>
        <w:rPr>
          <w:rFonts w:ascii="Arial" w:cs="Arial" w:eastAsia="Arial" w:hAnsi="Arial"/>
          <w:sz w:val="18"/>
          <w:szCs w:val="18"/>
          <w:color w:val="auto"/>
        </w:rPr>
        <w:t>There were no share-based compensation expenses allocated to Costs and Expenses Applicable to Revenues or Research and Development in the three months ended June 30, 2020 due to the idling of the Company’s productive capacity and slowdown in business activities during the COVID-19 global pandemic.</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Company’s share-based compensation expense by each award type: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8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Six Months Ended</w:t>
            </w:r>
          </w:p>
        </w:tc>
      </w:tr>
      <w:tr>
        <w:trPr>
          <w:trHeight w:val="198"/>
        </w:trPr>
        <w:tc>
          <w:tcPr>
            <w:tcW w:w="5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207"/>
        </w:trPr>
        <w:tc>
          <w:tcPr>
            <w:tcW w:w="52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73"/>
              <w:spacing w:after="0"/>
              <w:rPr>
                <w:sz w:val="20"/>
                <w:szCs w:val="20"/>
                <w:color w:val="auto"/>
              </w:rPr>
            </w:pPr>
            <w:r>
              <w:rPr>
                <w:rFonts w:ascii="Arial" w:cs="Arial" w:eastAsia="Arial" w:hAnsi="Arial"/>
                <w:sz w:val="14"/>
                <w:szCs w:val="14"/>
                <w:b w:val="1"/>
                <w:bCs w:val="1"/>
                <w:color w:val="auto"/>
              </w:rPr>
              <w:t>2019</w:t>
            </w:r>
          </w:p>
        </w:tc>
      </w:tr>
      <w:tr>
        <w:trPr>
          <w:trHeight w:val="220"/>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5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503</w:t>
            </w:r>
          </w:p>
        </w:tc>
        <w:tc>
          <w:tcPr>
            <w:tcW w:w="1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4"/>
              </w:rPr>
              <w:t>2,177</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1,016</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4,084</w:t>
            </w:r>
          </w:p>
        </w:tc>
      </w:tr>
      <w:tr>
        <w:trPr>
          <w:trHeight w:val="227"/>
        </w:trPr>
        <w:tc>
          <w:tcPr>
            <w:tcW w:w="5260" w:type="dxa"/>
            <w:vAlign w:val="bottom"/>
          </w:tcPr>
          <w:p>
            <w:pPr>
              <w:spacing w:after="0"/>
              <w:rPr>
                <w:sz w:val="20"/>
                <w:szCs w:val="20"/>
                <w:color w:val="auto"/>
              </w:rPr>
            </w:pPr>
            <w:r>
              <w:rPr>
                <w:rFonts w:ascii="Arial" w:cs="Arial" w:eastAsia="Arial" w:hAnsi="Arial"/>
                <w:sz w:val="18"/>
                <w:szCs w:val="18"/>
                <w:color w:val="auto"/>
              </w:rPr>
              <w:t>Restricted Share Units</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w w:val="88"/>
              </w:rPr>
              <w:t>4,534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w w:val="84"/>
              </w:rPr>
              <w:t>4,132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7,436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6,242</w:t>
            </w:r>
          </w:p>
        </w:tc>
      </w:tr>
      <w:tr>
        <w:trPr>
          <w:trHeight w:val="228"/>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Performance Stock Units</w:t>
            </w:r>
          </w:p>
        </w:tc>
        <w:tc>
          <w:tcPr>
            <w:tcW w:w="5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w:t>
            </w:r>
          </w:p>
        </w:tc>
      </w:tr>
      <w:tr>
        <w:trPr>
          <w:trHeight w:val="227"/>
        </w:trPr>
        <w:tc>
          <w:tcPr>
            <w:tcW w:w="5260" w:type="dxa"/>
            <w:vAlign w:val="bottom"/>
          </w:tcPr>
          <w:p>
            <w:pPr>
              <w:spacing w:after="0"/>
              <w:rPr>
                <w:sz w:val="20"/>
                <w:szCs w:val="20"/>
                <w:color w:val="auto"/>
              </w:rPr>
            </w:pPr>
            <w:r>
              <w:rPr>
                <w:rFonts w:ascii="Arial" w:cs="Arial" w:eastAsia="Arial" w:hAnsi="Arial"/>
                <w:sz w:val="18"/>
                <w:szCs w:val="18"/>
                <w:color w:val="auto"/>
              </w:rPr>
              <w:t>IMAX China Stock Options</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143</w:t>
            </w:r>
          </w:p>
        </w:tc>
      </w:tr>
      <w:tr>
        <w:trPr>
          <w:trHeight w:val="228"/>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IMAX China Long Term Incentive Plan Restricted Share Units</w:t>
            </w:r>
          </w:p>
        </w:tc>
        <w:tc>
          <w:tcPr>
            <w:tcW w:w="5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1,313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920</w:t>
            </w:r>
          </w:p>
        </w:tc>
      </w:tr>
      <w:tr>
        <w:trPr>
          <w:trHeight w:val="227"/>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IMAX China Long Term Incentive Plan Performance Stock Units</w:t>
            </w:r>
          </w:p>
        </w:tc>
        <w:tc>
          <w:tcPr>
            <w:tcW w:w="5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r>
      <w:tr>
        <w:trPr>
          <w:trHeight w:val="220"/>
        </w:trPr>
        <w:tc>
          <w:tcPr>
            <w:tcW w:w="52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88"/>
              </w:rPr>
              <w:t>6,467</w:t>
            </w: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84"/>
              </w:rPr>
              <w:t>7,027</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10,659</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11,389</w:t>
            </w:r>
          </w:p>
        </w:tc>
      </w:tr>
      <w:tr>
        <w:trPr>
          <w:trHeight w:val="20"/>
        </w:trPr>
        <w:tc>
          <w:tcPr>
            <w:tcW w:w="5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For the six months ended June 30, 2020, the above includes expense of $0.1 million and $0.1 million in the three and six months ended June 30, 2020, respectively (2019 — $nil and $nil, respectively) related to restricted share units granted to a certain advisor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Summary</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summarizes the activity under the Company’s Stock Option Plan (“SOP”) and IMAX Amended and Restated Long Term Incentive Plan (“IMAX LTIP”) for the six months ended June 30: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360" w:type="dxa"/>
            <w:vAlign w:val="bottom"/>
            <w:gridSpan w:val="3"/>
            <w:vMerge w:val="restart"/>
          </w:tcPr>
          <w:p>
            <w:pPr>
              <w:jc w:val="right"/>
              <w:ind w:right="593"/>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89"/>
              </w:rPr>
              <w:t>Weighted Average Exercise</w:t>
            </w:r>
          </w:p>
        </w:tc>
        <w:tc>
          <w:tcPr>
            <w:tcW w:w="0" w:type="dxa"/>
            <w:vAlign w:val="bottom"/>
          </w:tcPr>
          <w:p>
            <w:pPr>
              <w:spacing w:after="0"/>
              <w:rPr>
                <w:sz w:val="1"/>
                <w:szCs w:val="1"/>
                <w:color w:val="auto"/>
              </w:rPr>
            </w:pPr>
          </w:p>
        </w:tc>
      </w:tr>
      <w:tr>
        <w:trPr>
          <w:trHeight w:val="170"/>
        </w:trPr>
        <w:tc>
          <w:tcPr>
            <w:tcW w:w="608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Price Per Share</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3"/>
              </w:rPr>
              <w:t>2019</w:t>
            </w: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 beginning of period</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5,732,209</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5,465,046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26.82</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1,016,882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(85,746)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(23,633)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(103,902)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22.35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(772,665)</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(316,325)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27.03</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27"/>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Cancelled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(18,483)</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jc w:val="right"/>
              <w:ind w:right="36"/>
              <w:spacing w:after="0"/>
              <w:rPr>
                <w:sz w:val="20"/>
                <w:szCs w:val="20"/>
                <w:color w:val="auto"/>
              </w:rPr>
            </w:pPr>
            <w:r>
              <w:rPr>
                <w:rFonts w:ascii="Arial" w:cs="Arial" w:eastAsia="Arial" w:hAnsi="Arial"/>
                <w:sz w:val="18"/>
                <w:szCs w:val="18"/>
                <w:color w:val="auto"/>
              </w:rPr>
              <w:t>27.97</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jc w:val="right"/>
              <w:ind w:right="33"/>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 outstanding, end of period</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4,917,428</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5,970,759</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26.80</w:t>
            </w: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Stock options exercisable, end of period</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vMerge w:val="restart"/>
          </w:tcPr>
          <w:p>
            <w:pPr>
              <w:jc w:val="right"/>
              <w:ind w:right="36"/>
              <w:spacing w:after="0"/>
              <w:rPr>
                <w:sz w:val="20"/>
                <w:szCs w:val="20"/>
                <w:color w:val="auto"/>
              </w:rPr>
            </w:pPr>
            <w:r>
              <w:rPr>
                <w:rFonts w:ascii="Arial" w:cs="Arial" w:eastAsia="Arial" w:hAnsi="Arial"/>
                <w:sz w:val="18"/>
                <w:szCs w:val="18"/>
                <w:color w:val="auto"/>
              </w:rPr>
              <w:t>27.32</w:t>
            </w: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vMerge w:val="restart"/>
          </w:tcPr>
          <w:p>
            <w:pPr>
              <w:jc w:val="right"/>
              <w:ind w:right="33"/>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line="20" w:lineRule="exact"/>
              <w:rPr>
                <w:sz w:val="1"/>
                <w:szCs w:val="1"/>
                <w:color w:val="auto"/>
              </w:rPr>
            </w:pPr>
          </w:p>
        </w:tc>
      </w:tr>
      <w:tr>
        <w:trPr>
          <w:trHeight w:val="207"/>
        </w:trPr>
        <w:tc>
          <w:tcPr>
            <w:tcW w:w="6080" w:type="dxa"/>
            <w:vAlign w:val="bottom"/>
            <w:vMerge w:val="continue"/>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4,313,890</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4,104,443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options are no longer granted under the Company’s previous approved SOP.</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Restricted Share Units (“RSU”) Summary</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activity in respect of RSUs issued under the IMAX LTIP for the six months ended June 30: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360" w:type="dxa"/>
            <w:vAlign w:val="bottom"/>
            <w:gridSpan w:val="3"/>
            <w:vMerge w:val="restart"/>
          </w:tcPr>
          <w:p>
            <w:pPr>
              <w:jc w:val="right"/>
              <w:ind w:right="574"/>
              <w:spacing w:after="0"/>
              <w:rPr>
                <w:sz w:val="20"/>
                <w:szCs w:val="20"/>
                <w:color w:val="auto"/>
              </w:rPr>
            </w:pPr>
            <w:r>
              <w:rPr>
                <w:rFonts w:ascii="Arial" w:cs="Arial" w:eastAsia="Arial" w:hAnsi="Arial"/>
                <w:sz w:val="14"/>
                <w:szCs w:val="14"/>
                <w:b w:val="1"/>
                <w:bCs w:val="1"/>
                <w:color w:val="auto"/>
              </w:rPr>
              <w:t>Number of Awards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w w:val="98"/>
              </w:rPr>
              <w:t>Weighted Average Grant Date</w:t>
            </w:r>
          </w:p>
        </w:tc>
        <w:tc>
          <w:tcPr>
            <w:tcW w:w="0" w:type="dxa"/>
            <w:vAlign w:val="bottom"/>
          </w:tcPr>
          <w:p>
            <w:pPr>
              <w:spacing w:after="0"/>
              <w:rPr>
                <w:sz w:val="1"/>
                <w:szCs w:val="1"/>
                <w:color w:val="auto"/>
              </w:rPr>
            </w:pPr>
          </w:p>
        </w:tc>
      </w:tr>
      <w:tr>
        <w:trPr>
          <w:trHeight w:val="170"/>
        </w:trPr>
        <w:tc>
          <w:tcPr>
            <w:tcW w:w="6080" w:type="dxa"/>
            <w:vAlign w:val="bottom"/>
          </w:tcPr>
          <w:p>
            <w:pPr>
              <w:spacing w:after="0"/>
              <w:rPr>
                <w:sz w:val="14"/>
                <w:szCs w:val="14"/>
                <w:color w:val="auto"/>
              </w:rPr>
            </w:pPr>
          </w:p>
        </w:tc>
        <w:tc>
          <w:tcPr>
            <w:tcW w:w="236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RSUs outstanding, beginning of period</w:t>
            </w:r>
          </w:p>
        </w:tc>
        <w:tc>
          <w:tcPr>
            <w:tcW w:w="11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1,065,347</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1,033,871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23.17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7"/>
        </w:trPr>
        <w:tc>
          <w:tcPr>
            <w:tcW w:w="60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1,047,369</w:t>
            </w:r>
          </w:p>
        </w:tc>
        <w:tc>
          <w:tcPr>
            <w:tcW w:w="1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618,181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15.36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28"/>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Vested and settled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(383,126)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(302,232)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21.58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27"/>
        </w:trPr>
        <w:tc>
          <w:tcPr>
            <w:tcW w:w="6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(39,912)</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(124,527)</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ind w:right="38"/>
              <w:spacing w:after="0"/>
              <w:rPr>
                <w:sz w:val="20"/>
                <w:szCs w:val="20"/>
                <w:color w:val="auto"/>
              </w:rPr>
            </w:pPr>
            <w:r>
              <w:rPr>
                <w:rFonts w:ascii="Arial" w:cs="Arial" w:eastAsia="Arial" w:hAnsi="Arial"/>
                <w:sz w:val="18"/>
                <w:szCs w:val="18"/>
                <w:color w:val="auto"/>
              </w:rPr>
              <w:t>20.29</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34"/>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end of period</w:t>
            </w:r>
          </w:p>
        </w:tc>
        <w:tc>
          <w:tcPr>
            <w:tcW w:w="11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1,689,678</w:t>
            </w: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1,225,293</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18.76</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 Summary</w:t>
      </w:r>
    </w:p>
    <w:p>
      <w:pPr>
        <w:spacing w:after="0" w:line="194"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In the first quarter of 2020, the Company expanded its share-based compensation program to include performance stock units (“PSUs”). The Company grants two types of PSU awards, one which vests based on a combination of employee service and the achievement of certain EBITDA-based targets and one which vests based on a combination of employee service and the achievement of certain stock-price targets. These awards vest over a three-year performance period. The fair value of PSUs with EBITDA-based targets is equal to the closing price on date of grant or the average closing price of the Company’s common stock for five days prior to the date of grant. The fair value of PSUs with stock-price targets is determined on the grant date using a Monte Carlo simulation, which is a valuation model that takes into account the likelihood of achieving the stock-price targets embedded in the award (“Monte Carlo Model”). The compensation expense attributable to each type of PSU is recognized on a straight-line basis over the requisite service period.</w:t>
      </w:r>
    </w:p>
    <w:p>
      <w:pPr>
        <w:spacing w:after="0" w:line="124" w:lineRule="exact"/>
        <w:rPr>
          <w:sz w:val="20"/>
          <w:szCs w:val="20"/>
          <w:color w:val="auto"/>
        </w:rPr>
      </w:pPr>
    </w:p>
    <w:p>
      <w:pPr>
        <w:jc w:val="both"/>
        <w:ind w:firstLine="225"/>
        <w:spacing w:after="0" w:line="367" w:lineRule="auto"/>
        <w:rPr>
          <w:sz w:val="20"/>
          <w:szCs w:val="20"/>
          <w:color w:val="auto"/>
        </w:rPr>
      </w:pPr>
      <w:r>
        <w:rPr>
          <w:rFonts w:ascii="Arial" w:cs="Arial" w:eastAsia="Arial" w:hAnsi="Arial"/>
          <w:sz w:val="14"/>
          <w:szCs w:val="14"/>
          <w:color w:val="auto"/>
        </w:rPr>
        <w:t>The fair value determined by the Monte Carlo Model is affected by the Company’s stock price, as well as assumptions regarding a number of highly complex and subjective variables. These variables include, but are not limited to, the Company’s expected stock price volatility over the term of the awards, and actual and projected employee stock option exercise behaviors. The compensation expense is fixed on the date of grant based on the dollar value granted.</w:t>
      </w:r>
    </w:p>
    <w:p>
      <w:pPr>
        <w:spacing w:after="0" w:line="76"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The amount and timing of compensation expense recognized for PSUs with EBITDA-based targets is dependent upon management's assessment of the likelihood and timing of achieving these targets. If, as a result of management’s assessment, it is projected that a greater number of PSUs will vest than previously anticipated, a life-to-date adjustment to increase compensation expense is recorded in the period such determination is made. Conversely, if, as a result of management’s assessment, it is projected that a lower number of PSUs will vest than previously anticipated, a life-to-date adjustment to decrease compensation expense is recorded in the period such determination is made.</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Compensation expense is not adjusted for estimated, forfeitures, but is instead adjusted based upon the actual forfeiture of the award.</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the activity in respect of PSUs issued under the IMAX LTIP for the six months ended June 30: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60" w:type="dxa"/>
            <w:vAlign w:val="bottom"/>
            <w:gridSpan w:val="3"/>
            <w:vMerge w:val="restart"/>
          </w:tcPr>
          <w:p>
            <w:pPr>
              <w:jc w:val="right"/>
              <w:ind w:right="475"/>
              <w:spacing w:after="0"/>
              <w:rPr>
                <w:sz w:val="20"/>
                <w:szCs w:val="20"/>
                <w:color w:val="auto"/>
              </w:rPr>
            </w:pPr>
            <w:r>
              <w:rPr>
                <w:rFonts w:ascii="Arial" w:cs="Arial" w:eastAsia="Arial" w:hAnsi="Arial"/>
                <w:sz w:val="14"/>
                <w:szCs w:val="14"/>
                <w:b w:val="1"/>
                <w:bCs w:val="1"/>
                <w:color w:val="auto"/>
              </w:rPr>
              <w:t>Number of Awards</w:t>
            </w:r>
          </w:p>
        </w:tc>
        <w:tc>
          <w:tcPr>
            <w:tcW w:w="24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Weighted Average Grant Date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60" w:type="dxa"/>
            <w:vAlign w:val="bottom"/>
            <w:tcBorders>
              <w:bottom w:val="single" w:sz="8" w:color="auto"/>
            </w:tcBorders>
            <w:gridSpan w:val="3"/>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2340" w:type="dxa"/>
            <w:vAlign w:val="bottom"/>
            <w:tcBorders>
              <w:bottom w:val="single" w:sz="8" w:color="auto"/>
            </w:tcBorders>
            <w:gridSpan w:val="4"/>
          </w:tcPr>
          <w:p>
            <w:pPr>
              <w:jc w:val="center"/>
              <w:ind w:right="135"/>
              <w:spacing w:after="0"/>
              <w:rPr>
                <w:sz w:val="20"/>
                <w:szCs w:val="20"/>
                <w:color w:val="auto"/>
              </w:rPr>
            </w:pPr>
            <w:r>
              <w:rPr>
                <w:rFonts w:ascii="Arial" w:cs="Arial" w:eastAsia="Arial" w:hAnsi="Arial"/>
                <w:sz w:val="14"/>
                <w:szCs w:val="14"/>
                <w:b w:val="1"/>
                <w:bCs w:val="1"/>
                <w:color w:val="auto"/>
                <w:w w:val="93"/>
              </w:rPr>
              <w:t>Fair Value 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1020" w:type="dxa"/>
            <w:vAlign w:val="bottom"/>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3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369,260</w:t>
            </w:r>
          </w:p>
        </w:tc>
        <w:tc>
          <w:tcPr>
            <w:tcW w:w="24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ind w:left="84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Forfeited</w:t>
            </w:r>
          </w:p>
        </w:tc>
        <w:tc>
          <w:tcPr>
            <w:tcW w:w="3400" w:type="dxa"/>
            <w:vAlign w:val="bottom"/>
            <w:gridSpan w:val="3"/>
          </w:tcPr>
          <w:p>
            <w:pPr>
              <w:jc w:val="right"/>
              <w:ind w:right="180"/>
              <w:spacing w:after="0"/>
              <w:rPr>
                <w:sz w:val="20"/>
                <w:szCs w:val="20"/>
                <w:color w:val="auto"/>
              </w:rPr>
            </w:pPr>
            <w:r>
              <w:rPr>
                <w:rFonts w:ascii="Arial" w:cs="Arial" w:eastAsia="Arial" w:hAnsi="Arial"/>
                <w:sz w:val="18"/>
                <w:szCs w:val="18"/>
                <w:color w:val="auto"/>
              </w:rPr>
              <w:t>(2,526)</w:t>
            </w:r>
          </w:p>
        </w:tc>
        <w:tc>
          <w:tcPr>
            <w:tcW w:w="148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14.84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PSUs outstanding, end of period</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160" w:type="dxa"/>
            <w:vAlign w:val="bottom"/>
            <w:vMerge w:val="restart"/>
          </w:tcPr>
          <w:p>
            <w:pPr>
              <w:jc w:val="right"/>
              <w:ind w:right="275"/>
              <w:spacing w:after="0"/>
              <w:rPr>
                <w:sz w:val="20"/>
                <w:szCs w:val="20"/>
                <w:color w:val="auto"/>
              </w:rPr>
            </w:pPr>
            <w:r>
              <w:rPr>
                <w:rFonts w:ascii="Arial" w:cs="Arial" w:eastAsia="Arial" w:hAnsi="Arial"/>
                <w:sz w:val="18"/>
                <w:szCs w:val="18"/>
                <w:color w:val="auto"/>
              </w:rPr>
              <w:t>30</w:t>
            </w: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80" w:lineRule="exact"/>
        <w:rPr>
          <w:sz w:val="20"/>
          <w:szCs w:val="20"/>
          <w:color w:val="auto"/>
        </w:rPr>
      </w:pPr>
    </w:p>
    <w:p>
      <w:pPr>
        <w:jc w:val="both"/>
        <w:ind w:firstLine="224"/>
        <w:spacing w:after="0" w:line="288" w:lineRule="auto"/>
        <w:rPr>
          <w:sz w:val="20"/>
          <w:szCs w:val="20"/>
          <w:color w:val="auto"/>
        </w:rPr>
      </w:pPr>
      <w:r>
        <w:rPr>
          <w:rFonts w:ascii="Arial" w:cs="Arial" w:eastAsia="Arial" w:hAnsi="Arial"/>
          <w:sz w:val="16"/>
          <w:szCs w:val="16"/>
          <w:color w:val="auto"/>
        </w:rPr>
        <w:t>In 2017, the Company’s Board of Directors approved a new $200.0 million common stock share repurchase program, which would have expired on June 30, 2020. In June 2020, the Board of Directors approved a 12-month extension of this program which will now expire on June 30, 2021. The repurchases may be made either in the open market or through private transactions, subject to market conditions, applicable legal requirements and other relevant factors. The Company has no obligation to repurchase shares and the share repurchase program may be suspended or discontinued by the Company at any time. There were no common stock repurchases during the three months ended June 30, 2020. During the six months ended June 30, 2020, the Company repurchased 2,484,123 shares of its common stock at an average price of $14.72 per share, excluding commissions. During the three and six months ended June 30, 2019, the Company repurchased 87,769 common shares at an average price of $19.45 per share, excluding commissions.</w:t>
      </w:r>
    </w:p>
    <w:p>
      <w:pPr>
        <w:spacing w:after="0" w:line="138" w:lineRule="exact"/>
        <w:rPr>
          <w:sz w:val="20"/>
          <w:szCs w:val="20"/>
          <w:color w:val="auto"/>
        </w:rPr>
      </w:pPr>
    </w:p>
    <w:p>
      <w:pPr>
        <w:jc w:val="both"/>
        <w:ind w:firstLine="224"/>
        <w:spacing w:after="0" w:line="284" w:lineRule="auto"/>
        <w:rPr>
          <w:sz w:val="20"/>
          <w:szCs w:val="20"/>
          <w:color w:val="auto"/>
        </w:rPr>
      </w:pPr>
      <w:r>
        <w:rPr>
          <w:rFonts w:ascii="Arial" w:cs="Arial" w:eastAsia="Arial" w:hAnsi="Arial"/>
          <w:sz w:val="16"/>
          <w:szCs w:val="16"/>
          <w:color w:val="auto"/>
        </w:rPr>
        <w:t>In 2019, IMAX China announced that its shareholders granted its Board of Directors a general mandate authorizing the Board, subject to applicable laws, to repurchase shares of IMAX China in an amount not to exceed 10% of the total number of issued shares as at June 6, 2019 (35,605,560 shares). The share repurchase program expired on the date of the 2020 Annual General Meeting of IMAX China on June 11, 2020. During the 2020 Annual General Meeting, shareholders approved the repurchase of shares of IMAX China not to exceed 10% of the total number of issued shares as of June 11, 2020 (34,848,398 shares). This program will be valid until the 2021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and six months ended June 30, 2020, IMAX China repurchased 425,800 and 906,400 shares of its common stock, respectively, at an average price of HKD 11.63 per share and HKD 13.13 per share, respectively (U.S. $1.50 and U.S. $1.69, respectively). During the three and six months ended June 30, 2019, IMAX China repurchased 6,315,900 and 7,025,700 of its common shares, respectively, at an average price of HKD 18.59 per share and HKD 18.68 per share, respectively (U.S. $2.37 and U.S. $2.38, respectively).</w:t>
      </w:r>
    </w:p>
    <w:p>
      <w:pPr>
        <w:spacing w:after="0" w:line="134"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total number of shares purchased during the six months ended June 30, 2020 does not include 200,000 common shares (2019 — 400,000 common shares) purchased in the administration of employee share-based compensation plans, at an average price of $15.43 per share (2019 — $22.98 per share). There were no such purchases made during the three months ended June 30, 2020 and 2019.</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at June 30, 2020, the IMAX LTIP trustee held 21,313 shares (December 31, 2019 — 187,020 shares) purchased for $0.3 million (December 31, 2019</w:t>
      </w:r>
    </w:p>
    <w:p>
      <w:pPr>
        <w:spacing w:after="0" w:line="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$4.0 million) in the open market to be issued upon the settlement of RSUs and certain stock options. The shares held with the trustee are recorded at cost and are reported as a reduction against capital stock on the Condensed Consolidated Balance Sheets.</w:t>
      </w:r>
    </w:p>
    <w:p>
      <w:pPr>
        <w:spacing w:after="0" w:line="162"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Basic and Diluted Weighted Average Shares Outstanding</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reconciles the denominator of the basic and diluted weighted average share computations: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56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92"/>
              </w:rPr>
              <w:t>Six Months Ended</w:t>
            </w:r>
          </w:p>
        </w:tc>
      </w:tr>
      <w:tr>
        <w:trPr>
          <w:trHeight w:val="198"/>
        </w:trPr>
        <w:tc>
          <w:tcPr>
            <w:tcW w:w="6000" w:type="dxa"/>
            <w:vAlign w:val="bottom"/>
          </w:tcPr>
          <w:p>
            <w:pPr>
              <w:spacing w:after="0"/>
              <w:rPr>
                <w:sz w:val="17"/>
                <w:szCs w:val="17"/>
                <w:color w:val="auto"/>
              </w:rPr>
            </w:pPr>
          </w:p>
        </w:tc>
        <w:tc>
          <w:tcPr>
            <w:tcW w:w="1600" w:type="dxa"/>
            <w:vAlign w:val="bottom"/>
            <w:tcBorders>
              <w:bottom w:val="single" w:sz="8" w:color="auto"/>
            </w:tcBorders>
            <w:gridSpan w:val="3"/>
          </w:tcPr>
          <w:p>
            <w:pPr>
              <w:jc w:val="center"/>
              <w:ind w:left="738"/>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Borders>
              <w:bottom w:val="single" w:sz="8" w:color="auto"/>
            </w:tcBorders>
            <w:gridSpan w:val="3"/>
          </w:tcPr>
          <w:p>
            <w:pPr>
              <w:jc w:val="center"/>
              <w:ind w:left="738"/>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7"/>
                <w:szCs w:val="17"/>
                <w:color w:val="auto"/>
              </w:rPr>
            </w:pPr>
          </w:p>
        </w:tc>
      </w:tr>
      <w:tr>
        <w:trPr>
          <w:trHeight w:val="207"/>
        </w:trPr>
        <w:tc>
          <w:tcPr>
            <w:tcW w:w="600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8"/>
                <w:szCs w:val="18"/>
                <w:color w:val="auto"/>
              </w:rPr>
            </w:pP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20"/>
        </w:trPr>
        <w:tc>
          <w:tcPr>
            <w:tcW w:w="60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Weighted average number of common shares (000's):</w:t>
            </w: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7"/>
        </w:trPr>
        <w:tc>
          <w:tcPr>
            <w:tcW w:w="6000" w:type="dxa"/>
            <w:vAlign w:val="bottom"/>
          </w:tcPr>
          <w:p>
            <w:pPr>
              <w:spacing w:after="0"/>
              <w:rPr>
                <w:sz w:val="20"/>
                <w:szCs w:val="20"/>
                <w:color w:val="auto"/>
              </w:rPr>
            </w:pPr>
            <w:r>
              <w:rPr>
                <w:rFonts w:ascii="Arial" w:cs="Arial" w:eastAsia="Arial" w:hAnsi="Arial"/>
                <w:sz w:val="18"/>
                <w:szCs w:val="18"/>
                <w:color w:val="auto"/>
              </w:rPr>
              <w:t>Issued and outstanding, beginning of period</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58,787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61,291</w:t>
            </w:r>
          </w:p>
        </w:tc>
        <w:tc>
          <w:tcPr>
            <w:tcW w:w="14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61,176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61,434</w:t>
            </w:r>
          </w:p>
        </w:tc>
      </w:tr>
      <w:tr>
        <w:trPr>
          <w:trHeight w:val="213"/>
        </w:trPr>
        <w:tc>
          <w:tcPr>
            <w:tcW w:w="6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Weighted average number of shares repurchased, net of shares</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28"/>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issued during the period</w:t>
            </w:r>
          </w:p>
        </w:tc>
        <w:tc>
          <w:tcPr>
            <w:tcW w:w="12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r>
      <w:tr>
        <w:trPr>
          <w:trHeight w:val="206"/>
        </w:trPr>
        <w:tc>
          <w:tcPr>
            <w:tcW w:w="6000" w:type="dxa"/>
            <w:vAlign w:val="bottom"/>
          </w:tcPr>
          <w:p>
            <w:pPr>
              <w:spacing w:after="0"/>
              <w:rPr>
                <w:sz w:val="20"/>
                <w:szCs w:val="20"/>
                <w:color w:val="auto"/>
              </w:rPr>
            </w:pPr>
            <w:r>
              <w:rPr>
                <w:rFonts w:ascii="Arial" w:cs="Arial" w:eastAsia="Arial" w:hAnsi="Arial"/>
                <w:sz w:val="18"/>
                <w:szCs w:val="18"/>
                <w:color w:val="auto"/>
              </w:rPr>
              <w:t>Weighted average number of shares used in computing basic</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7"/>
        </w:trPr>
        <w:tc>
          <w:tcPr>
            <w:tcW w:w="6000" w:type="dxa"/>
            <w:vAlign w:val="bottom"/>
          </w:tcPr>
          <w:p>
            <w:pPr>
              <w:ind w:left="140"/>
              <w:spacing w:after="0"/>
              <w:rPr>
                <w:sz w:val="20"/>
                <w:szCs w:val="20"/>
                <w:color w:val="auto"/>
              </w:rPr>
            </w:pPr>
            <w:r>
              <w:rPr>
                <w:rFonts w:ascii="Arial" w:cs="Arial" w:eastAsia="Arial" w:hAnsi="Arial"/>
                <w:sz w:val="18"/>
                <w:szCs w:val="18"/>
                <w:color w:val="auto"/>
              </w:rPr>
              <w:t>income per share</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58,808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61,331</w:t>
            </w:r>
          </w:p>
        </w:tc>
        <w:tc>
          <w:tcPr>
            <w:tcW w:w="14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59,613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61,354</w:t>
            </w:r>
          </w:p>
        </w:tc>
      </w:tr>
      <w:tr>
        <w:trPr>
          <w:trHeight w:val="214"/>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Assumed exercise of stock options, RSUs and PSUs, net of shares</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28"/>
        </w:trPr>
        <w:tc>
          <w:tcPr>
            <w:tcW w:w="6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assumed repurchased, if dilutive</w:t>
            </w:r>
          </w:p>
        </w:tc>
        <w:tc>
          <w:tcPr>
            <w:tcW w:w="160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171</w:t>
            </w:r>
          </w:p>
        </w:tc>
      </w:tr>
      <w:tr>
        <w:trPr>
          <w:trHeight w:val="206"/>
        </w:trPr>
        <w:tc>
          <w:tcPr>
            <w:tcW w:w="6000" w:type="dxa"/>
            <w:vAlign w:val="bottom"/>
          </w:tcPr>
          <w:p>
            <w:pPr>
              <w:spacing w:after="0"/>
              <w:rPr>
                <w:sz w:val="20"/>
                <w:szCs w:val="20"/>
                <w:color w:val="auto"/>
              </w:rPr>
            </w:pPr>
            <w:r>
              <w:rPr>
                <w:rFonts w:ascii="Arial" w:cs="Arial" w:eastAsia="Arial" w:hAnsi="Arial"/>
                <w:sz w:val="18"/>
                <w:szCs w:val="18"/>
                <w:color w:val="auto"/>
              </w:rPr>
              <w:t>Weighted average number of shares used in computing diluted</w:t>
            </w:r>
          </w:p>
        </w:tc>
        <w:tc>
          <w:tcPr>
            <w:tcW w:w="12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27"/>
        </w:trPr>
        <w:tc>
          <w:tcPr>
            <w:tcW w:w="6000" w:type="dxa"/>
            <w:vAlign w:val="bottom"/>
          </w:tcPr>
          <w:p>
            <w:pPr>
              <w:ind w:left="140"/>
              <w:spacing w:after="0"/>
              <w:rPr>
                <w:sz w:val="20"/>
                <w:szCs w:val="20"/>
                <w:color w:val="auto"/>
              </w:rPr>
            </w:pPr>
            <w:r>
              <w:rPr>
                <w:rFonts w:ascii="Arial" w:cs="Arial" w:eastAsia="Arial" w:hAnsi="Arial"/>
                <w:sz w:val="18"/>
                <w:szCs w:val="18"/>
                <w:color w:val="auto"/>
              </w:rPr>
              <w:t>income per share</w:t>
            </w:r>
          </w:p>
        </w:tc>
        <w:tc>
          <w:tcPr>
            <w:tcW w:w="12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58,808</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61,507</w:t>
            </w:r>
          </w:p>
        </w:tc>
        <w:tc>
          <w:tcPr>
            <w:tcW w:w="140" w:type="dxa"/>
            <w:vAlign w:val="bottom"/>
          </w:tcPr>
          <w:p>
            <w:pPr>
              <w:spacing w:after="0"/>
              <w:rPr>
                <w:sz w:val="19"/>
                <w:szCs w:val="19"/>
                <w:color w:val="auto"/>
              </w:rPr>
            </w:pPr>
          </w:p>
        </w:tc>
        <w:tc>
          <w:tcPr>
            <w:tcW w:w="12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59,613</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61,525</w:t>
            </w:r>
          </w:p>
        </w:tc>
      </w:tr>
      <w:tr>
        <w:trPr>
          <w:trHeight w:val="20"/>
        </w:trPr>
        <w:tc>
          <w:tcPr>
            <w:tcW w:w="6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three and six months ended June 30, 2020, the calculation of diluted weighted average shares outstanding excludes 6,973,840 and 6,973,840 shares, respectively (2019 — 6,153,795 and 6,226,887 shares, respectively) of common shares issuable upon the vesting of RSUs and PSUs and the exercise of stock options.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13. Revenue from Contracts with Customers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Disaggregated Information About Revenue</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tables summarize the Company’s revenues by type and reportable segment for the three and six months ended June 30, 2020:</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jc w:val="right"/>
              <w:ind w:right="117"/>
              <w:spacing w:after="0"/>
              <w:rPr>
                <w:sz w:val="20"/>
                <w:szCs w:val="20"/>
                <w:color w:val="auto"/>
              </w:rPr>
            </w:pPr>
            <w:r>
              <w:rPr>
                <w:rFonts w:ascii="Arial" w:cs="Arial" w:eastAsia="Arial" w:hAnsi="Arial"/>
                <w:sz w:val="14"/>
                <w:szCs w:val="14"/>
                <w:b w:val="1"/>
                <w:bCs w:val="1"/>
                <w:color w:val="auto"/>
              </w:rPr>
              <w:t>Three Months Ended June 30, 2020</w:t>
            </w: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Revenue from</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w w:val="99"/>
              </w:rPr>
              <w:t>Contracts with Customers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Revenue from</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480"/>
              <w:spacing w:after="0" w:line="131" w:lineRule="exact"/>
              <w:rPr>
                <w:sz w:val="20"/>
                <w:szCs w:val="20"/>
                <w:color w:val="auto"/>
              </w:rPr>
            </w:pPr>
            <w:r>
              <w:rPr>
                <w:rFonts w:ascii="Arial" w:cs="Arial" w:eastAsia="Arial" w:hAnsi="Arial"/>
                <w:sz w:val="14"/>
                <w:szCs w:val="14"/>
                <w:b w:val="1"/>
                <w:bCs w:val="1"/>
                <w:color w:val="auto"/>
                <w:w w:val="92"/>
              </w:rPr>
              <w:t>Fixed</w:t>
            </w:r>
          </w:p>
        </w:tc>
        <w:tc>
          <w:tcPr>
            <w:tcW w:w="180" w:type="dxa"/>
            <w:vAlign w:val="bottom"/>
          </w:tcPr>
          <w:p>
            <w:pPr>
              <w:spacing w:after="0"/>
              <w:rPr>
                <w:sz w:val="11"/>
                <w:szCs w:val="11"/>
                <w:color w:val="auto"/>
              </w:rPr>
            </w:pPr>
          </w:p>
        </w:tc>
        <w:tc>
          <w:tcPr>
            <w:tcW w:w="960" w:type="dxa"/>
            <w:vAlign w:val="bottom"/>
          </w:tcPr>
          <w:p>
            <w:pPr>
              <w:jc w:val="right"/>
              <w:ind w:right="273"/>
              <w:spacing w:after="0" w:line="131" w:lineRule="exact"/>
              <w:rPr>
                <w:sz w:val="20"/>
                <w:szCs w:val="20"/>
                <w:color w:val="auto"/>
              </w:rPr>
            </w:pPr>
            <w:r>
              <w:rPr>
                <w:rFonts w:ascii="Arial" w:cs="Arial" w:eastAsia="Arial" w:hAnsi="Arial"/>
                <w:sz w:val="14"/>
                <w:szCs w:val="14"/>
                <w:b w:val="1"/>
                <w:bCs w:val="1"/>
                <w:color w:val="auto"/>
              </w:rPr>
              <w:t>Variable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400"/>
              <w:spacing w:after="0" w:line="131" w:lineRule="exact"/>
              <w:rPr>
                <w:sz w:val="20"/>
                <w:szCs w:val="20"/>
                <w:color w:val="auto"/>
              </w:rPr>
            </w:pPr>
            <w:r>
              <w:rPr>
                <w:rFonts w:ascii="Arial" w:cs="Arial" w:eastAsia="Arial" w:hAnsi="Arial"/>
                <w:sz w:val="14"/>
                <w:szCs w:val="14"/>
                <w:b w:val="1"/>
                <w:bCs w:val="1"/>
                <w:color w:val="auto"/>
                <w:w w:val="90"/>
              </w:rPr>
              <w:t>Lease</w:t>
            </w:r>
          </w:p>
        </w:tc>
        <w:tc>
          <w:tcPr>
            <w:tcW w:w="1160" w:type="dxa"/>
            <w:vAlign w:val="bottom"/>
            <w:gridSpan w:val="2"/>
            <w:vMerge w:val="restart"/>
          </w:tcPr>
          <w:p>
            <w:pPr>
              <w:jc w:val="right"/>
              <w:ind w:right="71"/>
              <w:spacing w:after="0"/>
              <w:rPr>
                <w:sz w:val="20"/>
                <w:szCs w:val="20"/>
                <w:color w:val="auto"/>
              </w:rPr>
            </w:pPr>
            <w:r>
              <w:rPr>
                <w:rFonts w:ascii="Arial" w:cs="Arial" w:eastAsia="Arial" w:hAnsi="Arial"/>
                <w:sz w:val="14"/>
                <w:szCs w:val="14"/>
                <w:b w:val="1"/>
                <w:bCs w:val="1"/>
                <w:color w:val="auto"/>
                <w:w w:val="92"/>
              </w:rPr>
              <w:t>Finance Income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Consideration</w:t>
            </w:r>
          </w:p>
        </w:tc>
        <w:tc>
          <w:tcPr>
            <w:tcW w:w="114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w w:val="97"/>
              </w:rPr>
              <w:t>Consideration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Arrangements</w:t>
            </w: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IMAX Systems</w:t>
            </w:r>
          </w:p>
        </w:tc>
        <w:tc>
          <w:tcPr>
            <w:tcW w:w="5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1,278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Other Theater Business</w:t>
            </w:r>
            <w:r>
              <w:rPr>
                <w:rFonts w:ascii="Arial" w:cs="Arial" w:eastAsia="Arial" w:hAnsi="Arial"/>
                <w:sz w:val="15"/>
                <w:szCs w:val="15"/>
                <w:color w:val="auto"/>
              </w:rPr>
              <w:t>(1)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(2)</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0"/>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1,474</w:t>
            </w:r>
          </w:p>
        </w:tc>
        <w:tc>
          <w:tcPr>
            <w:tcW w:w="1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844</w:t>
            </w: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369</w:t>
            </w:r>
          </w:p>
        </w:tc>
        <w:tc>
          <w:tcPr>
            <w:tcW w:w="18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IMAX DMR</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Film Post-Production</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2,250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1"/>
        </w:trPr>
        <w:tc>
          <w:tcPr>
            <w:tcW w:w="43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2,988</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811</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19"/>
        </w:trPr>
        <w:tc>
          <w:tcPr>
            <w:tcW w:w="4360" w:type="dxa"/>
            <w:vAlign w:val="bottom"/>
          </w:tcPr>
          <w:p>
            <w:pPr>
              <w:spacing w:after="0"/>
              <w:rPr>
                <w:sz w:val="20"/>
                <w:szCs w:val="20"/>
                <w:color w:val="auto"/>
              </w:rPr>
            </w:pPr>
            <w:r>
              <w:rPr>
                <w:rFonts w:ascii="Arial" w:cs="Arial" w:eastAsia="Arial" w:hAnsi="Arial"/>
                <w:sz w:val="18"/>
                <w:szCs w:val="18"/>
                <w:b w:val="1"/>
                <w:bCs w:val="1"/>
                <w:color w:val="auto"/>
              </w:rPr>
              <w:t>Technology rentals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w w:val="96"/>
              </w:rPr>
              <w:t>Joint Revenue Sharing Arrangements, contingent rent</w:t>
            </w:r>
            <w:r>
              <w:rPr>
                <w:rFonts w:ascii="Arial" w:cs="Arial" w:eastAsia="Arial" w:hAnsi="Arial"/>
                <w:sz w:val="15"/>
                <w:szCs w:val="15"/>
                <w:color w:val="auto"/>
                <w:w w:val="96"/>
              </w:rPr>
              <w:t>(3)</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0"/>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1"/>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income</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8"/>
                <w:szCs w:val="18"/>
                <w:color w:val="auto"/>
              </w:rPr>
              <w:t>IMAX Systems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2,506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20"/>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4,462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1,655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232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2,506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8,855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jc w:val="right"/>
              <w:ind w:right="157"/>
              <w:spacing w:after="0"/>
              <w:rPr>
                <w:sz w:val="20"/>
                <w:szCs w:val="20"/>
                <w:color w:val="auto"/>
              </w:rPr>
            </w:pPr>
            <w:r>
              <w:rPr>
                <w:rFonts w:ascii="Arial" w:cs="Arial" w:eastAsia="Arial" w:hAnsi="Arial"/>
                <w:sz w:val="14"/>
                <w:szCs w:val="14"/>
                <w:b w:val="1"/>
                <w:bCs w:val="1"/>
                <w:color w:val="auto"/>
              </w:rPr>
              <w:t>Six Months Ended June 30, 2020</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Revenue from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Contracts with Customers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Revenue from</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1"/>
                <w:szCs w:val="11"/>
                <w:color w:val="auto"/>
              </w:rPr>
            </w:pPr>
          </w:p>
        </w:tc>
        <w:tc>
          <w:tcPr>
            <w:tcW w:w="940" w:type="dxa"/>
            <w:vAlign w:val="bottom"/>
          </w:tcPr>
          <w:p>
            <w:pPr>
              <w:jc w:val="right"/>
              <w:ind w:right="174"/>
              <w:spacing w:after="0" w:line="131" w:lineRule="exact"/>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400"/>
              <w:spacing w:after="0" w:line="131" w:lineRule="exact"/>
              <w:rPr>
                <w:sz w:val="20"/>
                <w:szCs w:val="20"/>
                <w:color w:val="auto"/>
              </w:rPr>
            </w:pPr>
            <w:r>
              <w:rPr>
                <w:rFonts w:ascii="Arial" w:cs="Arial" w:eastAsia="Arial" w:hAnsi="Arial"/>
                <w:sz w:val="14"/>
                <w:szCs w:val="14"/>
                <w:b w:val="1"/>
                <w:bCs w:val="1"/>
                <w:color w:val="auto"/>
                <w:w w:val="90"/>
              </w:rPr>
              <w:t>Lease</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Finance Income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consideration</w:t>
            </w:r>
          </w:p>
        </w:tc>
        <w:tc>
          <w:tcPr>
            <w:tcW w:w="100" w:type="dxa"/>
            <w:vAlign w:val="bottom"/>
          </w:tcPr>
          <w:p>
            <w:pPr>
              <w:spacing w:after="0"/>
              <w:rPr>
                <w:sz w:val="14"/>
                <w:szCs w:val="14"/>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b w:val="1"/>
                <w:bCs w:val="1"/>
                <w:color w:val="auto"/>
                <w:w w:val="87"/>
              </w:rPr>
              <w:t>consideration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Arrangements</w:t>
            </w:r>
          </w:p>
        </w:tc>
        <w:tc>
          <w:tcPr>
            <w:tcW w:w="10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IMAX Systems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3,521</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Other Theater Business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(2)</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5,458</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2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IMAX DMR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11,175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Film Post-Production</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11,969</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12,551</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spacing w:after="0"/>
              <w:rPr>
                <w:sz w:val="20"/>
                <w:szCs w:val="20"/>
                <w:color w:val="auto"/>
              </w:rPr>
            </w:pPr>
            <w:r>
              <w:rPr>
                <w:rFonts w:ascii="Arial" w:cs="Arial" w:eastAsia="Arial" w:hAnsi="Arial"/>
                <w:sz w:val="18"/>
                <w:szCs w:val="18"/>
                <w:b w:val="1"/>
                <w:bCs w:val="1"/>
                <w:color w:val="auto"/>
              </w:rPr>
              <w:t>Technology rentals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8"/>
              </w:rPr>
              <w:t>Joint Revenue Sharing Arrangements, contingent rent</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5,834</w:t>
            </w:r>
          </w:p>
        </w:tc>
        <w:tc>
          <w:tcPr>
            <w:tcW w:w="2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Finance income</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IMAX Systems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5,054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17"/>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360" w:hanging="353"/>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is reporting negative revenue due to an adjustment to prior period revenue.</w:t>
      </w:r>
    </w:p>
    <w:p>
      <w:pPr>
        <w:spacing w:after="0" w:line="19" w:lineRule="exact"/>
        <w:rPr>
          <w:rFonts w:ascii="Arial" w:cs="Arial" w:eastAsia="Arial" w:hAnsi="Arial"/>
          <w:sz w:val="18"/>
          <w:szCs w:val="18"/>
          <w:color w:val="auto"/>
        </w:rPr>
      </w:pPr>
    </w:p>
    <w:p>
      <w:pPr>
        <w:ind w:left="360" w:hanging="353"/>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sales include New Business Initiatives.</w:t>
      </w:r>
    </w:p>
    <w:p>
      <w:pPr>
        <w:spacing w:after="0" w:line="6" w:lineRule="exact"/>
        <w:rPr>
          <w:rFonts w:ascii="Arial" w:cs="Arial" w:eastAsia="Arial" w:hAnsi="Arial"/>
          <w:sz w:val="18"/>
          <w:szCs w:val="18"/>
          <w:color w:val="auto"/>
        </w:rPr>
      </w:pPr>
    </w:p>
    <w:p>
      <w:pPr>
        <w:ind w:left="360" w:right="20" w:hanging="353"/>
        <w:spacing w:after="0" w:line="255"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is reporting negative revenue due to the continued amortization of lessee incentives that are typically netted against lease revenues, which are abnormally low during the period due to the COVID-19 global pandemic, as discussed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-557530</wp:posOffset>
            </wp:positionV>
            <wp:extent cx="949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33" w:name="page34"/>
    <w:bookmarkEnd w:id="33"/>
    <w:p>
      <w:pPr>
        <w:ind w:left="360"/>
        <w:spacing w:after="0"/>
        <w:rPr>
          <w:sz w:val="20"/>
          <w:szCs w:val="20"/>
          <w:color w:val="auto"/>
        </w:rPr>
      </w:pPr>
      <w:r>
        <w:rPr>
          <w:rFonts w:ascii="Arial" w:cs="Arial" w:eastAsia="Arial" w:hAnsi="Arial"/>
          <w:sz w:val="17"/>
          <w:szCs w:val="17"/>
          <w:color w:val="auto"/>
        </w:rPr>
        <w:t>The following tables summarize the Company’s revenues by type and reportable segment for the three and six months ended June 30, 2019:</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jc w:val="right"/>
              <w:ind w:right="117"/>
              <w:spacing w:after="0"/>
              <w:rPr>
                <w:sz w:val="20"/>
                <w:szCs w:val="20"/>
                <w:color w:val="auto"/>
              </w:rPr>
            </w:pPr>
            <w:r>
              <w:rPr>
                <w:rFonts w:ascii="Arial" w:cs="Arial" w:eastAsia="Arial" w:hAnsi="Arial"/>
                <w:sz w:val="14"/>
                <w:szCs w:val="14"/>
                <w:b w:val="1"/>
                <w:bCs w:val="1"/>
                <w:color w:val="auto"/>
              </w:rPr>
              <w:t>Three Months Ended June 30, 2019</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Revenue from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w w:val="99"/>
              </w:rPr>
              <w:t>Contracts with Customers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Revenue from</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480"/>
              <w:spacing w:after="0" w:line="131" w:lineRule="exact"/>
              <w:rPr>
                <w:sz w:val="20"/>
                <w:szCs w:val="20"/>
                <w:color w:val="auto"/>
              </w:rPr>
            </w:pPr>
            <w:r>
              <w:rPr>
                <w:rFonts w:ascii="Arial" w:cs="Arial" w:eastAsia="Arial" w:hAnsi="Arial"/>
                <w:sz w:val="14"/>
                <w:szCs w:val="14"/>
                <w:b w:val="1"/>
                <w:bCs w:val="1"/>
                <w:color w:val="auto"/>
                <w:w w:val="92"/>
              </w:rPr>
              <w:t>Fixed</w:t>
            </w:r>
          </w:p>
        </w:tc>
        <w:tc>
          <w:tcPr>
            <w:tcW w:w="180" w:type="dxa"/>
            <w:vAlign w:val="bottom"/>
          </w:tcPr>
          <w:p>
            <w:pPr>
              <w:spacing w:after="0"/>
              <w:rPr>
                <w:sz w:val="11"/>
                <w:szCs w:val="11"/>
                <w:color w:val="auto"/>
              </w:rPr>
            </w:pPr>
          </w:p>
        </w:tc>
        <w:tc>
          <w:tcPr>
            <w:tcW w:w="860" w:type="dxa"/>
            <w:vAlign w:val="bottom"/>
          </w:tcPr>
          <w:p>
            <w:pPr>
              <w:jc w:val="right"/>
              <w:ind w:right="173"/>
              <w:spacing w:after="0" w:line="131" w:lineRule="exact"/>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400"/>
              <w:spacing w:after="0" w:line="131" w:lineRule="exact"/>
              <w:rPr>
                <w:sz w:val="20"/>
                <w:szCs w:val="20"/>
                <w:color w:val="auto"/>
              </w:rPr>
            </w:pPr>
            <w:r>
              <w:rPr>
                <w:rFonts w:ascii="Arial" w:cs="Arial" w:eastAsia="Arial" w:hAnsi="Arial"/>
                <w:sz w:val="14"/>
                <w:szCs w:val="14"/>
                <w:b w:val="1"/>
                <w:bCs w:val="1"/>
                <w:color w:val="auto"/>
                <w:w w:val="90"/>
              </w:rPr>
              <w:t>Lease</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Finance Income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Consideration</w:t>
            </w:r>
          </w:p>
        </w:tc>
        <w:tc>
          <w:tcPr>
            <w:tcW w:w="10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Consideration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Arrangements</w:t>
            </w:r>
          </w:p>
        </w:tc>
        <w:tc>
          <w:tcPr>
            <w:tcW w:w="10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IMAX Systems</w:t>
            </w:r>
          </w:p>
        </w:tc>
        <w:tc>
          <w:tcPr>
            <w:tcW w:w="6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13,074</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Other Theater Business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(1)</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16,154</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28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IMAX DMR</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39,293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Film Post-production</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15,533</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41,129</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spacing w:after="0"/>
              <w:rPr>
                <w:sz w:val="20"/>
                <w:szCs w:val="20"/>
                <w:color w:val="auto"/>
              </w:rPr>
            </w:pPr>
            <w:r>
              <w:rPr>
                <w:rFonts w:ascii="Arial" w:cs="Arial" w:eastAsia="Arial" w:hAnsi="Arial"/>
                <w:sz w:val="18"/>
                <w:szCs w:val="18"/>
                <w:b w:val="1"/>
                <w:bCs w:val="1"/>
                <w:color w:val="auto"/>
              </w:rPr>
              <w:t>Technology rentals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w w:val="98"/>
              </w:rPr>
              <w:t>Joint Revenue Sharing Arrangements, contingent rent</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25,540</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25,861</w:t>
            </w:r>
          </w:p>
        </w:tc>
        <w:tc>
          <w:tcPr>
            <w:tcW w:w="2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spacing w:after="0"/>
              <w:rPr>
                <w:sz w:val="20"/>
                <w:szCs w:val="20"/>
                <w:color w:val="auto"/>
              </w:rPr>
            </w:pPr>
            <w:r>
              <w:rPr>
                <w:rFonts w:ascii="Arial" w:cs="Arial" w:eastAsia="Arial" w:hAnsi="Arial"/>
                <w:sz w:val="18"/>
                <w:szCs w:val="18"/>
                <w:b w:val="1"/>
                <w:bCs w:val="1"/>
                <w:color w:val="auto"/>
              </w:rPr>
              <w:t>Finance income</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IMAX Systems</w:t>
            </w: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31,687</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42,123</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28,409</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4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jc w:val="right"/>
              <w:ind w:right="157"/>
              <w:spacing w:after="0"/>
              <w:rPr>
                <w:sz w:val="20"/>
                <w:szCs w:val="20"/>
                <w:color w:val="auto"/>
              </w:rPr>
            </w:pPr>
            <w:r>
              <w:rPr>
                <w:rFonts w:ascii="Arial" w:cs="Arial" w:eastAsia="Arial" w:hAnsi="Arial"/>
                <w:sz w:val="14"/>
                <w:szCs w:val="14"/>
                <w:b w:val="1"/>
                <w:bCs w:val="1"/>
                <w:color w:val="auto"/>
              </w:rPr>
              <w:t>Six Months Ended June 30, 2019</w:t>
            </w: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Revenue from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Contracts with Customers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Revenue from</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360"/>
              <w:spacing w:after="0" w:line="131" w:lineRule="exact"/>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1"/>
                <w:szCs w:val="11"/>
                <w:color w:val="auto"/>
              </w:rPr>
            </w:pPr>
          </w:p>
        </w:tc>
        <w:tc>
          <w:tcPr>
            <w:tcW w:w="940" w:type="dxa"/>
            <w:vAlign w:val="bottom"/>
          </w:tcPr>
          <w:p>
            <w:pPr>
              <w:jc w:val="right"/>
              <w:ind w:right="174"/>
              <w:spacing w:after="0" w:line="131" w:lineRule="exact"/>
              <w:rPr>
                <w:sz w:val="20"/>
                <w:szCs w:val="20"/>
                <w:color w:val="auto"/>
              </w:rPr>
            </w:pPr>
            <w:r>
              <w:rPr>
                <w:rFonts w:ascii="Arial" w:cs="Arial" w:eastAsia="Arial" w:hAnsi="Arial"/>
                <w:sz w:val="14"/>
                <w:szCs w:val="14"/>
                <w:b w:val="1"/>
                <w:bCs w:val="1"/>
                <w:color w:val="auto"/>
              </w:rPr>
              <w:t>Variable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400"/>
              <w:spacing w:after="0" w:line="131" w:lineRule="exact"/>
              <w:rPr>
                <w:sz w:val="20"/>
                <w:szCs w:val="20"/>
                <w:color w:val="auto"/>
              </w:rPr>
            </w:pPr>
            <w:r>
              <w:rPr>
                <w:rFonts w:ascii="Arial" w:cs="Arial" w:eastAsia="Arial" w:hAnsi="Arial"/>
                <w:sz w:val="14"/>
                <w:szCs w:val="14"/>
                <w:b w:val="1"/>
                <w:bCs w:val="1"/>
                <w:color w:val="auto"/>
                <w:w w:val="90"/>
              </w:rPr>
              <w:t>Lease</w:t>
            </w: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Finance Income</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consideration</w:t>
            </w:r>
          </w:p>
        </w:tc>
        <w:tc>
          <w:tcPr>
            <w:tcW w:w="100" w:type="dxa"/>
            <w:vAlign w:val="bottom"/>
          </w:tcPr>
          <w:p>
            <w:pPr>
              <w:spacing w:after="0"/>
              <w:rPr>
                <w:sz w:val="14"/>
                <w:szCs w:val="14"/>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b w:val="1"/>
                <w:bCs w:val="1"/>
                <w:color w:val="auto"/>
                <w:w w:val="87"/>
              </w:rPr>
              <w:t>consideration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Arrangements</w:t>
            </w:r>
          </w:p>
        </w:tc>
        <w:tc>
          <w:tcPr>
            <w:tcW w:w="13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Technology sales</w:t>
            </w:r>
          </w:p>
        </w:tc>
        <w:tc>
          <w:tcPr>
            <w:tcW w:w="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IMAX Systems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21,238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7"/>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8"/>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Joint Revenue Sharing Arrangements, fixed fees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5,087</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Other Theater Business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(1)</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26,632</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w:t>
            </w:r>
          </w:p>
        </w:tc>
        <w:tc>
          <w:tcPr>
            <w:tcW w:w="2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Image enhancement and maintenance services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IMAX DMR</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67,243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IMAX Maintenance</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Film Post-production</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Film Distribution</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30,431</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70,378</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Technology rentals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Arial" w:cs="Arial" w:eastAsia="Arial" w:hAnsi="Arial"/>
                <w:sz w:val="18"/>
                <w:szCs w:val="18"/>
                <w:color w:val="auto"/>
                <w:w w:val="98"/>
              </w:rPr>
              <w:t>Joint Revenue Sharing Arrangements, contingent rent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43,584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Pr>
          <w:p>
            <w:pPr>
              <w:ind w:left="260"/>
              <w:spacing w:after="0"/>
              <w:rPr>
                <w:sz w:val="20"/>
                <w:szCs w:val="20"/>
                <w:color w:val="auto"/>
              </w:rPr>
            </w:pPr>
            <w:r>
              <w:rPr>
                <w:rFonts w:ascii="Arial" w:cs="Arial" w:eastAsia="Arial" w:hAnsi="Arial"/>
                <w:sz w:val="18"/>
                <w:szCs w:val="18"/>
                <w:color w:val="auto"/>
              </w:rPr>
              <w:t>Sub-total</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44,007</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60" w:type="dxa"/>
            <w:vAlign w:val="bottom"/>
          </w:tcPr>
          <w:p>
            <w:pPr>
              <w:spacing w:after="0"/>
              <w:rPr>
                <w:sz w:val="20"/>
                <w:szCs w:val="20"/>
                <w:color w:val="auto"/>
              </w:rPr>
            </w:pPr>
            <w:r>
              <w:rPr>
                <w:rFonts w:ascii="Arial" w:cs="Arial" w:eastAsia="Arial" w:hAnsi="Arial"/>
                <w:sz w:val="18"/>
                <w:szCs w:val="18"/>
                <w:b w:val="1"/>
                <w:bCs w:val="1"/>
                <w:color w:val="auto"/>
              </w:rPr>
              <w:t>Finance income</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IMAX Systems</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57,063</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73,579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49,094</w:t>
            </w:r>
          </w:p>
        </w:tc>
        <w:tc>
          <w:tcPr>
            <w:tcW w:w="2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w:t>
        <w:tab/>
        <w:t>Other sales include New Business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949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74" w:lineRule="exact"/>
        <w:rPr>
          <w:sz w:val="20"/>
          <w:szCs w:val="20"/>
          <w:color w:val="auto"/>
        </w:rPr>
      </w:pPr>
    </w:p>
    <w:p>
      <w:pPr>
        <w:ind w:left="240" w:right="80"/>
        <w:spacing w:after="0" w:line="449" w:lineRule="auto"/>
        <w:rPr>
          <w:sz w:val="20"/>
          <w:szCs w:val="20"/>
          <w:color w:val="auto"/>
        </w:rPr>
      </w:pPr>
      <w:r>
        <w:rPr>
          <w:rFonts w:ascii="Arial" w:cs="Arial" w:eastAsia="Arial" w:hAnsi="Arial"/>
          <w:sz w:val="18"/>
          <w:szCs w:val="18"/>
          <w:color w:val="auto"/>
        </w:rPr>
        <w:t xml:space="preserve">(See Note 2 for information on the current impacts and uncertainties relating to the COVID-19 pandemic, which are impacting the Company’s revenues.) </w:t>
      </w:r>
      <w:r>
        <w:rPr>
          <w:rFonts w:ascii="Arial" w:cs="Arial" w:eastAsia="Arial" w:hAnsi="Arial"/>
          <w:sz w:val="18"/>
          <w:szCs w:val="18"/>
          <w:b w:val="1"/>
          <w:bCs w:val="1"/>
          <w:i w:val="1"/>
          <w:iCs w:val="1"/>
          <w:color w:val="auto"/>
        </w:rPr>
        <w:t>(b) Deferred Revenue</w:t>
      </w:r>
    </w:p>
    <w:p>
      <w:pPr>
        <w:jc w:val="both"/>
        <w:ind w:firstLine="225"/>
        <w:spacing w:after="0" w:line="268" w:lineRule="auto"/>
        <w:rPr>
          <w:sz w:val="20"/>
          <w:szCs w:val="20"/>
          <w:color w:val="auto"/>
        </w:rPr>
      </w:pPr>
      <w:r>
        <w:rPr>
          <w:rFonts w:ascii="Arial" w:cs="Arial" w:eastAsia="Arial" w:hAnsi="Arial"/>
          <w:sz w:val="17"/>
          <w:szCs w:val="17"/>
          <w:color w:val="auto"/>
        </w:rPr>
        <w:t>The Company’s IMAX Theater System sale and lease arrangements include a requirement for it to provide maintenance services over the life of the arrangement, subject to a consumer price index adjustment each year. In circumstances where customers prepay the entire term’s maintenance fee, additional payments are due to the Company for the years after its extended warranty and maintenance obligations expire. Payments upon renewal each year are either prepaid or made in arrears and can vary in frequency from monthly to annually. At June 30, 2020, $17.2 million of consideration has been deferred in relation to outstanding maintenance services to be provided on existing maintenance contracts (December 31, 2019 — $17.7 million). The maintenance revenue is recognized evenly over the contract term which coincides with the maintenance services being provided. In the event of customer default, any payments made by the customer may be retained by the Company.</w:t>
      </w:r>
    </w:p>
    <w:p>
      <w:pPr>
        <w:spacing w:after="0" w:line="155"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Theater Systems where control of the system has not transferred to the customer. The deferred revenue balance related to an individual theater increases as progress payments are made and is then derecognized when control of the system is transferred to the customer. Recognition dates are variable and depend on numerous factors, including some outside of the Company’s control.</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(See Note 2 for information on the current impacts of and uncertainties relating to the COVID-19 pandemic which are impacting Company’s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14. Segment Reporting</w:t>
      </w:r>
    </w:p>
    <w:p>
      <w:pPr>
        <w:spacing w:after="0" w:line="224" w:lineRule="exact"/>
        <w:rPr>
          <w:sz w:val="20"/>
          <w:szCs w:val="20"/>
          <w:color w:val="auto"/>
        </w:rPr>
      </w:pPr>
    </w:p>
    <w:p>
      <w:pPr>
        <w:jc w:val="both"/>
        <w:ind w:firstLine="208"/>
        <w:spacing w:after="0" w:line="275" w:lineRule="auto"/>
        <w:rPr>
          <w:sz w:val="20"/>
          <w:szCs w:val="20"/>
          <w:color w:val="auto"/>
        </w:rPr>
      </w:pPr>
      <w:r>
        <w:rPr>
          <w:rFonts w:ascii="Arial" w:cs="Arial" w:eastAsia="Arial" w:hAnsi="Arial"/>
          <w:sz w:val="17"/>
          <w:szCs w:val="17"/>
          <w:color w:val="auto"/>
        </w:rPr>
        <w:t>The Company’s Chief Executive Officer (“CEO”) is its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intangibles, provisions for (recoveries of) current expected credit losses, certain write-downs, interest income, interest expense and tax (expense) benefit are not allocated to the segments.</w:t>
      </w:r>
    </w:p>
    <w:p>
      <w:pPr>
        <w:spacing w:after="0" w:line="13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has the following reportable segments: (i) IMAX DMR; (ii) Joint Revenue Sharing Arrangements; (iii) IMAX Systems, (iv) IMAX Maintenance; (v) Other Theater Business; (vi) New Business Initiatives; (vii) Film Distribution; and (viii) Film Post-production. The Company organizes its reportable segments into the following four categories, identified by the nature of the product sold or service provided:</w:t>
      </w:r>
    </w:p>
    <w:p>
      <w:pPr>
        <w:spacing w:after="0" w:line="185" w:lineRule="exact"/>
        <w:rPr>
          <w:sz w:val="20"/>
          <w:szCs w:val="20"/>
          <w:color w:val="auto"/>
        </w:rPr>
      </w:pPr>
    </w:p>
    <w:p>
      <w:pPr>
        <w:ind w:left="1120" w:hanging="739"/>
        <w:spacing w:after="0" w:line="27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IMAX Technology Network, which earns revenue based on contingent box office receipts and includes the IMAX DMR segment and contingent rent from the Joint Revenue Sharing Arrangement (“JRSA”) segment;</w:t>
      </w:r>
    </w:p>
    <w:p>
      <w:pPr>
        <w:spacing w:after="0" w:line="175" w:lineRule="exact"/>
        <w:rPr>
          <w:rFonts w:ascii="Arial" w:cs="Arial" w:eastAsia="Arial" w:hAnsi="Arial"/>
          <w:sz w:val="18"/>
          <w:szCs w:val="18"/>
          <w:color w:val="auto"/>
        </w:rPr>
      </w:pPr>
    </w:p>
    <w:p>
      <w:pPr>
        <w:ind w:left="1120" w:hanging="739"/>
        <w:spacing w:after="0" w:line="27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IMAX Technology Sales and Maintenance, which includes results from the IMAX Systems, IMAX Maintenance and Other Theater Business segments, as well as fixed revenues from the JRSA segment;</w:t>
      </w:r>
    </w:p>
    <w:p>
      <w:pPr>
        <w:spacing w:after="0" w:line="175" w:lineRule="exact"/>
        <w:rPr>
          <w:rFonts w:ascii="Arial" w:cs="Arial" w:eastAsia="Arial" w:hAnsi="Arial"/>
          <w:sz w:val="18"/>
          <w:szCs w:val="18"/>
          <w:color w:val="auto"/>
        </w:rPr>
      </w:pPr>
    </w:p>
    <w:p>
      <w:pPr>
        <w:ind w:left="1120" w:hanging="739"/>
        <w:spacing w:after="0" w:line="270"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Business Initiatives, which is a segment that includes activities related to the exploration of new lines of business and new initiatives outside of the Company’s core business; and</w:t>
      </w:r>
    </w:p>
    <w:p>
      <w:pPr>
        <w:spacing w:after="0" w:line="175" w:lineRule="exact"/>
        <w:rPr>
          <w:rFonts w:ascii="Arial" w:cs="Arial" w:eastAsia="Arial" w:hAnsi="Arial"/>
          <w:sz w:val="18"/>
          <w:szCs w:val="18"/>
          <w:color w:val="auto"/>
        </w:rPr>
      </w:pPr>
    </w:p>
    <w:p>
      <w:pPr>
        <w:jc w:val="both"/>
        <w:ind w:left="1120" w:hanging="739"/>
        <w:spacing w:after="0" w:line="259"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Film Distribution and Post-production, which includes activities related to the licensing of film content, and the distribution of films primarily for the Company’s institutional theater partners (through the Film Distribution segment) and the provision of film post-production and quality control services (through the Film Post-production segment).</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is presenting information at a disaggregated level to provide more relevant information to readers.</w:t>
      </w:r>
    </w:p>
    <w:p>
      <w:pPr>
        <w:spacing w:after="0" w:line="220" w:lineRule="exact"/>
        <w:rPr>
          <w:sz w:val="20"/>
          <w:szCs w:val="20"/>
          <w:color w:val="auto"/>
        </w:rPr>
      </w:pPr>
    </w:p>
    <w:p>
      <w:pPr>
        <w:ind w:right="20" w:firstLine="225"/>
        <w:spacing w:after="0" w:line="270" w:lineRule="auto"/>
        <w:rPr>
          <w:sz w:val="20"/>
          <w:szCs w:val="20"/>
          <w:color w:val="auto"/>
        </w:rPr>
      </w:pPr>
      <w:r>
        <w:rPr>
          <w:rFonts w:ascii="Arial" w:cs="Arial" w:eastAsia="Arial" w:hAnsi="Arial"/>
          <w:sz w:val="18"/>
          <w:szCs w:val="18"/>
          <w:color w:val="auto"/>
        </w:rPr>
        <w:t>Transactions between the IMAX DMR segment and the Film Post-production segment are valued at exchange value. Inter-segment profits are eliminated upon consolidation, as well as for the disclosures below.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6" w:name="page37"/>
    <w:bookmarkEnd w:id="36"/>
    <w:p>
      <w:pPr>
        <w:ind w:left="240"/>
        <w:spacing w:after="0"/>
        <w:rPr>
          <w:sz w:val="20"/>
          <w:szCs w:val="20"/>
          <w:color w:val="auto"/>
        </w:rPr>
      </w:pPr>
      <w:r>
        <w:rPr>
          <w:rFonts w:ascii="Arial" w:cs="Arial" w:eastAsia="Arial" w:hAnsi="Arial"/>
          <w:sz w:val="17"/>
          <w:szCs w:val="17"/>
          <w:color w:val="auto"/>
        </w:rPr>
        <w:t>The following table sets forth the breakdown of revenue and (margin loss) gross margin by category for the three months ended June 30, 2020:</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Revenue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ind w:left="120"/>
              <w:spacing w:after="0"/>
              <w:rPr>
                <w:sz w:val="20"/>
                <w:szCs w:val="20"/>
                <w:color w:val="auto"/>
              </w:rPr>
            </w:pPr>
            <w:r>
              <w:rPr>
                <w:rFonts w:ascii="Arial" w:cs="Arial" w:eastAsia="Arial" w:hAnsi="Arial"/>
                <w:sz w:val="14"/>
                <w:szCs w:val="14"/>
                <w:b w:val="1"/>
                <w:bCs w:val="1"/>
                <w:color w:val="auto"/>
              </w:rPr>
              <w:t>(Margin Loss) Gross Margin</w:t>
            </w:r>
            <w:r>
              <w:rPr>
                <w:rFonts w:ascii="Arial" w:cs="Arial" w:eastAsia="Arial" w:hAnsi="Arial"/>
                <w:sz w:val="12"/>
                <w:szCs w:val="12"/>
                <w:b w:val="1"/>
                <w:bCs w:val="1"/>
                <w:color w:val="auto"/>
              </w:rPr>
              <w:t>(3)</w:t>
            </w:r>
          </w:p>
        </w:tc>
      </w:tr>
      <w:tr>
        <w:trPr>
          <w:trHeight w:val="220"/>
        </w:trPr>
        <w:tc>
          <w:tcPr>
            <w:tcW w:w="49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0"/>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920" w:type="dxa"/>
            <w:vAlign w:val="bottom"/>
          </w:tcPr>
          <w:p>
            <w:pPr>
              <w:ind w:left="120"/>
              <w:spacing w:after="0"/>
              <w:rPr>
                <w:sz w:val="20"/>
                <w:szCs w:val="20"/>
                <w:color w:val="auto"/>
              </w:rPr>
            </w:pPr>
            <w:r>
              <w:rPr>
                <w:rFonts w:ascii="Arial" w:cs="Arial" w:eastAsia="Arial" w:hAnsi="Arial"/>
                <w:sz w:val="18"/>
                <w:szCs w:val="18"/>
                <w:color w:val="auto"/>
              </w:rPr>
              <w:t>IMAX DMR</w:t>
            </w:r>
          </w:p>
        </w:tc>
        <w:tc>
          <w:tcPr>
            <w:tcW w:w="118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546</w:t>
            </w:r>
          </w:p>
        </w:tc>
        <w:tc>
          <w:tcPr>
            <w:tcW w:w="24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39,293</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260" w:type="dxa"/>
            <w:vAlign w:val="bottom"/>
            <w:gridSpan w:val="2"/>
          </w:tcPr>
          <w:p>
            <w:pPr>
              <w:jc w:val="right"/>
              <w:ind w:right="8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23,961</w:t>
            </w:r>
          </w:p>
        </w:tc>
        <w:tc>
          <w:tcPr>
            <w:tcW w:w="100" w:type="dxa"/>
            <w:vAlign w:val="bottom"/>
          </w:tcPr>
          <w:p>
            <w:pPr>
              <w:spacing w:after="0"/>
              <w:rPr>
                <w:sz w:val="19"/>
                <w:szCs w:val="19"/>
                <w:color w:val="auto"/>
              </w:rPr>
            </w:pPr>
          </w:p>
        </w:tc>
      </w:tr>
      <w:tr>
        <w:trPr>
          <w:trHeight w:val="227"/>
        </w:trPr>
        <w:tc>
          <w:tcPr>
            <w:tcW w:w="4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r>
              <w:rPr>
                <w:rFonts w:ascii="Arial" w:cs="Arial" w:eastAsia="Arial" w:hAnsi="Arial"/>
                <w:sz w:val="15"/>
                <w:szCs w:val="15"/>
                <w:color w:val="auto"/>
              </w:rPr>
              <w:t>(4)</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(6,501)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19,318</w:t>
            </w:r>
          </w:p>
        </w:tc>
        <w:tc>
          <w:tcPr>
            <w:tcW w:w="100" w:type="dxa"/>
            <w:vAlign w:val="bottom"/>
            <w:shd w:val="clear" w:color="auto" w:fill="CFF0FC"/>
          </w:tcPr>
          <w:p>
            <w:pPr>
              <w:spacing w:after="0"/>
              <w:rPr>
                <w:sz w:val="19"/>
                <w:szCs w:val="19"/>
                <w:color w:val="auto"/>
              </w:rPr>
            </w:pPr>
          </w:p>
        </w:tc>
      </w:tr>
      <w:tr>
        <w:trPr>
          <w:trHeight w:val="220"/>
        </w:trPr>
        <w:tc>
          <w:tcPr>
            <w:tcW w:w="49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64,833</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43,279</w:t>
            </w:r>
          </w:p>
        </w:tc>
        <w:tc>
          <w:tcPr>
            <w:tcW w:w="100" w:type="dxa"/>
            <w:vAlign w:val="bottom"/>
            <w:tcBorders>
              <w:bottom w:val="single" w:sz="8" w:color="CFF0FC"/>
            </w:tcBorders>
          </w:tcPr>
          <w:p>
            <w:pPr>
              <w:spacing w:after="0"/>
              <w:rPr>
                <w:sz w:val="19"/>
                <w:szCs w:val="19"/>
                <w:color w:val="auto"/>
              </w:rPr>
            </w:pP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920" w:type="dxa"/>
            <w:vAlign w:val="bottom"/>
          </w:tcPr>
          <w:p>
            <w:pPr>
              <w:ind w:left="120"/>
              <w:spacing w:after="0"/>
              <w:rPr>
                <w:sz w:val="20"/>
                <w:szCs w:val="20"/>
                <w:color w:val="auto"/>
              </w:rPr>
            </w:pPr>
            <w:r>
              <w:rPr>
                <w:rFonts w:ascii="Arial" w:cs="Arial" w:eastAsia="Arial" w:hAnsi="Arial"/>
                <w:sz w:val="18"/>
                <w:szCs w:val="18"/>
                <w:color w:val="auto"/>
              </w:rPr>
              <w:t xml:space="preserve">IMAX Systems </w:t>
            </w:r>
            <w:r>
              <w:rPr>
                <w:rFonts w:ascii="Arial" w:cs="Arial" w:eastAsia="Arial" w:hAnsi="Arial"/>
                <w:sz w:val="15"/>
                <w:szCs w:val="15"/>
                <w:color w:val="auto"/>
              </w:rPr>
              <w:t>(1)</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8,019</w:t>
            </w:r>
          </w:p>
        </w:tc>
        <w:tc>
          <w:tcPr>
            <w:tcW w:w="100" w:type="dxa"/>
            <w:vAlign w:val="bottom"/>
          </w:tcPr>
          <w:p>
            <w:pPr>
              <w:spacing w:after="0"/>
              <w:rPr>
                <w:sz w:val="19"/>
                <w:szCs w:val="19"/>
                <w:color w:val="auto"/>
              </w:rPr>
            </w:pPr>
          </w:p>
        </w:tc>
      </w:tr>
      <w:tr>
        <w:trPr>
          <w:trHeight w:val="227"/>
        </w:trPr>
        <w:tc>
          <w:tcPr>
            <w:tcW w:w="4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FF0FC"/>
          </w:tcPr>
          <w:p>
            <w:pPr>
              <w:spacing w:after="0"/>
              <w:rPr>
                <w:sz w:val="19"/>
                <w:szCs w:val="19"/>
                <w:color w:val="auto"/>
              </w:rPr>
            </w:pPr>
          </w:p>
        </w:tc>
      </w:tr>
      <w:tr>
        <w:trPr>
          <w:trHeight w:val="227"/>
        </w:trPr>
        <w:tc>
          <w:tcPr>
            <w:tcW w:w="4920" w:type="dxa"/>
            <w:vAlign w:val="bottom"/>
          </w:tcPr>
          <w:p>
            <w:pPr>
              <w:ind w:left="120"/>
              <w:spacing w:after="0"/>
              <w:rPr>
                <w:sz w:val="20"/>
                <w:szCs w:val="20"/>
                <w:color w:val="auto"/>
              </w:rPr>
            </w:pPr>
            <w:r>
              <w:rPr>
                <w:rFonts w:ascii="Arial" w:cs="Arial" w:eastAsia="Arial" w:hAnsi="Arial"/>
                <w:sz w:val="18"/>
                <w:szCs w:val="18"/>
                <w:color w:val="auto"/>
              </w:rPr>
              <w:t>IMAX Maintenance</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(1,908)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5,640</w:t>
            </w:r>
          </w:p>
        </w:tc>
        <w:tc>
          <w:tcPr>
            <w:tcW w:w="100" w:type="dxa"/>
            <w:vAlign w:val="bottom"/>
          </w:tcPr>
          <w:p>
            <w:pPr>
              <w:spacing w:after="0"/>
              <w:rPr>
                <w:sz w:val="19"/>
                <w:szCs w:val="19"/>
                <w:color w:val="auto"/>
              </w:rPr>
            </w:pPr>
          </w:p>
        </w:tc>
      </w:tr>
      <w:tr>
        <w:trPr>
          <w:trHeight w:val="227"/>
        </w:trPr>
        <w:tc>
          <w:tcPr>
            <w:tcW w:w="4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Other Theater Business </w:t>
            </w:r>
            <w:r>
              <w:rPr>
                <w:rFonts w:ascii="Arial" w:cs="Arial" w:eastAsia="Arial" w:hAnsi="Arial"/>
                <w:sz w:val="15"/>
                <w:szCs w:val="15"/>
                <w:color w:val="auto"/>
              </w:rPr>
              <w:t>(2)(5)</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FF0FC"/>
          </w:tcPr>
          <w:p>
            <w:pPr>
              <w:spacing w:after="0"/>
              <w:rPr>
                <w:sz w:val="19"/>
                <w:szCs w:val="19"/>
                <w:color w:val="auto"/>
              </w:rPr>
            </w:pPr>
          </w:p>
        </w:tc>
      </w:tr>
      <w:tr>
        <w:trPr>
          <w:trHeight w:val="220"/>
        </w:trPr>
        <w:tc>
          <w:tcPr>
            <w:tcW w:w="49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34,836</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Borders>
              <w:bottom w:val="single" w:sz="8" w:color="CFF0FC"/>
            </w:tcBorders>
          </w:tcPr>
          <w:p>
            <w:pPr>
              <w:spacing w:after="0"/>
              <w:rPr>
                <w:sz w:val="19"/>
                <w:szCs w:val="19"/>
                <w:color w:val="auto"/>
              </w:rPr>
            </w:pPr>
          </w:p>
        </w:tc>
      </w:tr>
      <w:tr>
        <w:trPr>
          <w:trHeight w:val="221"/>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9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r>
      <w:tr>
        <w:trPr>
          <w:trHeight w:val="220"/>
        </w:trPr>
        <w:tc>
          <w:tcPr>
            <w:tcW w:w="4920" w:type="dxa"/>
            <w:vAlign w:val="bottom"/>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Film Distribution</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(1,541)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FF0FC"/>
          </w:tcPr>
          <w:p>
            <w:pPr>
              <w:spacing w:after="0"/>
              <w:rPr>
                <w:sz w:val="19"/>
                <w:szCs w:val="19"/>
                <w:color w:val="auto"/>
              </w:rPr>
            </w:pPr>
          </w:p>
        </w:tc>
      </w:tr>
      <w:tr>
        <w:trPr>
          <w:trHeight w:val="227"/>
        </w:trPr>
        <w:tc>
          <w:tcPr>
            <w:tcW w:w="49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Post-production</w:t>
            </w: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FF0FC"/>
            </w:tcBorders>
          </w:tcPr>
          <w:p>
            <w:pPr>
              <w:spacing w:after="0"/>
              <w:rPr>
                <w:sz w:val="19"/>
                <w:szCs w:val="19"/>
                <w:color w:val="auto"/>
              </w:rPr>
            </w:pPr>
          </w:p>
        </w:tc>
      </w:tr>
      <w:tr>
        <w:trPr>
          <w:trHeight w:val="221"/>
        </w:trPr>
        <w:tc>
          <w:tcPr>
            <w:tcW w:w="49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FF0FC"/>
          </w:tcPr>
          <w:p>
            <w:pPr>
              <w:spacing w:after="0"/>
              <w:rPr>
                <w:sz w:val="19"/>
                <w:szCs w:val="19"/>
                <w:color w:val="auto"/>
              </w:rPr>
            </w:pPr>
          </w:p>
        </w:tc>
      </w:tr>
      <w:tr>
        <w:trPr>
          <w:trHeight w:val="220"/>
        </w:trPr>
        <w:tc>
          <w:tcPr>
            <w:tcW w:w="4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8,832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103,748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59,388</w:t>
            </w:r>
          </w:p>
        </w:tc>
        <w:tc>
          <w:tcPr>
            <w:tcW w:w="100" w:type="dxa"/>
            <w:vAlign w:val="bottom"/>
          </w:tcPr>
          <w:p>
            <w:pPr>
              <w:spacing w:after="0"/>
              <w:rPr>
                <w:sz w:val="19"/>
                <w:szCs w:val="19"/>
                <w:color w:val="auto"/>
              </w:rPr>
            </w:pPr>
          </w:p>
        </w:tc>
      </w:tr>
      <w:tr>
        <w:trPr>
          <w:trHeight w:val="228"/>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r>
      <w:tr>
        <w:trPr>
          <w:trHeight w:val="220"/>
        </w:trPr>
        <w:tc>
          <w:tcPr>
            <w:tcW w:w="492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8,855</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104,797</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59,553</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sets forth the breakdown of revenue and (margin loss) gross margin by category for six months ended June 30, 2020: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Revenue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8"/>
              </w:rPr>
              <w:t>(Margin Loss) Gross Margin</w:t>
            </w:r>
            <w:r>
              <w:rPr>
                <w:rFonts w:ascii="Arial" w:cs="Arial" w:eastAsia="Arial" w:hAnsi="Arial"/>
                <w:sz w:val="12"/>
                <w:szCs w:val="12"/>
                <w:b w:val="1"/>
                <w:bCs w:val="1"/>
                <w:color w:val="auto"/>
                <w:w w:val="98"/>
              </w:rPr>
              <w:t>(3)</w:t>
            </w:r>
          </w:p>
        </w:tc>
      </w:tr>
      <w:tr>
        <w:trPr>
          <w:trHeight w:val="220"/>
        </w:trPr>
        <w:tc>
          <w:tcPr>
            <w:tcW w:w="48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0"/>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ind w:left="120"/>
              <w:spacing w:after="0"/>
              <w:rPr>
                <w:sz w:val="20"/>
                <w:szCs w:val="20"/>
                <w:color w:val="auto"/>
              </w:rPr>
            </w:pPr>
            <w:r>
              <w:rPr>
                <w:rFonts w:ascii="Arial" w:cs="Arial" w:eastAsia="Arial" w:hAnsi="Arial"/>
                <w:sz w:val="18"/>
                <w:szCs w:val="18"/>
                <w:color w:val="auto"/>
              </w:rPr>
              <w:t>IMAX DMR</w:t>
            </w:r>
          </w:p>
        </w:tc>
        <w:tc>
          <w:tcPr>
            <w:tcW w:w="12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11,175</w:t>
            </w:r>
          </w:p>
        </w:tc>
        <w:tc>
          <w:tcPr>
            <w:tcW w:w="24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67,243</w:t>
            </w:r>
          </w:p>
        </w:tc>
        <w:tc>
          <w:tcPr>
            <w:tcW w:w="4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4,413</w:t>
            </w:r>
          </w:p>
        </w:tc>
        <w:tc>
          <w:tcPr>
            <w:tcW w:w="240" w:type="dxa"/>
            <w:vAlign w:val="bottom"/>
          </w:tcPr>
          <w:p>
            <w:pPr>
              <w:spacing w:after="0"/>
              <w:rPr>
                <w:sz w:val="19"/>
                <w:szCs w:val="19"/>
                <w:color w:val="auto"/>
              </w:rPr>
            </w:pPr>
          </w:p>
        </w:tc>
        <w:tc>
          <w:tcPr>
            <w:tcW w:w="260" w:type="dxa"/>
            <w:vAlign w:val="bottom"/>
            <w:gridSpan w:val="2"/>
          </w:tcPr>
          <w:p>
            <w:pPr>
              <w:jc w:val="right"/>
              <w:ind w:right="8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43,736</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43,584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(8,119)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31,253</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17,009</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110,827</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74,989</w:t>
            </w:r>
          </w:p>
        </w:tc>
        <w:tc>
          <w:tcPr>
            <w:tcW w:w="100" w:type="dxa"/>
            <w:vAlign w:val="bottom"/>
            <w:tcBorders>
              <w:bottom w:val="single" w:sz="8" w:color="CFF0FC"/>
            </w:tcBorders>
          </w:tcPr>
          <w:p>
            <w:pPr>
              <w:spacing w:after="0"/>
              <w:rPr>
                <w:sz w:val="19"/>
                <w:szCs w:val="19"/>
                <w:color w:val="auto"/>
              </w:rPr>
            </w:pPr>
          </w:p>
        </w:tc>
      </w:tr>
      <w:tr>
        <w:trPr>
          <w:trHeight w:val="221"/>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ind w:left="120"/>
              <w:spacing w:after="0"/>
              <w:rPr>
                <w:sz w:val="20"/>
                <w:szCs w:val="20"/>
                <w:color w:val="auto"/>
              </w:rPr>
            </w:pPr>
            <w:r>
              <w:rPr>
                <w:rFonts w:ascii="Arial" w:cs="Arial" w:eastAsia="Arial" w:hAnsi="Arial"/>
                <w:sz w:val="18"/>
                <w:szCs w:val="18"/>
                <w:color w:val="auto"/>
              </w:rPr>
              <w:t xml:space="preserve">IMAX Systems </w:t>
            </w:r>
            <w:r>
              <w:rPr>
                <w:rFonts w:ascii="Arial" w:cs="Arial" w:eastAsia="Arial" w:hAnsi="Arial"/>
                <w:sz w:val="15"/>
                <w:szCs w:val="15"/>
                <w:color w:val="auto"/>
              </w:rPr>
              <w:t>(1)</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10,237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5,826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15,071</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FF0FC"/>
          </w:tcPr>
          <w:p>
            <w:pPr>
              <w:spacing w:after="0"/>
              <w:rPr>
                <w:sz w:val="19"/>
                <w:szCs w:val="19"/>
                <w:color w:val="auto"/>
              </w:rPr>
            </w:pPr>
          </w:p>
        </w:tc>
      </w:tr>
      <w:tr>
        <w:trPr>
          <w:trHeight w:val="227"/>
        </w:trPr>
        <w:tc>
          <w:tcPr>
            <w:tcW w:w="4840" w:type="dxa"/>
            <w:vAlign w:val="bottom"/>
          </w:tcPr>
          <w:p>
            <w:pPr>
              <w:ind w:left="120"/>
              <w:spacing w:after="0"/>
              <w:rPr>
                <w:sz w:val="20"/>
                <w:szCs w:val="20"/>
                <w:color w:val="auto"/>
              </w:rPr>
            </w:pPr>
            <w:r>
              <w:rPr>
                <w:rFonts w:ascii="Arial" w:cs="Arial" w:eastAsia="Arial" w:hAnsi="Arial"/>
                <w:sz w:val="18"/>
                <w:szCs w:val="18"/>
                <w:color w:val="auto"/>
              </w:rPr>
              <w:t>IMAX Maintenance</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(1,149)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10,921</w:t>
            </w:r>
          </w:p>
        </w:tc>
        <w:tc>
          <w:tcPr>
            <w:tcW w:w="100" w:type="dxa"/>
            <w:vAlign w:val="bottom"/>
          </w:tcPr>
          <w:p>
            <w:pPr>
              <w:spacing w:after="0"/>
              <w:rPr>
                <w:sz w:val="19"/>
                <w:szCs w:val="19"/>
                <w:color w:val="auto"/>
              </w:rPr>
            </w:pPr>
          </w:p>
        </w:tc>
      </w:tr>
      <w:tr>
        <w:trPr>
          <w:trHeight w:val="227"/>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Other Theater Business </w:t>
            </w:r>
            <w:r>
              <w:rPr>
                <w:rFonts w:ascii="Arial" w:cs="Arial" w:eastAsia="Arial" w:hAnsi="Arial"/>
                <w:sz w:val="15"/>
                <w:szCs w:val="15"/>
                <w:color w:val="auto"/>
              </w:rPr>
              <w:t>(2)</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64,978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28,473</w:t>
            </w:r>
          </w:p>
        </w:tc>
        <w:tc>
          <w:tcPr>
            <w:tcW w:w="100" w:type="dxa"/>
            <w:vAlign w:val="bottom"/>
            <w:tcBorders>
              <w:bottom w:val="single" w:sz="8" w:color="CFF0FC"/>
            </w:tcBorders>
          </w:tcPr>
          <w:p>
            <w:pPr>
              <w:spacing w:after="0"/>
              <w:rPr>
                <w:sz w:val="19"/>
                <w:szCs w:val="19"/>
                <w:color w:val="auto"/>
              </w:rPr>
            </w:pPr>
          </w:p>
        </w:tc>
      </w:tr>
      <w:tr>
        <w:trPr>
          <w:trHeight w:val="221"/>
        </w:trPr>
        <w:tc>
          <w:tcPr>
            <w:tcW w:w="4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Film Distribution</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(3,699)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(333)</w:t>
            </w:r>
          </w:p>
        </w:tc>
      </w:tr>
      <w:tr>
        <w:trPr>
          <w:trHeight w:val="227"/>
        </w:trPr>
        <w:tc>
          <w:tcPr>
            <w:tcW w:w="48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Post-production</w:t>
            </w:r>
          </w:p>
        </w:tc>
        <w:tc>
          <w:tcPr>
            <w:tcW w:w="10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FF0FC"/>
            </w:tcBorders>
          </w:tcPr>
          <w:p>
            <w:pPr>
              <w:spacing w:after="0"/>
              <w:rPr>
                <w:sz w:val="19"/>
                <w:szCs w:val="19"/>
                <w:color w:val="auto"/>
              </w:rPr>
            </w:pPr>
          </w:p>
        </w:tc>
      </w:tr>
      <w:tr>
        <w:trPr>
          <w:trHeight w:val="221"/>
        </w:trPr>
        <w:tc>
          <w:tcPr>
            <w:tcW w:w="4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Pr>
          <w:p>
            <w:pPr>
              <w:spacing w:after="0"/>
              <w:rPr>
                <w:sz w:val="20"/>
                <w:szCs w:val="20"/>
                <w:color w:val="auto"/>
              </w:rPr>
            </w:pPr>
            <w:r>
              <w:rPr>
                <w:rFonts w:ascii="Arial" w:cs="Arial" w:eastAsia="Arial" w:hAnsi="Arial"/>
                <w:sz w:val="18"/>
                <w:szCs w:val="18"/>
                <w:color w:val="auto"/>
              </w:rPr>
              <w:t>Sub-total</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43,495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183,380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104,795</w:t>
            </w:r>
          </w:p>
        </w:tc>
        <w:tc>
          <w:tcPr>
            <w:tcW w:w="100" w:type="dxa"/>
            <w:vAlign w:val="bottom"/>
          </w:tcPr>
          <w:p>
            <w:pPr>
              <w:spacing w:after="0"/>
              <w:rPr>
                <w:sz w:val="19"/>
                <w:szCs w:val="19"/>
                <w:color w:val="auto"/>
              </w:rPr>
            </w:pPr>
          </w:p>
        </w:tc>
      </w:tr>
      <w:tr>
        <w:trPr>
          <w:trHeight w:val="228"/>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(1,388)</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w:t>
            </w:r>
          </w:p>
        </w:tc>
      </w:tr>
      <w:tr>
        <w:trPr>
          <w:trHeight w:val="220"/>
        </w:trPr>
        <w:tc>
          <w:tcPr>
            <w:tcW w:w="484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43,757</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184,995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104,693</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9499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53" w:lineRule="exact"/>
        <w:rPr>
          <w:sz w:val="20"/>
          <w:szCs w:val="20"/>
          <w:color w:val="auto"/>
        </w:rPr>
      </w:pPr>
    </w:p>
    <w:p>
      <w:pPr>
        <w:jc w:val="both"/>
        <w:ind w:left="380" w:hanging="301"/>
        <w:spacing w:after="0" w:line="259" w:lineRule="auto"/>
        <w:tabs>
          <w:tab w:leader="none" w:pos="4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initial upfront payments and the present value of fixed minimum payments from sales and sales-type lease arrangements of IMAX Theater Systems, and the present value of estimated variable consideration from sales of IMAX Theater Systems. To a lesser extent, also includes finance income associated with these revenue streams.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ind w:left="380" w:hanging="37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Principally includes after-market sales of IMAX projection system parts and 3D glasses</w:t>
      </w:r>
    </w:p>
    <w:p>
      <w:pPr>
        <w:spacing w:after="0" w:line="46" w:lineRule="exact"/>
        <w:rPr>
          <w:rFonts w:ascii="Arial" w:cs="Arial" w:eastAsia="Arial" w:hAnsi="Arial"/>
          <w:sz w:val="18"/>
          <w:szCs w:val="18"/>
          <w:color w:val="auto"/>
        </w:rPr>
      </w:pPr>
    </w:p>
    <w:p>
      <w:pPr>
        <w:ind w:left="380" w:right="20" w:hanging="373"/>
        <w:spacing w:after="0" w:line="283"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IMAX DMR gross margin includes marketing cost of $nil and $2.4 million for the three and six months ended June 30, 2020, respectively (2019 — $9.5 million and $13.4 million, respectively). JRSA gross margin includes advertising, marketing and commission expense of less than $0.1 million and $0.6 million for the three and six months ended June 30, 2020, respectively (2019 —$0.2 million and $0.3 million, respectively). IMAX Systems gross margin includes marketing and commission costs of $0.2 million and $0.4 million for the three and six months ended June 30, 2020, respectively, (2019</w:t>
      </w:r>
    </w:p>
    <w:p>
      <w:pPr>
        <w:ind w:left="380" w:right="160"/>
        <w:spacing w:after="0" w:line="279" w:lineRule="auto"/>
        <w:rPr>
          <w:rFonts w:ascii="Arial" w:cs="Arial" w:eastAsia="Arial" w:hAnsi="Arial"/>
          <w:sz w:val="16"/>
          <w:szCs w:val="16"/>
          <w:color w:val="auto"/>
        </w:rPr>
      </w:pPr>
      <w:r>
        <w:rPr>
          <w:rFonts w:ascii="Arial" w:cs="Arial" w:eastAsia="Arial" w:hAnsi="Arial"/>
          <w:sz w:val="17"/>
          <w:szCs w:val="17"/>
          <w:color w:val="auto"/>
        </w:rPr>
        <w:t>— $0.4 million and $0.9 million, respectively). Film Distribution segment gross margin includes marketing expense of less than $0.1 million and $0.2 million for the three and six months ended June 30, 2020, respectively (2019 — less than $0.1 million and $0.6 million, respectively).</w:t>
      </w:r>
    </w:p>
    <w:p>
      <w:pPr>
        <w:ind w:left="380" w:right="480" w:hanging="373"/>
        <w:spacing w:after="0" w:line="270"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 reporting negative revenue due to the continued amortization of lessee incentives that are typically netted against lease revenues, which are abnormally low during the period due to the COVID-19 global pandemic, as discussed in Note 2.</w:t>
      </w:r>
    </w:p>
    <w:p>
      <w:pPr>
        <w:spacing w:after="0" w:line="1" w:lineRule="exact"/>
        <w:rPr>
          <w:rFonts w:ascii="Arial" w:cs="Arial" w:eastAsia="Arial" w:hAnsi="Arial"/>
          <w:sz w:val="18"/>
          <w:szCs w:val="18"/>
          <w:color w:val="auto"/>
        </w:rPr>
      </w:pPr>
    </w:p>
    <w:p>
      <w:pPr>
        <w:ind w:left="380" w:hanging="373"/>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 reporting negative revenue due to an adjustment to prior period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2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Revenue by geographic area is based on the location of the customer. Revenue related to IMAX DMR is presented based upon the geographic location of the theaters that exhibit the remastered films. IMAX DMR revenue is generated through contractual relationships with studios and other third parties and these may not be in the same geographical location as the theater.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800" w:type="dxa"/>
            <w:vAlign w:val="bottom"/>
            <w:gridSpan w:val="7"/>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58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Six Months Ended</w:t>
            </w:r>
          </w:p>
        </w:tc>
      </w:tr>
      <w:tr>
        <w:trPr>
          <w:trHeight w:val="212"/>
        </w:trPr>
        <w:tc>
          <w:tcPr>
            <w:tcW w:w="3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8"/>
                <w:szCs w:val="18"/>
                <w:color w:val="auto"/>
              </w:rPr>
            </w:pPr>
          </w:p>
        </w:tc>
      </w:tr>
      <w:tr>
        <w:trPr>
          <w:trHeight w:val="220"/>
        </w:trPr>
        <w:tc>
          <w:tcPr>
            <w:tcW w:w="3940" w:type="dxa"/>
            <w:vAlign w:val="bottom"/>
          </w:tcPr>
          <w:p>
            <w:pPr>
              <w:spacing w:after="0"/>
              <w:rPr>
                <w:sz w:val="19"/>
                <w:szCs w:val="19"/>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0"/>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7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r>
      <w:tr>
        <w:trPr>
          <w:trHeight w:val="227"/>
        </w:trPr>
        <w:tc>
          <w:tcPr>
            <w:tcW w:w="3940" w:type="dxa"/>
            <w:vAlign w:val="bottom"/>
          </w:tcPr>
          <w:p>
            <w:pPr>
              <w:spacing w:after="0"/>
              <w:rPr>
                <w:sz w:val="20"/>
                <w:szCs w:val="20"/>
                <w:color w:val="auto"/>
              </w:rPr>
            </w:pPr>
            <w:r>
              <w:rPr>
                <w:rFonts w:ascii="Arial" w:cs="Arial" w:eastAsia="Arial" w:hAnsi="Arial"/>
                <w:sz w:val="18"/>
                <w:szCs w:val="18"/>
                <w:color w:val="auto"/>
              </w:rPr>
              <w:t>United States</w:t>
            </w:r>
          </w:p>
        </w:tc>
        <w:tc>
          <w:tcPr>
            <w:tcW w:w="2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
              <w:spacing w:after="0"/>
              <w:rPr>
                <w:sz w:val="20"/>
                <w:szCs w:val="20"/>
                <w:color w:val="auto"/>
              </w:rPr>
            </w:pPr>
            <w:r>
              <w:rPr>
                <w:rFonts w:ascii="Arial" w:cs="Arial" w:eastAsia="Arial" w:hAnsi="Arial"/>
                <w:sz w:val="18"/>
                <w:szCs w:val="18"/>
                <w:color w:val="auto"/>
                <w:w w:val="84"/>
              </w:rPr>
              <w:t>3,812</w:t>
            </w:r>
          </w:p>
        </w:tc>
        <w:tc>
          <w:tcPr>
            <w:tcW w:w="3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35,944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16,777</w:t>
            </w:r>
          </w:p>
        </w:tc>
        <w:tc>
          <w:tcPr>
            <w:tcW w:w="140" w:type="dxa"/>
            <w:vAlign w:val="bottom"/>
          </w:tcPr>
          <w:p>
            <w:pPr>
              <w:spacing w:after="0"/>
              <w:rPr>
                <w:sz w:val="19"/>
                <w:szCs w:val="19"/>
                <w:color w:val="auto"/>
              </w:rPr>
            </w:pP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60,237</w:t>
            </w:r>
          </w:p>
        </w:tc>
      </w:tr>
      <w:tr>
        <w:trPr>
          <w:trHeight w:val="228"/>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Asia (excluding Greater China)</w:t>
            </w:r>
          </w:p>
        </w:tc>
        <w:tc>
          <w:tcPr>
            <w:tcW w:w="1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w w:val="84"/>
              </w:rPr>
              <w:t>1,868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9,963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7,728</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18,753</w:t>
            </w:r>
          </w:p>
        </w:tc>
      </w:tr>
      <w:tr>
        <w:trPr>
          <w:trHeight w:val="227"/>
        </w:trPr>
        <w:tc>
          <w:tcPr>
            <w:tcW w:w="3940" w:type="dxa"/>
            <w:vAlign w:val="bottom"/>
          </w:tcPr>
          <w:p>
            <w:pPr>
              <w:spacing w:after="0"/>
              <w:rPr>
                <w:sz w:val="20"/>
                <w:szCs w:val="20"/>
                <w:color w:val="auto"/>
              </w:rPr>
            </w:pPr>
            <w:r>
              <w:rPr>
                <w:rFonts w:ascii="Arial" w:cs="Arial" w:eastAsia="Arial" w:hAnsi="Arial"/>
                <w:sz w:val="18"/>
                <w:szCs w:val="18"/>
                <w:color w:val="auto"/>
              </w:rPr>
              <w:t>Greater China</w:t>
            </w:r>
          </w:p>
        </w:tc>
        <w:tc>
          <w:tcPr>
            <w:tcW w:w="1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w w:val="84"/>
              </w:rPr>
              <w:t>1,393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32,575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6,662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59,256</w:t>
            </w:r>
          </w:p>
        </w:tc>
      </w:tr>
      <w:tr>
        <w:trPr>
          <w:trHeight w:val="228"/>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Russia &amp; the CIS</w:t>
            </w:r>
          </w:p>
        </w:tc>
        <w:tc>
          <w:tcPr>
            <w:tcW w:w="1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658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5,619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2,224</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7,307</w:t>
            </w:r>
          </w:p>
        </w:tc>
      </w:tr>
      <w:tr>
        <w:trPr>
          <w:trHeight w:val="227"/>
        </w:trPr>
        <w:tc>
          <w:tcPr>
            <w:tcW w:w="3940" w:type="dxa"/>
            <w:vAlign w:val="bottom"/>
          </w:tcPr>
          <w:p>
            <w:pPr>
              <w:spacing w:after="0"/>
              <w:rPr>
                <w:sz w:val="20"/>
                <w:szCs w:val="20"/>
                <w:color w:val="auto"/>
              </w:rPr>
            </w:pPr>
            <w:r>
              <w:rPr>
                <w:rFonts w:ascii="Arial" w:cs="Arial" w:eastAsia="Arial" w:hAnsi="Arial"/>
                <w:sz w:val="18"/>
                <w:szCs w:val="18"/>
                <w:color w:val="auto"/>
              </w:rPr>
              <w:t>Western Europe</w:t>
            </w:r>
          </w:p>
        </w:tc>
        <w:tc>
          <w:tcPr>
            <w:tcW w:w="1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11,933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5,188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20,376</w:t>
            </w:r>
          </w:p>
        </w:tc>
      </w:tr>
      <w:tr>
        <w:trPr>
          <w:trHeight w:val="228"/>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Latin America</w:t>
            </w:r>
          </w:p>
        </w:tc>
        <w:tc>
          <w:tcPr>
            <w:tcW w:w="1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1,635</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4,813</w:t>
            </w:r>
          </w:p>
        </w:tc>
      </w:tr>
      <w:tr>
        <w:trPr>
          <w:trHeight w:val="227"/>
        </w:trPr>
        <w:tc>
          <w:tcPr>
            <w:tcW w:w="3940" w:type="dxa"/>
            <w:vAlign w:val="bottom"/>
          </w:tcPr>
          <w:p>
            <w:pPr>
              <w:spacing w:after="0"/>
              <w:rPr>
                <w:sz w:val="20"/>
                <w:szCs w:val="20"/>
                <w:color w:val="auto"/>
              </w:rPr>
            </w:pPr>
            <w:r>
              <w:rPr>
                <w:rFonts w:ascii="Arial" w:cs="Arial" w:eastAsia="Arial" w:hAnsi="Arial"/>
                <w:sz w:val="18"/>
                <w:szCs w:val="18"/>
                <w:color w:val="auto"/>
              </w:rPr>
              <w:t>Canada</w:t>
            </w:r>
          </w:p>
        </w:tc>
        <w:tc>
          <w:tcPr>
            <w:tcW w:w="1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943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4,492</w:t>
            </w:r>
          </w:p>
        </w:tc>
      </w:tr>
      <w:tr>
        <w:trPr>
          <w:trHeight w:val="228"/>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Rest of the World</w:t>
            </w:r>
          </w:p>
        </w:tc>
        <w:tc>
          <w:tcPr>
            <w:tcW w:w="17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3,983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2,600</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9,761</w:t>
            </w:r>
          </w:p>
        </w:tc>
      </w:tr>
      <w:tr>
        <w:trPr>
          <w:trHeight w:val="220"/>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9"/>
                <w:szCs w:val="19"/>
                <w:color w:val="auto"/>
              </w:rPr>
            </w:pPr>
          </w:p>
        </w:tc>
        <w:tc>
          <w:tcPr>
            <w:tcW w:w="700" w:type="dxa"/>
            <w:vAlign w:val="bottom"/>
            <w:tcBorders>
              <w:bottom w:val="single" w:sz="8" w:color="auto"/>
            </w:tcBorders>
          </w:tcPr>
          <w:p>
            <w:pPr>
              <w:jc w:val="right"/>
              <w:ind w:right="52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84"/>
              </w:rPr>
              <w:t>8,855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104,797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43,757</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184,995</w:t>
            </w:r>
          </w:p>
        </w:tc>
      </w:tr>
      <w:tr>
        <w:trPr>
          <w:trHeight w:val="20"/>
        </w:trPr>
        <w:tc>
          <w:tcPr>
            <w:tcW w:w="3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No single country in the Rest of the World, Western Europe, Latin America and Asia (excluding Greater China) comprises more than 10% of the Company’s total revenue, except for Japan in the three months ended June 30, 2020.</w:t>
      </w:r>
    </w:p>
    <w:p>
      <w:pPr>
        <w:spacing w:after="0" w:line="131" w:lineRule="exact"/>
        <w:rPr>
          <w:sz w:val="20"/>
          <w:szCs w:val="20"/>
          <w:color w:val="auto"/>
        </w:rPr>
      </w:pPr>
    </w:p>
    <w:p>
      <w:pPr>
        <w:ind w:left="320" w:hanging="313"/>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Pension and Postretirement Benefits</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Defined Benefit Plan</w:t>
      </w:r>
    </w:p>
    <w:p>
      <w:pPr>
        <w:spacing w:after="0" w:line="180"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The Company has an unfunded defined benefit supplemental executive retirement plan (the “SERP”) covering Richard L. Gelfond, its CEO. The accounting for the SERP assumes that Mr. Gelfond will receive a lump sum payment of $20.3 million six months after retirement at the end of the current term of his employment agreement (December 31, 2022), although Mr. Gelfond has not informed the Company that he intends to retire at that time.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38" w:name="page39"/>
    <w:bookmarkEnd w:id="38"/>
    <w:p>
      <w:pPr>
        <w:ind w:left="240"/>
        <w:spacing w:after="0"/>
        <w:rPr>
          <w:sz w:val="20"/>
          <w:szCs w:val="20"/>
          <w:color w:val="auto"/>
        </w:rPr>
      </w:pPr>
      <w:r>
        <w:rPr>
          <w:rFonts w:ascii="Arial" w:cs="Arial" w:eastAsia="Arial" w:hAnsi="Arial"/>
          <w:sz w:val="17"/>
          <w:szCs w:val="17"/>
          <w:color w:val="auto"/>
        </w:rPr>
        <w:t>As at June 30, 2020 and December 31, 2019, the Company’s projected benefit obligation and unfunded status related to the SERP are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416"/>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5580" w:type="dxa"/>
            <w:vAlign w:val="bottom"/>
          </w:tcPr>
          <w:p>
            <w:pPr>
              <w:spacing w:after="0"/>
              <w:rPr>
                <w:sz w:val="18"/>
                <w:szCs w:val="18"/>
                <w:color w:val="auto"/>
              </w:rPr>
            </w:pPr>
          </w:p>
        </w:tc>
        <w:tc>
          <w:tcPr>
            <w:tcW w:w="32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676"/>
              <w:spacing w:after="0"/>
              <w:rPr>
                <w:sz w:val="20"/>
                <w:szCs w:val="20"/>
                <w:color w:val="auto"/>
              </w:rPr>
            </w:pPr>
            <w:r>
              <w:rPr>
                <w:rFonts w:ascii="Arial" w:cs="Arial" w:eastAsia="Arial" w:hAnsi="Arial"/>
                <w:sz w:val="14"/>
                <w:szCs w:val="14"/>
                <w:b w:val="1"/>
                <w:bCs w:val="1"/>
                <w:color w:val="auto"/>
              </w:rPr>
              <w:t>2019</w:t>
            </w:r>
          </w:p>
        </w:tc>
      </w:tr>
      <w:tr>
        <w:trPr>
          <w:trHeight w:val="220"/>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Projected benefit obligation:</w:t>
            </w:r>
          </w:p>
        </w:tc>
        <w:tc>
          <w:tcPr>
            <w:tcW w:w="2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r>
      <w:tr>
        <w:trPr>
          <w:trHeight w:val="227"/>
        </w:trPr>
        <w:tc>
          <w:tcPr>
            <w:tcW w:w="5580" w:type="dxa"/>
            <w:vAlign w:val="bottom"/>
          </w:tcPr>
          <w:p>
            <w:pPr>
              <w:ind w:left="120"/>
              <w:spacing w:after="0"/>
              <w:rPr>
                <w:sz w:val="20"/>
                <w:szCs w:val="20"/>
                <w:color w:val="auto"/>
              </w:rPr>
            </w:pPr>
            <w:r>
              <w:rPr>
                <w:rFonts w:ascii="Arial" w:cs="Arial" w:eastAsia="Arial" w:hAnsi="Arial"/>
                <w:sz w:val="18"/>
                <w:szCs w:val="18"/>
                <w:color w:val="auto"/>
              </w:rPr>
              <w:t>Obligation, beginning of period</w:t>
            </w:r>
          </w:p>
        </w:tc>
        <w:tc>
          <w:tcPr>
            <w:tcW w:w="320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w w:val="90"/>
              </w:rPr>
              <w:t>18,840</w:t>
            </w:r>
          </w:p>
        </w:tc>
        <w:tc>
          <w:tcPr>
            <w:tcW w:w="14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17,977</w:t>
            </w:r>
          </w:p>
        </w:tc>
      </w:tr>
      <w:tr>
        <w:trPr>
          <w:trHeight w:val="227"/>
        </w:trPr>
        <w:tc>
          <w:tcPr>
            <w:tcW w:w="5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Prior Service cost</w:t>
            </w:r>
          </w:p>
        </w:tc>
        <w:tc>
          <w:tcPr>
            <w:tcW w:w="2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456</w:t>
            </w:r>
          </w:p>
        </w:tc>
      </w:tr>
      <w:tr>
        <w:trPr>
          <w:trHeight w:val="227"/>
        </w:trPr>
        <w:tc>
          <w:tcPr>
            <w:tcW w:w="5580" w:type="dxa"/>
            <w:vAlign w:val="bottom"/>
          </w:tcPr>
          <w:p>
            <w:pPr>
              <w:ind w:left="120"/>
              <w:spacing w:after="0"/>
              <w:rPr>
                <w:sz w:val="20"/>
                <w:szCs w:val="20"/>
                <w:color w:val="auto"/>
              </w:rPr>
            </w:pPr>
            <w:r>
              <w:rPr>
                <w:rFonts w:ascii="Arial" w:cs="Arial" w:eastAsia="Arial" w:hAnsi="Arial"/>
                <w:sz w:val="18"/>
                <w:szCs w:val="18"/>
                <w:color w:val="auto"/>
              </w:rPr>
              <w:t>Interest cost</w:t>
            </w:r>
          </w:p>
        </w:tc>
        <w:tc>
          <w:tcPr>
            <w:tcW w:w="2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564</w:t>
            </w:r>
          </w:p>
        </w:tc>
      </w:tr>
      <w:tr>
        <w:trPr>
          <w:trHeight w:val="227"/>
        </w:trPr>
        <w:tc>
          <w:tcPr>
            <w:tcW w:w="5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Actuarial gain</w:t>
            </w:r>
          </w:p>
        </w:tc>
        <w:tc>
          <w:tcPr>
            <w:tcW w:w="2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r>
      <w:tr>
        <w:trPr>
          <w:trHeight w:val="220"/>
        </w:trPr>
        <w:tc>
          <w:tcPr>
            <w:tcW w:w="5580" w:type="dxa"/>
            <w:vAlign w:val="bottom"/>
          </w:tcPr>
          <w:p>
            <w:pPr>
              <w:ind w:left="120"/>
              <w:spacing w:after="0"/>
              <w:rPr>
                <w:sz w:val="20"/>
                <w:szCs w:val="20"/>
                <w:color w:val="auto"/>
              </w:rPr>
            </w:pPr>
            <w:r>
              <w:rPr>
                <w:rFonts w:ascii="Arial" w:cs="Arial" w:eastAsia="Arial" w:hAnsi="Arial"/>
                <w:sz w:val="18"/>
                <w:szCs w:val="18"/>
                <w:color w:val="auto"/>
              </w:rPr>
              <w:t>Obligation, end of period and unfunded status</w:t>
            </w:r>
          </w:p>
        </w:tc>
        <w:tc>
          <w:tcPr>
            <w:tcW w:w="2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0"/>
              </w:rPr>
              <w:t>19,029</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18,840</w:t>
            </w:r>
          </w:p>
        </w:tc>
      </w:tr>
      <w:tr>
        <w:trPr>
          <w:trHeight w:val="20"/>
        </w:trPr>
        <w:tc>
          <w:tcPr>
            <w:tcW w:w="5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accumulated benefit obligation for the SERP was $19.0 million at June 30, 2020 (December 31, 2019 —$18.8 million). For the three and six months ended June 30, 2020, the Company recorded interest costs of $0.1 million and $0.2 million, respectively, (2019 — $0.1 million and $0.3 million, respectively) related to the SERP. The Company expects to recognize interest costs of $0.2 million related to the SERP during the remainder of 2020. No contributions are expected to be made for the SERP during the remainder of 2020.</w:t>
      </w:r>
    </w:p>
    <w:p>
      <w:pPr>
        <w:spacing w:after="0" w:line="162"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Defined Contribution Pension Plan</w:t>
      </w:r>
    </w:p>
    <w:p>
      <w:pPr>
        <w:spacing w:after="0" w:line="180" w:lineRule="exact"/>
        <w:rPr>
          <w:sz w:val="20"/>
          <w:szCs w:val="20"/>
          <w:color w:val="auto"/>
        </w:rPr>
      </w:pPr>
    </w:p>
    <w:p>
      <w:pPr>
        <w:jc w:val="both"/>
        <w:ind w:firstLine="224"/>
        <w:spacing w:after="0" w:line="271" w:lineRule="auto"/>
        <w:rPr>
          <w:sz w:val="20"/>
          <w:szCs w:val="20"/>
          <w:color w:val="auto"/>
        </w:rPr>
      </w:pPr>
      <w:r>
        <w:rPr>
          <w:rFonts w:ascii="Arial" w:cs="Arial" w:eastAsia="Arial" w:hAnsi="Arial"/>
          <w:sz w:val="17"/>
          <w:szCs w:val="17"/>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the three and six months ended June 30, 2020, the Company contributed and recorded expense of $0.2 million and $0.5 million, respectively, (2019 — $0.3 million and $0.6 million, respectively) to its Canadian defined contribution plan and $0.1 million and $0.4 million, respectively, (2019 — $0.1 million and $0.3 million, respectively) to its defined contribution employee plan under Section 401(k) of the U.S. Internal Revenue Code.</w:t>
      </w:r>
    </w:p>
    <w:p>
      <w:pPr>
        <w:spacing w:after="0" w:line="13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Postretirement Benefits – Executives</w:t>
      </w:r>
    </w:p>
    <w:p>
      <w:pPr>
        <w:spacing w:after="0" w:line="180" w:lineRule="exact"/>
        <w:rPr>
          <w:sz w:val="20"/>
          <w:szCs w:val="20"/>
          <w:color w:val="auto"/>
        </w:rPr>
      </w:pPr>
    </w:p>
    <w:p>
      <w:pPr>
        <w:jc w:val="both"/>
        <w:ind w:firstLine="224"/>
        <w:spacing w:after="0" w:line="252" w:lineRule="auto"/>
        <w:rPr>
          <w:sz w:val="20"/>
          <w:szCs w:val="20"/>
          <w:color w:val="auto"/>
        </w:rPr>
      </w:pPr>
      <w:r>
        <w:rPr>
          <w:rFonts w:ascii="Arial" w:cs="Arial" w:eastAsia="Arial" w:hAnsi="Arial"/>
          <w:sz w:val="18"/>
          <w:szCs w:val="18"/>
          <w:color w:val="auto"/>
        </w:rPr>
        <w:t>The Company has an unfunded postretirement plan for Mr. Gelfond and Bradley J. Wechsler, Chairman of the Company’s Board of Directors. The plan provides that the Company will maintain health benefits for Messrs. Gelfond and Wechsler until they become eligible for Medicare and, thereafter, the Company will provide Medicare supplement coverage as selected by Messrs. Gelfond and Wechsler. As at June 30, 2020, the Company’s postretirement benefits obligation under this plan is $0.6 million (December 31, 2019 — $0.7 million). For the three and six months ended June 30, 2020, the Company has recorded expense of less than $0.1 million and less than $0.1 million, respectively (2019 — less than $0.1 million and less than $0.1 million, respectively) related to this plan.</w:t>
      </w:r>
    </w:p>
    <w:p>
      <w:pPr>
        <w:spacing w:after="0" w:line="152"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4"/>
          <w:szCs w:val="14"/>
          <w:b w:val="1"/>
          <w:bCs w:val="1"/>
          <w:i w:val="1"/>
          <w:iCs w:val="1"/>
          <w:color w:val="auto"/>
        </w:rPr>
        <w:t>Postretirement Benefits – Canadian Employees</w:t>
      </w:r>
    </w:p>
    <w:p>
      <w:pPr>
        <w:spacing w:after="0" w:line="180" w:lineRule="exact"/>
        <w:rPr>
          <w:sz w:val="20"/>
          <w:szCs w:val="20"/>
          <w:color w:val="auto"/>
        </w:rPr>
      </w:pPr>
    </w:p>
    <w:p>
      <w:pPr>
        <w:jc w:val="both"/>
        <w:ind w:firstLine="224"/>
        <w:spacing w:after="0" w:line="297" w:lineRule="auto"/>
        <w:rPr>
          <w:sz w:val="20"/>
          <w:szCs w:val="20"/>
          <w:color w:val="auto"/>
        </w:rPr>
      </w:pPr>
      <w:r>
        <w:rPr>
          <w:rFonts w:ascii="Arial" w:cs="Arial" w:eastAsia="Arial" w:hAnsi="Arial"/>
          <w:sz w:val="16"/>
          <w:szCs w:val="16"/>
          <w:color w:val="auto"/>
        </w:rPr>
        <w:t>The Company has an unfunded postretirement plan for its Canadian employees meeting specific eligibility requirements. The Company will provide eligible participants, upon retirement, with health and welfare benefits. As at June 30, 2020, the Company’s postretirement benefits obligation under this plan is $1.5 million (December 31, 2019 — $1.6 million). For the three and six months ended June 30, 2020, the Company has recorded expense of less than $0.1 million and $0.1 million, respectively (2019 — less than $0.1 million and less than $0.1 million, respectively) related to this plan.</w:t>
      </w:r>
    </w:p>
    <w:p>
      <w:pPr>
        <w:spacing w:after="0" w:line="131"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4"/>
          <w:szCs w:val="14"/>
          <w:b w:val="1"/>
          <w:bCs w:val="1"/>
          <w:i w:val="1"/>
          <w:iCs w:val="1"/>
          <w:color w:val="auto"/>
        </w:rPr>
        <w:t>Deferred Compensation Benefit Plan</w:t>
      </w:r>
    </w:p>
    <w:p>
      <w:pPr>
        <w:spacing w:after="0" w:line="180" w:lineRule="exact"/>
        <w:rPr>
          <w:sz w:val="20"/>
          <w:szCs w:val="20"/>
          <w:color w:val="auto"/>
        </w:rPr>
      </w:pPr>
    </w:p>
    <w:p>
      <w:pPr>
        <w:jc w:val="both"/>
        <w:ind w:firstLine="224"/>
        <w:spacing w:after="0" w:line="289" w:lineRule="auto"/>
        <w:rPr>
          <w:sz w:val="20"/>
          <w:szCs w:val="20"/>
          <w:color w:val="auto"/>
        </w:rPr>
      </w:pPr>
      <w:r>
        <w:rPr>
          <w:rFonts w:ascii="Arial" w:cs="Arial" w:eastAsia="Arial" w:hAnsi="Arial"/>
          <w:sz w:val="16"/>
          <w:szCs w:val="16"/>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he incurred a separation from service (as defined therein). In the fourth quarter of 2018, the executive incurred a separation from service, and as such, the Retirement Plan benefits became fully vested as at December 31, 2018 and the accelerated costs were recognized and reflected in Executive Transition Costs on the Consolidated Statement of Operations. As at June 30, 2020, the Company had a funded benefit obligation recorded of $3.6 million (December 31, 2019 — $3.6 million). The Company did not recognize any additional expenses in the three and six months ended June 30, 2020 and 2019.</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ind w:left="320" w:hanging="313"/>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97" w:lineRule="exact"/>
        <w:rPr>
          <w:rFonts w:ascii="Arial" w:cs="Arial" w:eastAsia="Arial" w:hAnsi="Arial"/>
          <w:sz w:val="18"/>
          <w:szCs w:val="18"/>
          <w:b w:val="1"/>
          <w:bCs w:val="1"/>
          <w:color w:val="auto"/>
        </w:rPr>
      </w:pPr>
    </w:p>
    <w:p>
      <w:pPr>
        <w:ind w:left="600" w:hanging="379"/>
        <w:spacing w:after="0"/>
        <w:tabs>
          <w:tab w:leader="none" w:pos="600" w:val="left"/>
        </w:tabs>
        <w:numPr>
          <w:ilvl w:val="1"/>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180" w:lineRule="exact"/>
        <w:rPr>
          <w:sz w:val="20"/>
          <w:szCs w:val="20"/>
          <w:color w:val="auto"/>
        </w:rPr>
      </w:pPr>
    </w:p>
    <w:p>
      <w:pPr>
        <w:ind w:left="220" w:right="820" w:firstLine="11"/>
        <w:spacing w:after="0" w:line="449" w:lineRule="auto"/>
        <w:rPr>
          <w:sz w:val="20"/>
          <w:szCs w:val="20"/>
          <w:color w:val="auto"/>
        </w:rPr>
      </w:pPr>
      <w:r>
        <w:rPr>
          <w:rFonts w:ascii="Arial" w:cs="Arial" w:eastAsia="Arial" w:hAnsi="Arial"/>
          <w:sz w:val="18"/>
          <w:szCs w:val="18"/>
          <w:color w:val="auto"/>
        </w:rPr>
        <w:t xml:space="preserve">The Company maintains cash with various major financial institutions. The Company’s cash is invested with highly rated financial institutions. </w:t>
      </w:r>
      <w:r>
        <w:rPr>
          <w:rFonts w:ascii="Arial" w:cs="Arial" w:eastAsia="Arial" w:hAnsi="Arial"/>
          <w:sz w:val="18"/>
          <w:szCs w:val="18"/>
          <w:b w:val="1"/>
          <w:bCs w:val="1"/>
          <w:i w:val="1"/>
          <w:iCs w:val="1"/>
          <w:color w:val="auto"/>
        </w:rPr>
        <w:t>(b) Fair Value Measurements</w:t>
      </w:r>
    </w:p>
    <w:p>
      <w:pPr>
        <w:ind w:firstLine="225"/>
        <w:spacing w:after="0" w:line="334" w:lineRule="auto"/>
        <w:rPr>
          <w:sz w:val="20"/>
          <w:szCs w:val="20"/>
          <w:color w:val="auto"/>
        </w:rPr>
      </w:pPr>
      <w:r>
        <w:rPr>
          <w:rFonts w:ascii="Arial" w:cs="Arial" w:eastAsia="Arial" w:hAnsi="Arial"/>
          <w:sz w:val="16"/>
          <w:szCs w:val="16"/>
          <w:color w:val="auto"/>
        </w:rPr>
        <w:t>The carrying values of the Company’s cash and cash equivalents, accounts receivable, accounts payable and accrued liabilities due within one year approximate fair values due to the short-term maturity of these instruments. The Company’s other financial instruments are comprised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As at June 30, 2020</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As at December 31, 2019</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080" w:type="dxa"/>
            <w:vAlign w:val="bottom"/>
          </w:tcPr>
          <w:p>
            <w:pPr>
              <w:jc w:val="right"/>
              <w:ind w:right="294"/>
              <w:spacing w:after="0" w:line="131"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335"/>
              <w:spacing w:after="0" w:line="131"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294"/>
              <w:spacing w:after="0" w:line="131"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08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5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80" w:type="dxa"/>
            <w:vAlign w:val="bottom"/>
            <w:tcBorders>
              <w:top w:val="single" w:sz="8" w:color="CFF0FC"/>
            </w:tcBorders>
            <w:gridSpan w:val="2"/>
            <w:shd w:val="clear" w:color="auto" w:fill="CFF0FC"/>
          </w:tcPr>
          <w:p>
            <w:pPr>
              <w:spacing w:after="0" w:line="181" w:lineRule="exact"/>
              <w:rPr>
                <w:sz w:val="20"/>
                <w:szCs w:val="20"/>
                <w:color w:val="auto"/>
              </w:rPr>
            </w:pPr>
            <w:r>
              <w:rPr>
                <w:rFonts w:ascii="Arial" w:cs="Arial" w:eastAsia="Arial" w:hAnsi="Arial"/>
                <w:sz w:val="18"/>
                <w:szCs w:val="18"/>
                <w:color w:val="auto"/>
              </w:rPr>
              <w:t>Level 1</w:t>
            </w:r>
          </w:p>
        </w:tc>
        <w:tc>
          <w:tcPr>
            <w:tcW w:w="8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FF0FC"/>
          </w:tcPr>
          <w:p>
            <w:pPr>
              <w:spacing w:after="0" w:line="20" w:lineRule="exact"/>
              <w:rPr>
                <w:sz w:val="1"/>
                <w:szCs w:val="1"/>
                <w:color w:val="auto"/>
              </w:rPr>
            </w:pPr>
          </w:p>
        </w:tc>
        <w:tc>
          <w:tcPr>
            <w:tcW w:w="44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318,986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318,986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109,484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109,484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15"/>
                <w:szCs w:val="15"/>
                <w:color w:val="auto"/>
              </w:rPr>
              <w:t>(3)</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13,192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13,192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15,685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15,685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980" w:type="dxa"/>
            <w:vAlign w:val="bottom"/>
            <w:gridSpan w:val="2"/>
          </w:tcPr>
          <w:p>
            <w:pPr>
              <w:spacing w:after="0" w:line="187" w:lineRule="exact"/>
              <w:rPr>
                <w:sz w:val="20"/>
                <w:szCs w:val="20"/>
                <w:color w:val="auto"/>
              </w:rPr>
            </w:pPr>
            <w:r>
              <w:rPr>
                <w:rFonts w:ascii="Arial" w:cs="Arial" w:eastAsia="Arial" w:hAnsi="Arial"/>
                <w:sz w:val="18"/>
                <w:szCs w:val="18"/>
                <w:color w:val="auto"/>
              </w:rPr>
              <w:t>Level 2</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financed sales receivables</w:t>
            </w:r>
            <w:r>
              <w:rPr>
                <w:rFonts w:ascii="Arial" w:cs="Arial" w:eastAsia="Arial" w:hAnsi="Arial"/>
                <w:sz w:val="15"/>
                <w:szCs w:val="15"/>
                <w:color w:val="auto"/>
              </w:rPr>
              <w:t>(2)</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108,081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108,430</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112,432</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111,441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 xml:space="preserve">Net investment in sales-type leases </w:t>
            </w:r>
            <w:r>
              <w:rPr>
                <w:rFonts w:ascii="Arial" w:cs="Arial" w:eastAsia="Arial" w:hAnsi="Arial"/>
                <w:sz w:val="15"/>
                <w:szCs w:val="15"/>
                <w:color w:val="auto"/>
              </w:rPr>
              <w:t>(2)</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15,784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15,516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15,606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15,309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Convertible loan receivable </w:t>
            </w:r>
            <w:r>
              <w:rPr>
                <w:rFonts w:ascii="Arial" w:cs="Arial" w:eastAsia="Arial" w:hAnsi="Arial"/>
                <w:sz w:val="15"/>
                <w:szCs w:val="15"/>
                <w:color w:val="auto"/>
              </w:rPr>
              <w:t>(2)</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Equity securities</w:t>
            </w:r>
            <w:r>
              <w:rPr>
                <w:rFonts w:ascii="Arial" w:cs="Arial" w:eastAsia="Arial" w:hAnsi="Arial"/>
                <w:sz w:val="15"/>
                <w:szCs w:val="15"/>
                <w:color w:val="auto"/>
              </w:rPr>
              <w:t>(1)</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exchange contracts — designated forwards</w:t>
            </w:r>
            <w:r>
              <w:rPr>
                <w:rFonts w:ascii="Arial" w:cs="Arial" w:eastAsia="Arial" w:hAnsi="Arial"/>
                <w:sz w:val="15"/>
                <w:szCs w:val="15"/>
                <w:color w:val="auto"/>
              </w:rPr>
              <w:t>(3)</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Foreign exchange contracts — non-designated forwards</w:t>
            </w:r>
            <w:r>
              <w:rPr>
                <w:rFonts w:ascii="Arial" w:cs="Arial" w:eastAsia="Arial" w:hAnsi="Arial"/>
                <w:sz w:val="15"/>
                <w:szCs w:val="15"/>
                <w:color w:val="auto"/>
              </w:rPr>
              <w:t>(3)</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Bank indebtedness - under the Working Capital Facility</w:t>
            </w:r>
            <w:r>
              <w:rPr>
                <w:rFonts w:ascii="Arial" w:cs="Arial" w:eastAsia="Arial" w:hAnsi="Arial"/>
                <w:sz w:val="15"/>
                <w:szCs w:val="15"/>
                <w:color w:val="auto"/>
              </w:rPr>
              <w:t>(1)</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Bank indebtedness - under the Credit Facility</w:t>
            </w:r>
            <w:r>
              <w:rPr>
                <w:rFonts w:ascii="Arial" w:cs="Arial" w:eastAsia="Arial" w:hAnsi="Arial"/>
                <w:sz w:val="15"/>
                <w:szCs w:val="15"/>
                <w:color w:val="auto"/>
              </w:rPr>
              <w:t>(1)</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949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53" w:lineRule="exact"/>
        <w:rPr>
          <w:sz w:val="20"/>
          <w:szCs w:val="20"/>
          <w:color w:val="auto"/>
        </w:rPr>
      </w:pPr>
    </w:p>
    <w:p>
      <w:pPr>
        <w:ind w:left="380" w:hanging="37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Recorded at cost, which approximates fair value.</w:t>
      </w:r>
    </w:p>
    <w:p>
      <w:pPr>
        <w:spacing w:after="0" w:line="19" w:lineRule="exact"/>
        <w:rPr>
          <w:rFonts w:ascii="Arial" w:cs="Arial" w:eastAsia="Arial" w:hAnsi="Arial"/>
          <w:sz w:val="18"/>
          <w:szCs w:val="18"/>
          <w:color w:val="auto"/>
        </w:rPr>
      </w:pPr>
    </w:p>
    <w:p>
      <w:pPr>
        <w:ind w:left="380" w:hanging="37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Estimated based on discounting future cash flows at currently available interest rates with comparable terms.</w:t>
      </w:r>
    </w:p>
    <w:p>
      <w:pPr>
        <w:spacing w:after="0" w:line="6" w:lineRule="exact"/>
        <w:rPr>
          <w:rFonts w:ascii="Arial" w:cs="Arial" w:eastAsia="Arial" w:hAnsi="Arial"/>
          <w:sz w:val="18"/>
          <w:szCs w:val="18"/>
          <w:color w:val="auto"/>
        </w:rPr>
      </w:pPr>
    </w:p>
    <w:p>
      <w:pPr>
        <w:ind w:left="380" w:hanging="37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Value determined using quoted prices in active markets.</w:t>
      </w:r>
    </w:p>
    <w:p>
      <w:pPr>
        <w:spacing w:after="0" w:line="181"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When a determination is made to classify an asset or liability within Level 3, the determination is based upon the significance of the unobservable inputs to the overall fair value measurement. There were no significant transfers in or out of the Company’s Level 3 assets during the three and six months ended June 30, 2020 and 2019.</w:t>
      </w:r>
    </w:p>
    <w:p>
      <w:pPr>
        <w:spacing w:after="0" w:line="145"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4"/>
          <w:szCs w:val="14"/>
          <w:b w:val="1"/>
          <w:bCs w:val="1"/>
          <w:i w:val="1"/>
          <w:iCs w:val="1"/>
          <w:color w:val="auto"/>
        </w:rPr>
        <w:t>Foreign Exchange Risk Management</w:t>
      </w:r>
    </w:p>
    <w:p>
      <w:pPr>
        <w:spacing w:after="0" w:line="18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Company is exposed to market risk from changes in foreign currency rates. A majority of the Company’s revenues is denominated in U.S. dollars while a substantial portion of its costs and expenses is denominated in Canadian dollars. A portion of the net U.S. dollar cash flows of the Company is periodically converted to Canadian dollars to fund Canadian dollar expenses through the spot market. In China and Japan, the Company has ongoing operating expenses related to its operations in Chinese Renminbi and Japanese yen, respectively. Net cash flows are converted to and from U.S. dollars through the spot market. The Company also has cash receipts under leases denominated in Chinese Renminbi, Japanese yen, Canadian dollars and Euros which are converted to U.S. dollars through the spot market. In addition, because IMAX films generate box office in 81 different countries, unfavourable exchange rates between applicable local currencies and the U.S. dollar affect the Company’s reported gross box-office and revenues, further impacting the Company’s results of operations. The Company’s policy is to not use any financial instruments for trading or other speculative purposes.</w:t>
      </w:r>
    </w:p>
    <w:p>
      <w:pPr>
        <w:spacing w:after="0" w:line="130"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Company entered into a series of foreign currency forward contracts to manage the Company’s risks associated with the volatility of foreign currencies. Certain of these foreign currency forward contracts met the criteria required for hedge accounting under the Derivatives and Hedging Topic of the FASB ASC at inception, and continue to meet hedge effectiveness tests at June 30, 2020 (the “Foreign Currency Hedges”), with settlement dates throughout 2020 and 2021. Foreign currency derivatives are recognized and measured in the Condensed Consolidated Balance Sheets at fair value. Changes in the fair value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0" w:name="page41"/>
    <w:bookmarkEnd w:id="40"/>
    <w:p>
      <w:pPr>
        <w:jc w:val="both"/>
        <w:spacing w:after="0" w:line="252" w:lineRule="auto"/>
        <w:rPr>
          <w:sz w:val="20"/>
          <w:szCs w:val="20"/>
          <w:color w:val="auto"/>
        </w:rPr>
      </w:pPr>
      <w:r>
        <w:rPr>
          <w:rFonts w:ascii="Arial" w:cs="Arial" w:eastAsia="Arial" w:hAnsi="Arial"/>
          <w:sz w:val="18"/>
          <w:szCs w:val="18"/>
          <w:color w:val="auto"/>
        </w:rPr>
        <w:t>expenses and inventories. For foreign currency cash flow hedging instruments related to selling, general and administrative expenses, the effective portion of the gain or loss in a hedge of a forecasted transaction is reported in Other Comprehensive Income and reclassified to the Condensed Consolidated Statements of Operations when the forecasted transaction occurs. For foreign currency cash flow hedging instruments related to inventories, the effective portion of the gain or loss in a hedge of a forecasted transaction is reported in Other Comprehensive Income and reclassified to Inventories in the Condensed Consolidated Balance Sheets when the forecasted transaction occurs. Any ineffective portion is recognized immediately in the Condensed Consolidated Statement of Operations.</w:t>
      </w:r>
    </w:p>
    <w:p>
      <w:pPr>
        <w:spacing w:after="0" w:line="165"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On April 28, 2020, the FASB staff issued a question-and-answer document (Q&amp;A) to respond to frequently asked questions about the disruptive effects of COVID-19 on cash flow hedge accounting. FASB Accounting Standards Codification Topic 815, Derivative and Hedging, provides guidance on when to discontinue cash flow hedge accounting and when and how to reclassify amounts deferred in accumulated other comprehensive income (AOCI) to earnings. The Q&amp;A document addresses how the postponement or cancellation of forecasted transactions related to the effects of the COVID-19 pandemic should be considered when applying cash flow hedge accounting under Topic 815. The Company has considered the Q&amp;A document when applying cash hedge flow accounting under Topic 815. The guidance did not have a material impact to the Company’s Condensed Consolidated Financial Statements.</w:t>
      </w:r>
    </w:p>
    <w:p>
      <w:pPr>
        <w:spacing w:after="0" w:line="127"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tabular disclosures reflect the impact that derivative instruments and hedging activities have on the Company’s Condensed Consolidated Financial Statements:</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Notional value of foreign exchange contracts: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257"/>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12"/>
        </w:trPr>
        <w:tc>
          <w:tcPr>
            <w:tcW w:w="456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27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Derivatives designated as hedging instruments:</w:t>
            </w:r>
          </w:p>
        </w:tc>
        <w:tc>
          <w:tcPr>
            <w:tcW w:w="38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60" w:type="dxa"/>
            <w:vAlign w:val="bottom"/>
          </w:tcPr>
          <w:p>
            <w:pPr>
              <w:ind w:left="120"/>
              <w:spacing w:after="0"/>
              <w:rPr>
                <w:sz w:val="20"/>
                <w:szCs w:val="20"/>
                <w:color w:val="auto"/>
              </w:rPr>
            </w:pPr>
            <w:r>
              <w:rPr>
                <w:rFonts w:ascii="Arial" w:cs="Arial" w:eastAsia="Arial" w:hAnsi="Arial"/>
                <w:sz w:val="18"/>
                <w:szCs w:val="18"/>
                <w:color w:val="auto"/>
              </w:rPr>
              <w:t>Foreign exchange contracts — Forwards</w:t>
            </w:r>
          </w:p>
        </w:tc>
        <w:tc>
          <w:tcPr>
            <w:tcW w:w="3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40" w:type="dxa"/>
            <w:vAlign w:val="bottom"/>
            <w:gridSpan w:val="3"/>
          </w:tcPr>
          <w:p>
            <w:pPr>
              <w:jc w:val="right"/>
              <w:ind w:right="168"/>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32,437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36,052</w:t>
            </w:r>
          </w:p>
        </w:tc>
        <w:tc>
          <w:tcPr>
            <w:tcW w:w="0" w:type="dxa"/>
            <w:vAlign w:val="bottom"/>
          </w:tcPr>
          <w:p>
            <w:pPr>
              <w:spacing w:after="0"/>
              <w:rPr>
                <w:sz w:val="1"/>
                <w:szCs w:val="1"/>
                <w:color w:val="auto"/>
              </w:rPr>
            </w:pPr>
          </w:p>
        </w:tc>
      </w:tr>
      <w:tr>
        <w:trPr>
          <w:trHeight w:val="228"/>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hedging instruments:</w:t>
            </w:r>
          </w:p>
        </w:tc>
        <w:tc>
          <w:tcPr>
            <w:tcW w:w="38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Foreign exchange contracts — Forwards</w:t>
            </w:r>
          </w:p>
        </w:tc>
        <w:tc>
          <w:tcPr>
            <w:tcW w:w="380" w:type="dxa"/>
            <w:vAlign w:val="bottom"/>
            <w:tcBorders>
              <w:bottom w:val="single" w:sz="8" w:color="CFF0FC"/>
            </w:tcBorders>
          </w:tcPr>
          <w:p>
            <w:pPr>
              <w:spacing w:after="0"/>
              <w:rPr>
                <w:sz w:val="19"/>
                <w:szCs w:val="19"/>
                <w:color w:val="auto"/>
              </w:rPr>
            </w:pPr>
          </w:p>
        </w:tc>
        <w:tc>
          <w:tcPr>
            <w:tcW w:w="27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3,584</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5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7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ind w:right="168"/>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36,021</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36,052</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240"/>
              <w:spacing w:after="0"/>
              <w:rPr>
                <w:sz w:val="20"/>
                <w:szCs w:val="20"/>
                <w:color w:val="auto"/>
              </w:rPr>
            </w:pPr>
            <w:r>
              <w:rPr>
                <w:rFonts w:ascii="Arial" w:cs="Arial" w:eastAsia="Arial" w:hAnsi="Arial"/>
                <w:sz w:val="18"/>
                <w:szCs w:val="18"/>
                <w:color w:val="auto"/>
                <w:w w:val="98"/>
              </w:rPr>
              <w:t>Fair value of derivatives in foreign exchange contracts:</w:t>
            </w:r>
          </w:p>
        </w:tc>
        <w:tc>
          <w:tcPr>
            <w:tcW w:w="3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5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3"/>
          </w:tcPr>
          <w:p>
            <w:pPr>
              <w:ind w:left="2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center"/>
              <w:ind w:right="257"/>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212"/>
        </w:trPr>
        <w:tc>
          <w:tcPr>
            <w:tcW w:w="4560" w:type="dxa"/>
            <w:vAlign w:val="bottom"/>
          </w:tcPr>
          <w:p>
            <w:pPr>
              <w:spacing w:after="0"/>
              <w:rPr>
                <w:sz w:val="18"/>
                <w:szCs w:val="18"/>
                <w:color w:val="auto"/>
              </w:rPr>
            </w:pPr>
          </w:p>
        </w:tc>
        <w:tc>
          <w:tcPr>
            <w:tcW w:w="3080" w:type="dxa"/>
            <w:vAlign w:val="bottom"/>
            <w:gridSpan w:val="2"/>
          </w:tcPr>
          <w:p>
            <w:pPr>
              <w:ind w:left="38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61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23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0"/>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hedging instruments:</w:t>
            </w:r>
          </w:p>
        </w:tc>
        <w:tc>
          <w:tcPr>
            <w:tcW w:w="380" w:type="dxa"/>
            <w:vAlign w:val="bottom"/>
            <w:tcBorders>
              <w:top w:val="single" w:sz="8" w:color="CFF0FC"/>
            </w:tcBorders>
            <w:shd w:val="clear" w:color="auto" w:fill="CFF0FC"/>
          </w:tcPr>
          <w:p>
            <w:pPr>
              <w:spacing w:after="0"/>
              <w:rPr>
                <w:sz w:val="19"/>
                <w:szCs w:val="19"/>
                <w:color w:val="auto"/>
              </w:rPr>
            </w:pPr>
          </w:p>
        </w:tc>
        <w:tc>
          <w:tcPr>
            <w:tcW w:w="2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60" w:type="dxa"/>
            <w:vAlign w:val="bottom"/>
          </w:tcPr>
          <w:p>
            <w:pPr>
              <w:ind w:left="120"/>
              <w:spacing w:after="0"/>
              <w:rPr>
                <w:sz w:val="20"/>
                <w:szCs w:val="20"/>
                <w:color w:val="auto"/>
              </w:rPr>
            </w:pPr>
            <w:r>
              <w:rPr>
                <w:rFonts w:ascii="Arial" w:cs="Arial" w:eastAsia="Arial" w:hAnsi="Arial"/>
                <w:sz w:val="18"/>
                <w:szCs w:val="18"/>
                <w:color w:val="auto"/>
              </w:rPr>
              <w:t>Foreign exchange contracts — Forwards</w:t>
            </w:r>
          </w:p>
        </w:tc>
        <w:tc>
          <w:tcPr>
            <w:tcW w:w="3080" w:type="dxa"/>
            <w:vAlign w:val="bottom"/>
            <w:gridSpan w:val="2"/>
          </w:tcPr>
          <w:p>
            <w:pPr>
              <w:ind w:left="380"/>
              <w:spacing w:after="0"/>
              <w:rPr>
                <w:sz w:val="20"/>
                <w:szCs w:val="20"/>
                <w:color w:val="auto"/>
              </w:rPr>
            </w:pPr>
            <w:r>
              <w:rPr>
                <w:rFonts w:ascii="Arial" w:cs="Arial" w:eastAsia="Arial" w:hAnsi="Arial"/>
                <w:sz w:val="18"/>
                <w:szCs w:val="18"/>
                <w:color w:val="auto"/>
              </w:rPr>
              <w:t>Other assets</w:t>
            </w:r>
          </w:p>
        </w:tc>
        <w:tc>
          <w:tcPr>
            <w:tcW w:w="440" w:type="dxa"/>
            <w:vAlign w:val="bottom"/>
            <w:gridSpan w:val="3"/>
          </w:tcPr>
          <w:p>
            <w:pPr>
              <w:jc w:val="right"/>
              <w:ind w:right="128"/>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7"/>
        </w:trPr>
        <w:tc>
          <w:tcPr>
            <w:tcW w:w="4560" w:type="dxa"/>
            <w:vAlign w:val="bottom"/>
            <w:shd w:val="clear" w:color="auto" w:fill="CFF0FC"/>
          </w:tcPr>
          <w:p>
            <w:pPr>
              <w:spacing w:after="0"/>
              <w:rPr>
                <w:sz w:val="19"/>
                <w:szCs w:val="19"/>
                <w:color w:val="auto"/>
              </w:rPr>
            </w:pPr>
          </w:p>
        </w:tc>
        <w:tc>
          <w:tcPr>
            <w:tcW w:w="30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Accrued and other liabilities</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7"/>
        </w:trPr>
        <w:tc>
          <w:tcPr>
            <w:tcW w:w="456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3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Foreign exchange contracts — Forwards</w:t>
            </w:r>
          </w:p>
        </w:tc>
        <w:tc>
          <w:tcPr>
            <w:tcW w:w="30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57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560" w:type="dxa"/>
            <w:vAlign w:val="bottom"/>
            <w:tcBorders>
              <w:bottom w:val="single" w:sz="8" w:color="CFF0FC"/>
            </w:tcBorders>
          </w:tcPr>
          <w:p>
            <w:pPr>
              <w:spacing w:after="0"/>
              <w:rPr>
                <w:sz w:val="19"/>
                <w:szCs w:val="19"/>
                <w:color w:val="auto"/>
              </w:rPr>
            </w:pPr>
          </w:p>
        </w:tc>
        <w:tc>
          <w:tcPr>
            <w:tcW w:w="308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Accrued and other liabilities</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45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7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080" w:type="dxa"/>
            <w:vAlign w:val="bottom"/>
            <w:gridSpan w:val="2"/>
            <w:vMerge w:val="restart"/>
          </w:tcPr>
          <w:p>
            <w:pPr>
              <w:jc w:val="right"/>
              <w:ind w:right="19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4560" w:type="dxa"/>
            <w:vAlign w:val="bottom"/>
          </w:tcPr>
          <w:p>
            <w:pPr>
              <w:spacing w:after="0"/>
              <w:rPr>
                <w:sz w:val="24"/>
                <w:szCs w:val="24"/>
                <w:color w:val="auto"/>
              </w:rPr>
            </w:pPr>
          </w:p>
        </w:tc>
        <w:tc>
          <w:tcPr>
            <w:tcW w:w="30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color w:val="auto"/>
        </w:rPr>
        <w:t>Derivatives in Foreign Currency Hedging relationships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right="337"/>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220"/>
        </w:trPr>
        <w:tc>
          <w:tcPr>
            <w:tcW w:w="26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0"/>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2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 Gain (Loss)</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2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2720" w:type="dxa"/>
            <w:vAlign w:val="bottom"/>
          </w:tcPr>
          <w:p>
            <w:pPr>
              <w:ind w:left="120"/>
              <w:spacing w:after="0"/>
              <w:rPr>
                <w:sz w:val="20"/>
                <w:szCs w:val="20"/>
                <w:color w:val="auto"/>
              </w:rPr>
            </w:pPr>
            <w:r>
              <w:rPr>
                <w:rFonts w:ascii="Arial" w:cs="Arial" w:eastAsia="Arial" w:hAnsi="Arial"/>
                <w:sz w:val="18"/>
                <w:szCs w:val="18"/>
                <w:color w:val="auto"/>
              </w:rPr>
              <w:t>Recognized in OCI</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20" w:type="dxa"/>
            <w:vAlign w:val="bottom"/>
            <w:shd w:val="clear" w:color="auto" w:fill="CFF0FC"/>
          </w:tcPr>
          <w:p>
            <w:pPr>
              <w:spacing w:after="0"/>
              <w:rPr>
                <w:sz w:val="19"/>
                <w:szCs w:val="19"/>
                <w:color w:val="auto"/>
              </w:rPr>
            </w:pPr>
          </w:p>
        </w:tc>
        <w:tc>
          <w:tcPr>
            <w:tcW w:w="2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(Effective Portion)</w:t>
            </w:r>
          </w:p>
        </w:tc>
        <w:tc>
          <w:tcPr>
            <w:tcW w:w="940" w:type="dxa"/>
            <w:vAlign w:val="bottom"/>
            <w:gridSpan w:val="3"/>
            <w:shd w:val="clear" w:color="auto" w:fill="CFF0FC"/>
          </w:tcPr>
          <w:p>
            <w:pPr>
              <w:jc w:val="right"/>
              <w:ind w:right="62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4"/>
              </w:rPr>
              <w:t>1,334</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7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297</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tcBorders>
          </w:tcPr>
          <w:p>
            <w:pPr>
              <w:spacing w:after="0" w:line="20" w:lineRule="exact"/>
              <w:rPr>
                <w:sz w:val="1"/>
                <w:szCs w:val="1"/>
                <w:color w:val="auto"/>
              </w:rPr>
            </w:pPr>
          </w:p>
        </w:tc>
        <w:tc>
          <w:tcPr>
            <w:tcW w:w="2720" w:type="dxa"/>
            <w:vAlign w:val="bottom"/>
            <w:tcBorders>
              <w:top w:val="single" w:sz="8" w:color="CFF0FC"/>
              <w:bottom w:val="single" w:sz="8" w:color="CFF0FC"/>
            </w:tcBorders>
            <w:vMerge w:val="restart"/>
          </w:tcPr>
          <w:p>
            <w:pPr>
              <w:jc w:val="center"/>
              <w:spacing w:after="0"/>
              <w:rPr>
                <w:sz w:val="20"/>
                <w:szCs w:val="20"/>
                <w:color w:val="auto"/>
              </w:rPr>
            </w:pPr>
            <w:r>
              <w:rPr>
                <w:rFonts w:ascii="Arial" w:cs="Arial" w:eastAsia="Arial" w:hAnsi="Arial"/>
                <w:sz w:val="14"/>
                <w:szCs w:val="14"/>
                <w:b w:val="1"/>
                <w:bCs w:val="1"/>
                <w:color w:val="auto"/>
                <w:w w:val="90"/>
              </w:rPr>
              <w:t>Location of Derivative Loss</w:t>
            </w: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6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3"/>
              </w:rPr>
              <w:t>Reclassified from AOCI</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ind w:right="337"/>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220"/>
        </w:trPr>
        <w:tc>
          <w:tcPr>
            <w:tcW w:w="262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0"/>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2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Selling, general and</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2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2720" w:type="dxa"/>
            <w:vAlign w:val="bottom"/>
          </w:tcPr>
          <w:p>
            <w:pPr>
              <w:ind w:left="120"/>
              <w:spacing w:after="0"/>
              <w:rPr>
                <w:sz w:val="20"/>
                <w:szCs w:val="20"/>
                <w:color w:val="auto"/>
              </w:rPr>
            </w:pPr>
            <w:r>
              <w:rPr>
                <w:rFonts w:ascii="Arial" w:cs="Arial" w:eastAsia="Arial" w:hAnsi="Arial"/>
                <w:sz w:val="18"/>
                <w:szCs w:val="18"/>
                <w:color w:val="auto"/>
              </w:rPr>
              <w:t>administrative expenses</w:t>
            </w:r>
          </w:p>
        </w:tc>
        <w:tc>
          <w:tcPr>
            <w:tcW w:w="940" w:type="dxa"/>
            <w:vAlign w:val="bottom"/>
            <w:gridSpan w:val="3"/>
          </w:tcPr>
          <w:p>
            <w:pPr>
              <w:jc w:val="right"/>
              <w:ind w:right="62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7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5"/>
              </w:rPr>
              <w:t>(355)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jc w:val="right"/>
              <w:ind w:right="2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27"/>
        </w:trPr>
        <w:tc>
          <w:tcPr>
            <w:tcW w:w="262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7"/>
        </w:trPr>
        <w:tc>
          <w:tcPr>
            <w:tcW w:w="26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2620" w:type="dxa"/>
            <w:vAlign w:val="bottom"/>
            <w:tcBorders>
              <w:top w:val="single" w:sz="8" w:color="CFF0FC"/>
              <w:bottom w:val="single" w:sz="8" w:color="CFF0FC"/>
            </w:tcBorders>
            <w:shd w:val="clear" w:color="auto" w:fill="CFF0FC"/>
          </w:tcPr>
          <w:p>
            <w:pPr>
              <w:spacing w:after="0"/>
              <w:rPr>
                <w:sz w:val="19"/>
                <w:szCs w:val="19"/>
                <w:color w:val="auto"/>
              </w:rPr>
            </w:pPr>
          </w:p>
        </w:tc>
        <w:tc>
          <w:tcPr>
            <w:tcW w:w="27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FF0FC"/>
          </w:tcPr>
          <w:p>
            <w:pPr>
              <w:jc w:val="right"/>
              <w:ind w:right="629"/>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ind w:right="74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(374)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6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right="297"/>
              <w:spacing w:after="0"/>
              <w:rPr>
                <w:sz w:val="20"/>
                <w:szCs w:val="20"/>
                <w:color w:val="auto"/>
              </w:rPr>
            </w:pPr>
            <w:r>
              <w:rPr>
                <w:rFonts w:ascii="Arial" w:cs="Arial" w:eastAsia="Arial" w:hAnsi="Arial"/>
                <w:sz w:val="14"/>
                <w:szCs w:val="14"/>
                <w:b w:val="1"/>
                <w:bCs w:val="1"/>
                <w:color w:val="auto"/>
                <w:w w:val="89"/>
              </w:rPr>
              <w:t>Six months ended June 30,</w:t>
            </w:r>
          </w:p>
        </w:tc>
        <w:tc>
          <w:tcPr>
            <w:tcW w:w="0" w:type="dxa"/>
            <w:vAlign w:val="bottom"/>
          </w:tcPr>
          <w:p>
            <w:pPr>
              <w:spacing w:after="0"/>
              <w:rPr>
                <w:sz w:val="1"/>
                <w:szCs w:val="1"/>
                <w:color w:val="auto"/>
              </w:rPr>
            </w:pPr>
          </w:p>
        </w:tc>
      </w:tr>
      <w:tr>
        <w:trPr>
          <w:trHeight w:val="220"/>
        </w:trPr>
        <w:tc>
          <w:tcPr>
            <w:tcW w:w="26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6"/>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27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w w:val="95"/>
              </w:rPr>
              <w:t>Derivative Gain (Loss) Recognized</w:t>
            </w: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20" w:type="dxa"/>
            <w:vAlign w:val="bottom"/>
            <w:shd w:val="clear" w:color="auto" w:fill="CFF0FC"/>
          </w:tcPr>
          <w:p>
            <w:pPr>
              <w:spacing w:after="0"/>
              <w:rPr>
                <w:sz w:val="19"/>
                <w:szCs w:val="19"/>
                <w:color w:val="auto"/>
              </w:rPr>
            </w:pPr>
          </w:p>
        </w:tc>
        <w:tc>
          <w:tcPr>
            <w:tcW w:w="2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2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2720" w:type="dxa"/>
            <w:vAlign w:val="bottom"/>
          </w:tcPr>
          <w:p>
            <w:pPr>
              <w:ind w:left="160"/>
              <w:spacing w:after="0"/>
              <w:rPr>
                <w:sz w:val="20"/>
                <w:szCs w:val="20"/>
                <w:color w:val="auto"/>
              </w:rPr>
            </w:pPr>
            <w:r>
              <w:rPr>
                <w:rFonts w:ascii="Arial" w:cs="Arial" w:eastAsia="Arial" w:hAnsi="Arial"/>
                <w:sz w:val="18"/>
                <w:szCs w:val="18"/>
                <w:color w:val="auto"/>
              </w:rPr>
              <w:t>and Out of OCI</w:t>
            </w:r>
          </w:p>
        </w:tc>
        <w:tc>
          <w:tcPr>
            <w:tcW w:w="940" w:type="dxa"/>
            <w:vAlign w:val="bottom"/>
            <w:gridSpan w:val="3"/>
          </w:tcPr>
          <w:p>
            <w:pPr>
              <w:jc w:val="right"/>
              <w:ind w:right="589"/>
              <w:spacing w:after="0"/>
              <w:rPr>
                <w:sz w:val="20"/>
                <w:szCs w:val="20"/>
                <w:color w:val="auto"/>
              </w:rPr>
            </w:pPr>
            <w:r>
              <w:rPr>
                <w:rFonts w:ascii="Arial" w:cs="Arial" w:eastAsia="Arial" w:hAnsi="Arial"/>
                <w:sz w:val="18"/>
                <w:szCs w:val="18"/>
                <w:color w:val="auto"/>
              </w:rPr>
              <w:t>$</w:t>
            </w:r>
          </w:p>
        </w:tc>
        <w:tc>
          <w:tcPr>
            <w:tcW w:w="6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7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 Designated Derivatives in Foreign Currency relationships are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r>
      <w:tr>
        <w:trPr>
          <w:trHeight w:val="220"/>
        </w:trPr>
        <w:tc>
          <w:tcPr>
            <w:tcW w:w="2280" w:type="dxa"/>
            <w:vAlign w:val="bottom"/>
            <w:tcBorders>
              <w:bottom w:val="single" w:sz="8" w:color="CFF0FC"/>
            </w:tcBorders>
          </w:tcPr>
          <w:p>
            <w:pPr>
              <w:spacing w:after="0"/>
              <w:rPr>
                <w:sz w:val="19"/>
                <w:szCs w:val="19"/>
                <w:color w:val="auto"/>
              </w:rPr>
            </w:pPr>
          </w:p>
        </w:tc>
        <w:tc>
          <w:tcPr>
            <w:tcW w:w="2880" w:type="dxa"/>
            <w:vAlign w:val="bottom"/>
            <w:tcBorders>
              <w:bottom w:val="single" w:sz="8" w:color="CFF0FC"/>
            </w:tcBorders>
          </w:tcPr>
          <w:p>
            <w:pPr>
              <w:ind w:left="840"/>
              <w:spacing w:after="0"/>
              <w:rPr>
                <w:sz w:val="20"/>
                <w:szCs w:val="20"/>
                <w:color w:val="auto"/>
              </w:rPr>
            </w:pPr>
            <w:r>
              <w:rPr>
                <w:rFonts w:ascii="Arial" w:cs="Arial" w:eastAsia="Arial" w:hAnsi="Arial"/>
                <w:sz w:val="14"/>
                <w:szCs w:val="14"/>
                <w:b w:val="1"/>
                <w:bCs w:val="1"/>
                <w:color w:val="auto"/>
              </w:rPr>
              <w:t>Location of Derivative Gain</w:t>
            </w:r>
          </w:p>
        </w:tc>
        <w:tc>
          <w:tcPr>
            <w:tcW w:w="3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28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Selling, general and</w:t>
            </w: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2280" w:type="dxa"/>
            <w:vAlign w:val="bottom"/>
          </w:tcPr>
          <w:p>
            <w:pPr>
              <w:ind w:left="120"/>
              <w:spacing w:after="0"/>
              <w:rPr>
                <w:sz w:val="20"/>
                <w:szCs w:val="20"/>
                <w:color w:val="auto"/>
              </w:rPr>
            </w:pPr>
            <w:r>
              <w:rPr>
                <w:rFonts w:ascii="Arial" w:cs="Arial" w:eastAsia="Arial" w:hAnsi="Arial"/>
                <w:sz w:val="18"/>
                <w:szCs w:val="18"/>
                <w:color w:val="auto"/>
              </w:rPr>
              <w:t>— Forwards</w:t>
            </w:r>
          </w:p>
        </w:tc>
        <w:tc>
          <w:tcPr>
            <w:tcW w:w="2880" w:type="dxa"/>
            <w:vAlign w:val="bottom"/>
          </w:tcPr>
          <w:p>
            <w:pPr>
              <w:ind w:left="460"/>
              <w:spacing w:after="0"/>
              <w:rPr>
                <w:sz w:val="20"/>
                <w:szCs w:val="20"/>
                <w:color w:val="auto"/>
              </w:rPr>
            </w:pPr>
            <w:r>
              <w:rPr>
                <w:rFonts w:ascii="Arial" w:cs="Arial" w:eastAsia="Arial" w:hAnsi="Arial"/>
                <w:sz w:val="18"/>
                <w:szCs w:val="18"/>
                <w:color w:val="auto"/>
              </w:rPr>
              <w:t>administrative expenses</w:t>
            </w: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0"/>
        </w:trPr>
        <w:tc>
          <w:tcPr>
            <w:tcW w:w="2280" w:type="dxa"/>
            <w:vAlign w:val="bottom"/>
            <w:tcBorders>
              <w:top w:val="single" w:sz="8" w:color="CFF0FC"/>
              <w:bottom w:val="single" w:sz="8" w:color="CFF0FC"/>
            </w:tcBorders>
            <w:shd w:val="clear" w:color="auto" w:fill="CFF0FC"/>
          </w:tcPr>
          <w:p>
            <w:pPr>
              <w:spacing w:after="0"/>
              <w:rPr>
                <w:sz w:val="19"/>
                <w:szCs w:val="19"/>
                <w:color w:val="auto"/>
              </w:rPr>
            </w:pPr>
          </w:p>
        </w:tc>
        <w:tc>
          <w:tcPr>
            <w:tcW w:w="28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Company's estimated net amount of the existing losses as at June 30, 2020 is $0.4 million, which is expected to be reclassified to earnings within the next twelve months.</w:t>
      </w:r>
    </w:p>
    <w:p>
      <w:pPr>
        <w:spacing w:after="0" w:line="14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4"/>
          <w:szCs w:val="14"/>
          <w:b w:val="1"/>
          <w:bCs w:val="1"/>
          <w:i w:val="1"/>
          <w:iCs w:val="1"/>
          <w:color w:val="auto"/>
        </w:rPr>
        <w:t>Investments in Equity Securities</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As at June 30, 2020, the Condensed Consolidated Balance Sheets includes $13.2 million (December 31, 2019 — $15.7 million) of investments in equity securities.</w:t>
      </w:r>
    </w:p>
    <w:p>
      <w:pPr>
        <w:spacing w:after="0" w:line="135"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On January 17, 2019, IMAX China (Hong Kong), Limited, a wholly-owned subsidiary of IMAX China, as an investor entered into a cornerstone investment agreement with Maoyan Entertainment (“Maoyan”) (as the issuer) and Morgan Stanley Asia Limited (as a sponsor, underwriter and the underwriters’ representative). Pursuant to this agreement, IMAX China (Hong Kong), Limited agreed to invest $15.2 million to subscribe for a certain number of shares of Maoyan at the final offer price pursuant to the global offering of the share capital of Maoyan, and this investment would be subject to a lock-up period of six months following the date of the global offering. On February 4, 2019, Maoyan completed its global offering, upon which, IMAX China (Hong Kong), Limited became a less than 1% shareholder in Maoyan. This investment is classified as an equity security, with a readily determinable market value through the Hong Kong Stock Exchange. The changes in fair value are recorded in gain (loss) in fair value of equity investment line item in the Company’s Condensed Consolidated Statement of Operations. As at June 30, 2020, the value of the Company’s investment in Maoyan was $12.1 million (December 31, 2019 — $14.6 million). For the three and six months ended June 30, 2020, the Company has recorded a net unrealized gain of $2.0 million and loss of $2.5 million, respectively ( 2019— loss of $4.5 million and $2.1 million, respectively).</w:t>
      </w:r>
    </w:p>
    <w:p>
      <w:pPr>
        <w:spacing w:after="0" w:line="14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has an investment of $1.1 million (December 31, 2019 — $1.0 million) in the shares of an exchange traded fund. This investment is classified as an equity investment.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2" w:name="page43"/>
    <w:bookmarkEnd w:id="42"/>
    <w:p>
      <w:pPr>
        <w:jc w:val="both"/>
        <w:ind w:firstLine="225"/>
        <w:spacing w:after="0" w:line="259" w:lineRule="auto"/>
        <w:rPr>
          <w:sz w:val="20"/>
          <w:szCs w:val="20"/>
          <w:color w:val="auto"/>
        </w:rPr>
      </w:pPr>
      <w:r>
        <w:rPr>
          <w:rFonts w:ascii="Arial" w:cs="Arial" w:eastAsia="Arial" w:hAnsi="Arial"/>
          <w:sz w:val="18"/>
          <w:szCs w:val="18"/>
          <w:color w:val="auto"/>
        </w:rPr>
        <w:t>As at June 30, 2020, the Company held investments in the preferred shares of enterprises which meet the criteria for classification as an equity security under FASB ASC 325, carried at historical cost, net of impairment charges. The carrying value of these equity security investments was $1.0 million at June 30, 2020 (December 31, 2019 — $1.0 million) and is recorded in Other Assets.</w:t>
      </w:r>
    </w:p>
    <w:p>
      <w:pPr>
        <w:spacing w:after="0" w:line="154" w:lineRule="exact"/>
        <w:rPr>
          <w:sz w:val="20"/>
          <w:szCs w:val="20"/>
          <w:color w:val="auto"/>
        </w:rPr>
      </w:pPr>
    </w:p>
    <w:p>
      <w:pPr>
        <w:ind w:left="320" w:hanging="313"/>
        <w:spacing w:after="0"/>
        <w:tabs>
          <w:tab w:leader="none" w:pos="3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84" w:lineRule="exact"/>
        <w:rPr>
          <w:rFonts w:ascii="Arial" w:cs="Arial" w:eastAsia="Arial" w:hAnsi="Arial"/>
          <w:sz w:val="18"/>
          <w:szCs w:val="18"/>
          <w:b w:val="1"/>
          <w:bCs w:val="1"/>
          <w:color w:val="auto"/>
        </w:rPr>
      </w:pPr>
    </w:p>
    <w:p>
      <w:pPr>
        <w:ind w:left="600" w:hanging="379"/>
        <w:spacing w:after="0"/>
        <w:tabs>
          <w:tab w:leader="none" w:pos="600" w:val="left"/>
        </w:tabs>
        <w:numPr>
          <w:ilvl w:val="1"/>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IMAX China Non-Controlling Interest</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indirectly owns approximately 69.81% of IMAX China Holding, Inc. (“IMAX China”), whose shares trade on the Hong Kong Stock Exchange. IMAX China is a consolidated subsidiary of the Company. The balance of the non-controlling interest in IMAX China as at June 30, 2020 is $74.7 million. The net loss attributable to the non-controlling interest in IMAX China for the three and six months ended June 30, 2020 is $2.8 million and $12.5 million, respectively (2019 — net income of $2.7 million and $7.0 million, respectively).</w:t>
      </w:r>
    </w:p>
    <w:p>
      <w:pPr>
        <w:spacing w:after="0" w:line="14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4"/>
          <w:szCs w:val="14"/>
          <w:b w:val="1"/>
          <w:bCs w:val="1"/>
          <w:i w:val="1"/>
          <w:iCs w:val="1"/>
          <w:color w:val="auto"/>
        </w:rPr>
        <w:t>Other Non-Controlling Interest</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As at June 30, 2020,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movement of the non-controlling interest in temporary equity, in the Company’s subsidiary for the six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June 30,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Balance as at December 31, 2019</w:t>
            </w:r>
          </w:p>
        </w:tc>
        <w:tc>
          <w:tcPr>
            <w:tcW w:w="7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5,908</w:t>
            </w:r>
          </w:p>
        </w:tc>
      </w:tr>
      <w:tr>
        <w:trPr>
          <w:trHeight w:val="227"/>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r>
      <w:tr>
        <w:trPr>
          <w:trHeight w:val="220"/>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at June 30, 2020</w:t>
            </w:r>
          </w:p>
        </w:tc>
        <w:tc>
          <w:tcPr>
            <w:tcW w:w="740" w:type="dxa"/>
            <w:vAlign w:val="bottom"/>
            <w:tcBorders>
              <w:bottom w:val="single" w:sz="8" w:color="auto"/>
            </w:tcBorders>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4,237</w:t>
            </w:r>
          </w:p>
        </w:tc>
      </w:tr>
      <w:tr>
        <w:trPr>
          <w:trHeight w:val="20"/>
        </w:trPr>
        <w:tc>
          <w:tcPr>
            <w:tcW w:w="9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Exit costs, restructuring charges and associated impairments</w:t>
      </w:r>
    </w:p>
    <w:p>
      <w:pPr>
        <w:spacing w:after="0" w:line="184"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In 2018, the Company performed a strategic review of its business and decided to exit from certain non-core businesses or initiatives, which included closing its VR locations. In addition, as part of management’s efforts to decrease costs, the Company reduced certain functions and realigned resources. During the six months ended June 30, 2019, the Company recognized charges of $0.9 million associated with these actions in its Condensed Consolidated Statements of Operations, consisting of restructuring charges and costs to exit leases. Restructuring charges relate to the Company’s corporate unit and are comprised of employee severance costs including benefits and share-based compensation, costs of consolidating facilities and contract termination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98"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Presented below is Management's Discussion and Analysis of Financial Condition and Results of Operations (or "MD&amp;A") for IMAX Corporation and its consolidated subsidiaries (“IMAX” or the “Company”) for the three and six months ended June 30, 2020 and 2019. MD&amp;A should be read in conjunction with Note 14, "Segment Reporting" in the accompanying Condensed Consolidated Financial Statements in Item 1.</w:t>
      </w:r>
    </w:p>
    <w:p>
      <w:pPr>
        <w:spacing w:after="0" w:line="12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indirectly owns approximately 69.81% of IMAX China Holding, Inc. (“IMAX China”), whose shares trade on the Hong Kong Stock Exchange. IMAX China is a consolidated subsidiary of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98" w:lineRule="exact"/>
        <w:rPr>
          <w:sz w:val="20"/>
          <w:szCs w:val="20"/>
          <w:color w:val="auto"/>
        </w:rPr>
      </w:pPr>
    </w:p>
    <w:p>
      <w:pPr>
        <w:jc w:val="both"/>
        <w:ind w:firstLine="224"/>
        <w:spacing w:after="0" w:line="281" w:lineRule="auto"/>
        <w:rPr>
          <w:sz w:val="20"/>
          <w:szCs w:val="20"/>
          <w:color w:val="auto"/>
        </w:rPr>
      </w:pPr>
      <w:r>
        <w:rPr>
          <w:rFonts w:ascii="Arial" w:cs="Arial" w:eastAsia="Arial" w:hAnsi="Arial"/>
          <w:sz w:val="16"/>
          <w:szCs w:val="16"/>
          <w:color w:val="auto"/>
        </w:rPr>
        <w:t>Certain statements included in this quarterly report may constitute "forward-looking statements" within the meaning of the United States Private Securities Litigation Reform Act of 1995.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investments and operations in foreign jurisdictions and any future international expansion, including those related to economic, political and regulatory policies of local governments and laws and policies of the United States and Canada; risks related to the Company’s growth and operations in China; the performance of IMAX DMR</w:t>
      </w:r>
      <w:r>
        <w:rPr>
          <w:rFonts w:ascii="Arial" w:cs="Arial" w:eastAsia="Arial" w:hAnsi="Arial"/>
          <w:sz w:val="13"/>
          <w:szCs w:val="13"/>
          <w:color w:val="auto"/>
        </w:rPr>
        <w:t>®</w:t>
      </w:r>
      <w:r>
        <w:rPr>
          <w:rFonts w:ascii="Arial" w:cs="Arial" w:eastAsia="Arial" w:hAnsi="Arial"/>
          <w:sz w:val="16"/>
          <w:szCs w:val="16"/>
          <w:color w:val="auto"/>
        </w:rPr>
        <w:t xml:space="preserve"> films; the signing of IMAX Theater System agreements; conditions, changes and developments in the commercial exhibition industry; risks related to currency fluctuations; the potential impact of increased competition in the markets within which the Company operates; competitive actions by other companies; the failure to respond to change and advancements in digital technology; risks relating to recent consolidation among commercial exhibitors and movie studios; risks related to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general economic, market or business conditions; the failure to convert IMAX Theater System backlog into revenue; changes in laws or regulations; the failure to fully realize the projected cost savings and benefits from any of the Company’s restructuring initiatives; the impact of COVID-19 on our business, financial condition, and results of operations and on the businesses of our customers and exhibitor partners;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Company undertakes no obligation to update publicly or otherwise revise any forward-looking information, whether as a result of new information, future events or otherwise.</w:t>
      </w:r>
    </w:p>
    <w:p>
      <w:pPr>
        <w:spacing w:after="0" w:line="352" w:lineRule="exact"/>
        <w:rPr>
          <w:sz w:val="20"/>
          <w:szCs w:val="20"/>
          <w:color w:val="auto"/>
        </w:rPr>
      </w:pPr>
    </w:p>
    <w:p>
      <w:pPr>
        <w:jc w:val="both"/>
        <w:ind w:firstLine="224"/>
        <w:spacing w:after="0" w:line="271" w:lineRule="auto"/>
        <w:rPr>
          <w:sz w:val="20"/>
          <w:szCs w:val="20"/>
          <w:color w:val="auto"/>
        </w:rPr>
      </w:pPr>
      <w:r>
        <w:rPr>
          <w:rFonts w:ascii="Arial" w:cs="Arial" w:eastAsia="Arial" w:hAnsi="Arial"/>
          <w:sz w:val="17"/>
          <w:szCs w:val="17"/>
          <w:color w:val="auto"/>
        </w:rPr>
        <w:t>The Company makes available, free of charge, its Annual Reports on Form 10-K, Quarterly Reports on Form 10-Q and Current Reports on Form 8-K, and any amendments to such reports, as soon as reasonably practicable after such filings have been made with the United States Securities and Exchange Commission (the “SEC”). Reports may be obtained free of charge through the SEC’s website at www.sec.gov and through the Company’s website at www.imax.com or by calling the Company’s Investor Relations Department at 212-821-0100. No information included on the Company's website shall be deemed included or otherwise incorporated into this filing, except where expressly indicated.</w:t>
      </w:r>
    </w:p>
    <w:p>
      <w:pPr>
        <w:spacing w:after="0" w:line="139" w:lineRule="exact"/>
        <w:rPr>
          <w:sz w:val="20"/>
          <w:szCs w:val="20"/>
          <w:color w:val="auto"/>
        </w:rPr>
      </w:pPr>
    </w:p>
    <w:p>
      <w:pPr>
        <w:jc w:val="both"/>
        <w:ind w:firstLine="224"/>
        <w:spacing w:after="0" w:line="259" w:lineRule="auto"/>
        <w:rPr>
          <w:sz w:val="20"/>
          <w:szCs w:val="20"/>
          <w:color w:val="auto"/>
        </w:rPr>
      </w:pPr>
      <w:r>
        <w:rPr>
          <w:rFonts w:ascii="Arial" w:cs="Arial" w:eastAsia="Arial" w:hAnsi="Arial"/>
          <w:sz w:val="18"/>
          <w:szCs w:val="18"/>
          <w:color w:val="auto"/>
        </w:rPr>
        <w:t>The information posted on the Company’s corporate and Investor Relations websites may be deemed material to investors. Accordingly, investors, media and others interested in the Company should monitor the Company’s websites in addition to the Company’s press releases, SEC filings and public conference calls and webcasts.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IMAX</w:t>
      </w:r>
      <w:r>
        <w:rPr>
          <w:rFonts w:ascii="Arial" w:cs="Arial" w:eastAsia="Arial" w:hAnsi="Arial"/>
          <w:sz w:val="15"/>
          <w:szCs w:val="15"/>
          <w:color w:val="auto"/>
        </w:rPr>
        <w:t>®</w:t>
      </w:r>
      <w:r>
        <w:rPr>
          <w:rFonts w:ascii="Arial" w:cs="Arial" w:eastAsia="Arial" w:hAnsi="Arial"/>
          <w:sz w:val="18"/>
          <w:szCs w:val="18"/>
          <w:color w:val="auto"/>
        </w:rPr>
        <w:t>, IMAX</w:t>
      </w:r>
      <w:r>
        <w:rPr>
          <w:rFonts w:ascii="Arial" w:cs="Arial" w:eastAsia="Arial" w:hAnsi="Arial"/>
          <w:sz w:val="15"/>
          <w:szCs w:val="15"/>
          <w:color w:val="auto"/>
        </w:rPr>
        <w:t>®</w:t>
      </w:r>
      <w:r>
        <w:rPr>
          <w:rFonts w:ascii="Arial" w:cs="Arial" w:eastAsia="Arial" w:hAnsi="Arial"/>
          <w:sz w:val="18"/>
          <w:szCs w:val="18"/>
          <w:color w:val="auto"/>
        </w:rPr>
        <w:t xml:space="preserve"> Dome, IMAX</w:t>
      </w:r>
      <w:r>
        <w:rPr>
          <w:rFonts w:ascii="Arial" w:cs="Arial" w:eastAsia="Arial" w:hAnsi="Arial"/>
          <w:sz w:val="15"/>
          <w:szCs w:val="15"/>
          <w:color w:val="auto"/>
        </w:rPr>
        <w:t>®</w:t>
      </w:r>
      <w:r>
        <w:rPr>
          <w:rFonts w:ascii="Arial" w:cs="Arial" w:eastAsia="Arial" w:hAnsi="Arial"/>
          <w:sz w:val="18"/>
          <w:szCs w:val="18"/>
          <w:color w:val="auto"/>
        </w:rPr>
        <w:t xml:space="preserve"> 3D, IMAX</w:t>
      </w:r>
      <w:r>
        <w:rPr>
          <w:rFonts w:ascii="Arial" w:cs="Arial" w:eastAsia="Arial" w:hAnsi="Arial"/>
          <w:sz w:val="15"/>
          <w:szCs w:val="15"/>
          <w:color w:val="auto"/>
        </w:rPr>
        <w:t>®</w:t>
      </w:r>
      <w:r>
        <w:rPr>
          <w:rFonts w:ascii="Arial" w:cs="Arial" w:eastAsia="Arial" w:hAnsi="Arial"/>
          <w:sz w:val="18"/>
          <w:szCs w:val="18"/>
          <w:color w:val="auto"/>
        </w:rPr>
        <w:t xml:space="preserve"> 3D Dome, Experience It In IMAX</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An</w:t>
      </w:r>
      <w:r>
        <w:rPr>
          <w:rFonts w:ascii="Arial" w:cs="Arial" w:eastAsia="Arial" w:hAnsi="Arial"/>
          <w:sz w:val="18"/>
          <w:szCs w:val="18"/>
          <w:color w:val="auto"/>
        </w:rPr>
        <w:t xml:space="preserve"> IMAX </w:t>
      </w:r>
      <w:r>
        <w:rPr>
          <w:rFonts w:ascii="Arial" w:cs="Arial" w:eastAsia="Arial" w:hAnsi="Arial"/>
          <w:sz w:val="18"/>
          <w:szCs w:val="18"/>
          <w:i w:val="1"/>
          <w:iCs w:val="1"/>
          <w:color w:val="auto"/>
        </w:rPr>
        <w:t>3D</w:t>
      </w:r>
      <w:r>
        <w:rPr>
          <w:rFonts w:ascii="Arial" w:cs="Arial" w:eastAsia="Arial" w:hAnsi="Arial"/>
          <w:sz w:val="18"/>
          <w:szCs w:val="18"/>
          <w:color w:val="auto"/>
        </w:rPr>
        <w:t xml:space="preserve">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color w:val="auto"/>
        </w:rPr>
        <w:t>, IMAX DMR</w:t>
      </w:r>
      <w:r>
        <w:rPr>
          <w:rFonts w:ascii="Arial" w:cs="Arial" w:eastAsia="Arial" w:hAnsi="Arial"/>
          <w:sz w:val="15"/>
          <w:szCs w:val="15"/>
          <w:color w:val="auto"/>
        </w:rPr>
        <w:t>®</w:t>
      </w:r>
      <w:r>
        <w:rPr>
          <w:rFonts w:ascii="Arial" w:cs="Arial" w:eastAsia="Arial" w:hAnsi="Arial"/>
          <w:sz w:val="18"/>
          <w:szCs w:val="18"/>
          <w:color w:val="auto"/>
        </w:rPr>
        <w:t>, DMR</w:t>
      </w:r>
      <w:r>
        <w:rPr>
          <w:rFonts w:ascii="Arial" w:cs="Arial" w:eastAsia="Arial" w:hAnsi="Arial"/>
          <w:sz w:val="15"/>
          <w:szCs w:val="15"/>
          <w:color w:val="auto"/>
        </w:rPr>
        <w:t>®</w:t>
      </w:r>
      <w:r>
        <w:rPr>
          <w:rFonts w:ascii="Arial" w:cs="Arial" w:eastAsia="Arial" w:hAnsi="Arial"/>
          <w:sz w:val="18"/>
          <w:szCs w:val="18"/>
          <w:color w:val="auto"/>
        </w:rPr>
        <w:t>, IMAX nXos</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Films to the Fullest</w:t>
      </w:r>
      <w:r>
        <w:rPr>
          <w:rFonts w:ascii="Arial" w:cs="Arial" w:eastAsia="Arial" w:hAnsi="Arial"/>
          <w:sz w:val="15"/>
          <w:szCs w:val="15"/>
          <w:color w:val="auto"/>
        </w:rPr>
        <w:t>®</w:t>
      </w:r>
      <w:r>
        <w:rPr>
          <w:rFonts w:ascii="Arial" w:cs="Arial" w:eastAsia="Arial" w:hAnsi="Arial"/>
          <w:sz w:val="18"/>
          <w:szCs w:val="18"/>
          <w:color w:val="auto"/>
        </w:rPr>
        <w:t>, are trademarks and trade names of the Company or its subsidiaries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or otherwise protected under laws of various jurisdictions.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IMAX is one of the world’s leading entertainment technology companies, specializing in technological innovations powering the presentation of some of today’s most immersive entertainment experiences. Through its proprietary software, theater architecture, patented intellectual property and specialized equipment, IMAX offers a unique end-to-end cinematic solution to create the highest-quality, most immersive motion picture and other entertainment event experiences for which the IMAX</w:t>
      </w:r>
      <w:r>
        <w:rPr>
          <w:rFonts w:ascii="Arial" w:cs="Arial" w:eastAsia="Arial" w:hAnsi="Arial"/>
          <w:sz w:val="14"/>
          <w:szCs w:val="14"/>
          <w:color w:val="auto"/>
        </w:rPr>
        <w:t>®</w:t>
      </w:r>
      <w:r>
        <w:rPr>
          <w:rFonts w:ascii="Arial" w:cs="Arial" w:eastAsia="Arial" w:hAnsi="Arial"/>
          <w:sz w:val="17"/>
          <w:szCs w:val="17"/>
          <w:color w:val="auto"/>
        </w:rPr>
        <w:t xml:space="preserve"> brand has become known globally. Top filmmakers and movie studios utilize the cutting-edge visual and sound technology of IMAX to connect with audiences in innovative ways, and, as a result, IMAX’s network is among the most important and successful distribution platforms for major films and other events around the world.</w:t>
      </w:r>
    </w:p>
    <w:p>
      <w:pPr>
        <w:spacing w:after="0" w:line="137" w:lineRule="exact"/>
        <w:rPr>
          <w:sz w:val="20"/>
          <w:szCs w:val="20"/>
          <w:color w:val="auto"/>
        </w:rPr>
      </w:pPr>
    </w:p>
    <w:p>
      <w:pPr>
        <w:jc w:val="both"/>
        <w:ind w:firstLine="225"/>
        <w:spacing w:after="0" w:line="334" w:lineRule="auto"/>
        <w:rPr>
          <w:sz w:val="20"/>
          <w:szCs w:val="20"/>
          <w:color w:val="auto"/>
        </w:rPr>
      </w:pPr>
      <w:r>
        <w:rPr>
          <w:rFonts w:ascii="Arial" w:cs="Arial" w:eastAsia="Arial" w:hAnsi="Arial"/>
          <w:sz w:val="16"/>
          <w:szCs w:val="16"/>
          <w:color w:val="auto"/>
        </w:rPr>
        <w:t>The Company leverages its innovative technology and engineering in all aspects of its business, which principally consists of the digital remastering of films and other presentations into the IMAX format (“IMAX DMR”) and the sale or lease of premium IMAX theater systems (“IMAX Theater Systems”).</w:t>
      </w:r>
    </w:p>
    <w:p>
      <w:pPr>
        <w:spacing w:after="0" w:line="8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IMAX Theater Systems are based on proprietary and patented image, audio and other technology developed over the course of the Company’s 52-year history. The customers who purchase or lease IMAX Theater Systems are theater exhibitors that operate commercial theaters (particularly multiplexes), museums, science centers, or destination entertainment sites. The Company generally does not own the theaters in the IMAX network, but licenses the use of its trademarks along with the sale or lease of the IMAX Theater System.</w:t>
      </w:r>
    </w:p>
    <w:p>
      <w:pPr>
        <w:spacing w:after="0" w:line="16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As at June 30, 2020, there were 1,615 IMAX Theater Systems operating in 81 countries and territories, including 1,527 commercial multiplexes, 13 commercial destinations and 75 institutional locations. This compares to 1,541 IMAX Theater Systems operating in 81 countries and territories as of June 30, 2019 including 1,445 commercial multiplexes, 15 commercial destinations and 81 institutional locations. (See the table below under “IMAX Network and Backlog” for additional information on the composition of the IMAX network.)</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IMAX Theater System provides the Company’s exhibitor customers with a combination of the following benefits:</w:t>
      </w:r>
    </w:p>
    <w:p>
      <w:pPr>
        <w:spacing w:after="0" w:line="180" w:lineRule="exact"/>
        <w:rPr>
          <w:sz w:val="20"/>
          <w:szCs w:val="20"/>
          <w:color w:val="auto"/>
        </w:rPr>
      </w:pPr>
    </w:p>
    <w:p>
      <w:pPr>
        <w:ind w:left="600" w:right="20" w:hanging="379"/>
        <w:spacing w:after="0" w:line="270"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exhibit content that has undergone the IMAX DMR</w:t>
      </w:r>
      <w:r>
        <w:rPr>
          <w:rFonts w:ascii="Arial" w:cs="Arial" w:eastAsia="Arial" w:hAnsi="Arial"/>
          <w:sz w:val="15"/>
          <w:szCs w:val="15"/>
          <w:color w:val="auto"/>
        </w:rPr>
        <w:t>®</w:t>
      </w:r>
      <w:r>
        <w:rPr>
          <w:rFonts w:ascii="Arial" w:cs="Arial" w:eastAsia="Arial" w:hAnsi="Arial"/>
          <w:sz w:val="18"/>
          <w:szCs w:val="18"/>
          <w:color w:val="auto"/>
        </w:rPr>
        <w:t xml:space="preserve"> conversion process, which results in higher image and sound fidelity than conventional cinema experiences;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advanced, high-resolution projectors with specialized equipment and automated theater control systems, which generate significantly more contrast and brightness than conventional theater systems;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large screens and proprietary theater geometry, which result in a substantially larger field of view so that the screen extends to the edge of a viewer’s peripheral vision and creates more realistic images;</w:t>
      </w:r>
    </w:p>
    <w:p>
      <w:pPr>
        <w:spacing w:after="0" w:line="135" w:lineRule="exact"/>
        <w:rPr>
          <w:rFonts w:ascii="Arial" w:cs="Arial" w:eastAsia="Arial" w:hAnsi="Arial"/>
          <w:sz w:val="18"/>
          <w:szCs w:val="18"/>
          <w:color w:val="auto"/>
        </w:rPr>
      </w:pPr>
    </w:p>
    <w:p>
      <w:pPr>
        <w:ind w:left="600" w:hanging="379"/>
        <w:spacing w:after="0" w:line="270"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advanced sound system components, which deliver more expansive sound imagery and pinpointed origination of sound to any specific spot in an IMAX theater;</w:t>
      </w:r>
    </w:p>
    <w:p>
      <w:pPr>
        <w:spacing w:after="0" w:line="135" w:lineRule="exact"/>
        <w:rPr>
          <w:rFonts w:ascii="Arial" w:cs="Arial" w:eastAsia="Arial" w:hAnsi="Arial"/>
          <w:sz w:val="18"/>
          <w:szCs w:val="18"/>
          <w:color w:val="auto"/>
        </w:rPr>
      </w:pPr>
    </w:p>
    <w:p>
      <w:pPr>
        <w:ind w:left="600" w:hanging="379"/>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specialized theater acoustics, which result in a four-fold reduction in background noise; and</w:t>
      </w:r>
    </w:p>
    <w:p>
      <w:pPr>
        <w:spacing w:after="0" w:line="180" w:lineRule="exact"/>
        <w:rPr>
          <w:rFonts w:ascii="Arial" w:cs="Arial" w:eastAsia="Arial" w:hAnsi="Arial"/>
          <w:sz w:val="18"/>
          <w:szCs w:val="18"/>
          <w:color w:val="auto"/>
        </w:rPr>
      </w:pPr>
    </w:p>
    <w:p>
      <w:pPr>
        <w:ind w:left="600" w:hanging="379"/>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license to the globally recognized IMAX brand.</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certain movies shown in IMAX theaters are filmed using proprietary IMAX film and IMAX certified digital cameras, which offer filmmakers customized guidance and workflow process to provide further enhanced and differentiated image quality and a film aspect ratio that delivers up to 26% more image onto a movie screen.</w:t>
      </w:r>
    </w:p>
    <w:p>
      <w:pPr>
        <w:spacing w:after="0" w:line="15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Together these components cause audiences in IMAX theaters to feel as if they are a part of the on-screen action, creating a more intense, immersive and exciting experience than a traditional theater.</w:t>
      </w:r>
    </w:p>
    <w:p>
      <w:pPr>
        <w:spacing w:after="0" w:line="135"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 xml:space="preserve">As a result of the engineering and scientific achievements that are a hallmark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5"/>
          <w:szCs w:val="15"/>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exhibitor customers typically charge a premium for IMAX DMR films over films exhibited in their other auditoriums. The premium pricing, combined with the higher attendance levels associated with IMAX DMR films, generates incremental box office for the Company’s exhibitor customers and for the movie studios releasing their films to the IMAX network. The incremental box office generated by IMAX DMR films has helped establish IMAX as a key premium distribution and marketing platform for Hollywood blockbuster films.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45" w:name="page46"/>
    <w:bookmarkEnd w:id="45"/>
    <w:p>
      <w:pPr>
        <w:jc w:val="both"/>
        <w:ind w:firstLine="225"/>
        <w:spacing w:after="0" w:line="271" w:lineRule="auto"/>
        <w:rPr>
          <w:sz w:val="20"/>
          <w:szCs w:val="20"/>
          <w:color w:val="auto"/>
        </w:rPr>
      </w:pPr>
      <w:r>
        <w:rPr>
          <w:rFonts w:ascii="Arial" w:cs="Arial" w:eastAsia="Arial" w:hAnsi="Arial"/>
          <w:sz w:val="17"/>
          <w:szCs w:val="17"/>
          <w:color w:val="auto"/>
        </w:rPr>
        <w:t>As one of the world’s leaders in entertainment technology, the Company strives to remain at the forefront of advancements in cinema technology. In 2018, the Company introduced IMAX with Laser, a laser projection system designed for IMAX theaters in commercial multiplexes, which represents a further evolution of IMAX’s proprietary technology. The Company believes that IMAX with Laser delivers increased resolution, sharper and brighter images, deeper contrast as well as the widest range of colors available to filmmakers today. The Company further believes that IMAX with Laser is helping facilitate the next major lease renewal and upgrade cycle for the global commercial IMAX network.</w:t>
      </w:r>
    </w:p>
    <w:p>
      <w:pPr>
        <w:spacing w:after="0" w:line="152"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To date, the Company has signed IMAX with Laser agreements with leading, global exhibitors such as AMC Entertainment Holdings, Inc. (“AMC”), Cineworld Group PLC (“Cineworld”), CGV Holdings Limited (“CGV”) and Les Cinémas Pathé Gaumont (“Pathé”) (among others) which includes new theaters, upgrades to existing IMAX theaters, and upgrades to existing backlog arrangements. As at June 30, 2020, 141 IMAX with Laser systems have been installed, and the Company’s backlog included 154 new IMAX with Laser systems and 94 upgrades to IMAX with Laser systems.</w:t>
      </w:r>
    </w:p>
    <w:p>
      <w:pPr>
        <w:spacing w:after="0" w:line="133"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 xml:space="preserve">The Company is also experimenting with new technologies and new content as a way to deepen consumer engagement and brand loyalty, which includes curating unique, differentiated alternative content to be exhibited in IMAX theaters, particularly during those periods when Hollywood blockbuster film content is not available. In 2019, the Company piloted filmed events including </w:t>
      </w:r>
      <w:r>
        <w:rPr>
          <w:rFonts w:ascii="Arial" w:cs="Arial" w:eastAsia="Arial" w:hAnsi="Arial"/>
          <w:sz w:val="18"/>
          <w:szCs w:val="18"/>
          <w:i w:val="1"/>
          <w:iCs w:val="1"/>
          <w:color w:val="auto"/>
        </w:rPr>
        <w:t>Anima</w:t>
      </w:r>
      <w:r>
        <w:rPr>
          <w:rFonts w:ascii="Arial" w:cs="Arial" w:eastAsia="Arial" w:hAnsi="Arial"/>
          <w:sz w:val="18"/>
          <w:szCs w:val="18"/>
          <w:color w:val="auto"/>
        </w:rPr>
        <w:t xml:space="preserve">, a one-night only event featuring music from Radiohead’s Thom Yorke, </w:t>
      </w:r>
      <w:r>
        <w:rPr>
          <w:rFonts w:ascii="Arial" w:cs="Arial" w:eastAsia="Arial" w:hAnsi="Arial"/>
          <w:sz w:val="18"/>
          <w:szCs w:val="18"/>
          <w:i w:val="1"/>
          <w:iCs w:val="1"/>
          <w:color w:val="auto"/>
        </w:rPr>
        <w:t>Soundgarden: Live from the Artist’s Den: 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and the Kanye West film </w:t>
      </w:r>
      <w:r>
        <w:rPr>
          <w:rFonts w:ascii="Arial" w:cs="Arial" w:eastAsia="Arial" w:hAnsi="Arial"/>
          <w:sz w:val="18"/>
          <w:szCs w:val="18"/>
          <w:i w:val="1"/>
          <w:iCs w:val="1"/>
          <w:color w:val="auto"/>
        </w:rPr>
        <w:t>Jesus is King: 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in select IMAX theaters.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98"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In late-January 2020, in response to the public health risks associated with the novel coronavirus and the disease that it causes (“COVID-19”) the Chinese government directed exhibitors in China to temporarily close more than 70,000 movie theaters, including all of the approximately 700 IMAX theaters in mainland China.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caused movie theaters in countries around the world to temporarily close, including substantially all of the IMAX theaters in those countries. As a result of the theater closures, Hollywood and Chinese movie studios have postponed the theatrical release of multiple films, including many scheduled to be shown in IMAX theaters, while other films have been released directly to streaming platforms. As of the date of this report, stay-at-home orders have been lifted in many countries and movie theaters are gradually reopening with reduced capacities, physical distancing requirements, and other safety measures. Subsequent to June 30, 2020, approximately 40% of the theaters in the IMAX commercial multiplex network have begun to report gross box office (“GBO”) results in July. These theaters span across 40 countries and include the Domestic, Greater China and Rest of World markets.</w:t>
      </w:r>
    </w:p>
    <w:p>
      <w:pPr>
        <w:spacing w:after="0" w:line="134"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repercussions of the COVID-19 global pandemic have resulted in a significant decrease in the Company’s revenues, earnings and operating cash flows during the three and six months ended June 30, 2020 as GBO results declined significantly, the installation of certain theater systems was delayed, and maintenance services were generally suspended. During the time period when a significant number of theaters in the IMAX network are closed, the Company has and will continue to experience a significant decline in earnings and operating cash flows as it is generating significantly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and may continue to be delayed. In addition, the Company has experienced and may continue to experience delays in collecting payments due under existing theater sale or lease arrangements from its exhibitor partners who are now facing financial difficulties as a result of the theater closures.</w:t>
      </w:r>
    </w:p>
    <w:p>
      <w:pPr>
        <w:spacing w:after="0" w:line="130"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 xml:space="preserve">The Company may </w:t>
      </w:r>
      <w:r>
        <w:rPr>
          <w:rFonts w:ascii="Arial" w:cs="Arial" w:eastAsia="Arial" w:hAnsi="Arial"/>
          <w:sz w:val="16"/>
          <w:szCs w:val="16"/>
          <w:color w:val="212529"/>
        </w:rPr>
        <w:t>continue to be significantly impacted by the COVID-19 global pandemic even after some or all theaters are reopened. The global</w:t>
      </w:r>
      <w:r>
        <w:rPr>
          <w:rFonts w:ascii="Arial" w:cs="Arial" w:eastAsia="Arial" w:hAnsi="Arial"/>
          <w:sz w:val="16"/>
          <w:szCs w:val="16"/>
          <w:color w:val="auto"/>
        </w:rPr>
        <w:t xml:space="preserve"> </w:t>
      </w:r>
      <w:r>
        <w:rPr>
          <w:rFonts w:ascii="Arial" w:cs="Arial" w:eastAsia="Arial" w:hAnsi="Arial"/>
          <w:sz w:val="16"/>
          <w:szCs w:val="16"/>
          <w:color w:val="212529"/>
        </w:rPr>
        <w:t>economic impact of COVID-19 has led to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until such time as consumer behavior normalizes and consumer spending recovers.</w:t>
      </w:r>
    </w:p>
    <w:p>
      <w:pPr>
        <w:spacing w:after="0" w:line="131"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In response to uncertainties associated with the COVID-19 pandemic, the Company has taken and is continuing to take significant steps to preserve cash by eliminating non-essential costs, reducing employee hours and deferring all non-essential capital expenditures to minimum levels. The Company has also implemented an active cash management process, which, among other things, requires senior management approval of all outgoing payments. In addition, in the first quarter of 2020, the Company drew down the $280.0 million in available borrowing capacity under its credit facility, which was then amended in June 2020 to, among other things, suspend the senior secured net leverage ratio financial covenant in the underlying credit agreement through the first quarter of 2021. (See Note 7 of Notes to Condensed Consolidated Financial Statements.) Furthermore, the Company has applied for wage subsidies,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jc w:val="both"/>
        <w:spacing w:after="0" w:line="271" w:lineRule="auto"/>
        <w:rPr>
          <w:sz w:val="20"/>
          <w:szCs w:val="20"/>
          <w:color w:val="auto"/>
        </w:rPr>
      </w:pPr>
      <w:r>
        <w:rPr>
          <w:rFonts w:ascii="Arial" w:cs="Arial" w:eastAsia="Arial" w:hAnsi="Arial"/>
          <w:sz w:val="17"/>
          <w:szCs w:val="17"/>
          <w:color w:val="auto"/>
        </w:rPr>
        <w:t>tax credits and other financial support under the newly enacted COVID-19 relief legislation in the countries in which it operates. The Company received approximately $2.2 million in July 2020 under the Canada Emergency Wage Subsidy program and expects to receive $1.0 million under the U.S. CARES Act, both of which were recognized in the second quarter of 2020 as reductions to selling, general and administrative expenses ($2.9 million) and costs and expenses applicable to revenues ($0.3 million) in the Condensed Consolidated Statements of Operations. The Company will continue to review and apply for additional subsidies and credits for the remaining terms of these programs, where applicable.</w:t>
      </w:r>
    </w:p>
    <w:p>
      <w:pPr>
        <w:spacing w:after="0" w:line="152"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Consistent with the first quarter of 2020, the Company performed a quantitative goodwill impairment test taking into account the latest available information and determined that its goodwill was not impaired as of June 30, 2020. As of that date, the Company’s total Goodwill was $39.0 million, of which $19.0 million relates to the IMAX Systems reporting unit, $13.6 million relates to the Joint Revenue Sharing Arrangement reporting unit, and $6.4 million relates to the IMAX Maintenance reporting unit. The impairment test was performed on a reporting unit level by comparing each unit’s carrying value, including goodwill, to its fair value. The fair value of each reporting unit was assessed using a discounted cash flow model based on management’s estimated long-term projections, against which various sensitivity analyses were performed. These estimates and the likelihood of future changes in these estimates depend on a number of underlying variables and a range of possible outcomes. Actual results may materially differ from management’s estimates, especially due to the uncertainties associated with the COVID-19 pandemic. (See Note 1 of Notes to Condensed Consolidated Financial Statements.)</w:t>
      </w:r>
    </w:p>
    <w:p>
      <w:pPr>
        <w:spacing w:after="0" w:line="13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If business conditions deteriorate further, or should they remain depressed for a prolonged period of time, management’s estimates of operating results and future cash flows for the IMAX Systems and Joint Revenue Sharing Arrangements reporting units may be insufficient to support the goodwill assigned to them, thus requiring impairment charges. The Company will continue to evaluate the recoverability of goodwill at the reporting unit level on an annual basis as of the beginning of its fourth fiscal quarter and whenever events or changes in circumstances indicate there may be a potential impairment. Estimates related to future expected credit losses and deferred tax assets could also be materially impacted by changes in estimates in the future. (See Notes 1, 4 and 11 of Notes to Condensed Consolidated Financial Statements.)</w:t>
      </w:r>
    </w:p>
    <w:p>
      <w:pPr>
        <w:spacing w:after="0" w:line="13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See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184"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For the purposes of MD&amp;A the Company has organized its reportable segments into the following four categories: (i) IMAX Technology Network; (ii) IMAX Technology Sales and Maintenance; (iii) New Business Initiatives; and (iv) Film Distribution and Post-production. Within these categories are the Company’s following reportable segments: (i) IMAX DMR; (ii) Joint Revenue Sharing Arrangements; (iii) IMAX Systems; (iv) IMAX Maintenance; (v) Other Theater Business; (vi) New Business Initiatives; (vii) Film Distribution; and (viii) Film Post-production. In the first quarter of 2020, the Company updated certain account names within Revenues and Costs and Expenses Applicable to Revenues in its Condensed Consolidated Statements of Operations to better describe the nature of its revenue-generating activities and related costs. For additional details regarding the Company’s sources of revenue, refer to its 2019 Form 10-K for the year ended December 31, 2019 (the “2019 Form 10-K”).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IMAX Technology Network</w:t>
      </w:r>
    </w:p>
    <w:p>
      <w:pPr>
        <w:spacing w:after="0" w:line="19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IMAX Technology Network earns revenue based on contingent box office receipts and includes the IMAX DMR segment and contingent rent from the Joint Revenue Sharing Arrangement (“JRSA”) segment, as described in more detail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 has developed IMAX DMR, a proprietary technology that digitally remasters Hollywood films into IMAX formats. In a typical IMAX DMR film arrangement, the Company receives a percentage of the box office receipts from a movie studio in exchange for converting a commercial film into IMAX DMR format and distributing it through the IMAX network. In recent years, the percentage of gross box office receipts earned in IMAX DMR arrangements has averaged approximately 12.5%, except for within Greater China, where the Company receives a lower percentage of net box office receipts for certain Hollywood films.</w:t>
      </w:r>
    </w:p>
    <w:p>
      <w:pPr>
        <w:spacing w:after="0" w:line="16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 xml:space="preserve">IMAX DMR digitally enhances the image resolution of motion picture films for projection on IMAX screens while maintaining or enhancing the visual clarity and sound quality to levels for which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is known. In addition, the original soundtrack of a film to be exhibited in IMAX theaters is remastered for IMAX digital sound systems in connection with the IMAX DMR release of the film. Unlike the soundtracks played in conventional theaters, IMAX remastered soundtracks are uncompressed and full fidelity.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jc w:val="both"/>
        <w:spacing w:after="0" w:line="270" w:lineRule="auto"/>
        <w:rPr>
          <w:sz w:val="20"/>
          <w:szCs w:val="20"/>
          <w:color w:val="auto"/>
        </w:rPr>
      </w:pPr>
      <w:r>
        <w:rPr>
          <w:rFonts w:ascii="Arial" w:cs="Arial" w:eastAsia="Arial" w:hAnsi="Arial"/>
          <w:sz w:val="18"/>
          <w:szCs w:val="18"/>
          <w:color w:val="auto"/>
        </w:rPr>
        <w:t>IMAX sound systems use proprietary loudspeaker systems and proprietary surround sound configurations that ensure every theater seat is in an optimal listening position.</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 xml:space="preserve">IMAX films also benefit from enhancements made by individual filmmakers exclusively for the IMAX release of the film: collectively, the Company refers to those enhancements as “IMAX DNA”. Filmmakers and movie studios have sought IMAX-specific enhancements in recent years to generate interest in and excitement for their films. Such enhancements include shooting films with IMAX cameras to increase the audience’s immersion in the film and taking advantage of the unique dimensions of the IMAX screen by projecting the film in a larger aspect ratio that delivers up to 26% more image onto a movie screen. </w:t>
      </w:r>
      <w:r>
        <w:rPr>
          <w:rFonts w:ascii="Arial" w:cs="Arial" w:eastAsia="Arial" w:hAnsi="Arial"/>
          <w:sz w:val="17"/>
          <w:szCs w:val="17"/>
          <w:i w:val="1"/>
          <w:iCs w:val="1"/>
          <w:color w:val="auto"/>
        </w:rPr>
        <w:t>Avengers: Endgame</w:t>
      </w:r>
      <w:r>
        <w:rPr>
          <w:rFonts w:ascii="Arial" w:cs="Arial" w:eastAsia="Arial" w:hAnsi="Arial"/>
          <w:sz w:val="17"/>
          <w:szCs w:val="17"/>
          <w:color w:val="auto"/>
        </w:rPr>
        <w:t xml:space="preserve">, the highest-grossing film in history, released in April 2019, was shot entirely using IMAX cameras. In addition, in 2020, Universal Pictures’ </w:t>
      </w:r>
      <w:r>
        <w:rPr>
          <w:rFonts w:ascii="Arial" w:cs="Arial" w:eastAsia="Arial" w:hAnsi="Arial"/>
          <w:sz w:val="17"/>
          <w:szCs w:val="17"/>
          <w:i w:val="1"/>
          <w:iCs w:val="1"/>
          <w:color w:val="auto"/>
        </w:rPr>
        <w:t>1917</w:t>
      </w:r>
      <w:r>
        <w:rPr>
          <w:rFonts w:ascii="Arial" w:cs="Arial" w:eastAsia="Arial" w:hAnsi="Arial"/>
          <w:sz w:val="17"/>
          <w:szCs w:val="17"/>
          <w:color w:val="auto"/>
        </w:rPr>
        <w:t xml:space="preserve"> was released with select scenes specifically formatted for IMAX screens.</w:t>
      </w:r>
    </w:p>
    <w:p>
      <w:pPr>
        <w:spacing w:after="0" w:line="137"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 xml:space="preserve">The Company believes that growth in international box office remains an important driver of growth for the Company. To support continued growth in international markets, the Company has sought to bolster its international film strategy, supplementing the Company’s film slate of Hollywood DMR titles with appealing local IMAX DMR releases in select markets, particularly in China. During 2019, 18 local language IMAX DMR films were released to the IMAX network, including 14 in China and one in each of Japan, South Korea, India and Russia. The blockbuster </w:t>
      </w:r>
      <w:r>
        <w:rPr>
          <w:rFonts w:ascii="Arial" w:cs="Arial" w:eastAsia="Arial" w:hAnsi="Arial"/>
          <w:sz w:val="17"/>
          <w:szCs w:val="17"/>
          <w:i w:val="1"/>
          <w:iCs w:val="1"/>
          <w:color w:val="auto"/>
        </w:rPr>
        <w:t>Ne Zha: The</w:t>
      </w:r>
      <w:r>
        <w:rPr>
          <w:rFonts w:ascii="Arial" w:cs="Arial" w:eastAsia="Arial" w:hAnsi="Arial"/>
          <w:sz w:val="17"/>
          <w:szCs w:val="17"/>
          <w:color w:val="auto"/>
        </w:rPr>
        <w:t xml:space="preserve"> IMAX </w:t>
      </w:r>
      <w:r>
        <w:rPr>
          <w:rFonts w:ascii="Arial" w:cs="Arial" w:eastAsia="Arial" w:hAnsi="Arial"/>
          <w:sz w:val="17"/>
          <w:szCs w:val="17"/>
          <w:i w:val="1"/>
          <w:iCs w:val="1"/>
          <w:color w:val="auto"/>
        </w:rPr>
        <w:t>Experience</w:t>
      </w:r>
      <w:r>
        <w:rPr>
          <w:rFonts w:ascii="Arial" w:cs="Arial" w:eastAsia="Arial" w:hAnsi="Arial"/>
          <w:sz w:val="17"/>
          <w:szCs w:val="17"/>
          <w:color w:val="auto"/>
        </w:rPr>
        <w:t xml:space="preserve"> was released in China in July 2019 and was the Company’s first Chinese animated local language film title. During the six months ended June 30, 2020, two local language IMAX DMR films were released to the IMAX network, one in Russia and one in Japan. The Company expects to announce additional local language IMAX DMR films to be released to the IMAX network in the remainder of 2020 and beyond.</w:t>
      </w:r>
    </w:p>
    <w:p>
      <w:pPr>
        <w:spacing w:after="0" w:line="142"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remains in active negotiations with all of the major Hollywood studios for additional films to fill out its short and long-term film slate for the IMAX network. However, as a result of the theater closures associated with the COVID-19 global pandemic, Hollywood and Chinese movie studios have postponed the theatrical release of multiple films, including many scheduled to be shown in IMAX theaters, while other films have been released directly to streaming platforms. Accordingly, the anticipated release dates for any films are uncertain.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0"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JRSA segment provides IMAX theater systems to exhibitors through joint revenue sharing arrangements. Under the traditional form of these arrangements, IMAX provides the IMAX projection and sound system under a long-term lease in which the Company assumes the majority of the equipment and installation costs. In exchange for its upfront investment, the Company earns rent based on a percentage of contingent box office receipts and, in some cases, concession revenues, rather than requiring the customer to pay a fixed upfront fee or annual minimum payments. Rental payments from the customer are required throughout the term of the arrangement and are due either monthly or quarterly. The Company retains title to the IMAX Theater System equipment components throughout the lease term, and the equipment is returned to the Company at the conclusion of the arrangement.</w:t>
      </w:r>
    </w:p>
    <w:p>
      <w:pPr>
        <w:spacing w:after="0" w:line="127"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Under certain other joint revenue sharing arrangements, knowns as hybrid arrangements, the customer is responsible for making fixed upfront payments prior to the delivery and installation of the IMAX Theater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For hybrid joint revenue sharing arrangements that take the form of a lease, the contingent rent is reported within the IMAX Technology Network, while the fixed upfront payment is recorded as revenue within IMAX Technology Sales and Maintenance, as discussed below. For hybrid joint revenue sharing arrangements that take the form of a sale, see the discussion below under IMAX Technology Sales and Maintenance.</w:t>
      </w:r>
    </w:p>
    <w:p>
      <w:pPr>
        <w:spacing w:after="0" w:line="155"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111"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revenue earned from customers under the Company’s joint revenue sharing arrangements can vary from quarter-to-quarter and year-to-year based on a number of factors including film performance, the mix of theater system configurations, the timing of installation of these theater systems, the nature of the arrangement, the location, size and management of the theater and other factors specific to individual arrangements.</w:t>
      </w:r>
    </w:p>
    <w:p>
      <w:pPr>
        <w:spacing w:after="0" w:line="128" w:lineRule="exact"/>
        <w:rPr>
          <w:sz w:val="20"/>
          <w:szCs w:val="20"/>
          <w:color w:val="auto"/>
        </w:rPr>
      </w:pPr>
    </w:p>
    <w:p>
      <w:pPr>
        <w:jc w:val="both"/>
        <w:ind w:firstLine="225"/>
        <w:spacing w:after="0" w:line="300" w:lineRule="auto"/>
        <w:rPr>
          <w:sz w:val="20"/>
          <w:szCs w:val="20"/>
          <w:color w:val="auto"/>
        </w:rPr>
      </w:pPr>
      <w:r>
        <w:rPr>
          <w:rFonts w:ascii="Arial" w:cs="Arial" w:eastAsia="Arial" w:hAnsi="Arial"/>
          <w:sz w:val="17"/>
          <w:szCs w:val="17"/>
          <w:color w:val="auto"/>
        </w:rPr>
        <w:t>Joint revenue sharing arrangements also require IMAX to provide maintenance and extended warranty services to the customer over the term of the lease in exchange for a separate fixed annual fee. These fees are reported within IMAX Technology Sales and Maintenance, as discussed below.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IMAX Technology Sales and Maintenance</w:t>
      </w:r>
    </w:p>
    <w:p>
      <w:pPr>
        <w:spacing w:after="0" w:line="19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IMAX Technology Sales and Maintenance category includes results from the IMAX Systems, IMAX Maintenance, and Other Theater Business segments, as well as certain revenues from the JRSA segment, as described in more detail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80"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The IMAX Systems segment provides IMAX Theater Systems to exhibitors through sale arrangements or long-term lease arrangements that for accounting purposes are classified as sales-type leases. Under these arrangements, in exchange for providing the IMAX Theater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theater. Initial fees are paid to the Company in installments between the time of signing the arrangement and the time of system installation, which is when the total of these fees, in addition to the present value of future annual minimum payments, are recognized as revenue. Finance income is recognized over the term of a financed sale or sales-type lease arrangement. In addition, in sale arrangements, an estimate of the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w:t>
      </w:r>
    </w:p>
    <w:p>
      <w:pPr>
        <w:spacing w:after="0" w:line="147"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sale arrangements, title to the IMAX Theater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Theater System equipment remains with the Company. The Company has the right to remove the equipment for non-payment or other defaults by the customer.</w:t>
      </w:r>
    </w:p>
    <w:p>
      <w:pPr>
        <w:spacing w:after="0" w:line="14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revenue earned from customers under the Company’s theater system sales or lease agreements varies from quarter-to-quarter and year-to-year based on a number of factors, including the number and mix of theater system configurations sold or leased, the timing of installation of the theater systems, the nature of the arrangement and other factors specific to individual contracts.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Fixed Fees</w:t>
      </w:r>
    </w:p>
    <w:p>
      <w:pPr>
        <w:spacing w:after="0" w:line="19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Under certain joint revenue sharing arrangements, known as hybrid arrangements, the customer is responsible for making fixed upfront payments prior to the delivery and installation of the IMAX Theater System in an amount that is typically half of what the Company would receive from a typical sale transaction. For hybrid joint revenue sharing arrangements that take the form of a lease, the contingent rent is reported within the IMAX Technology Network, as discussed above, while the fixed upfront payment is reported within IMAX Technology Sales and Maintenance.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80"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For all IMAX theaters, theater owners or operators are also responsible for paying the Company an annual maintenance and extended warranty fee. Under these arrangements, the Company provides proactive and emergency maintenance services to every theater in its network to ensure that each presentation is up to the highest IMAX quality standard. Annual maintenance fees are paid throughout the duration of the term of the theater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Theater Business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Other Theater Business segment principally includes after-market sales of IMAX projection system parts and 3D glasses.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New Business Initiatives</w:t>
      </w:r>
    </w:p>
    <w:p>
      <w:pPr>
        <w:spacing w:after="0" w:line="198" w:lineRule="exact"/>
        <w:rPr>
          <w:sz w:val="20"/>
          <w:szCs w:val="20"/>
          <w:color w:val="auto"/>
        </w:rPr>
      </w:pPr>
    </w:p>
    <w:p>
      <w:pPr>
        <w:jc w:val="both"/>
        <w:ind w:firstLine="225"/>
        <w:spacing w:after="0" w:line="306" w:lineRule="auto"/>
        <w:rPr>
          <w:sz w:val="20"/>
          <w:szCs w:val="20"/>
          <w:color w:val="auto"/>
        </w:rPr>
      </w:pPr>
      <w:r>
        <w:rPr>
          <w:rFonts w:ascii="Arial" w:cs="Arial" w:eastAsia="Arial" w:hAnsi="Arial"/>
          <w:sz w:val="16"/>
          <w:szCs w:val="16"/>
          <w:color w:val="auto"/>
        </w:rPr>
        <w:t xml:space="preserve">The New Business Initiatives segment includes activities related to the </w:t>
      </w:r>
      <w:r>
        <w:rPr>
          <w:rFonts w:ascii="Arial" w:cs="Arial" w:eastAsia="Arial" w:hAnsi="Arial"/>
          <w:sz w:val="16"/>
          <w:szCs w:val="16"/>
          <w:color w:val="212529"/>
        </w:rPr>
        <w:t>exploration of new lines of business and new initiatives outside of the Company’s</w:t>
      </w:r>
      <w:r>
        <w:rPr>
          <w:rFonts w:ascii="Arial" w:cs="Arial" w:eastAsia="Arial" w:hAnsi="Arial"/>
          <w:sz w:val="16"/>
          <w:szCs w:val="16"/>
          <w:color w:val="auto"/>
        </w:rPr>
        <w:t xml:space="preserve"> </w:t>
      </w:r>
      <w:r>
        <w:rPr>
          <w:rFonts w:ascii="Arial" w:cs="Arial" w:eastAsia="Arial" w:hAnsi="Arial"/>
          <w:sz w:val="16"/>
          <w:szCs w:val="16"/>
          <w:color w:val="212529"/>
        </w:rPr>
        <w:t>core business, which seek to leverage its proprietary, innovative technologies, its leadership position in the entertainment technology space and its unique relationship with content creators. Such new business initiatives currently include IMAX Enhanced and Connected Theaters, as discussed below.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Enhanced</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September 2018, the Company announced a new home entertainment licensing and certification program called IMAX Enhanced. This initiative was launched along with audio leader DTS (an Xperi subsidiary), capitalizing on the companies’ decades of combined expertise in image and sound science. The certification program combines high-end consumer electronics products with IMAX digitally remastered 4K high dynamic range (HDR) content and DTS audio technologies to offer consumers immersive sight and sound experiences for the home.</w:t>
      </w:r>
    </w:p>
    <w:p>
      <w:pPr>
        <w:spacing w:after="0" w:line="16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To be accepted into the program, leading consumer electronics manufacturers must design 4K HDR televisions, A/V receivers, sound systems and other home theater equipment to meet a carefully prescribed set of audio and video performance standards, set by a certification committee of IMAX and DTS engineers and some of Hollywood’s leading technical specialists.</w:t>
      </w:r>
    </w:p>
    <w:p>
      <w:pPr>
        <w:spacing w:after="0" w:line="14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program will digitally remaster content to produce more vibrant colors, greater contrast and sharper clarity, and will also deliver an IMAX signature sound experience.</w:t>
      </w:r>
    </w:p>
    <w:p>
      <w:pPr>
        <w:spacing w:after="0" w:line="13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IMAX Enhanced Program device partners include Sony Electronics, Denon, Marantz, Pioneer, and TCL (among others), as well as movie studio partners including Sony Pictures and Paramount Pictures.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Connected Theaters</w:t>
      </w:r>
    </w:p>
    <w:p>
      <w:pPr>
        <w:spacing w:after="0" w:line="22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 is currently exploring new technologies and forms of content as a way to deepen consumer engagement and brand loyalty, including new technologies to further connect the IMAX network and to facilitate bringing more unique content, including live events, to IMAX theater audiences. The Company believes such additional connectivity can provide more innovative content to the IMAX network and in turn permit the Company to engage audiences in new ways.</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continues to believe that the IMAX network serves as a valuable platform to launch and distribute original content, especially during periods between peak and off-peak seasons, known as shoulder periods.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 Distribution and Post-production</w:t>
      </w:r>
    </w:p>
    <w:p>
      <w:pPr>
        <w:spacing w:after="0" w:line="198"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 xml:space="preserve">Through the Film Distribution segment, the Company licenses film content and distributes large-format films, primarily for its institutional theater partners. The Company generally distributes films which it produces or for which it has acquired distribution rights from independent producers. The Company receives either a percentage of the theater box office receipts or a fixed amount as a distribution fee. The Company expects to release the IMAX original production, </w:t>
      </w:r>
      <w:r>
        <w:rPr>
          <w:rFonts w:ascii="Arial" w:cs="Arial" w:eastAsia="Arial" w:hAnsi="Arial"/>
          <w:sz w:val="18"/>
          <w:szCs w:val="18"/>
          <w:i w:val="1"/>
          <w:iCs w:val="1"/>
          <w:color w:val="auto"/>
        </w:rPr>
        <w:t>Asteroid Hunters</w:t>
      </w:r>
      <w:r>
        <w:rPr>
          <w:rFonts w:ascii="Arial" w:cs="Arial" w:eastAsia="Arial" w:hAnsi="Arial"/>
          <w:sz w:val="18"/>
          <w:szCs w:val="18"/>
          <w:color w:val="auto"/>
        </w:rPr>
        <w:t>, later in 2020.</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Film Post-production segment provides film post-production and quality control services for large-format films (whether produced by IMAX or third parties), and digital post-production services.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IMAX NETWORK AND BACKLOG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Network</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detailed information about the IMAX network by type and geographic location as at June 30, 2020 and 2019:</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June 30, 2020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June 30, 2019</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Commercial</w:t>
            </w: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Institutional</w:t>
            </w: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Commercial</w:t>
            </w: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Institutional</w:t>
            </w:r>
          </w:p>
        </w:tc>
        <w:tc>
          <w:tcPr>
            <w:tcW w:w="10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Multiplex</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Destination</w:t>
            </w:r>
          </w:p>
        </w:tc>
        <w:tc>
          <w:tcPr>
            <w:tcW w:w="10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Multiplex</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Destination</w:t>
            </w:r>
          </w:p>
        </w:tc>
        <w:tc>
          <w:tcPr>
            <w:tcW w:w="10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United States</w:t>
            </w: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405</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Arial" w:cs="Arial" w:eastAsia="Arial" w:hAnsi="Arial"/>
                <w:sz w:val="16"/>
                <w:szCs w:val="16"/>
                <w:color w:val="auto"/>
              </w:rPr>
              <w:t>Canada</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FF0FC"/>
          </w:tcPr>
          <w:p>
            <w:pPr>
              <w:spacing w:after="0" w:line="227" w:lineRule="exact"/>
              <w:rPr>
                <w:sz w:val="20"/>
                <w:szCs w:val="20"/>
                <w:color w:val="auto"/>
              </w:rPr>
            </w:pPr>
            <w:r>
              <w:rPr>
                <w:rFonts w:ascii="Arial" w:cs="Arial" w:eastAsia="Arial" w:hAnsi="Arial"/>
                <w:sz w:val="16"/>
                <w:szCs w:val="16"/>
                <w:color w:val="auto"/>
              </w:rPr>
              <w:t>Greater China</w:t>
            </w:r>
            <w:r>
              <w:rPr>
                <w:rFonts w:ascii="Arial" w:cs="Arial" w:eastAsia="Arial" w:hAnsi="Arial"/>
                <w:sz w:val="26"/>
                <w:szCs w:val="26"/>
                <w:color w:val="auto"/>
                <w:vertAlign w:val="superscript"/>
              </w:rPr>
              <w:t>(1)</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Arial" w:cs="Arial" w:eastAsia="Arial" w:hAnsi="Arial"/>
                <w:sz w:val="16"/>
                <w:szCs w:val="16"/>
                <w:color w:val="auto"/>
              </w:rPr>
              <w:t>Western Europe</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Asia (excluding Greater China)</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Arial" w:cs="Arial" w:eastAsia="Arial" w:hAnsi="Arial"/>
                <w:sz w:val="16"/>
                <w:szCs w:val="16"/>
                <w:color w:val="auto"/>
              </w:rPr>
              <w:t>Russia &amp; the CIS</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FF0FC"/>
          </w:tcPr>
          <w:p>
            <w:pPr>
              <w:spacing w:after="0" w:line="227" w:lineRule="exact"/>
              <w:rPr>
                <w:sz w:val="20"/>
                <w:szCs w:val="20"/>
                <w:color w:val="auto"/>
              </w:rPr>
            </w:pPr>
            <w:r>
              <w:rPr>
                <w:rFonts w:ascii="Arial" w:cs="Arial" w:eastAsia="Arial" w:hAnsi="Arial"/>
                <w:sz w:val="16"/>
                <w:szCs w:val="16"/>
                <w:color w:val="auto"/>
              </w:rPr>
              <w:t>Latin America</w:t>
            </w:r>
            <w:r>
              <w:rPr>
                <w:rFonts w:ascii="Arial" w:cs="Arial" w:eastAsia="Arial" w:hAnsi="Arial"/>
                <w:sz w:val="26"/>
                <w:szCs w:val="26"/>
                <w:color w:val="auto"/>
                <w:vertAlign w:val="superscript"/>
              </w:rPr>
              <w:t>(2)</w:t>
            </w: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7"/>
        </w:trPr>
        <w:tc>
          <w:tcPr>
            <w:tcW w:w="2820" w:type="dxa"/>
            <w:vAlign w:val="bottom"/>
            <w:gridSpan w:val="2"/>
          </w:tcPr>
          <w:p>
            <w:pPr>
              <w:spacing w:after="0"/>
              <w:rPr>
                <w:sz w:val="20"/>
                <w:szCs w:val="20"/>
                <w:color w:val="auto"/>
              </w:rPr>
            </w:pPr>
            <w:r>
              <w:rPr>
                <w:rFonts w:ascii="Arial" w:cs="Arial" w:eastAsia="Arial" w:hAnsi="Arial"/>
                <w:sz w:val="16"/>
                <w:szCs w:val="16"/>
                <w:color w:val="auto"/>
              </w:rPr>
              <w:t>Rest of the World</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0"/>
        </w:trPr>
        <w:tc>
          <w:tcPr>
            <w:tcW w:w="2820" w:type="dxa"/>
            <w:vAlign w:val="bottom"/>
            <w:tcBorders>
              <w:top w:val="single" w:sz="8" w:color="CFF0FC"/>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Total</w:t>
            </w:r>
          </w:p>
        </w:tc>
        <w:tc>
          <w:tcPr>
            <w:tcW w:w="9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1,445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3"/>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Greater China includes China, Hong Kong, Taiwan and Macau.</w:t>
      </w:r>
    </w:p>
    <w:p>
      <w:pPr>
        <w:spacing w:after="0" w:line="19" w:lineRule="exact"/>
        <w:rPr>
          <w:rFonts w:ascii="Arial" w:cs="Arial" w:eastAsia="Arial" w:hAnsi="Arial"/>
          <w:sz w:val="18"/>
          <w:szCs w:val="18"/>
          <w:color w:val="auto"/>
        </w:rPr>
      </w:pPr>
    </w:p>
    <w:p>
      <w:pPr>
        <w:ind w:left="380" w:hanging="373"/>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Latin America includes South America, Central America and Mexico.</w:t>
      </w:r>
    </w:p>
    <w:p>
      <w:pPr>
        <w:spacing w:after="0" w:line="181"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The Company currently believes that over time its commercial multiplex network could grow to approximately 3,318 IMAX theaters worldwide from the 1,527 operating as at June 30, 2020. The Company believes that the majority of its future growth will come from international markets. As at June 30, 2020, 72.0% of IMAX Theater Systems in operation were located within international markets (defined as all countries other than the United States and Canada), up from 70.7% as at June 30, 2019. Revenues and gross box office derived from international markets continue to exceed revenues and gross box office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Item 1A of the Company’s 2019 Form 10-K.</w:t>
      </w:r>
    </w:p>
    <w:p>
      <w:pPr>
        <w:spacing w:after="0" w:line="142"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Greater China is the Company’s largest market, measured by revenues, with approximately 31% of overall revenues generated from its Greater China operations in the year ended December 31, 2019. As at June 30, 2020, the Company had 714 theaters operating in Greater China with an additional 271 theaters in backlog that are scheduled to be installed by 2023. The Company’s backlog in Greater China represents 48.5% of the Company’s current backlog including upgrades. The Company’s largest single international partnership is in China with Wanda Film (“Wanda”). Wanda’s total commitment to the Company is for 359 IMAX Theater Systems in Greater China (of which 354 IMAX Theater Systems are under the parties’ joint revenue sharing arrangement). See “Risk Factors – The Company faces risks in connection with the continued expansion of its business in China” in Item 1A of the Company’s 2019 Form 10-K.</w:t>
      </w:r>
    </w:p>
    <w:p>
      <w:pPr>
        <w:spacing w:after="0" w:line="154"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1" w:name="page52"/>
    <w:bookmarkEnd w:id="51"/>
    <w:p>
      <w:pPr>
        <w:jc w:val="both"/>
        <w:ind w:firstLine="225"/>
        <w:spacing w:after="0" w:line="270" w:lineRule="auto"/>
        <w:rPr>
          <w:sz w:val="20"/>
          <w:szCs w:val="20"/>
          <w:color w:val="auto"/>
        </w:rPr>
      </w:pPr>
      <w:r>
        <w:rPr>
          <w:rFonts w:ascii="Arial" w:cs="Arial" w:eastAsia="Arial" w:hAnsi="Arial"/>
          <w:sz w:val="18"/>
          <w:szCs w:val="18"/>
          <w:color w:val="auto"/>
        </w:rPr>
        <w:t>The following tables provide detailed information about the Commercial Multiplex theaters in operation within the IMAX network by arrangement type and geographic location as at June 30, 2020 and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June 30, 2020</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20" w:type="dxa"/>
            <w:vAlign w:val="bottom"/>
          </w:tcPr>
          <w:p>
            <w:pPr>
              <w:spacing w:after="0"/>
              <w:rPr>
                <w:sz w:val="13"/>
                <w:szCs w:val="13"/>
                <w:color w:val="auto"/>
              </w:rPr>
            </w:pPr>
          </w:p>
        </w:tc>
        <w:tc>
          <w:tcPr>
            <w:tcW w:w="4380" w:type="dxa"/>
            <w:vAlign w:val="bottom"/>
            <w:tcBorders>
              <w:bottom w:val="single" w:sz="8" w:color="auto"/>
            </w:tcBorders>
            <w:gridSpan w:val="7"/>
          </w:tcPr>
          <w:p>
            <w:pPr>
              <w:jc w:val="center"/>
              <w:ind w:left="835"/>
              <w:spacing w:after="0" w:line="154" w:lineRule="exact"/>
              <w:rPr>
                <w:sz w:val="20"/>
                <w:szCs w:val="20"/>
                <w:color w:val="auto"/>
              </w:rPr>
            </w:pPr>
            <w:r>
              <w:rPr>
                <w:rFonts w:ascii="Arial" w:cs="Arial" w:eastAsia="Arial" w:hAnsi="Arial"/>
                <w:sz w:val="14"/>
                <w:szCs w:val="14"/>
                <w:b w:val="1"/>
                <w:bCs w:val="1"/>
                <w:color w:val="auto"/>
                <w:w w:val="96"/>
              </w:rPr>
              <w:t>Commercial Multiplex Theaters in IMAX Network</w:t>
            </w: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9"/>
              </w:rPr>
              <w:t>Hybrid</w:t>
            </w:r>
          </w:p>
        </w:tc>
        <w:tc>
          <w:tcPr>
            <w:tcW w:w="1640" w:type="dxa"/>
            <w:vAlign w:val="bottom"/>
            <w:gridSpan w:val="3"/>
          </w:tcPr>
          <w:p>
            <w:pPr>
              <w:jc w:val="center"/>
              <w:ind w:right="520"/>
              <w:spacing w:after="0" w:line="131" w:lineRule="exact"/>
              <w:rPr>
                <w:sz w:val="20"/>
                <w:szCs w:val="20"/>
                <w:color w:val="auto"/>
              </w:rPr>
            </w:pPr>
            <w:r>
              <w:rPr>
                <w:rFonts w:ascii="Arial" w:cs="Arial" w:eastAsia="Arial" w:hAnsi="Arial"/>
                <w:sz w:val="14"/>
                <w:szCs w:val="14"/>
                <w:b w:val="1"/>
                <w:bCs w:val="1"/>
                <w:color w:val="auto"/>
                <w:w w:val="88"/>
              </w:rPr>
              <w:t>Sale / Sales-</w:t>
            </w: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58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JRSA</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JRSA</w:t>
            </w: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type Lease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278</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Asia (excluding Greater China)</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Rest of the World</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1"/>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452</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133</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532</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Worldwide Total</w:t>
            </w:r>
            <w:r>
              <w:rPr>
                <w:rFonts w:ascii="Arial" w:cs="Arial" w:eastAsia="Arial" w:hAnsi="Arial"/>
                <w:sz w:val="15"/>
                <w:szCs w:val="15"/>
                <w:color w:val="auto"/>
              </w:rPr>
              <w:t>(1)</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730</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58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June 30, 2019</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20" w:type="dxa"/>
            <w:vAlign w:val="bottom"/>
          </w:tcPr>
          <w:p>
            <w:pPr>
              <w:spacing w:after="0"/>
              <w:rPr>
                <w:sz w:val="19"/>
                <w:szCs w:val="19"/>
                <w:color w:val="auto"/>
              </w:rPr>
            </w:pPr>
          </w:p>
        </w:tc>
        <w:tc>
          <w:tcPr>
            <w:tcW w:w="4380" w:type="dxa"/>
            <w:vAlign w:val="bottom"/>
            <w:tcBorders>
              <w:bottom w:val="single" w:sz="8" w:color="auto"/>
            </w:tcBorders>
            <w:gridSpan w:val="7"/>
          </w:tcPr>
          <w:p>
            <w:pPr>
              <w:jc w:val="center"/>
              <w:ind w:left="835"/>
              <w:spacing w:after="0"/>
              <w:rPr>
                <w:sz w:val="20"/>
                <w:szCs w:val="20"/>
                <w:color w:val="auto"/>
              </w:rPr>
            </w:pPr>
            <w:r>
              <w:rPr>
                <w:rFonts w:ascii="Arial" w:cs="Arial" w:eastAsia="Arial" w:hAnsi="Arial"/>
                <w:sz w:val="14"/>
                <w:szCs w:val="14"/>
                <w:b w:val="1"/>
                <w:bCs w:val="1"/>
                <w:color w:val="auto"/>
                <w:w w:val="96"/>
              </w:rPr>
              <w:t>Commercial Multiplex Theaters in IMAX Network</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9"/>
              </w:rPr>
              <w:t>Hybrid</w:t>
            </w:r>
          </w:p>
        </w:tc>
        <w:tc>
          <w:tcPr>
            <w:tcW w:w="1640" w:type="dxa"/>
            <w:vAlign w:val="bottom"/>
            <w:gridSpan w:val="3"/>
          </w:tcPr>
          <w:p>
            <w:pPr>
              <w:jc w:val="center"/>
              <w:ind w:right="520"/>
              <w:spacing w:after="0" w:line="131" w:lineRule="exact"/>
              <w:rPr>
                <w:sz w:val="20"/>
                <w:szCs w:val="20"/>
                <w:color w:val="auto"/>
              </w:rPr>
            </w:pPr>
            <w:r>
              <w:rPr>
                <w:rFonts w:ascii="Arial" w:cs="Arial" w:eastAsia="Arial" w:hAnsi="Arial"/>
                <w:sz w:val="14"/>
                <w:szCs w:val="14"/>
                <w:b w:val="1"/>
                <w:bCs w:val="1"/>
                <w:color w:val="auto"/>
                <w:w w:val="88"/>
              </w:rPr>
              <w:t>Sale / Sales-</w:t>
            </w: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58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JRSA</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JRSA</w:t>
            </w:r>
          </w:p>
        </w:tc>
        <w:tc>
          <w:tcPr>
            <w:tcW w:w="16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type Lease</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126</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International:</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Asia (excluding Greater China)</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7"/>
        </w:trPr>
        <w:tc>
          <w:tcPr>
            <w:tcW w:w="5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7"/>
        </w:trPr>
        <w:tc>
          <w:tcPr>
            <w:tcW w:w="5820" w:type="dxa"/>
            <w:vAlign w:val="bottom"/>
          </w:tcPr>
          <w:p>
            <w:pPr>
              <w:ind w:left="120"/>
              <w:spacing w:after="0"/>
              <w:rPr>
                <w:sz w:val="20"/>
                <w:szCs w:val="20"/>
                <w:color w:val="auto"/>
              </w:rPr>
            </w:pPr>
            <w:r>
              <w:rPr>
                <w:rFonts w:ascii="Arial" w:cs="Arial" w:eastAsia="Arial" w:hAnsi="Arial"/>
                <w:sz w:val="18"/>
                <w:szCs w:val="18"/>
                <w:color w:val="auto"/>
              </w:rPr>
              <w:t>Rest of the World</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1"/>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418</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128</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493</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8"/>
                <w:szCs w:val="18"/>
                <w:color w:val="auto"/>
              </w:rPr>
              <w:t>Worldwide Total</w:t>
            </w:r>
            <w:r>
              <w:rPr>
                <w:rFonts w:ascii="Arial" w:cs="Arial" w:eastAsia="Arial" w:hAnsi="Arial"/>
                <w:sz w:val="15"/>
                <w:szCs w:val="15"/>
                <w:color w:val="auto"/>
              </w:rPr>
              <w:t>(1)</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619</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4"/>
          <w:szCs w:val="14"/>
          <w:color w:val="auto"/>
        </w:rPr>
        <w:t>Period-to-period changes in tables above are reported net of the effect of permanently closed theaters.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9499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As at June 30, 2020, 278 (2019 — 275) of the 730 (2019 — 693) theaters under traditional joint revenue sharing arrangements in operation, or 38.1% (2019 — 39.7%), were located in the United States and Canada, with the remaining 452 (2019 — 418) or 61.9% (2019 — 60.3%) of theaters being located in international markets.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Sales Backlog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detailed information about the Company’s sales backlog as at June 30, 2020 and 2019:</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June 30, 2020</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June 30, 2019</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09"/>
        </w:trPr>
        <w:tc>
          <w:tcPr>
            <w:tcW w:w="1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760" w:type="dxa"/>
            <w:vAlign w:val="bottom"/>
            <w:gridSpan w:val="3"/>
          </w:tcPr>
          <w:p>
            <w:pPr>
              <w:jc w:val="center"/>
              <w:ind w:right="17"/>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8"/>
                <w:szCs w:val="18"/>
                <w:color w:val="auto"/>
              </w:rPr>
            </w:pPr>
          </w:p>
        </w:tc>
        <w:tc>
          <w:tcPr>
            <w:tcW w:w="18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Dollar Value</w:t>
            </w:r>
          </w:p>
        </w:tc>
        <w:tc>
          <w:tcPr>
            <w:tcW w:w="300" w:type="dxa"/>
            <w:vAlign w:val="bottom"/>
          </w:tcPr>
          <w:p>
            <w:pPr>
              <w:spacing w:after="0"/>
              <w:rPr>
                <w:sz w:val="18"/>
                <w:szCs w:val="18"/>
                <w:color w:val="auto"/>
              </w:rPr>
            </w:pPr>
          </w:p>
        </w:tc>
        <w:tc>
          <w:tcPr>
            <w:tcW w:w="1760" w:type="dxa"/>
            <w:vAlign w:val="bottom"/>
            <w:gridSpan w:val="3"/>
          </w:tcPr>
          <w:p>
            <w:pPr>
              <w:jc w:val="center"/>
              <w:ind w:right="17"/>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8"/>
                <w:szCs w:val="18"/>
                <w:color w:val="auto"/>
              </w:rPr>
            </w:pPr>
          </w:p>
        </w:tc>
        <w:tc>
          <w:tcPr>
            <w:tcW w:w="1860" w:type="dxa"/>
            <w:vAlign w:val="bottom"/>
            <w:gridSpan w:val="6"/>
          </w:tcPr>
          <w:p>
            <w:pPr>
              <w:jc w:val="right"/>
              <w:ind w:right="511"/>
              <w:spacing w:after="0"/>
              <w:rPr>
                <w:sz w:val="20"/>
                <w:szCs w:val="20"/>
                <w:color w:val="auto"/>
              </w:rPr>
            </w:pPr>
            <w:r>
              <w:rPr>
                <w:rFonts w:ascii="Arial" w:cs="Arial" w:eastAsia="Arial" w:hAnsi="Arial"/>
                <w:sz w:val="14"/>
                <w:szCs w:val="14"/>
                <w:b w:val="1"/>
                <w:bCs w:val="1"/>
                <w:color w:val="auto"/>
              </w:rPr>
              <w:t>Dollar Value</w:t>
            </w:r>
          </w:p>
        </w:tc>
        <w:tc>
          <w:tcPr>
            <w:tcW w:w="200" w:type="dxa"/>
            <w:vAlign w:val="bottom"/>
          </w:tcPr>
          <w:p>
            <w:pPr>
              <w:spacing w:after="0"/>
              <w:rPr>
                <w:sz w:val="18"/>
                <w:szCs w:val="18"/>
                <w:color w:val="auto"/>
              </w:rPr>
            </w:pPr>
          </w:p>
        </w:tc>
      </w:tr>
      <w:tr>
        <w:trPr>
          <w:trHeight w:val="198"/>
        </w:trPr>
        <w:tc>
          <w:tcPr>
            <w:tcW w:w="1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60" w:type="dxa"/>
            <w:vAlign w:val="bottom"/>
            <w:tcBorders>
              <w:bottom w:val="single" w:sz="8" w:color="auto"/>
            </w:tcBorders>
            <w:gridSpan w:val="3"/>
          </w:tcPr>
          <w:p>
            <w:pPr>
              <w:jc w:val="center"/>
              <w:ind w:right="37"/>
              <w:spacing w:after="0"/>
              <w:rPr>
                <w:sz w:val="20"/>
                <w:szCs w:val="20"/>
                <w:color w:val="auto"/>
              </w:rPr>
            </w:pPr>
            <w:r>
              <w:rPr>
                <w:rFonts w:ascii="Arial" w:cs="Arial" w:eastAsia="Arial" w:hAnsi="Arial"/>
                <w:sz w:val="14"/>
                <w:szCs w:val="14"/>
                <w:b w:val="1"/>
                <w:bCs w:val="1"/>
                <w:color w:val="auto"/>
                <w:w w:val="83"/>
              </w:rPr>
              <w:t>Systems</w:t>
            </w:r>
          </w:p>
        </w:tc>
        <w:tc>
          <w:tcPr>
            <w:tcW w:w="300" w:type="dxa"/>
            <w:vAlign w:val="bottom"/>
          </w:tcPr>
          <w:p>
            <w:pPr>
              <w:spacing w:after="0"/>
              <w:rPr>
                <w:sz w:val="17"/>
                <w:szCs w:val="17"/>
                <w:color w:val="auto"/>
              </w:rPr>
            </w:pPr>
          </w:p>
        </w:tc>
        <w:tc>
          <w:tcPr>
            <w:tcW w:w="18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7"/>
                <w:szCs w:val="17"/>
                <w:color w:val="auto"/>
              </w:rPr>
            </w:pPr>
          </w:p>
        </w:tc>
        <w:tc>
          <w:tcPr>
            <w:tcW w:w="1760" w:type="dxa"/>
            <w:vAlign w:val="bottom"/>
            <w:tcBorders>
              <w:bottom w:val="single" w:sz="8" w:color="auto"/>
            </w:tcBorders>
            <w:gridSpan w:val="3"/>
          </w:tcPr>
          <w:p>
            <w:pPr>
              <w:jc w:val="center"/>
              <w:ind w:right="37"/>
              <w:spacing w:after="0"/>
              <w:rPr>
                <w:sz w:val="20"/>
                <w:szCs w:val="20"/>
                <w:color w:val="auto"/>
              </w:rPr>
            </w:pPr>
            <w:r>
              <w:rPr>
                <w:rFonts w:ascii="Arial" w:cs="Arial" w:eastAsia="Arial" w:hAnsi="Arial"/>
                <w:sz w:val="14"/>
                <w:szCs w:val="14"/>
                <w:b w:val="1"/>
                <w:bCs w:val="1"/>
                <w:color w:val="auto"/>
                <w:w w:val="83"/>
              </w:rPr>
              <w:t>Systems</w:t>
            </w:r>
          </w:p>
        </w:tc>
        <w:tc>
          <w:tcPr>
            <w:tcW w:w="300" w:type="dxa"/>
            <w:vAlign w:val="bottom"/>
          </w:tcPr>
          <w:p>
            <w:pPr>
              <w:spacing w:after="0"/>
              <w:rPr>
                <w:sz w:val="17"/>
                <w:szCs w:val="17"/>
                <w:color w:val="auto"/>
              </w:rPr>
            </w:pPr>
          </w:p>
        </w:tc>
        <w:tc>
          <w:tcPr>
            <w:tcW w:w="1860" w:type="dxa"/>
            <w:vAlign w:val="bottom"/>
            <w:tcBorders>
              <w:bottom w:val="single" w:sz="8" w:color="auto"/>
            </w:tcBorders>
            <w:gridSpan w:val="6"/>
          </w:tcPr>
          <w:p>
            <w:pPr>
              <w:jc w:val="right"/>
              <w:ind w:right="471"/>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7"/>
                <w:szCs w:val="17"/>
                <w:color w:val="auto"/>
              </w:rPr>
            </w:pPr>
          </w:p>
        </w:tc>
      </w:tr>
      <w:tr>
        <w:trPr>
          <w:trHeight w:val="194"/>
        </w:trPr>
        <w:tc>
          <w:tcPr>
            <w:tcW w:w="1500" w:type="dxa"/>
            <w:vAlign w:val="bottom"/>
            <w:tcBorders>
              <w:bottom w:val="single" w:sz="8" w:color="CFF0FC"/>
            </w:tcBorders>
          </w:tcPr>
          <w:p>
            <w:pPr>
              <w:spacing w:after="0"/>
              <w:rPr>
                <w:sz w:val="16"/>
                <w:szCs w:val="16"/>
                <w:color w:val="auto"/>
              </w:rPr>
            </w:pPr>
          </w:p>
        </w:tc>
        <w:tc>
          <w:tcPr>
            <w:tcW w:w="140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3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8"/>
              </w:rPr>
              <w:t>Upgrade</w:t>
            </w:r>
          </w:p>
        </w:tc>
        <w:tc>
          <w:tcPr>
            <w:tcW w:w="30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8"/>
              </w:rPr>
              <w:t>Upgrade</w:t>
            </w:r>
          </w:p>
        </w:tc>
        <w:tc>
          <w:tcPr>
            <w:tcW w:w="30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30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8"/>
              </w:rPr>
              <w:t>Upgrade</w:t>
            </w:r>
          </w:p>
        </w:tc>
        <w:tc>
          <w:tcPr>
            <w:tcW w:w="30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New</w:t>
            </w: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w w:val="95"/>
              </w:rPr>
              <w:t>Upgrade</w:t>
            </w:r>
          </w:p>
        </w:tc>
        <w:tc>
          <w:tcPr>
            <w:tcW w:w="200" w:type="dxa"/>
            <w:vAlign w:val="bottom"/>
            <w:tcBorders>
              <w:bottom w:val="single" w:sz="8" w:color="CFF0FC"/>
            </w:tcBorders>
          </w:tcPr>
          <w:p>
            <w:pPr>
              <w:spacing w:after="0"/>
              <w:rPr>
                <w:sz w:val="16"/>
                <w:szCs w:val="16"/>
                <w:color w:val="auto"/>
              </w:rPr>
            </w:pPr>
          </w:p>
        </w:tc>
      </w:tr>
      <w:tr>
        <w:trPr>
          <w:trHeight w:val="206"/>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sales-type lease</w:t>
            </w: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28"/>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arrangements</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$ 207,544</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$ 14,518</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$ 227,676</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4,421</w:t>
            </w:r>
          </w:p>
        </w:tc>
        <w:tc>
          <w:tcPr>
            <w:tcW w:w="200" w:type="dxa"/>
            <w:vAlign w:val="bottom"/>
            <w:shd w:val="clear" w:color="auto" w:fill="CFF0FC"/>
          </w:tcPr>
          <w:p>
            <w:pPr>
              <w:spacing w:after="0"/>
              <w:rPr>
                <w:sz w:val="19"/>
                <w:szCs w:val="19"/>
                <w:color w:val="auto"/>
              </w:rPr>
            </w:pPr>
          </w:p>
        </w:tc>
      </w:tr>
      <w:tr>
        <w:trPr>
          <w:trHeight w:val="227"/>
        </w:trPr>
        <w:tc>
          <w:tcPr>
            <w:tcW w:w="2900" w:type="dxa"/>
            <w:vAlign w:val="bottom"/>
            <w:gridSpan w:val="2"/>
          </w:tcPr>
          <w:p>
            <w:pPr>
              <w:spacing w:after="0"/>
              <w:rPr>
                <w:sz w:val="20"/>
                <w:szCs w:val="20"/>
                <w:color w:val="auto"/>
              </w:rPr>
            </w:pPr>
            <w:r>
              <w:rPr>
                <w:rFonts w:ascii="Arial" w:cs="Arial" w:eastAsia="Arial" w:hAnsi="Arial"/>
                <w:sz w:val="18"/>
                <w:szCs w:val="18"/>
                <w:color w:val="auto"/>
              </w:rPr>
              <w:t>Hybrid JRSA</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106,400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5,560</w:t>
            </w:r>
          </w:p>
        </w:tc>
        <w:tc>
          <w:tcPr>
            <w:tcW w:w="30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9"/>
                <w:szCs w:val="19"/>
                <w:color w:val="auto"/>
              </w:rPr>
            </w:pPr>
          </w:p>
        </w:tc>
        <w:tc>
          <w:tcPr>
            <w:tcW w:w="740" w:type="dxa"/>
            <w:vAlign w:val="bottom"/>
          </w:tcPr>
          <w:p>
            <w:pPr>
              <w:jc w:val="right"/>
              <w:ind w:right="37"/>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105,884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7,110</w:t>
            </w:r>
          </w:p>
        </w:tc>
        <w:tc>
          <w:tcPr>
            <w:tcW w:w="200" w:type="dxa"/>
            <w:vAlign w:val="bottom"/>
          </w:tcPr>
          <w:p>
            <w:pPr>
              <w:spacing w:after="0"/>
              <w:rPr>
                <w:sz w:val="19"/>
                <w:szCs w:val="19"/>
                <w:color w:val="auto"/>
              </w:rPr>
            </w:pPr>
          </w:p>
        </w:tc>
      </w:tr>
      <w:tr>
        <w:trPr>
          <w:trHeight w:val="228"/>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Traditional JRSA</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FF0FC"/>
          </w:tcPr>
          <w:p>
            <w:pPr>
              <w:jc w:val="center"/>
              <w:ind w:right="44"/>
              <w:spacing w:after="0"/>
              <w:rPr>
                <w:sz w:val="20"/>
                <w:szCs w:val="20"/>
                <w:color w:val="auto"/>
              </w:rPr>
            </w:pPr>
            <w:r>
              <w:rPr>
                <w:rFonts w:ascii="Arial" w:cs="Arial" w:eastAsia="Arial" w:hAnsi="Arial"/>
                <w:sz w:val="15"/>
                <w:szCs w:val="15"/>
                <w:color w:val="auto"/>
                <w:w w:val="97"/>
              </w:rPr>
              <w:t>(1)</w:t>
            </w: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87"/>
              </w:rPr>
              <w:t>(1)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5,500</w:t>
            </w:r>
          </w:p>
        </w:tc>
        <w:tc>
          <w:tcPr>
            <w:tcW w:w="3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87"/>
              </w:rPr>
              <w:t>(2)</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FF0FC"/>
          </w:tcPr>
          <w:p>
            <w:pPr>
              <w:jc w:val="center"/>
              <w:ind w:right="44"/>
              <w:spacing w:after="0"/>
              <w:rPr>
                <w:sz w:val="20"/>
                <w:szCs w:val="20"/>
                <w:color w:val="auto"/>
              </w:rPr>
            </w:pPr>
            <w:r>
              <w:rPr>
                <w:rFonts w:ascii="Arial" w:cs="Arial" w:eastAsia="Arial" w:hAnsi="Arial"/>
                <w:sz w:val="15"/>
                <w:szCs w:val="15"/>
                <w:color w:val="auto"/>
                <w:w w:val="97"/>
              </w:rPr>
              <w:t>(1)</w:t>
            </w:r>
          </w:p>
        </w:tc>
        <w:tc>
          <w:tcPr>
            <w:tcW w:w="7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87"/>
              </w:rPr>
              <w:t>(1)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7,300</w:t>
            </w:r>
          </w:p>
        </w:tc>
        <w:tc>
          <w:tcPr>
            <w:tcW w:w="2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7"/>
              </w:rPr>
              <w:t>(2)</w:t>
            </w:r>
          </w:p>
        </w:tc>
      </w:tr>
      <w:tr>
        <w:trPr>
          <w:trHeight w:val="220"/>
        </w:trPr>
        <w:tc>
          <w:tcPr>
            <w:tcW w:w="1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459</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$ 314,244</w:t>
            </w: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85"/>
              </w:rPr>
              <w:t>$ 25,578</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491</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$ 333,960</w:t>
            </w: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7"/>
              </w:rPr>
              <w:t>18,831</w:t>
            </w:r>
          </w:p>
        </w:tc>
        <w:tc>
          <w:tcPr>
            <w:tcW w:w="2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26" w:lineRule="exact"/>
        <w:rPr>
          <w:sz w:val="20"/>
          <w:szCs w:val="20"/>
          <w:color w:val="auto"/>
        </w:rPr>
      </w:pPr>
    </w:p>
    <w:p>
      <w:pPr>
        <w:ind w:left="380" w:hanging="373"/>
        <w:spacing w:after="0" w:line="270" w:lineRule="auto"/>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46 IMAX Theater Systems (2019 — 60) where the customer has the option to convert from a joint revenue sharing arrangement to a sales arrangement.</w:t>
      </w:r>
    </w:p>
    <w:p>
      <w:pPr>
        <w:spacing w:after="0" w:line="1" w:lineRule="exact"/>
        <w:rPr>
          <w:rFonts w:ascii="Arial" w:cs="Arial" w:eastAsia="Arial" w:hAnsi="Arial"/>
          <w:sz w:val="18"/>
          <w:szCs w:val="18"/>
          <w:color w:val="auto"/>
        </w:rPr>
      </w:pPr>
    </w:p>
    <w:p>
      <w:pPr>
        <w:ind w:left="380" w:hanging="373"/>
        <w:spacing w:after="0"/>
        <w:tabs>
          <w:tab w:leader="none" w:pos="3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Reflects contractual upfront payments. Future contingent payments are not reflected as these are based on negotiated shares of box office results.</w:t>
      </w:r>
    </w:p>
    <w:p>
      <w:pPr>
        <w:spacing w:after="0" w:line="203" w:lineRule="exact"/>
        <w:rPr>
          <w:sz w:val="20"/>
          <w:szCs w:val="20"/>
          <w:color w:val="auto"/>
        </w:rPr>
      </w:pPr>
    </w:p>
    <w:p>
      <w:pPr>
        <w:jc w:val="both"/>
        <w:ind w:firstLine="224"/>
        <w:spacing w:after="0" w:line="285" w:lineRule="auto"/>
        <w:rPr>
          <w:sz w:val="20"/>
          <w:szCs w:val="20"/>
          <w:color w:val="auto"/>
        </w:rPr>
      </w:pPr>
      <w:r>
        <w:rPr>
          <w:rFonts w:ascii="Arial" w:cs="Arial" w:eastAsia="Arial" w:hAnsi="Arial"/>
          <w:sz w:val="16"/>
          <w:szCs w:val="16"/>
          <w:color w:val="auto"/>
        </w:rPr>
        <w:t>The number of IMAX Theater Systems in the backlog reflects the minimum number of commitments under signed contracts. The dollar value fluctuates depending on the number of new arrangements signed from year-to-year, which adds to backlog and the installation and acceptance of IMAX Theater Systems and the settlement of contracts, both of which reduce backlog. Sales backlog typically represents the fixed contracted revenue under signed IMAX Theater System sale and lease agreements that the Company believes will be recognized as revenue upon installation and acceptance of the associated system, as well as an estimate of variable consideration, however it excludes amounts allocated to maintenance and extended warranty revenues. The value of sales backlog does not include revenue from theaters in which the Company has an equity interest, operating leases and long-term conditional theater commitments. Theaters under joint revenue sharing arrangements do not usually have dollar value in backlog, although certain IMAX Theater Systems under joint revenue sharing arrangements provide for contracted upfront payments and therefore carry a backlog value based on those payments. The Company believes that the contractual obligations for IMAX Theater System installations that are listed in sales backlog are valid and binding commitments.</w:t>
      </w:r>
    </w:p>
    <w:p>
      <w:pPr>
        <w:spacing w:after="0" w:line="144"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8"/>
          <w:szCs w:val="18"/>
          <w:color w:val="auto"/>
        </w:rPr>
        <w:t>From time to time, in the normal course of its business, the Company will have customers who are unable to proceed with an IMAX Theater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151" w:lineRule="exact"/>
        <w:rPr>
          <w:sz w:val="20"/>
          <w:szCs w:val="20"/>
          <w:color w:val="auto"/>
        </w:rPr>
      </w:pPr>
    </w:p>
    <w:p>
      <w:pPr>
        <w:jc w:val="both"/>
        <w:ind w:firstLine="224"/>
        <w:spacing w:after="0" w:line="334" w:lineRule="auto"/>
        <w:rPr>
          <w:sz w:val="20"/>
          <w:szCs w:val="20"/>
          <w:color w:val="auto"/>
        </w:rPr>
      </w:pPr>
      <w:r>
        <w:rPr>
          <w:rFonts w:ascii="Arial" w:cs="Arial" w:eastAsia="Arial" w:hAnsi="Arial"/>
          <w:sz w:val="16"/>
          <w:szCs w:val="16"/>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3" w:name="page54"/>
    <w:bookmarkEnd w:id="53"/>
    <w:p>
      <w:pPr>
        <w:ind w:firstLine="224"/>
        <w:spacing w:after="0" w:line="270" w:lineRule="auto"/>
        <w:rPr>
          <w:sz w:val="20"/>
          <w:szCs w:val="20"/>
          <w:color w:val="auto"/>
        </w:rPr>
      </w:pPr>
      <w:r>
        <w:rPr>
          <w:rFonts w:ascii="Arial" w:cs="Arial" w:eastAsia="Arial" w:hAnsi="Arial"/>
          <w:sz w:val="18"/>
          <w:szCs w:val="18"/>
          <w:color w:val="auto"/>
        </w:rPr>
        <w:t>The following tables provide detailed information about the Company’s sales backlog by arrangement type and geographic location as at June 30, 2020 and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0"/>
              </w:rPr>
              <w:t>June 30, 2020</w:t>
            </w:r>
          </w:p>
        </w:tc>
        <w:tc>
          <w:tcPr>
            <w:tcW w:w="1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7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4"/>
          </w:tcPr>
          <w:p>
            <w:pPr>
              <w:jc w:val="center"/>
              <w:ind w:right="240"/>
              <w:spacing w:after="0" w:line="154" w:lineRule="exact"/>
              <w:rPr>
                <w:sz w:val="20"/>
                <w:szCs w:val="20"/>
                <w:color w:val="auto"/>
              </w:rPr>
            </w:pPr>
            <w:r>
              <w:rPr>
                <w:rFonts w:ascii="Arial" w:cs="Arial" w:eastAsia="Arial" w:hAnsi="Arial"/>
                <w:sz w:val="14"/>
                <w:szCs w:val="14"/>
                <w:b w:val="1"/>
                <w:bCs w:val="1"/>
                <w:color w:val="auto"/>
                <w:w w:val="95"/>
              </w:rPr>
              <w:t>IMAX Theater System Backlog</w:t>
            </w:r>
          </w:p>
        </w:tc>
        <w:tc>
          <w:tcPr>
            <w:tcW w:w="11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7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6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9"/>
              </w:rPr>
              <w:t>Hybrid</w:t>
            </w: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Sale / Lease</w:t>
            </w: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7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JRSA</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JRSA</w:t>
            </w:r>
          </w:p>
        </w:tc>
        <w:tc>
          <w:tcPr>
            <w:tcW w:w="13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Arial" w:cs="Arial" w:eastAsia="Arial" w:hAnsi="Arial"/>
                <w:sz w:val="18"/>
                <w:szCs w:val="18"/>
                <w:color w:val="auto"/>
              </w:rPr>
              <w:t>Asia (excluding Greater China)</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Rest of the World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20"/>
                <w:szCs w:val="20"/>
                <w:color w:val="auto"/>
              </w:rPr>
            </w:pPr>
            <w:r>
              <w:rPr>
                <w:rFonts w:ascii="Arial" w:cs="Arial" w:eastAsia="Arial" w:hAnsi="Arial"/>
                <w:sz w:val="18"/>
                <w:szCs w:val="18"/>
                <w:color w:val="auto"/>
              </w:rPr>
              <w:t>Worldwide 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7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0"/>
              </w:rPr>
              <w:t>June 30, 2019</w:t>
            </w:r>
          </w:p>
        </w:tc>
        <w:tc>
          <w:tcPr>
            <w:tcW w:w="11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5"/>
              </w:rPr>
              <w:t>IMAX Theater System Backlog</w:t>
            </w:r>
          </w:p>
        </w:tc>
        <w:tc>
          <w:tcPr>
            <w:tcW w:w="11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572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Traditional</w:t>
            </w:r>
          </w:p>
        </w:tc>
        <w:tc>
          <w:tcPr>
            <w:tcW w:w="136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9"/>
              </w:rPr>
              <w:t>Hybrid</w:t>
            </w: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Sale / Lease</w:t>
            </w: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572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JRSA</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JRSA</w:t>
            </w:r>
          </w:p>
        </w:tc>
        <w:tc>
          <w:tcPr>
            <w:tcW w:w="1360" w:type="dxa"/>
            <w:vAlign w:val="bottom"/>
            <w:gridSpan w:val="2"/>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 Total (United States &amp; Canada)</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20"/>
                <w:szCs w:val="20"/>
                <w:color w:val="auto"/>
              </w:rPr>
            </w:pPr>
            <w:r>
              <w:rPr>
                <w:rFonts w:ascii="Arial" w:cs="Arial" w:eastAsia="Arial" w:hAnsi="Arial"/>
                <w:sz w:val="18"/>
                <w:szCs w:val="18"/>
                <w:color w:val="auto"/>
              </w:rPr>
              <w:t>International:</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Greater China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Arial" w:cs="Arial" w:eastAsia="Arial" w:hAnsi="Arial"/>
                <w:sz w:val="18"/>
                <w:szCs w:val="18"/>
                <w:color w:val="auto"/>
              </w:rPr>
              <w:t>Asia (excluding Greater China)</w:t>
            </w: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Western Europe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Arial" w:cs="Arial" w:eastAsia="Arial" w:hAnsi="Arial"/>
                <w:sz w:val="18"/>
                <w:szCs w:val="18"/>
                <w:color w:val="auto"/>
              </w:rPr>
              <w:t>Russia &amp; the CIS</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Latin America</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120"/>
              <w:spacing w:after="0"/>
              <w:rPr>
                <w:sz w:val="20"/>
                <w:szCs w:val="20"/>
                <w:color w:val="auto"/>
              </w:rPr>
            </w:pPr>
            <w:r>
              <w:rPr>
                <w:rFonts w:ascii="Arial" w:cs="Arial" w:eastAsia="Arial" w:hAnsi="Arial"/>
                <w:sz w:val="18"/>
                <w:szCs w:val="18"/>
                <w:color w:val="auto"/>
              </w:rPr>
              <w:t>Rest of the World</w:t>
            </w: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International Total</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3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20" w:type="dxa"/>
            <w:vAlign w:val="bottom"/>
          </w:tcPr>
          <w:p>
            <w:pPr>
              <w:spacing w:after="0"/>
              <w:rPr>
                <w:sz w:val="20"/>
                <w:szCs w:val="20"/>
                <w:color w:val="auto"/>
              </w:rPr>
            </w:pPr>
            <w:r>
              <w:rPr>
                <w:rFonts w:ascii="Arial" w:cs="Arial" w:eastAsia="Arial" w:hAnsi="Arial"/>
                <w:sz w:val="18"/>
                <w:szCs w:val="18"/>
                <w:color w:val="auto"/>
              </w:rPr>
              <w:t>Worldwide 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3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9499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153" w:lineRule="exact"/>
        <w:rPr>
          <w:sz w:val="20"/>
          <w:szCs w:val="20"/>
          <w:color w:val="auto"/>
        </w:rPr>
      </w:pPr>
    </w:p>
    <w:p>
      <w:pPr>
        <w:ind w:left="380" w:hanging="373"/>
        <w:spacing w:after="0" w:line="255"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154 new IMAX with Laser projection system configurations and 94 upgrades of existing locations to IMAX with Laser projection system configurations.</w:t>
      </w:r>
    </w:p>
    <w:p>
      <w:pPr>
        <w:ind w:left="380" w:hanging="373"/>
        <w:spacing w:after="0" w:line="270"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139 new IMAX with Laser projection system configurations and 118 upgrades of existing locations to IMAX with Laser projection system configurations.</w:t>
      </w:r>
    </w:p>
    <w:p>
      <w:pPr>
        <w:spacing w:after="0" w:line="135"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Approximately 75.3% of IMAX Theater System arrangements in backlog as at June 30, 2020 are scheduled to be installed in international markets (2019 — 72.7%).</w:t>
      </w:r>
    </w:p>
    <w:p>
      <w:pPr>
        <w:spacing w:after="0" w:line="135"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Signings and Installations</w:t>
      </w:r>
    </w:p>
    <w:p>
      <w:pPr>
        <w:spacing w:after="0" w:line="194"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The following tables provide detailed information about IMAX Theater System signings and installations for the three and six months ended June 30, 2020 and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240" w:type="dxa"/>
            <w:vAlign w:val="bottom"/>
            <w:gridSpan w:val="4"/>
          </w:tcPr>
          <w:p>
            <w:pPr>
              <w:jc w:val="center"/>
              <w:ind w:left="189"/>
              <w:spacing w:after="0"/>
              <w:rPr>
                <w:sz w:val="20"/>
                <w:szCs w:val="20"/>
                <w:color w:val="auto"/>
              </w:rPr>
            </w:pPr>
            <w:r>
              <w:rPr>
                <w:rFonts w:ascii="Arial" w:cs="Arial" w:eastAsia="Arial" w:hAnsi="Arial"/>
                <w:sz w:val="14"/>
                <w:szCs w:val="14"/>
                <w:b w:val="1"/>
                <w:bCs w:val="1"/>
                <w:color w:val="auto"/>
                <w:w w:val="93"/>
              </w:rPr>
              <w:t>For the Three Months Ended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0"/>
        </w:trPr>
        <w:tc>
          <w:tcPr>
            <w:tcW w:w="58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797"/>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7"/>
        </w:trPr>
        <w:tc>
          <w:tcPr>
            <w:tcW w:w="6660" w:type="dxa"/>
            <w:vAlign w:val="bottom"/>
            <w:gridSpan w:val="2"/>
          </w:tcPr>
          <w:p>
            <w:pPr>
              <w:ind w:left="6260"/>
              <w:spacing w:after="0"/>
              <w:rPr>
                <w:sz w:val="20"/>
                <w:szCs w:val="20"/>
                <w:color w:val="auto"/>
              </w:rPr>
            </w:pPr>
            <w:r>
              <w:rPr>
                <w:rFonts w:ascii="Arial" w:cs="Arial" w:eastAsia="Arial" w:hAnsi="Arial"/>
                <w:sz w:val="14"/>
                <w:szCs w:val="14"/>
                <w:b w:val="1"/>
                <w:bCs w:val="1"/>
                <w:color w:val="auto"/>
              </w:rPr>
              <w:t>2020</w:t>
            </w:r>
          </w:p>
        </w:tc>
        <w:tc>
          <w:tcPr>
            <w:tcW w:w="14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r>
      <w:tr>
        <w:trPr>
          <w:trHeight w:val="220"/>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Theater System Signings:</w:t>
            </w: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6660" w:type="dxa"/>
            <w:vAlign w:val="bottom"/>
            <w:gridSpan w:val="2"/>
          </w:tcPr>
          <w:p>
            <w:pPr>
              <w:spacing w:after="0"/>
              <w:rPr>
                <w:sz w:val="20"/>
                <w:szCs w:val="20"/>
                <w:color w:val="auto"/>
              </w:rPr>
            </w:pPr>
            <w:r>
              <w:rPr>
                <w:rFonts w:ascii="Arial" w:cs="Arial" w:eastAsia="Arial" w:hAnsi="Arial"/>
                <w:sz w:val="18"/>
                <w:szCs w:val="18"/>
                <w:color w:val="auto"/>
              </w:rPr>
              <w:t>New IMAX Theater Systems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 and sales-type lease arrangements</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r>
      <w:tr>
        <w:trPr>
          <w:trHeight w:val="227"/>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Hybrid joint revenue sharing lease arrangements</w:t>
            </w: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r>
      <w:tr>
        <w:trPr>
          <w:trHeight w:val="227"/>
        </w:trPr>
        <w:tc>
          <w:tcPr>
            <w:tcW w:w="6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Traditional joint revenue sharing arrangements</w:t>
            </w:r>
          </w:p>
        </w:tc>
        <w:tc>
          <w:tcPr>
            <w:tcW w:w="1420" w:type="dxa"/>
            <w:vAlign w:val="bottom"/>
            <w:gridSpan w:val="3"/>
            <w:shd w:val="clear" w:color="auto" w:fill="CFF0FC"/>
          </w:tcPr>
          <w:p>
            <w:pPr>
              <w:jc w:val="right"/>
              <w:ind w:right="1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r>
      <w:tr>
        <w:trPr>
          <w:trHeight w:val="220"/>
        </w:trPr>
        <w:tc>
          <w:tcPr>
            <w:tcW w:w="5840" w:type="dxa"/>
            <w:vAlign w:val="bottom"/>
          </w:tcPr>
          <w:p>
            <w:pPr>
              <w:ind w:left="260"/>
              <w:spacing w:after="0"/>
              <w:rPr>
                <w:sz w:val="20"/>
                <w:szCs w:val="20"/>
                <w:color w:val="auto"/>
              </w:rPr>
            </w:pPr>
            <w:r>
              <w:rPr>
                <w:rFonts w:ascii="Arial" w:cs="Arial" w:eastAsia="Arial" w:hAnsi="Arial"/>
                <w:sz w:val="18"/>
                <w:szCs w:val="18"/>
                <w:color w:val="auto"/>
              </w:rPr>
              <w:t>Total new IMAX Theater Systems</w:t>
            </w:r>
          </w:p>
        </w:tc>
        <w:tc>
          <w:tcPr>
            <w:tcW w:w="8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r>
      <w:tr>
        <w:trPr>
          <w:trHeight w:val="228"/>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Upgrades of IMAX Theater Systems</w:t>
            </w:r>
          </w:p>
        </w:tc>
        <w:tc>
          <w:tcPr>
            <w:tcW w:w="1420" w:type="dxa"/>
            <w:vAlign w:val="bottom"/>
            <w:gridSpan w:val="3"/>
            <w:shd w:val="clear" w:color="auto" w:fill="CFF0FC"/>
          </w:tcPr>
          <w:p>
            <w:pPr>
              <w:jc w:val="right"/>
              <w:ind w:right="1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r>
      <w:tr>
        <w:trPr>
          <w:trHeight w:val="220"/>
        </w:trPr>
        <w:tc>
          <w:tcPr>
            <w:tcW w:w="5840" w:type="dxa"/>
            <w:vAlign w:val="bottom"/>
          </w:tcPr>
          <w:p>
            <w:pPr>
              <w:ind w:left="260"/>
              <w:spacing w:after="0"/>
              <w:rPr>
                <w:sz w:val="20"/>
                <w:szCs w:val="20"/>
                <w:color w:val="auto"/>
              </w:rPr>
            </w:pPr>
            <w:r>
              <w:rPr>
                <w:rFonts w:ascii="Arial" w:cs="Arial" w:eastAsia="Arial" w:hAnsi="Arial"/>
                <w:sz w:val="18"/>
                <w:szCs w:val="18"/>
                <w:color w:val="auto"/>
              </w:rPr>
              <w:t>Total IMAX Theater System signings</w:t>
            </w:r>
          </w:p>
        </w:tc>
        <w:tc>
          <w:tcPr>
            <w:tcW w:w="8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2"/>
        </w:trPr>
        <w:tc>
          <w:tcPr>
            <w:tcW w:w="5840" w:type="dxa"/>
            <w:vAlign w:val="bottom"/>
          </w:tcPr>
          <w:p>
            <w:pPr>
              <w:spacing w:after="0"/>
              <w:rPr>
                <w:sz w:val="24"/>
                <w:szCs w:val="24"/>
                <w:color w:val="auto"/>
              </w:rPr>
            </w:pPr>
          </w:p>
        </w:tc>
        <w:tc>
          <w:tcPr>
            <w:tcW w:w="2240" w:type="dxa"/>
            <w:vAlign w:val="bottom"/>
            <w:gridSpan w:val="4"/>
          </w:tcPr>
          <w:p>
            <w:pPr>
              <w:jc w:val="center"/>
              <w:ind w:left="189"/>
              <w:spacing w:after="0"/>
              <w:rPr>
                <w:sz w:val="20"/>
                <w:szCs w:val="20"/>
                <w:color w:val="auto"/>
              </w:rPr>
            </w:pPr>
            <w:r>
              <w:rPr>
                <w:rFonts w:ascii="Arial" w:cs="Arial" w:eastAsia="Arial" w:hAnsi="Arial"/>
                <w:sz w:val="14"/>
                <w:szCs w:val="14"/>
                <w:b w:val="1"/>
                <w:bCs w:val="1"/>
                <w:color w:val="auto"/>
                <w:w w:val="93"/>
              </w:rPr>
              <w:t>For the Three Months Ended</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0"/>
        </w:trPr>
        <w:tc>
          <w:tcPr>
            <w:tcW w:w="58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797"/>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7"/>
        </w:trPr>
        <w:tc>
          <w:tcPr>
            <w:tcW w:w="6660" w:type="dxa"/>
            <w:vAlign w:val="bottom"/>
            <w:gridSpan w:val="2"/>
          </w:tcPr>
          <w:p>
            <w:pPr>
              <w:ind w:left="6260"/>
              <w:spacing w:after="0"/>
              <w:rPr>
                <w:sz w:val="20"/>
                <w:szCs w:val="20"/>
                <w:color w:val="auto"/>
              </w:rPr>
            </w:pPr>
            <w:r>
              <w:rPr>
                <w:rFonts w:ascii="Arial" w:cs="Arial" w:eastAsia="Arial" w:hAnsi="Arial"/>
                <w:sz w:val="14"/>
                <w:szCs w:val="14"/>
                <w:b w:val="1"/>
                <w:bCs w:val="1"/>
                <w:color w:val="auto"/>
              </w:rPr>
              <w:t>2020</w:t>
            </w:r>
          </w:p>
        </w:tc>
        <w:tc>
          <w:tcPr>
            <w:tcW w:w="14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r>
      <w:tr>
        <w:trPr>
          <w:trHeight w:val="220"/>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Theater System Installations:</w:t>
            </w:r>
          </w:p>
        </w:tc>
        <w:tc>
          <w:tcPr>
            <w:tcW w:w="8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6660" w:type="dxa"/>
            <w:vAlign w:val="bottom"/>
            <w:gridSpan w:val="2"/>
          </w:tcPr>
          <w:p>
            <w:pPr>
              <w:spacing w:after="0"/>
              <w:rPr>
                <w:sz w:val="20"/>
                <w:szCs w:val="20"/>
                <w:color w:val="auto"/>
              </w:rPr>
            </w:pPr>
            <w:r>
              <w:rPr>
                <w:rFonts w:ascii="Arial" w:cs="Arial" w:eastAsia="Arial" w:hAnsi="Arial"/>
                <w:sz w:val="18"/>
                <w:szCs w:val="18"/>
                <w:color w:val="auto"/>
              </w:rPr>
              <w:t>New IMAX Theater Systems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6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 and sales-type lease arrangements</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27"/>
        </w:trPr>
        <w:tc>
          <w:tcPr>
            <w:tcW w:w="6660" w:type="dxa"/>
            <w:vAlign w:val="bottom"/>
            <w:gridSpan w:val="2"/>
          </w:tcPr>
          <w:p>
            <w:pPr>
              <w:ind w:left="120"/>
              <w:spacing w:after="0"/>
              <w:rPr>
                <w:sz w:val="20"/>
                <w:szCs w:val="20"/>
                <w:color w:val="auto"/>
              </w:rPr>
            </w:pPr>
            <w:r>
              <w:rPr>
                <w:rFonts w:ascii="Arial" w:cs="Arial" w:eastAsia="Arial" w:hAnsi="Arial"/>
                <w:sz w:val="18"/>
                <w:szCs w:val="18"/>
                <w:color w:val="auto"/>
              </w:rPr>
              <w:t>Hybrid joint revenue sharing lease arrangements</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27"/>
        </w:trPr>
        <w:tc>
          <w:tcPr>
            <w:tcW w:w="66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Traditional joint revenue sharing arrangements</w:t>
            </w:r>
          </w:p>
        </w:tc>
        <w:tc>
          <w:tcPr>
            <w:tcW w:w="1420" w:type="dxa"/>
            <w:vAlign w:val="bottom"/>
            <w:gridSpan w:val="3"/>
            <w:shd w:val="clear" w:color="auto" w:fill="CFF0FC"/>
          </w:tcPr>
          <w:p>
            <w:pPr>
              <w:jc w:val="right"/>
              <w:ind w:right="1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r>
      <w:tr>
        <w:trPr>
          <w:trHeight w:val="220"/>
        </w:trPr>
        <w:tc>
          <w:tcPr>
            <w:tcW w:w="5840" w:type="dxa"/>
            <w:vAlign w:val="bottom"/>
          </w:tcPr>
          <w:p>
            <w:pPr>
              <w:ind w:left="260"/>
              <w:spacing w:after="0"/>
              <w:rPr>
                <w:sz w:val="20"/>
                <w:szCs w:val="20"/>
                <w:color w:val="auto"/>
              </w:rPr>
            </w:pPr>
            <w:r>
              <w:rPr>
                <w:rFonts w:ascii="Arial" w:cs="Arial" w:eastAsia="Arial" w:hAnsi="Arial"/>
                <w:sz w:val="18"/>
                <w:szCs w:val="18"/>
                <w:color w:val="auto"/>
              </w:rPr>
              <w:t>Total new IMAX Theater Systems</w:t>
            </w:r>
          </w:p>
        </w:tc>
        <w:tc>
          <w:tcPr>
            <w:tcW w:w="8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r>
      <w:tr>
        <w:trPr>
          <w:trHeight w:val="228"/>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Upgrades of IMAX Theater Systems</w:t>
            </w:r>
          </w:p>
        </w:tc>
        <w:tc>
          <w:tcPr>
            <w:tcW w:w="1420" w:type="dxa"/>
            <w:vAlign w:val="bottom"/>
            <w:gridSpan w:val="3"/>
            <w:shd w:val="clear" w:color="auto" w:fill="CFF0FC"/>
          </w:tcPr>
          <w:p>
            <w:pPr>
              <w:jc w:val="right"/>
              <w:ind w:right="1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r>
        <w:trPr>
          <w:trHeight w:val="220"/>
        </w:trPr>
        <w:tc>
          <w:tcPr>
            <w:tcW w:w="5840" w:type="dxa"/>
            <w:vAlign w:val="bottom"/>
          </w:tcPr>
          <w:p>
            <w:pPr>
              <w:ind w:left="260"/>
              <w:spacing w:after="0"/>
              <w:rPr>
                <w:sz w:val="20"/>
                <w:szCs w:val="20"/>
                <w:color w:val="auto"/>
              </w:rPr>
            </w:pPr>
            <w:r>
              <w:rPr>
                <w:rFonts w:ascii="Arial" w:cs="Arial" w:eastAsia="Arial" w:hAnsi="Arial"/>
                <w:sz w:val="18"/>
                <w:szCs w:val="18"/>
                <w:color w:val="auto"/>
              </w:rPr>
              <w:t>Total IMAX Theater System installations</w:t>
            </w:r>
          </w:p>
        </w:tc>
        <w:tc>
          <w:tcPr>
            <w:tcW w:w="8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The Company’s business and future prospects are evaluated by Richard L. Gelfond, its Chief Executive Officer (“CEO”), using a variety of financial and operational metrics including:</w:t>
      </w:r>
    </w:p>
    <w:p>
      <w:pPr>
        <w:spacing w:after="0" w:line="175" w:lineRule="exact"/>
        <w:rPr>
          <w:sz w:val="20"/>
          <w:szCs w:val="20"/>
          <w:color w:val="auto"/>
        </w:rPr>
      </w:pPr>
    </w:p>
    <w:p>
      <w:pPr>
        <w:ind w:left="580" w:hanging="359"/>
        <w:spacing w:after="0" w:line="270"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signing, installation and financial performance of theater system arrangements, particularly joint revenue sharing arrangements and those involving laser-based projection systems;</w:t>
      </w:r>
    </w:p>
    <w:p>
      <w:pPr>
        <w:spacing w:after="0" w:line="175" w:lineRule="exact"/>
        <w:rPr>
          <w:rFonts w:ascii="Arial" w:cs="Arial" w:eastAsia="Arial" w:hAnsi="Arial"/>
          <w:sz w:val="18"/>
          <w:szCs w:val="18"/>
          <w:color w:val="auto"/>
        </w:rPr>
      </w:pPr>
    </w:p>
    <w:p>
      <w:pPr>
        <w:ind w:left="580" w:hanging="359"/>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film performance and the securing of new film projects, particularly IMAX DMR films;</w:t>
      </w:r>
    </w:p>
    <w:p>
      <w:pPr>
        <w:spacing w:after="0" w:line="220" w:lineRule="exact"/>
        <w:rPr>
          <w:rFonts w:ascii="Arial" w:cs="Arial" w:eastAsia="Arial" w:hAnsi="Arial"/>
          <w:sz w:val="18"/>
          <w:szCs w:val="18"/>
          <w:color w:val="auto"/>
        </w:rPr>
      </w:pPr>
    </w:p>
    <w:p>
      <w:pPr>
        <w:ind w:left="580" w:right="20" w:hanging="359"/>
        <w:spacing w:after="0" w:line="270"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continuing ability to invest in and improve the Company’s technology to enhance the differentiation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 xml:space="preserve"> versus other cinematic experiences;</w:t>
      </w:r>
    </w:p>
    <w:p>
      <w:pPr>
        <w:spacing w:after="0" w:line="175" w:lineRule="exact"/>
        <w:rPr>
          <w:rFonts w:ascii="Arial" w:cs="Arial" w:eastAsia="Arial" w:hAnsi="Arial"/>
          <w:sz w:val="18"/>
          <w:szCs w:val="18"/>
          <w:color w:val="auto"/>
        </w:rPr>
      </w:pPr>
    </w:p>
    <w:p>
      <w:pPr>
        <w:ind w:left="580" w:hanging="359"/>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revenues and gross margins from the Company’s segments, as discussed below;</w:t>
      </w:r>
    </w:p>
    <w:p>
      <w:pPr>
        <w:spacing w:after="0" w:line="220" w:lineRule="exact"/>
        <w:rPr>
          <w:rFonts w:ascii="Arial" w:cs="Arial" w:eastAsia="Arial" w:hAnsi="Arial"/>
          <w:sz w:val="18"/>
          <w:szCs w:val="18"/>
          <w:color w:val="auto"/>
        </w:rPr>
      </w:pPr>
    </w:p>
    <w:p>
      <w:pPr>
        <w:ind w:left="580" w:hanging="359"/>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earnings from operations, as adjusted for unusual items;</w:t>
      </w:r>
    </w:p>
    <w:p>
      <w:pPr>
        <w:spacing w:after="0" w:line="220" w:lineRule="exact"/>
        <w:rPr>
          <w:rFonts w:ascii="Arial" w:cs="Arial" w:eastAsia="Arial" w:hAnsi="Arial"/>
          <w:sz w:val="18"/>
          <w:szCs w:val="18"/>
          <w:color w:val="auto"/>
        </w:rPr>
      </w:pPr>
    </w:p>
    <w:p>
      <w:pPr>
        <w:ind w:left="580" w:hanging="359"/>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overall execution, reliability and consumer acceptance of </w:t>
      </w:r>
      <w:r>
        <w:rPr>
          <w:rFonts w:ascii="Arial" w:cs="Arial" w:eastAsia="Arial" w:hAnsi="Arial"/>
          <w:sz w:val="18"/>
          <w:szCs w:val="18"/>
          <w:i w:val="1"/>
          <w:iCs w:val="1"/>
          <w:color w:val="auto"/>
        </w:rPr>
        <w:t>The</w:t>
      </w:r>
      <w:r>
        <w:rPr>
          <w:rFonts w:ascii="Arial" w:cs="Arial" w:eastAsia="Arial" w:hAnsi="Arial"/>
          <w:sz w:val="18"/>
          <w:szCs w:val="18"/>
          <w:color w:val="auto"/>
        </w:rPr>
        <w:t xml:space="preserve"> IMAX </w:t>
      </w:r>
      <w:r>
        <w:rPr>
          <w:rFonts w:ascii="Arial" w:cs="Arial" w:eastAsia="Arial" w:hAnsi="Arial"/>
          <w:sz w:val="18"/>
          <w:szCs w:val="18"/>
          <w:i w:val="1"/>
          <w:iCs w:val="1"/>
          <w:color w:val="auto"/>
        </w:rPr>
        <w:t>Experience</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580" w:hanging="359"/>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new business initiatives; and</w:t>
      </w:r>
    </w:p>
    <w:p>
      <w:pPr>
        <w:spacing w:after="0" w:line="220" w:lineRule="exact"/>
        <w:rPr>
          <w:rFonts w:ascii="Arial" w:cs="Arial" w:eastAsia="Arial" w:hAnsi="Arial"/>
          <w:sz w:val="18"/>
          <w:szCs w:val="18"/>
          <w:color w:val="auto"/>
        </w:rPr>
      </w:pPr>
    </w:p>
    <w:p>
      <w:pPr>
        <w:ind w:left="580" w:hanging="359"/>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 and long-term cash flow projections.</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CEO is the Company’s Chief Operating Decision Maker (“CODM”), as such term is defined under U.S. GAAP. The CODM, along with other members of management, assess segment performance based on segment revenues and gross margins. Selling, general and administrative expenses, research and development costs, the amortization of intangibles, provisions for (recoveries of) current expected credit losses, certain write-downs, interest income, interest expense and income tax (expense) benefit are not allocated to the segments.</w:t>
      </w:r>
    </w:p>
    <w:p>
      <w:pPr>
        <w:spacing w:after="0" w:line="149"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The Company has organized its reportable segments into the following four categories: (i) IMAX Technology Network; (ii) IMAX Technology Sales and Maintenance; (iii) New Business Initiatives; and (iv) Film Distribution and Post-production. Within these categories are the Company’s following reportable segments: (i) IMAX DMR; (ii) Joint Revenue Sharing Arrangements; (iii) IMAX Systems, (iv) IMAX Maintenance; (v) Other Theater Business; (vi) New Business Initiatives; (vii) Film Distribution; and (viii) Film Post-production, each of which are described above under “Sources of Revenue.” This categorization is consistent with how the CODM reviews the financial performance of the Company and makes strategic decisions regarding resource allocation and investments to meet long-term business goals. Management believes that a discussion and analysis based on the four categories listed above is significantly more relevant and useful to readers, as the Company’s consolidated statements of operations captions combine results from several segments.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Results of Operations for the Three Months Ended June 30, 2020 and June 30, 2019</w:t>
      </w:r>
    </w:p>
    <w:p>
      <w:pPr>
        <w:spacing w:after="0" w:line="198"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8"/>
          <w:szCs w:val="18"/>
          <w:color w:val="auto"/>
        </w:rPr>
        <w:t>For the three months ended June 30, 2020, the Company reported a net loss attributable to common shareholders of $(26.0) million, or $(0.44) per basic and diluted share, as compared to net income attributable to common shareholders of $11.4 million, or $0.19 per basic and diluted share, for the same period in 2019. For the three months ended June 30, 2020, the Company reported an adjusted net loss attributable to common shareholders* of $(26.1) million, or $(0.44) per basic and diluted share*, as compared to adjusted net income attributable to common shareholders* of $19.7 million, or $0.32 per diluted share*, for the same period in 2019.</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sets forth the breakdown of revenue and (margin loss) gross margin by category and reportable segment for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Revenue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ind w:left="160"/>
              <w:spacing w:after="0"/>
              <w:rPr>
                <w:sz w:val="20"/>
                <w:szCs w:val="20"/>
                <w:color w:val="auto"/>
              </w:rPr>
            </w:pPr>
            <w:r>
              <w:rPr>
                <w:rFonts w:ascii="Arial" w:cs="Arial" w:eastAsia="Arial" w:hAnsi="Arial"/>
                <w:sz w:val="14"/>
                <w:szCs w:val="14"/>
                <w:b w:val="1"/>
                <w:bCs w:val="1"/>
                <w:color w:val="auto"/>
              </w:rPr>
              <w:t>(Margin Loss) Gross Margin</w:t>
            </w:r>
          </w:p>
        </w:tc>
      </w:tr>
      <w:tr>
        <w:trPr>
          <w:trHeight w:val="220"/>
        </w:trPr>
        <w:tc>
          <w:tcPr>
            <w:tcW w:w="150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0"/>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IMAX DMR</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39,293</w:t>
            </w:r>
          </w:p>
        </w:tc>
        <w:tc>
          <w:tcPr>
            <w:tcW w:w="24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23,961</w:t>
            </w:r>
          </w:p>
        </w:tc>
        <w:tc>
          <w:tcPr>
            <w:tcW w:w="100" w:type="dxa"/>
            <w:vAlign w:val="bottom"/>
          </w:tcPr>
          <w:p>
            <w:pPr>
              <w:spacing w:after="0"/>
              <w:rPr>
                <w:sz w:val="19"/>
                <w:szCs w:val="19"/>
                <w:color w:val="auto"/>
              </w:rPr>
            </w:pPr>
          </w:p>
        </w:tc>
      </w:tr>
      <w:tr>
        <w:trPr>
          <w:trHeight w:val="227"/>
        </w:trPr>
        <w:tc>
          <w:tcPr>
            <w:tcW w:w="49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r>
              <w:rPr>
                <w:rFonts w:ascii="Arial" w:cs="Arial" w:eastAsia="Arial" w:hAnsi="Arial"/>
                <w:sz w:val="15"/>
                <w:szCs w:val="15"/>
                <w:color w:val="auto"/>
              </w:rPr>
              <w:t>(3)</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(6,501)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19,318</w:t>
            </w:r>
          </w:p>
        </w:tc>
        <w:tc>
          <w:tcPr>
            <w:tcW w:w="100" w:type="dxa"/>
            <w:vAlign w:val="bottom"/>
            <w:shd w:val="clear" w:color="auto" w:fill="CFF0FC"/>
          </w:tcPr>
          <w:p>
            <w:pPr>
              <w:spacing w:after="0"/>
              <w:rPr>
                <w:sz w:val="19"/>
                <w:szCs w:val="19"/>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64,833</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43,279</w:t>
            </w:r>
          </w:p>
        </w:tc>
        <w:tc>
          <w:tcPr>
            <w:tcW w:w="100" w:type="dxa"/>
            <w:vAlign w:val="bottom"/>
            <w:tcBorders>
              <w:bottom w:val="single" w:sz="8" w:color="CFF0FC"/>
            </w:tcBorders>
          </w:tcPr>
          <w:p>
            <w:pPr>
              <w:spacing w:after="0"/>
              <w:rPr>
                <w:sz w:val="19"/>
                <w:szCs w:val="19"/>
                <w:color w:val="auto"/>
              </w:rPr>
            </w:pPr>
          </w:p>
        </w:tc>
      </w:tr>
      <w:tr>
        <w:trPr>
          <w:trHeight w:val="221"/>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7"/>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 xml:space="preserve">IMAX Systems </w:t>
            </w:r>
            <w:r>
              <w:rPr>
                <w:rFonts w:ascii="Arial" w:cs="Arial" w:eastAsia="Arial" w:hAnsi="Arial"/>
                <w:sz w:val="15"/>
                <w:szCs w:val="15"/>
                <w:color w:val="auto"/>
              </w:rPr>
              <w:t>(1)</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8,019</w:t>
            </w:r>
          </w:p>
        </w:tc>
        <w:tc>
          <w:tcPr>
            <w:tcW w:w="100" w:type="dxa"/>
            <w:vAlign w:val="bottom"/>
          </w:tcPr>
          <w:p>
            <w:pPr>
              <w:spacing w:after="0"/>
              <w:rPr>
                <w:sz w:val="19"/>
                <w:szCs w:val="19"/>
                <w:color w:val="auto"/>
              </w:rPr>
            </w:pPr>
          </w:p>
        </w:tc>
      </w:tr>
      <w:tr>
        <w:trPr>
          <w:trHeight w:val="227"/>
        </w:trPr>
        <w:tc>
          <w:tcPr>
            <w:tcW w:w="49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FF0FC"/>
          </w:tcPr>
          <w:p>
            <w:pPr>
              <w:spacing w:after="0"/>
              <w:rPr>
                <w:sz w:val="19"/>
                <w:szCs w:val="19"/>
                <w:color w:val="auto"/>
              </w:rPr>
            </w:pPr>
          </w:p>
        </w:tc>
      </w:tr>
      <w:tr>
        <w:trPr>
          <w:trHeight w:val="227"/>
        </w:trPr>
        <w:tc>
          <w:tcPr>
            <w:tcW w:w="4900" w:type="dxa"/>
            <w:vAlign w:val="bottom"/>
            <w:gridSpan w:val="2"/>
          </w:tcPr>
          <w:p>
            <w:pPr>
              <w:ind w:left="120"/>
              <w:spacing w:after="0"/>
              <w:rPr>
                <w:sz w:val="20"/>
                <w:szCs w:val="20"/>
                <w:color w:val="auto"/>
              </w:rPr>
            </w:pPr>
            <w:r>
              <w:rPr>
                <w:rFonts w:ascii="Arial" w:cs="Arial" w:eastAsia="Arial" w:hAnsi="Arial"/>
                <w:sz w:val="18"/>
                <w:szCs w:val="18"/>
                <w:color w:val="auto"/>
              </w:rPr>
              <w:t>IMAX Maintenance</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5,640</w:t>
            </w:r>
          </w:p>
        </w:tc>
        <w:tc>
          <w:tcPr>
            <w:tcW w:w="100" w:type="dxa"/>
            <w:vAlign w:val="bottom"/>
          </w:tcPr>
          <w:p>
            <w:pPr>
              <w:spacing w:after="0"/>
              <w:rPr>
                <w:sz w:val="19"/>
                <w:szCs w:val="19"/>
                <w:color w:val="auto"/>
              </w:rPr>
            </w:pPr>
          </w:p>
        </w:tc>
      </w:tr>
      <w:tr>
        <w:trPr>
          <w:trHeight w:val="227"/>
        </w:trPr>
        <w:tc>
          <w:tcPr>
            <w:tcW w:w="49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xml:space="preserve">Other Theater Business </w:t>
            </w:r>
            <w:r>
              <w:rPr>
                <w:rFonts w:ascii="Arial" w:cs="Arial" w:eastAsia="Arial" w:hAnsi="Arial"/>
                <w:sz w:val="15"/>
                <w:szCs w:val="15"/>
                <w:color w:val="auto"/>
              </w:rPr>
              <w:t>(2)(4)</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FF0FC"/>
          </w:tcPr>
          <w:p>
            <w:pPr>
              <w:spacing w:after="0"/>
              <w:rPr>
                <w:sz w:val="19"/>
                <w:szCs w:val="19"/>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34,836</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Borders>
              <w:bottom w:val="single" w:sz="8" w:color="CFF0FC"/>
            </w:tcBorders>
          </w:tcPr>
          <w:p>
            <w:pPr>
              <w:spacing w:after="0"/>
              <w:rPr>
                <w:sz w:val="19"/>
                <w:szCs w:val="19"/>
                <w:color w:val="auto"/>
              </w:rPr>
            </w:pPr>
          </w:p>
        </w:tc>
      </w:tr>
      <w:tr>
        <w:trPr>
          <w:trHeight w:val="221"/>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9"/>
                <w:szCs w:val="19"/>
                <w:color w:val="auto"/>
              </w:rPr>
            </w:pPr>
          </w:p>
        </w:tc>
      </w:tr>
      <w:tr>
        <w:trPr>
          <w:trHeight w:val="227"/>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r>
      <w:tr>
        <w:trPr>
          <w:trHeight w:val="220"/>
        </w:trPr>
        <w:tc>
          <w:tcPr>
            <w:tcW w:w="4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103,748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59,388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90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r>
      <w:tr>
        <w:trPr>
          <w:trHeight w:val="20"/>
        </w:trPr>
        <w:tc>
          <w:tcPr>
            <w:tcW w:w="1500" w:type="dxa"/>
            <w:vAlign w:val="bottom"/>
            <w:shd w:val="clear" w:color="auto" w:fill="CFF0FC"/>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7"/>
        </w:trPr>
        <w:tc>
          <w:tcPr>
            <w:tcW w:w="4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8,855</w:t>
            </w:r>
          </w:p>
        </w:tc>
        <w:tc>
          <w:tcPr>
            <w:tcW w:w="14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104,797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(7,688)</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59,553</w:t>
            </w:r>
          </w:p>
        </w:tc>
        <w:tc>
          <w:tcPr>
            <w:tcW w:w="100" w:type="dxa"/>
            <w:vAlign w:val="bottom"/>
            <w:shd w:val="clear" w:color="auto" w:fill="CFF0FC"/>
          </w:tcPr>
          <w:p>
            <w:pPr>
              <w:spacing w:after="0"/>
              <w:rPr>
                <w:sz w:val="21"/>
                <w:szCs w:val="21"/>
                <w:color w:val="auto"/>
              </w:rPr>
            </w:pPr>
          </w:p>
        </w:tc>
      </w:tr>
      <w:tr>
        <w:trPr>
          <w:trHeight w:val="20"/>
        </w:trPr>
        <w:tc>
          <w:tcPr>
            <w:tcW w:w="1500" w:type="dxa"/>
            <w:vAlign w:val="bottom"/>
            <w:tcBorders>
              <w:top w:val="single" w:sz="8" w:color="CFF0FC"/>
            </w:tcBorders>
          </w:tcPr>
          <w:p>
            <w:pPr>
              <w:spacing w:after="0" w:line="20" w:lineRule="exact"/>
              <w:rPr>
                <w:sz w:val="1"/>
                <w:szCs w:val="1"/>
                <w:color w:val="auto"/>
              </w:rPr>
            </w:pPr>
          </w:p>
        </w:tc>
        <w:tc>
          <w:tcPr>
            <w:tcW w:w="34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26" w:lineRule="exact"/>
        <w:rPr>
          <w:sz w:val="20"/>
          <w:szCs w:val="20"/>
          <w:color w:val="auto"/>
        </w:rPr>
      </w:pPr>
    </w:p>
    <w:p>
      <w:pPr>
        <w:jc w:val="both"/>
        <w:ind w:left="380" w:hanging="373"/>
        <w:spacing w:after="0" w:line="252"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initial upfront payments and the present value of fixed minimum payments from sale and sales-type lease arrangements of IMAX Theater Systems, and the present value of estimated variable consideration from sales of IMAX Theater Systems. To a lesser extent, also includes finance income associated with these revenue streams.</w:t>
      </w:r>
    </w:p>
    <w:p>
      <w:pPr>
        <w:spacing w:after="0" w:line="2" w:lineRule="exact"/>
        <w:rPr>
          <w:rFonts w:ascii="Arial" w:cs="Arial" w:eastAsia="Arial" w:hAnsi="Arial"/>
          <w:sz w:val="18"/>
          <w:szCs w:val="18"/>
          <w:color w:val="auto"/>
        </w:rPr>
      </w:pPr>
    </w:p>
    <w:p>
      <w:pPr>
        <w:ind w:left="380" w:hanging="373"/>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Principally includes after-market sales of IMAX projection system parts and 3D glasses.</w:t>
      </w:r>
    </w:p>
    <w:p>
      <w:pPr>
        <w:spacing w:after="0" w:line="6" w:lineRule="exact"/>
        <w:rPr>
          <w:rFonts w:ascii="Arial" w:cs="Arial" w:eastAsia="Arial" w:hAnsi="Arial"/>
          <w:sz w:val="18"/>
          <w:szCs w:val="18"/>
          <w:color w:val="auto"/>
        </w:rPr>
      </w:pPr>
    </w:p>
    <w:p>
      <w:pPr>
        <w:ind w:left="380" w:hanging="361"/>
        <w:spacing w:after="0" w:line="247" w:lineRule="auto"/>
        <w:tabs>
          <w:tab w:leader="none" w:pos="31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is reporting negative revenue due to the continued amortization of lessee incentives that are typically netted against lease revenues, which are abnormally low in the period due to the COVID-19 global pandemic, as discussed in Note 2 of Notes to Condensed Consolidated Financial Statements.</w:t>
      </w:r>
    </w:p>
    <w:p>
      <w:pPr>
        <w:spacing w:after="0" w:line="2" w:lineRule="exact"/>
        <w:rPr>
          <w:rFonts w:ascii="Arial" w:cs="Arial" w:eastAsia="Arial" w:hAnsi="Arial"/>
          <w:sz w:val="18"/>
          <w:szCs w:val="18"/>
          <w:color w:val="auto"/>
        </w:rPr>
      </w:pPr>
    </w:p>
    <w:p>
      <w:pPr>
        <w:ind w:left="320" w:hanging="301"/>
        <w:spacing w:after="0"/>
        <w:tabs>
          <w:tab w:leader="none" w:pos="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is reporting negative revenue due to an adjustment to prior period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2083435</wp:posOffset>
            </wp:positionV>
            <wp:extent cx="9499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 w:hanging="373"/>
        <w:spacing w:after="0" w:line="270"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"Non-GAAP Financial Measures" below for a description of this non-GAAP financial measure and a reconciliation to the most comparable GAAP amount.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7" w:name="page58"/>
    <w:bookmarkEnd w:id="57"/>
    <w:p>
      <w:pPr>
        <w:ind w:left="100"/>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19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Due to the COVID-19 global pandemic, substantially all of the theaters in the IMAX network were closed in the second quarter of 2020. As a result, the Company’s results of operations for the period materially declined when compared to the prior year. For the three months ended June 30, 2020, revenues and gross margin decreased by $95.9 million (92%) and $67.2 million (113%), respectively, when compared to the same period in 2019.</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Network</w:t>
      </w:r>
    </w:p>
    <w:p>
      <w:pPr>
        <w:spacing w:after="0" w:line="180"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IMAX Technology Network results are influenced by the level of commercial success and box office performance of the films released to the network, as well as other factors including the timing of the films released, the length of the theatrical distribution window, the take rates under the Company’s DMR and joint revenue sharing arrangements and the level of marketing spend associated with the films released in the period. Other factors impacting IMAX Technology Network results include fluctuations in the value of foreign currencies versus the U.S. dollar and potential currency devaluations.</w:t>
      </w:r>
    </w:p>
    <w:p>
      <w:pPr>
        <w:spacing w:after="0" w:line="131"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months ended June 30, 2020, IMAX Technology Network revenues and gross margin decreased by $64.4 million (99%) and $49.8 million (115%), respectively, when compared to the same period in 2019. See below for separate discussions of IMAX DMR and JRSA contingent rent results for the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Due to the COVID-19 global pandemic, substantially all of the theaters in the IMAX network were closed in the second quarter of 2020. As a result, for the three months ended June 30, 2020, IMAX DMR revenues and gross margin decreased by $38.7 million (99%) and $24.0 million (100%), respectively, when compared to the same period in 2019. These decreases are due to a $362.3 million (99%) reduction in GBO receipts generated by IMAX DMR films in the second quarter of 2020 as a result of the COVID-19 theater closures. In the second quarter of 2020, GBO was generated by the exhibition of one new film as compared to 19 films (15 new and 4 carryovers) exhibited in the second quarter of 2019.</w:t>
      </w:r>
    </w:p>
    <w:p>
      <w:pPr>
        <w:spacing w:after="0" w:line="15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to the level of revenues, IMAX DMR gross margin is also influenced by the costs associated with the films exhibited in the period, and can vary from period-to-period, particularly with respect to marketing expenses. For the three months ended June 30, 2020, marketing expenses related to IMAX DMR films were $nil, as compared to $9.5 million during the same period of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0" w:lineRule="exact"/>
        <w:rPr>
          <w:sz w:val="20"/>
          <w:szCs w:val="20"/>
          <w:color w:val="auto"/>
        </w:rPr>
      </w:pPr>
    </w:p>
    <w:p>
      <w:pPr>
        <w:jc w:val="both"/>
        <w:ind w:firstLine="319"/>
        <w:spacing w:after="0" w:line="275" w:lineRule="auto"/>
        <w:rPr>
          <w:sz w:val="20"/>
          <w:szCs w:val="20"/>
          <w:color w:val="auto"/>
        </w:rPr>
      </w:pPr>
      <w:r>
        <w:rPr>
          <w:rFonts w:ascii="Arial" w:cs="Arial" w:eastAsia="Arial" w:hAnsi="Arial"/>
          <w:sz w:val="17"/>
          <w:szCs w:val="17"/>
          <w:color w:val="auto"/>
        </w:rPr>
        <w:t>Due to the COVID-19 global pandemic, substantially all of the theaters in the IMAX network were closed in the second quarter of 2020. As a result, for the three months ended June 30, 2020, JRSA contingent rent revenue and gross margin decreased by $25.7 million (101%) and $25.8 million (134%), respectively, when compared to the same period in 2019. These decreases are due to an $185.1 million (100%) reduction in GBO generated by theaters under joint revenue sharing arrangements in the second quarter of 2020 as a result of the COVID-19 theater closures.</w:t>
      </w:r>
    </w:p>
    <w:p>
      <w:pPr>
        <w:spacing w:after="0" w:line="146"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In addition to the level of revenues, JRSA margin is also influenced by the level of costs associated with such arrangements, such as depreciation expense related to the underlying theater systems and costs incurred to upgrade theater systems from digital xenon to IMAX with Laser, as well as advertising, marketing and commission costs primarily for the launch of new theaters. The level of depreciation expense in a period relative to the prior year is a function of the growth of the theater network and the mix of theater system configurations in the network. For the three months ended June 30, 2020, JRSA gross margin included depreciation expense of $6.2 million, as compared to $5.7 million in the same period of the prior year as a result of the 5% increase in the number of theaters operating under joint revenue sharing arrangements. For the three months ended June 30, 2020, JRSA gross margin includes advertising, marketing and commission costs of less than $0.1 million, as compared to $0.2 million in the same period of the prior year.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58" w:name="page59"/>
    <w:bookmarkEnd w:id="58"/>
    <w:p>
      <w:pPr>
        <w:ind w:left="100"/>
        <w:spacing w:after="0"/>
        <w:rPr>
          <w:sz w:val="20"/>
          <w:szCs w:val="20"/>
          <w:color w:val="auto"/>
        </w:rPr>
      </w:pPr>
      <w:r>
        <w:rPr>
          <w:rFonts w:ascii="Arial" w:cs="Arial" w:eastAsia="Arial" w:hAnsi="Arial"/>
          <w:sz w:val="18"/>
          <w:szCs w:val="18"/>
          <w:b w:val="1"/>
          <w:bCs w:val="1"/>
          <w:i w:val="1"/>
          <w:iCs w:val="1"/>
          <w:color w:val="auto"/>
        </w:rPr>
        <w:t>IMAX Technology Sales and Maintenance</w:t>
      </w:r>
    </w:p>
    <w:p>
      <w:pPr>
        <w:spacing w:after="0" w:line="194"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primary drivers of IMAX Technology Sales and Maintenance results are the number of IMAX Theater Systems installed in a period, and the level of gross margin percentage earned on each installation, as well as the associated maintenance contracts that accompany each theater installation. The installation of IMAX Theater Systems in newly built theaters or multiplexes, which make up a large portion of the Company’s theater system backlog, depends primarily on the timing of the construction of those projects, which is not under the Company’s control.</w:t>
      </w:r>
    </w:p>
    <w:p>
      <w:pPr>
        <w:spacing w:after="0" w:line="133"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following table provides detailed information about the mix of IMAX Theater System installations for the three months ended June 30, 2020 and 2019: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1"/>
                <w:szCs w:val="11"/>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Revenue</w:t>
            </w:r>
          </w:p>
        </w:tc>
        <w:tc>
          <w:tcPr>
            <w:tcW w:w="13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Systems</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New IMAX Theater Systems — installed and recognized</w:t>
            </w: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Sales and sales-types lease arrangements</w:t>
            </w:r>
            <w:r>
              <w:rPr>
                <w:rFonts w:ascii="Arial" w:cs="Arial" w:eastAsia="Arial" w:hAnsi="Arial"/>
                <w:sz w:val="15"/>
                <w:szCs w:val="15"/>
                <w:color w:val="auto"/>
              </w:rPr>
              <w:t>(1)</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1,731</w:t>
            </w:r>
          </w:p>
        </w:tc>
        <w:tc>
          <w:tcPr>
            <w:tcW w:w="16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Joint revenue sharing arrangements — hybrid</w:t>
            </w:r>
          </w:p>
        </w:tc>
        <w:tc>
          <w:tcPr>
            <w:tcW w:w="124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new IMAX Theater Systems</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2,087</w:t>
            </w:r>
          </w:p>
        </w:tc>
        <w:tc>
          <w:tcPr>
            <w:tcW w:w="1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14,189</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IMAX theater system upgrades — installed and recognized</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Sales and sales-types lease arrangements</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0"/>
        </w:trPr>
        <w:tc>
          <w:tcPr>
            <w:tcW w:w="5840" w:type="dxa"/>
            <w:vAlign w:val="bottom"/>
            <w:gridSpan w:val="3"/>
          </w:tcPr>
          <w:p>
            <w:pPr>
              <w:spacing w:after="0"/>
              <w:rPr>
                <w:sz w:val="20"/>
                <w:szCs w:val="20"/>
                <w:color w:val="auto"/>
              </w:rPr>
            </w:pPr>
            <w:r>
              <w:rPr>
                <w:rFonts w:ascii="Arial" w:cs="Arial" w:eastAsia="Arial" w:hAnsi="Arial"/>
                <w:sz w:val="18"/>
                <w:szCs w:val="18"/>
                <w:color w:val="auto"/>
              </w:rPr>
              <w:t>Total IMAX Theater Systems installed and recognized</w:t>
            </w:r>
          </w:p>
        </w:tc>
        <w:tc>
          <w:tcPr>
            <w:tcW w:w="12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2,087</w:t>
            </w:r>
          </w:p>
        </w:tc>
        <w:tc>
          <w:tcPr>
            <w:tcW w:w="1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380" w:hanging="373"/>
        <w:spacing w:after="0" w:line="259"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arrangement for the sale of an IMAX Theater System includes fixed upfront and ongoing consideration, including indexed annual minimum payment increases over the term of the arrangement, as well as the provision for additional payments in excess of the minimum agreed payments in situations when the theater exceeds certain box office thresholds.</w:t>
      </w:r>
    </w:p>
    <w:p>
      <w:pPr>
        <w:spacing w:after="0" w:line="158"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average revenue per IMAX Theater System under sales and sales-type lease arrangements varies depending upon the number of IMAX Theater System commitments with a single respective exhibitor, an exhibitor’s location and various other factors. Average revenue per IMAX Theater System under sales and sales-type lease arrangements was $0.9 million for the three months ended June 30, 2020, as compared to $1.3 million during the same period of the prior year.</w:t>
      </w:r>
    </w:p>
    <w:p>
      <w:pPr>
        <w:spacing w:after="0" w:line="149"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three months ended June 30, 2020, IMAX Technology Sales and Maintenance revenue and gross margin decreased by $30.2 million (87%) and $15.1 million (99%), respectively, when compared to the same period in the prior year as the pace of theater system installations slowed significantly and regular maintenance services were suspended due to the COVID-19 global pandemic. See below for separate discussions of IMAX Systems and IMAX Maintenance results for the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9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For the three months ended June 30, 2020, IMAX Systems revenue and gross margin decreased by $12.0 million (72%) and $5.4 million (67%), respectively, when compared to the same period in the prior year. These decreases are the result of the twelve fewer IMAX Theater System installations in the current period as the pace of theater system installations slowed significantly due to the COVID-19 global pandemic.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months ended June 30, 2020, IMAX Maintenance revenue and gross margin decreased by $13.2 million (100%) and $7.5 million (134%), respectively, as regular maintenance services were suspended and the associated revenue was not recognized during the period due to the COVID-19 global pandemic.</w:t>
      </w:r>
    </w:p>
    <w:p>
      <w:pPr>
        <w:spacing w:after="0" w:line="15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9" w:name="page60"/>
    <w:bookmarkEnd w:id="59"/>
    <w:p>
      <w:pPr>
        <w:ind w:left="100"/>
        <w:spacing w:after="0"/>
        <w:rPr>
          <w:sz w:val="20"/>
          <w:szCs w:val="20"/>
          <w:color w:val="auto"/>
        </w:rPr>
      </w:pPr>
      <w:r>
        <w:rPr>
          <w:rFonts w:ascii="Arial" w:cs="Arial" w:eastAsia="Arial" w:hAnsi="Arial"/>
          <w:sz w:val="18"/>
          <w:szCs w:val="18"/>
          <w:b w:val="1"/>
          <w:bCs w:val="1"/>
          <w:i w:val="1"/>
          <w:iCs w:val="1"/>
          <w:color w:val="auto"/>
        </w:rPr>
        <w:t>Film Distribution and Post-production</w:t>
      </w:r>
    </w:p>
    <w:p>
      <w:pPr>
        <w:spacing w:after="0" w:line="194"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For the three months ended June 30, 2020, Film Distribution and Post-production revenue decreased by $0.4 million (12%) and gross margin decreased by $1.9 million, respectively, when compared to the same period in the prior year. The results for second quarter of 2020 are significantly influenced by a $2.2 million impairment loss recorded in the period to write-down the carrying value of certain documentary and alternative content film assets due to a decrease in projected box office totals and related revenues based on management’s regular quarterly recoverability assessments. As of June 30, 2020, following the recording of these write-downs, the Company’s film assets totaled $13.1 million, which principally consists of documentary and DMR content. The recoverability of these assets assumes the return to historical levels of box office results as theaters reopen following the lifting of COVID-19 restrictions. There can be no assurances that there will not be additional write-downs to the carrying values of these assets as the Company continues to assess the ongoing impact of the COVID-19 pandemic. (See Notes 1 and 2 of Notes to Condensed Consolidated Financial Statements.)</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0"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For the three months ended June 30, 2020, Selling, General and Administrative Expenses decreased by $2.3 million (7%), when compared to the same period in 2019. For the three months ended June 30, 2020, Selling, General and Administrative Expenses excluding the impact of share-based compensation were $23.3 million, as compared to $25.6 million in the same period in 2019, representing a decrease of $2.3 million (9%).</w:t>
      </w:r>
    </w:p>
    <w:p>
      <w:pPr>
        <w:spacing w:after="0" w:line="142"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comparison to the prior year is significantly influenced by COVID-19 government relief that the Company became entitled to receive during the period under the Canada Emergency Wage Subsidy program and the U.S. CARES Act, of which $2.9 million was recognized in the second quarter of 2020 as a reduction to Selling, General and Administrative Expenses. Also impacting the comparison to the prior period are management’s cost control efforts amidst the COVID-19 global pandemic, resulting in lower staff costs, travel, facilities and marketing related expenses, among others. These factors are partially offset by an approximate $8.0 million decrease in labor and other costs capitalized to inventory, film assets, and joint venture theater equipment or allocated to costs applicable to revenues, due to the idling of the Company’s productive capacity during the COVID-19 global pandemic.</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Credit Loss Expense</w:t>
      </w:r>
    </w:p>
    <w:p>
      <w:pPr>
        <w:spacing w:after="0" w:line="180"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For the three months ended June 30, 2020, the Company recorded a provision for current expected credit losses of $1.4 million reflecting a reduction in the credit quality of its theater and studio related receivable balances, which management believes is primarily related to the COVID-19 pandemic, as discussed in Note 2 of Notes to Condensed Consolidated Financial Statements.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For the three months ended June 30, 2019, credit loss expense was $0.9 million. (See Notes 2 and 3 of Notes to Condensed Consolidated Financial Statements.)</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Gain (loss) in fair value of equity securities</w:t>
      </w:r>
    </w:p>
    <w:p>
      <w:pPr>
        <w:spacing w:after="0" w:line="18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In the first quarter of 2019, IMAX China (Hong Kong), Limited, a wholly-owned subsidiary of IMAX China, entered into a cornerstone investment agreement with Maoyan Entertainment (“Maoyan”) and purchased equity securities for $15.2 million. These equity securities are traded on the Hong Kong Stock Exchange, and the Company is required to adjust the fair value of the securities each period to reflect the current market value. This adjustment will fluctuate based on the closing market price at the end of each period. For the three months ended June 30, 2020, the fair value of the Company’s investment in Maoyan experienced an unrealized gain of $2.0 million, as compared to an unrealized loss of $4.5 million in the same period of the prior year, which are both recognized in the Condensed Consolidated Statements of Operations.</w:t>
      </w:r>
    </w:p>
    <w:p>
      <w:pPr>
        <w:spacing w:after="0" w:line="13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Income Taxes</w:t>
      </w:r>
    </w:p>
    <w:p>
      <w:pPr>
        <w:spacing w:after="0" w:line="19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Company’s effective tax benefit rate for the three months ended June 30, 2020, is 25.4% and differs from the Canadian statutory tax rate of 26.2%, primarily due to permanent book to tax differences, investment and other tax credits, jurisdictional tax rate differences, management’s estimates of contingent liabilities related to the resolution of various tax examinations and withholding taxes associated with the reversal of the indefinite reinvestment assertion for certain foreign subsidiaries, as discussed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0" w:name="page61"/>
    <w:bookmarkEnd w:id="60"/>
    <w:p>
      <w:pPr>
        <w:jc w:val="both"/>
        <w:ind w:firstLine="225"/>
        <w:spacing w:after="0" w:line="251" w:lineRule="auto"/>
        <w:rPr>
          <w:sz w:val="20"/>
          <w:szCs w:val="20"/>
          <w:color w:val="auto"/>
        </w:rPr>
      </w:pPr>
      <w:r>
        <w:rPr>
          <w:rFonts w:ascii="Arial" w:cs="Arial" w:eastAsia="Arial" w:hAnsi="Arial"/>
          <w:sz w:val="18"/>
          <w:szCs w:val="18"/>
          <w:color w:val="auto"/>
        </w:rPr>
        <w:t>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$19.7 million in the first quarter of 2020 for the estimated applicable foreign withholding taxes associated with these historical earnings, which will become payable upon the repatriation of any such earnings. In the second quarter of 2020, the estimate of the applicable foreign withholding taxes was reduced by $1.2 million to $18.5 million due to a reduction in the amount of distributable historical earnings. Cash held outside of Canada as at June 30, 2020 was $75.0 million (December 31, 2019 — $90.1 million), of which $61.5 million was held in the People’s Republic of China (“PRC”) (December 31, 2019 — $67.6 million).</w:t>
      </w:r>
    </w:p>
    <w:p>
      <w:pPr>
        <w:spacing w:after="0" w:line="15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three months ended June 30, 2020, the Company recorded income tax benefit of $10.2 million (2019 — tax expense of $5.3 million), which includes the $1.2 million reduction to the foreign withholding taxes discussed above. In addition, in the second quarter of 2020, the Company recognized income tax expense of $0.3 million (2019 — $0.1 million) related to the provision for uncertain tax positions.</w:t>
      </w:r>
    </w:p>
    <w:p>
      <w:pPr>
        <w:spacing w:after="0" w:line="185"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As at June 30, 2020, the Company’s Condensed Consolidated Balance Sheets include net deferred income tax assets of $46.8 million, net of a valuation allowance of $0.2 million (December 31, 2019 — $23.9 million). As at June 30, 2020, the Company’s Condensed Consolidated Balance Sheets include a deferred income tax liability of $18.5 million (December 31, 2019 — $nil). During the three months ended June 30, 2020, deferred tax assets increased by $8.9 million due to losses recognized in the period. The recoverability of these deferred tax assets is subject to certain levels of future taxable income and the uncertainties associated with accounting estimates, as discussed in Note 1 of Notes to Condensed Consolidated Financial Statements. Based on a review of the projected future earnings of the Company there was no change in management’s estimates of the recoverability of the Company’s deferred tax assets. Should actual results differ from management’s estimates of future taxable income, an increased valuation allowance may be required.</w:t>
      </w:r>
    </w:p>
    <w:p>
      <w:pPr>
        <w:spacing w:after="0" w:line="138"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Company’s Chinese subsidiary had taken a deduction for certain share-based compensation issued by its parent company in a prior period and had recognized a related deferred tax asset of $1.4 million (December 31, 2019 — $1.4 million). Chinese regulatory authorities responsible for capital and exchange controls will need to review and approve the proposed settlement of these transactions before they can be completed. There may be a requirement for future investment of funds into China in order to secure the deduction. Should the Company proceed, any such future investment would come from existing capital invested in the IMAX China group of companies being redeployed amongst the IMAX China group of companies, including the Chinese subsidiary.</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80" w:lineRule="exact"/>
        <w:rPr>
          <w:sz w:val="20"/>
          <w:szCs w:val="20"/>
          <w:color w:val="auto"/>
        </w:rPr>
      </w:pPr>
    </w:p>
    <w:p>
      <w:pPr>
        <w:jc w:val="both"/>
        <w:ind w:right="20" w:firstLine="225"/>
        <w:spacing w:after="0" w:line="281" w:lineRule="auto"/>
        <w:rPr>
          <w:sz w:val="20"/>
          <w:szCs w:val="20"/>
          <w:color w:val="auto"/>
        </w:rPr>
      </w:pPr>
      <w:r>
        <w:rPr>
          <w:rFonts w:ascii="Arial" w:cs="Arial" w:eastAsia="Arial" w:hAnsi="Arial"/>
          <w:sz w:val="17"/>
          <w:szCs w:val="17"/>
          <w:color w:val="auto"/>
        </w:rPr>
        <w:t>The Company’s Condensed Consolidated Financial Statements primarily include the non-controlling interest in the net income (loss) of IMAX China, as well as the impact of non-controlling interests in the activity of its Original Film Fund subsidiary. For the three months ended June 30, 2020, the net loss attributable to non-controlling interests of the Company’s subsidiaries was $4.1 million (2019 ─ net income of $2.4 million).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Results of Operations for the Six Months Ended June 30, 2020 and 2019</w:t>
      </w:r>
    </w:p>
    <w:p>
      <w:pPr>
        <w:spacing w:after="0" w:line="198" w:lineRule="exact"/>
        <w:rPr>
          <w:sz w:val="20"/>
          <w:szCs w:val="20"/>
          <w:color w:val="auto"/>
        </w:rPr>
      </w:pPr>
    </w:p>
    <w:p>
      <w:pPr>
        <w:jc w:val="both"/>
        <w:ind w:firstLine="224"/>
        <w:spacing w:after="0" w:line="253" w:lineRule="auto"/>
        <w:rPr>
          <w:sz w:val="20"/>
          <w:szCs w:val="20"/>
          <w:color w:val="auto"/>
        </w:rPr>
      </w:pPr>
      <w:r>
        <w:rPr>
          <w:rFonts w:ascii="Arial" w:cs="Arial" w:eastAsia="Arial" w:hAnsi="Arial"/>
          <w:sz w:val="18"/>
          <w:szCs w:val="18"/>
          <w:color w:val="auto"/>
        </w:rPr>
        <w:t>For the six months ended June 30, 2020, the Company reported a net loss attributable to common shareholders of $(75.3) million, or $(1.26) per basic and diluted share, as compared to net income attributable to common shareholders of $19.7 million, or $0.32 per basic and diluted share, for the same period in 2019. For the six months ended June 30, 2020, the Company reported an adjusted net loss attributable to common shareholders* of $(54.8) million, or $(0.92) per basic and diluted share*, as compared to adjusted net income attributable to common shareholders* of $30.5 million, or $0.50 per diluted share*, for the same period in 2019.</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sets forth the breakdown of revenue and (margin loss) gross margin by category and reportable segment for the six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260" w:type="dxa"/>
            <w:vAlign w:val="bottom"/>
          </w:tcPr>
          <w:p>
            <w:pPr>
              <w:spacing w:after="0"/>
              <w:rPr>
                <w:sz w:val="14"/>
                <w:szCs w:val="14"/>
                <w:color w:val="auto"/>
              </w:rPr>
            </w:pPr>
          </w:p>
        </w:tc>
        <w:tc>
          <w:tcPr>
            <w:tcW w:w="1380" w:type="dxa"/>
            <w:vAlign w:val="bottom"/>
            <w:gridSpan w:val="3"/>
          </w:tcPr>
          <w:p>
            <w:pPr>
              <w:jc w:val="right"/>
              <w:ind w:right="51"/>
              <w:spacing w:after="0"/>
              <w:rPr>
                <w:sz w:val="20"/>
                <w:szCs w:val="20"/>
                <w:color w:val="auto"/>
              </w:rPr>
            </w:pPr>
            <w:r>
              <w:rPr>
                <w:rFonts w:ascii="Arial" w:cs="Arial" w:eastAsia="Arial" w:hAnsi="Arial"/>
                <w:sz w:val="14"/>
                <w:szCs w:val="14"/>
                <w:b w:val="1"/>
                <w:bCs w:val="1"/>
                <w:color w:val="auto"/>
              </w:rPr>
              <w:t>Revenue</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(Margin Loss) Gross Margin</w:t>
            </w:r>
          </w:p>
        </w:tc>
      </w:tr>
      <w:tr>
        <w:trPr>
          <w:trHeight w:val="220"/>
        </w:trPr>
        <w:tc>
          <w:tcPr>
            <w:tcW w:w="1500" w:type="dxa"/>
            <w:vAlign w:val="bottom"/>
            <w:tcBorders>
              <w:bottom w:val="single" w:sz="8" w:color="CFF0FC"/>
            </w:tcBorders>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0"/>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Network</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800" w:type="dxa"/>
            <w:vAlign w:val="bottom"/>
            <w:gridSpan w:val="2"/>
          </w:tcPr>
          <w:p>
            <w:pPr>
              <w:ind w:left="120"/>
              <w:spacing w:after="0"/>
              <w:rPr>
                <w:sz w:val="20"/>
                <w:szCs w:val="20"/>
                <w:color w:val="auto"/>
              </w:rPr>
            </w:pPr>
            <w:r>
              <w:rPr>
                <w:rFonts w:ascii="Arial" w:cs="Arial" w:eastAsia="Arial" w:hAnsi="Arial"/>
                <w:sz w:val="18"/>
                <w:szCs w:val="18"/>
                <w:color w:val="auto"/>
              </w:rPr>
              <w:t>IMAX DMR</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11,175</w:t>
            </w:r>
          </w:p>
        </w:tc>
        <w:tc>
          <w:tcPr>
            <w:tcW w:w="52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67,243</w:t>
            </w:r>
          </w:p>
        </w:tc>
        <w:tc>
          <w:tcPr>
            <w:tcW w:w="24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4,413</w:t>
            </w:r>
          </w:p>
        </w:tc>
        <w:tc>
          <w:tcPr>
            <w:tcW w:w="180" w:type="dxa"/>
            <w:vAlign w:val="bottom"/>
          </w:tcPr>
          <w:p>
            <w:pPr>
              <w:spacing w:after="0"/>
              <w:rPr>
                <w:sz w:val="19"/>
                <w:szCs w:val="19"/>
                <w:color w:val="auto"/>
              </w:rPr>
            </w:pPr>
          </w:p>
        </w:tc>
        <w:tc>
          <w:tcPr>
            <w:tcW w:w="38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43,736</w:t>
            </w:r>
          </w:p>
        </w:tc>
        <w:tc>
          <w:tcPr>
            <w:tcW w:w="120" w:type="dxa"/>
            <w:vAlign w:val="bottom"/>
          </w:tcPr>
          <w:p>
            <w:pPr>
              <w:spacing w:after="0"/>
              <w:rPr>
                <w:sz w:val="19"/>
                <w:szCs w:val="19"/>
                <w:color w:val="auto"/>
              </w:rPr>
            </w:pPr>
          </w:p>
        </w:tc>
      </w:tr>
      <w:tr>
        <w:trPr>
          <w:trHeight w:val="227"/>
        </w:trPr>
        <w:tc>
          <w:tcPr>
            <w:tcW w:w="5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contingent rent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43,584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(8,119)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31,253</w:t>
            </w:r>
          </w:p>
        </w:tc>
        <w:tc>
          <w:tcPr>
            <w:tcW w:w="120" w:type="dxa"/>
            <w:vAlign w:val="bottom"/>
            <w:shd w:val="clear" w:color="auto" w:fill="CFF0FC"/>
          </w:tcPr>
          <w:p>
            <w:pPr>
              <w:spacing w:after="0"/>
              <w:rPr>
                <w:sz w:val="19"/>
                <w:szCs w:val="19"/>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17,009</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110,827</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74,989</w:t>
            </w:r>
          </w:p>
        </w:tc>
        <w:tc>
          <w:tcPr>
            <w:tcW w:w="120" w:type="dxa"/>
            <w:vAlign w:val="bottom"/>
            <w:tcBorders>
              <w:bottom w:val="single" w:sz="8" w:color="CFF0FC"/>
            </w:tcBorders>
          </w:tcPr>
          <w:p>
            <w:pPr>
              <w:spacing w:after="0"/>
              <w:rPr>
                <w:sz w:val="19"/>
                <w:szCs w:val="19"/>
                <w:color w:val="auto"/>
              </w:rPr>
            </w:pPr>
          </w:p>
        </w:tc>
      </w:tr>
      <w:tr>
        <w:trPr>
          <w:trHeight w:val="221"/>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IMAX Technology Sales and Maintenance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800" w:type="dxa"/>
            <w:vAlign w:val="bottom"/>
            <w:gridSpan w:val="2"/>
          </w:tcPr>
          <w:p>
            <w:pPr>
              <w:ind w:left="120"/>
              <w:spacing w:after="0"/>
              <w:rPr>
                <w:sz w:val="20"/>
                <w:szCs w:val="20"/>
                <w:color w:val="auto"/>
              </w:rPr>
            </w:pPr>
            <w:r>
              <w:rPr>
                <w:rFonts w:ascii="Arial" w:cs="Arial" w:eastAsia="Arial" w:hAnsi="Arial"/>
                <w:sz w:val="18"/>
                <w:szCs w:val="18"/>
                <w:color w:val="auto"/>
              </w:rPr>
              <w:t xml:space="preserve">IMAX Systems </w:t>
            </w:r>
            <w:r>
              <w:rPr>
                <w:rFonts w:ascii="Arial" w:cs="Arial" w:eastAsia="Arial" w:hAnsi="Arial"/>
                <w:sz w:val="15"/>
                <w:szCs w:val="15"/>
                <w:color w:val="auto"/>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10,237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29,527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15,071</w:t>
            </w:r>
          </w:p>
        </w:tc>
        <w:tc>
          <w:tcPr>
            <w:tcW w:w="120" w:type="dxa"/>
            <w:vAlign w:val="bottom"/>
          </w:tcPr>
          <w:p>
            <w:pPr>
              <w:spacing w:after="0"/>
              <w:rPr>
                <w:sz w:val="19"/>
                <w:szCs w:val="19"/>
                <w:color w:val="auto"/>
              </w:rPr>
            </w:pPr>
          </w:p>
        </w:tc>
      </w:tr>
      <w:tr>
        <w:trPr>
          <w:trHeight w:val="227"/>
        </w:trPr>
        <w:tc>
          <w:tcPr>
            <w:tcW w:w="5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Joint revenue sharing arrangements, fixed fees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FF0FC"/>
          </w:tcPr>
          <w:p>
            <w:pPr>
              <w:spacing w:after="0"/>
              <w:rPr>
                <w:sz w:val="19"/>
                <w:szCs w:val="19"/>
                <w:color w:val="auto"/>
              </w:rPr>
            </w:pPr>
          </w:p>
        </w:tc>
      </w:tr>
      <w:tr>
        <w:trPr>
          <w:trHeight w:val="227"/>
        </w:trPr>
        <w:tc>
          <w:tcPr>
            <w:tcW w:w="5800" w:type="dxa"/>
            <w:vAlign w:val="bottom"/>
            <w:gridSpan w:val="2"/>
          </w:tcPr>
          <w:p>
            <w:pPr>
              <w:ind w:left="120"/>
              <w:spacing w:after="0"/>
              <w:rPr>
                <w:sz w:val="20"/>
                <w:szCs w:val="20"/>
                <w:color w:val="auto"/>
              </w:rPr>
            </w:pPr>
            <w:r>
              <w:rPr>
                <w:rFonts w:ascii="Arial" w:cs="Arial" w:eastAsia="Arial" w:hAnsi="Arial"/>
                <w:sz w:val="18"/>
                <w:szCs w:val="18"/>
                <w:color w:val="auto"/>
              </w:rPr>
              <w:t>IMAX Maintenance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7,370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26,158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10,921</w:t>
            </w:r>
          </w:p>
        </w:tc>
        <w:tc>
          <w:tcPr>
            <w:tcW w:w="120" w:type="dxa"/>
            <w:vAlign w:val="bottom"/>
          </w:tcPr>
          <w:p>
            <w:pPr>
              <w:spacing w:after="0"/>
              <w:rPr>
                <w:sz w:val="19"/>
                <w:szCs w:val="19"/>
                <w:color w:val="auto"/>
              </w:rPr>
            </w:pPr>
          </w:p>
        </w:tc>
      </w:tr>
      <w:tr>
        <w:trPr>
          <w:trHeight w:val="227"/>
        </w:trPr>
        <w:tc>
          <w:tcPr>
            <w:tcW w:w="58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xml:space="preserve">Other Theater Business </w:t>
            </w:r>
            <w:r>
              <w:rPr>
                <w:rFonts w:ascii="Arial" w:cs="Arial" w:eastAsia="Arial" w:hAnsi="Arial"/>
                <w:sz w:val="15"/>
                <w:szCs w:val="15"/>
                <w:color w:val="auto"/>
              </w:rPr>
              <w:t>(2)</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FF0FC"/>
          </w:tcPr>
          <w:p>
            <w:pPr>
              <w:spacing w:after="0"/>
              <w:rPr>
                <w:sz w:val="19"/>
                <w:szCs w:val="19"/>
                <w:color w:val="auto"/>
              </w:rPr>
            </w:pPr>
          </w:p>
        </w:tc>
      </w:tr>
      <w:tr>
        <w:trPr>
          <w:trHeight w:val="220"/>
        </w:trPr>
        <w:tc>
          <w:tcPr>
            <w:tcW w:w="1500" w:type="dxa"/>
            <w:vAlign w:val="bottom"/>
            <w:tcBorders>
              <w:bottom w:val="single" w:sz="8" w:color="CFF0FC"/>
            </w:tcBorders>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64,978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28,473</w:t>
            </w:r>
          </w:p>
        </w:tc>
        <w:tc>
          <w:tcPr>
            <w:tcW w:w="120" w:type="dxa"/>
            <w:vAlign w:val="bottom"/>
            <w:tcBorders>
              <w:bottom w:val="single" w:sz="8" w:color="CFF0FC"/>
            </w:tcBorders>
          </w:tcPr>
          <w:p>
            <w:pPr>
              <w:spacing w:after="0"/>
              <w:rPr>
                <w:sz w:val="19"/>
                <w:szCs w:val="19"/>
                <w:color w:val="auto"/>
              </w:rPr>
            </w:pPr>
          </w:p>
        </w:tc>
      </w:tr>
      <w:tr>
        <w:trPr>
          <w:trHeight w:val="221"/>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New Business Initiatives</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FF0FC"/>
          </w:tcPr>
          <w:p>
            <w:pPr>
              <w:spacing w:after="0"/>
              <w:rPr>
                <w:sz w:val="19"/>
                <w:szCs w:val="19"/>
                <w:color w:val="auto"/>
              </w:rPr>
            </w:pPr>
          </w:p>
        </w:tc>
      </w:tr>
      <w:tr>
        <w:trPr>
          <w:trHeight w:val="227"/>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Film Distribution and Post-production</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5,676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19"/>
                <w:szCs w:val="19"/>
                <w:color w:val="auto"/>
              </w:rPr>
            </w:pPr>
          </w:p>
        </w:tc>
      </w:tr>
      <w:tr>
        <w:trPr>
          <w:trHeight w:val="220"/>
        </w:trPr>
        <w:tc>
          <w:tcPr>
            <w:tcW w:w="5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43,495</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183,380</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104,795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58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r>
      <w:tr>
        <w:trPr>
          <w:trHeight w:val="220"/>
        </w:trPr>
        <w:tc>
          <w:tcPr>
            <w:tcW w:w="5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184,995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104,693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1"/>
        </w:trPr>
        <w:tc>
          <w:tcPr>
            <w:tcW w:w="150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26" w:lineRule="exact"/>
        <w:rPr>
          <w:sz w:val="20"/>
          <w:szCs w:val="20"/>
          <w:color w:val="auto"/>
        </w:rPr>
      </w:pPr>
    </w:p>
    <w:p>
      <w:pPr>
        <w:jc w:val="both"/>
        <w:ind w:left="380" w:hanging="373"/>
        <w:spacing w:after="0" w:line="252"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initial upfront payments and the present value of fixed minimum payments from sale and sales-type lease arrangements of IMAX Theater Systems, and the present value of estimated variable consideration from sales of IMAX Theater Systems. To a lesser extent, also includes finance income associated with these revenue streams.</w:t>
      </w:r>
    </w:p>
    <w:p>
      <w:pPr>
        <w:spacing w:after="0" w:line="2" w:lineRule="exact"/>
        <w:rPr>
          <w:rFonts w:ascii="Arial" w:cs="Arial" w:eastAsia="Arial" w:hAnsi="Arial"/>
          <w:sz w:val="18"/>
          <w:szCs w:val="18"/>
          <w:color w:val="auto"/>
        </w:rPr>
      </w:pPr>
    </w:p>
    <w:p>
      <w:pPr>
        <w:ind w:left="380" w:hanging="373"/>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Principally includes after-market sales of IMAX projection system parts and 3D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234315</wp:posOffset>
            </wp:positionV>
            <wp:extent cx="9499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75" w:lineRule="exact"/>
        <w:rPr>
          <w:sz w:val="20"/>
          <w:szCs w:val="20"/>
          <w:color w:val="auto"/>
        </w:rPr>
      </w:pPr>
    </w:p>
    <w:p>
      <w:pPr>
        <w:ind w:left="380" w:hanging="373"/>
        <w:spacing w:after="0" w:line="270"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"Non-GAAP Financial Measures" below for a description of this non-GAAP financial measure and a reconciliation to the most comparable GAAP amount.</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180"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Due to the COVID-19 global pandemic, substantially all of the theaters in the IMAX network were closed for a significant portion of the six months ended June 30, 2020, with the theaters in Greater China closed since late-January and substantially all of the Company’s remaining theaters closed since mid-to-late March. As a result, the Company’s results of operations for the six-month period materially declined versus the prior year. For the six months ended June 30, 2020, revenues and gross margin decreased by $141.2 million (76%) and $107.3 million (102%), respectively, when compared to the same period in 2019.</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Network</w:t>
      </w:r>
    </w:p>
    <w:p>
      <w:pPr>
        <w:spacing w:after="0" w:line="180"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IMAX Technology Network results are influenced by the level of commercial success and box office performance of the films released to the network, as well as other factors including the timing of the films released, the length of the theatrical distribution window, the take rates under the Company’s DMR and joint revenue sharing arrangements and the level of marketing spend associated with the films released in the period. Other factors impacting IMAX Technology Network results include fluctuations in the value of foreign currencies versus the U.S. dollar and potential currency devaluations.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2" w:name="page63"/>
    <w:bookmarkEnd w:id="62"/>
    <w:p>
      <w:pPr>
        <w:jc w:val="both"/>
        <w:ind w:firstLine="225"/>
        <w:spacing w:after="0" w:line="259" w:lineRule="auto"/>
        <w:rPr>
          <w:sz w:val="20"/>
          <w:szCs w:val="20"/>
          <w:color w:val="auto"/>
        </w:rPr>
      </w:pPr>
      <w:r>
        <w:rPr>
          <w:rFonts w:ascii="Arial" w:cs="Arial" w:eastAsia="Arial" w:hAnsi="Arial"/>
          <w:sz w:val="18"/>
          <w:szCs w:val="18"/>
          <w:color w:val="auto"/>
        </w:rPr>
        <w:t>For the six months ended June 30, 2020, IMAX Technology Network revenues and gross margin decreased by $93.8 million (85%) and $78.7 million (105%), respectively, when compared to the same period in 2019. See below for separate discussions of IMAX DMR and JRSA contingent rent results for the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DMR</w:t>
      </w:r>
    </w:p>
    <w:p>
      <w:pPr>
        <w:spacing w:after="0" w:line="180"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Due to the COVID-19 global pandemic, substantially all of the theaters in the IMAX network were closed for a significant portion of the six months ended June 30, 2020, with the theaters in Greater China closed since late-January and substantially all of the Company’s remaining theaters closed since mid-to-late March. As a result, for the six months ended June 30, 2020, IMAX DMR revenues and gross margin decreased by $56.1 million (83%) and $39.3 million (90%), respectively, when compared to the same period in 2019. These decreases are due to a $523.4 million (84%) reduction in GBO generated by IMAX DMR films as a result of the theater closures. For the six months ended June 30, 2020, GBO was generated primarily by the exhibition of 14 films (10 new and 4 carryovers), as compared to 39 films (27 new and 12 carryovers) exhibited in the six months ended June 30, 2019.</w:t>
      </w:r>
    </w:p>
    <w:p>
      <w:pPr>
        <w:spacing w:after="0" w:line="12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addition to the level of revenues, IMAX DMR gross margin is also influenced by the costs associated with the films exhibited in the period, and can vary from period-to-period, particularly with respect to marketing expenses. For the six months ended June 30, 2020, marketing expenses related to IMAX DMR films were $2.4 million, as compared to $13.4 million during the same period of 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Revenue Sharing Arrangements – Contingent Rent</w:t>
      </w:r>
    </w:p>
    <w:p>
      <w:pPr>
        <w:spacing w:after="0" w:line="180"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Due to the COVID-19 global pandemic, substantially all of the theaters in the IMAX network were closed for a significant portion of the six months ended June 30, 2020, with the theaters in Greater China closed since late-January and substantially all of the Company’s remaining theaters closed since mid-to-late March. As a result, for the six months ended June 30, 2020, JRSA contingent rent revenue and gross margin decreased by $37.8 million (87%) and $39.4 million (126%), respectively, when compared to the same period in 2019. The decreases in revenue and gross margin are due to a $274.0 million (86%) reduction in GBO generated by theaters under joint revenue sharing arrangements during the current period due to the theater closures. As at June 30, 2020, 868 theaters were operating under joint revenue sharing arrangements, as compared to 826 theaters as at June 30, 2019, an increase of 5%.</w:t>
      </w:r>
    </w:p>
    <w:p>
      <w:pPr>
        <w:spacing w:after="0" w:line="127"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In addition to the level of revenues, JRSA margin is also influenced by the level of costs associated with such arrangements, such as depreciation expense related to the underlying theater systems and costs incurred to upgrade theater systems from digital xenon to IMAX with Laser, as well as advertising, marketing and commission costs primarily for the launch of new theaters. The level of depreciation expense in a period relative to the prior year is a function of the growth of the theater network and the mix of theater system configurations in the network. For the six months ended June 30, 2020, JRSA gross margin included depreciation expense of $13.2 million, as compared to $11.3 million in the same period of the prior year as a result of the 5% increase in the number of theaters operating under joint revenue sharing arrangements. For the six months ended June 30, 2020, JRSA gross margin includes certain advertising, marketing and commission costs of $0.6 million, as compared to $0.3 million in the same period of the prior year.</w:t>
      </w:r>
    </w:p>
    <w:p>
      <w:pPr>
        <w:spacing w:after="0" w:line="13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IMAX Technology Sales and Maintenance</w:t>
      </w:r>
    </w:p>
    <w:p>
      <w:pPr>
        <w:spacing w:after="0" w:line="180" w:lineRule="exact"/>
        <w:rPr>
          <w:sz w:val="20"/>
          <w:szCs w:val="20"/>
          <w:color w:val="auto"/>
        </w:rPr>
      </w:pPr>
    </w:p>
    <w:p>
      <w:pPr>
        <w:jc w:val="both"/>
        <w:ind w:firstLine="225"/>
        <w:spacing w:after="0" w:line="334" w:lineRule="auto"/>
        <w:rPr>
          <w:sz w:val="20"/>
          <w:szCs w:val="20"/>
          <w:color w:val="auto"/>
        </w:rPr>
      </w:pPr>
      <w:r>
        <w:rPr>
          <w:rFonts w:ascii="Arial" w:cs="Arial" w:eastAsia="Arial" w:hAnsi="Arial"/>
          <w:sz w:val="16"/>
          <w:szCs w:val="16"/>
          <w:color w:val="auto"/>
        </w:rPr>
        <w:t>The primary drivers of IMAX Technology Sales and Maintenance results are the number of IMAX Theater Systems installed in a period, and the level of gross margin percentage earned on each installation, as well as the associated maintenance contracts that accompany each theater installation.</w:t>
      </w:r>
    </w:p>
    <w:p>
      <w:pPr>
        <w:spacing w:after="0" w:line="89"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installation of IMAX Theater Systems in newly built theaters or multiplexes, which make up a large portion of the Company’s theater system backlog, depends primarily on the timing of the construction of those projects, which is not under the Company’s control. The following table provides detailed information about the mix of IMAX Theater System installations for the six months ended June 30, 2020 and 2019: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For the Six Months Ended June 30,</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2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36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3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Systems</w:t>
            </w: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New IMAX Theater Systems — installed and recognized</w:t>
            </w:r>
          </w:p>
        </w:tc>
        <w:tc>
          <w:tcPr>
            <w:tcW w:w="1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Sales and sales-types lease arrangements</w:t>
            </w:r>
            <w:r>
              <w:rPr>
                <w:rFonts w:ascii="Arial" w:cs="Arial" w:eastAsia="Arial" w:hAnsi="Arial"/>
                <w:sz w:val="15"/>
                <w:szCs w:val="15"/>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3,731</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Joint revenue sharing arrangements — hybrid</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2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Total new IMAX Theater Systems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w:t>
            </w:r>
          </w:p>
        </w:tc>
        <w:tc>
          <w:tcPr>
            <w:tcW w:w="26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IMAX theater system upgrades — installed and recognized</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Sales and sales-types lease arrangements</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gridSpan w:val="3"/>
          </w:tcPr>
          <w:p>
            <w:pPr>
              <w:spacing w:after="0"/>
              <w:rPr>
                <w:sz w:val="20"/>
                <w:szCs w:val="20"/>
                <w:color w:val="auto"/>
              </w:rPr>
            </w:pPr>
            <w:r>
              <w:rPr>
                <w:rFonts w:ascii="Arial" w:cs="Arial" w:eastAsia="Arial" w:hAnsi="Arial"/>
                <w:sz w:val="18"/>
                <w:szCs w:val="18"/>
                <w:color w:val="auto"/>
              </w:rPr>
              <w:t>Total IMAX Theater Systems installed and recognized</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4,857</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380" w:hanging="373"/>
        <w:spacing w:after="0" w:line="259" w:lineRule="auto"/>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arrangement for the sale of an IMAX Theater System includes fixed upfront and ongoing consideration, including indexed annual minimum payment increases over the term of the arrangement, as well as the provision for additional payments in excess of the minimum agreed payments in situations when the theater exceeds certain box office thresholds.</w:t>
      </w:r>
    </w:p>
    <w:p>
      <w:pPr>
        <w:spacing w:after="0" w:line="158"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average revenue per IMAX Theater System under sales and sales-type lease arrangements varies depending upon the number of IMAX Theater System commitments with a single respective exhibitor, an exhibitor’s location and various other factors. Average revenue per IMAX Theater System under sales and sales-type lease arrangements was $0.9 million during the six months ended June 30, 2020, compared to $1.3 million during the same period of the prior year.</w:t>
      </w:r>
    </w:p>
    <w:p>
      <w:pPr>
        <w:spacing w:after="0" w:line="149"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For the six months ended June 30, 2020, IMAX Technology Sales and Maintenance revenue and gross margin decreased by $45.3 million (70%) and $23.5 million (83%), respectively, when compared to the same period in the prior year as the pace of theater system installations slowed significantly and regular maintenance services were suspended due to the temporary closure of theaters in the network due to the public health risks associated with the COVID-19 global pandemic. See below for separate discussions of IMAX Systems and IMAX Maintenance results for the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Systems</w:t>
      </w:r>
    </w:p>
    <w:p>
      <w:pPr>
        <w:spacing w:after="0" w:line="19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six months ended June 30, 2020, IMAX Systems revenue and gross margin decreased by $19.3 million (65%) and $9.2 million (61%), respectively, when compared to the same period in the prior year. These decreases are the result of 20 fewer IMAX Theater System installations in the current period as the pace of theater system installations slowed significantly due to the COVID-19 global pandemic.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IMAX Maintenance</w:t>
      </w:r>
    </w:p>
    <w:p>
      <w:pPr>
        <w:spacing w:after="0" w:line="180"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For the six months ended June 30, 2020, IMAX Maintenance revenue and gross margin decreased by $18.8 million (72%) and $12.1 million (111%), respectively, as regular maintenance services were suspended and the associated revenue was not recognized during the period when substantially all of the theaters in the network were temporarily closed due to the COVID-19 global pandemic.</w:t>
      </w:r>
    </w:p>
    <w:p>
      <w:pPr>
        <w:spacing w:after="0" w:line="15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Maintenance margins vary depending on the mix of theater system configurations in the theater network, volume-pricing related to larger relationships and the timing and the date(s) of installation and/or service.</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Film Distribution and Post-production</w:t>
      </w:r>
    </w:p>
    <w:p>
      <w:pPr>
        <w:spacing w:after="0" w:line="18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For the six months ended June 30, 2020, Film Distribution and Post-production revenue decreased by $0.6 million (9%) and gross margin decreased by $3.8 million, respectively, when compared to the same period in the prior year. The results for the current six-month period are significantly influenced by a $4.5 million impairment loss recorded in the period to write-down the carrying value of certain documentary and alternative content film assets due to a decrease in projected box office totals and related revenues based on management’s regular quarterly recoverability assessments. As of June 30, 2020, following the recording of these write-downs, the Company’s film assets totaled $13.1 million, which principally consists of documentary and DMR content. The recoverability of these assets assumes the return to historical levels of box office results as theaters reopen following the lifting of COVID-19 restrictions. There can be no assurances that there will not be additional write-downs to the carrying values of these assets as the Company continues to assess the ongoing impact of the COVID-19 pandemic. (See Notes 1 and 2 of Notes to Condensed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64" w:name="page65"/>
    <w:bookmarkEnd w:id="64"/>
    <w:p>
      <w:pPr>
        <w:ind w:left="1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4"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For the six months ended June 30, 2020, Selling, General and Administrative Expenses decreased by $1.4 million (2%), when compared to the same period in 2019. For the three months ended June 30, 2020, Selling, General and Administrative Expenses excluding the impact of share-based compensation were $48.2 million, as compared to $49.4 million in the same period in 2019, representing a decrease of $1.2 million (2%).</w:t>
      </w:r>
    </w:p>
    <w:p>
      <w:pPr>
        <w:spacing w:after="0" w:line="128" w:lineRule="exact"/>
        <w:rPr>
          <w:sz w:val="20"/>
          <w:szCs w:val="20"/>
          <w:color w:val="auto"/>
        </w:rPr>
      </w:pPr>
    </w:p>
    <w:p>
      <w:pPr>
        <w:jc w:val="both"/>
        <w:ind w:firstLine="225"/>
        <w:spacing w:after="0" w:line="289" w:lineRule="auto"/>
        <w:rPr>
          <w:sz w:val="20"/>
          <w:szCs w:val="20"/>
          <w:color w:val="auto"/>
        </w:rPr>
      </w:pPr>
      <w:r>
        <w:rPr>
          <w:rFonts w:ascii="Arial" w:cs="Arial" w:eastAsia="Arial" w:hAnsi="Arial"/>
          <w:sz w:val="16"/>
          <w:szCs w:val="16"/>
          <w:color w:val="auto"/>
        </w:rPr>
        <w:t>The comparison to the prior year is significantly influenced by COVID-19 government relief that the Company became entitled to receive during the period under the Canada Emergency Wage Subsidy program and the U.S. CARES Act, of which $2.9 million was recognized in the second quarter of 2020 as a reduction to Selling, General and Administrative Expenses. Also impacting the comparison to the prior period are management’s cost control efforts amidst the COVID-19 global pandemic resulting in lower staff costs, travel, facilities and marketing related expenses, among others. These factors are partially offset by an approximate $9.0 million decrease in labor and other costs capitalized to inventory, film assets, and joint venture theater equipment or allocated to costs applicable to revenues, due to the idling of the Company’s productive capacity during the COVID-19 global pandemic.</w:t>
      </w:r>
    </w:p>
    <w:p>
      <w:pPr>
        <w:spacing w:after="0" w:line="12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A significant portion of the Company’s research and development efforts over the past several years have been focused on IMAX with Laser, the Company’s laser-based projection system, which the Company believes delivers increased resolution, sharper and brighter images, deeper contrast as well as the widest range of colors available to filmmakers today.</w:t>
      </w:r>
    </w:p>
    <w:p>
      <w:pPr>
        <w:spacing w:after="0" w:line="14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 xml:space="preserve">For the six months ended June 30, 2020, Research and Development expenses increased by $1.1 million (46%), when compared to the same period in the prior year, primarily due to costs associated with the </w:t>
      </w:r>
      <w:r>
        <w:rPr>
          <w:rFonts w:ascii="Arial" w:cs="Arial" w:eastAsia="Arial" w:hAnsi="Arial"/>
          <w:sz w:val="18"/>
          <w:szCs w:val="18"/>
          <w:color w:val="212529"/>
        </w:rPr>
        <w:t>Connected Theaters initiative.</w:t>
      </w:r>
    </w:p>
    <w:p>
      <w:pPr>
        <w:spacing w:after="0" w:line="135"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The Company also intends to continue research and development in other areas considered important to the Company’s continued commercial success, including further improving the reliability of its projectors, certifying more IMAX cameras, enhancing the Company’s image quality, expanding the applicability of the Company’s digital technology in both theater and home entertainment and improvements to the DMR process.</w:t>
      </w:r>
    </w:p>
    <w:p>
      <w:pPr>
        <w:spacing w:after="0" w:line="142"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In addition, the Company has been, and intends to continue, using time and resources during the theater shutdown caused by the COVID-19 global pandemic to work on leveraging and developing technologies and systems to help bring additional interactivity to its theater network, better manage certain of the Company’s internal workflows and better organize and codify certain of the Company’s data. During previous adverse events and downturns in the cinema business, the Company fostered many of the innovations that helped enable its global growth in recent years, including the development of its proprietary DMR process and the creation of its joint-revenue sharing business model.</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Credit Loss Expense</w:t>
      </w:r>
    </w:p>
    <w:p>
      <w:pPr>
        <w:spacing w:after="0" w:line="180" w:lineRule="exact"/>
        <w:rPr>
          <w:sz w:val="20"/>
          <w:szCs w:val="20"/>
          <w:color w:val="auto"/>
        </w:rPr>
      </w:pPr>
    </w:p>
    <w:p>
      <w:pPr>
        <w:jc w:val="both"/>
        <w:ind w:firstLine="225"/>
        <w:spacing w:after="0" w:line="268" w:lineRule="auto"/>
        <w:rPr>
          <w:sz w:val="20"/>
          <w:szCs w:val="20"/>
          <w:color w:val="auto"/>
        </w:rPr>
      </w:pPr>
      <w:r>
        <w:rPr>
          <w:rFonts w:ascii="Arial" w:cs="Arial" w:eastAsia="Arial" w:hAnsi="Arial"/>
          <w:sz w:val="17"/>
          <w:szCs w:val="17"/>
          <w:color w:val="auto"/>
        </w:rPr>
        <w:t>For the six months ended June 30, 2020, the Company recorded a provision for current expected credit losses of $11.7 million reflecting a reduction in the credit quality of its theater and studio related receivable balances, which management believes is primarily related to the COVID-19 pandemic, as discussed in Note 2 of Notes to Condensed Consolidated Financial Statements. Management’s judgments regarding expected credit losses are based on the facts available to management and involve estimates about the future. Due to the unprecedented nature of the COVID-19 pandemic, its effect on the Company’s customers and their ability to meet their financial obligations to the Company is difficult to predict. As a result, the Company’s judgments and associated estimates of credit losses may ultimately prove, with the benefit of hindsight, to be incorrect. For the six months ended June 30, 2019, credit loss expense was $1.4 million. (See Notes 2 and 3 of Notes to Condensed Consolidated Financial Statements.)</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80" w:lineRule="exact"/>
        <w:rPr>
          <w:sz w:val="20"/>
          <w:szCs w:val="20"/>
          <w:color w:val="auto"/>
        </w:rPr>
      </w:pPr>
    </w:p>
    <w:p>
      <w:pPr>
        <w:jc w:val="both"/>
        <w:ind w:firstLine="225"/>
        <w:spacing w:after="0" w:line="300" w:lineRule="auto"/>
        <w:rPr>
          <w:sz w:val="20"/>
          <w:szCs w:val="20"/>
          <w:color w:val="auto"/>
        </w:rPr>
      </w:pPr>
      <w:r>
        <w:rPr>
          <w:rFonts w:ascii="Arial" w:cs="Arial" w:eastAsia="Arial" w:hAnsi="Arial"/>
          <w:sz w:val="17"/>
          <w:szCs w:val="17"/>
          <w:color w:val="auto"/>
        </w:rPr>
        <w:t>For the six months ended June 30, 2020, the Company recorded asset impairments of $1.2 million (2019 — $nil) principally related to write-down of content-related assets which became impaired in the period. (See Notes 1 and 2 of Notes to Condensed Consolidated Financial Statements.)</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Gain (loss) in fair value of equity securities</w:t>
      </w:r>
    </w:p>
    <w:p>
      <w:pPr>
        <w:spacing w:after="0" w:line="19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In the second quarter of 2019, IMAX China (Hong Kong), Limited, a wholly-owned subsidiary of IMAX China, entered into a cornerstone investment agreement with Maoyan Entertainment (“Maoyan”) and purchased equity securities for $15.2 million. These equity securities are traded on the Hong Kong Stock Exchange, and the Company is required to adjust the fair value of the securities each period to reflect the current market value. This adjustment will fluctuate based on the closing market price at the end of each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18"/>
          <w:szCs w:val="18"/>
          <w:color w:val="auto"/>
        </w:rPr>
        <w:t>period. For the six months ended June 30, 2020, the fair value of the Company’s investment in Maoyan experienced an unrealized loss of $2.5 million, as compared to an unrealized loss of $2.1 million in the same period in the prior year, which are both recognized in the Condensed Consolidated Statements of Operations.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Income Taxes</w:t>
      </w:r>
    </w:p>
    <w:p>
      <w:pPr>
        <w:spacing w:after="0" w:line="180"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The Company’s effective tax rate for the six months ended June 30, 2020 is -6.3% and differs from the Canadian statutory tax rate of 26.2%, primarily due to permanent book to tax differences, investment and other tax credits, jurisdictional tax rate differences, managements estimates of contingent liabilities related to the resolution of various tax examinations and withholding taxes associated with the reversal of the indefinite reinvestment assertion for certain foreign subsidiaries, as discussed below.</w:t>
      </w:r>
    </w:p>
    <w:p>
      <w:pPr>
        <w:spacing w:after="0" w:line="149"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the Company recognized a deferred tax liability of $19.7 million in the first quarter of 2020 for the estimated applicable foreign withholding taxes associated with these historical earnings, which will become payable upon the repatriation of any such earnings. In the second quarter of 2020, the estimate of the applicable foreign withholding taxes was reduced by $1.2 million to $18.5 million due to a reduction in the amount of distributable historical earnings. Cash held outside of Canada as at June 30, 2020 was $75.0 million (December 31, 2019 — $90.1 million), of which $61.5 million was held in the People’s Republic of China (“PRC”) (December 31, 2019 — $67.6 million).</w:t>
      </w:r>
    </w:p>
    <w:p>
      <w:pPr>
        <w:spacing w:after="0" w:line="165"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For the six months ended June 30, 2020, the Company recorded income tax expense of $5.3 million (2019 — $9.0 million), which includes the $18.5 million foreign withholding taxes discussed above. In addition, in the six months ended June 30, 2020, the Company recognized income tax expense of $5.1 million (2019 — $0.5 million) related to the provision for uncertain tax positions and an expense of $0.7 million (2019 — $0.3 million) recognized to reduce the tax benefit available on share-based compensation costs recognized in the period.</w:t>
      </w:r>
    </w:p>
    <w:p>
      <w:pPr>
        <w:spacing w:after="0" w:line="149" w:lineRule="exact"/>
        <w:rPr>
          <w:sz w:val="20"/>
          <w:szCs w:val="20"/>
          <w:color w:val="auto"/>
        </w:rPr>
      </w:pPr>
    </w:p>
    <w:p>
      <w:pPr>
        <w:jc w:val="both"/>
        <w:ind w:firstLine="225"/>
        <w:spacing w:after="0" w:line="288" w:lineRule="auto"/>
        <w:rPr>
          <w:sz w:val="20"/>
          <w:szCs w:val="20"/>
          <w:color w:val="auto"/>
        </w:rPr>
      </w:pPr>
      <w:r>
        <w:rPr>
          <w:rFonts w:ascii="Arial" w:cs="Arial" w:eastAsia="Arial" w:hAnsi="Arial"/>
          <w:sz w:val="16"/>
          <w:szCs w:val="16"/>
          <w:color w:val="auto"/>
        </w:rPr>
        <w:t>As at June 30, 2020, the Company’s Condensed Consolidated Balance Sheets include net deferred income tax assets of $46.8 million, net of a valuation allowance of $0.2 million (December 31, 2019 — $23.9 million). As at June 30, 2020, the Company’s Condensed Consolidated Balance Sheets include a deferred income tax liability of $18.5 million (December 31, 2019 — $nil). During the six months ended June 30, 2020, deferred tax assets increased by $22.9 million due to losses recognized in the period. The recoverability of these deferred tax assets is subject to certain levels of future taxable income and the uncertainties associated with accounting estimates, as discussed in Note 1 of Notes to Condensed Consolidated Financial Statements. Based on a review of the projected future earnings of the Company there was no change in management’s estimates of the recoverability of the Company’s deferred tax assets. Should actual results differ from management’s estimates of future taxable income, an increased valuation allowance may be required.</w:t>
      </w:r>
    </w:p>
    <w:p>
      <w:pPr>
        <w:spacing w:after="0" w:line="124"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Company’s Chinese subsidiary had taken a deduction for certain share-based compensation issued by its parent company in a prior period and had recognized a related deferred tax asset of $1.4 million (December 31, 2019 — $1.4 million). Chinese regulatory authorities responsible for capital and exchange controls will need to review and approve the proposed settlement of these transactions before they can be completed. There may be a requirement for future investment of funds into China in order to secure the deduction. Should the Company proceed, any such future investment would come from existing capital invested in the IMAX China group of companies being redeployed amongst the IMAX China group of companies, including the Chinese subsidiary.</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80" w:lineRule="exact"/>
        <w:rPr>
          <w:sz w:val="20"/>
          <w:szCs w:val="20"/>
          <w:color w:val="auto"/>
        </w:rPr>
      </w:pPr>
    </w:p>
    <w:p>
      <w:pPr>
        <w:jc w:val="both"/>
        <w:ind w:firstLine="225"/>
        <w:spacing w:after="0" w:line="300" w:lineRule="auto"/>
        <w:rPr>
          <w:sz w:val="20"/>
          <w:szCs w:val="20"/>
          <w:color w:val="auto"/>
        </w:rPr>
      </w:pPr>
      <w:r>
        <w:rPr>
          <w:rFonts w:ascii="Arial" w:cs="Arial" w:eastAsia="Arial" w:hAnsi="Arial"/>
          <w:sz w:val="17"/>
          <w:szCs w:val="17"/>
          <w:color w:val="auto"/>
        </w:rPr>
        <w:t>For the six months ended June 30, 2020, the Company reported a loss of $0.5 million related its proportionate share of equity investee results, as compared to $0.2 million in the same period in the prior year, due to the write-off of deferred tax assets related to an equity method investment.</w:t>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94"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Company’s Condensed Consolidated Financial Statements include the non-controlling interest in the net income (loss) of IMAX China as well as the impact of non-controlling interests in the activity of its Original Film Fund subsidiary. For the six months ended June 30, 2020, the net loss attributable to non-controlling interests of the Company’s subsidiaries was $14.1 million (2019 ─ net income of $6.7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has a credit agreement, the Fifth Amended and Restated Credit Agreement, with Wells Fargo Bank, National Association (“Wells Fargo”), as agent, and a syndicate of lenders party thereto (the “Credit Agreement”). The Company’s obligations under the Credit Agreement are guaranteed by certain of its subsidiaries (the “Guarantors”) and are secured by first-priority security interests in substantially all the assets of the Company and the Guarantors. The facility provided by the Credit Agreement (the “Credit Facility”) matures on June 28, 2023.</w:t>
      </w:r>
    </w:p>
    <w:p>
      <w:pPr>
        <w:spacing w:after="0" w:line="13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Credit Agreement has a revolving borrowing capacity of $300.0 million, and contains an uncommitted accordion feature allowing the Company to further expand its borrowing capacity to $440.0 million or greater, subject to certain conditions, depending on the mix of revolving and term loans comprising the incremental facility.</w:t>
      </w:r>
    </w:p>
    <w:p>
      <w:pPr>
        <w:spacing w:after="0" w:line="15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the first quarter of 2020, in response to uncertainties associated with the outbreak of the COVID-19 global pandemic and its impact on the Company’s business, the Company drew down the $280.0 million in available borrowing capacity under the Credit Facility, resulting in total outstanding borrowings of $300.0 million.</w:t>
      </w:r>
    </w:p>
    <w:p>
      <w:pPr>
        <w:spacing w:after="0" w:line="145"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Credit Agreement contains a covenant that requires the Company to maintain a Senior Secured Net Leverage Ratio (as defined in the Credit Agreement), as at the last day of any Fiscal Quarter (as defined in the Credit Agreement) of no greater than 3.25:1.00. In addition, the Credit Agreement contains customary affirmative and negative covenants, including covenants that limit indebtedness, liens, capital expenditures, asset sales, investments and restricted payments, in each case subject to negotiated exceptions and baskets. The Credit Agreement also contains customary representations, warranties and event of default provisions.</w:t>
      </w:r>
    </w:p>
    <w:p>
      <w:pPr>
        <w:spacing w:after="0" w:line="151" w:lineRule="exact"/>
        <w:rPr>
          <w:sz w:val="20"/>
          <w:szCs w:val="20"/>
          <w:color w:val="auto"/>
        </w:rPr>
      </w:pPr>
    </w:p>
    <w:p>
      <w:pPr>
        <w:jc w:val="both"/>
        <w:ind w:firstLine="225"/>
        <w:spacing w:after="0" w:line="284" w:lineRule="auto"/>
        <w:rPr>
          <w:sz w:val="20"/>
          <w:szCs w:val="20"/>
          <w:color w:val="auto"/>
        </w:rPr>
      </w:pPr>
      <w:r>
        <w:rPr>
          <w:rFonts w:ascii="Arial" w:cs="Arial" w:eastAsia="Arial" w:hAnsi="Arial"/>
          <w:sz w:val="16"/>
          <w:szCs w:val="16"/>
          <w:color w:val="auto"/>
        </w:rPr>
        <w:t>On June 10, 2020, the Company entered into the First Amendment to the Credit Agreement (the “Amendment”), which, among other things, (i) suspends the Senior Secured Net Leverage Ratio covenant through the first quarter of 2021, (ii) re-establishes the Senior Secured Net Leverage Ratio covenant thereafter, provided that for subsequent quarters that such covenant is tested, as applicable, the Company will be permitted to use its quarterly EBITDA (as defined in the Credit Agreement) from the third and fourth quarters of 2019 in lieu of the EBITDA for the corresponding quarters of 2020, (iii) adds a $75.0 million minimum liquidity covenant measured at the end of each calendar month and (iv) restricts the Company’s ability to make certain restricted payments, dispositions and investments, create or assume liens and incur debt that would otherwise have been permitted by the Credit Agreement. The modifications to the negative covenants, the minimum liquidity covenant and modifications to certain other provisions in the Credit Agreement pursuant to the Amendment were effective from the date of the Amendment until the earlier of the delivery of the compliance certificate for the fourth quarter of 2021 and the date on which the Company, in its sole discretion, elects to calculate its compliance with the Senior Secured Net Leverage Ratio by using either its actual EBITDA or annualized EBITDA (the “Designated Period”). The Company was in compliance with all of its requirements under the Credit Agreement, as amended, as at June 30, 2020, and based on current projections expects to be in compliance through at least the next year.</w:t>
      </w:r>
    </w:p>
    <w:p>
      <w:pPr>
        <w:spacing w:after="0" w:line="143"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Borrowings under the Credit Facility bear interest, at the Company’s option, at (i) LIBOR plus a margin ranging from 1.00% to 1.75% per annum; or (ii) the U.S. base rate plus a margin ranging from 0.25% to 1.00% per annum, in each case depending on the Company’s Total Leverage Ratio (as defined in the Credit Agreement); provided, however, that from the effective date of the Amendment until the Company delivers a compliance certificate under the Credit Facility following the end of the Designated Period, the applicable margin for LIBOR borrowings will be 2.50% per annum and the applicable margin for U.S. base rate borrowings will be 1.75% per annum. The effective interest rate for the three and six months ended June 30, 2020 was 1.83% and 1.86%, respectively (2019 ― 3.52% and 3.55%, respectively).</w:t>
      </w:r>
    </w:p>
    <w:p>
      <w:pPr>
        <w:spacing w:after="0" w:line="152"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In addition, the Credit Facility has standby fees ranging from 0.25% to 0.38% per annum, based on the Company’s Total Leverage Ratio with respect to the unused portion of the Credit Facility; provided, however, that from the effective date of the Amendment until the Company delivers a compliance certificate under the Credit Facility following the end of the Designated Period, the standby fee will be 0.50% per annum.</w:t>
      </w:r>
    </w:p>
    <w:p>
      <w:pPr>
        <w:spacing w:after="0" w:line="12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 incurred fees of approximately $1.0 million in connection with the Amendment, which are being amortized on a straight-line basis through December 31, 2021.</w:t>
      </w:r>
    </w:p>
    <w:p>
      <w:pPr>
        <w:spacing w:after="0" w:line="14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Working Capital Facility</w:t>
      </w:r>
    </w:p>
    <w:p>
      <w:pPr>
        <w:spacing w:after="0" w:line="194" w:lineRule="exact"/>
        <w:rPr>
          <w:sz w:val="20"/>
          <w:szCs w:val="20"/>
          <w:color w:val="auto"/>
        </w:rPr>
      </w:pPr>
    </w:p>
    <w:p>
      <w:pPr>
        <w:jc w:val="both"/>
        <w:ind w:firstLine="224"/>
        <w:spacing w:after="0" w:line="251" w:lineRule="auto"/>
        <w:rPr>
          <w:sz w:val="20"/>
          <w:szCs w:val="20"/>
          <w:color w:val="auto"/>
        </w:rPr>
      </w:pPr>
      <w:r>
        <w:rPr>
          <w:rFonts w:ascii="Arial" w:cs="Arial" w:eastAsia="Arial" w:hAnsi="Arial"/>
          <w:sz w:val="18"/>
          <w:szCs w:val="18"/>
          <w:color w:val="auto"/>
        </w:rPr>
        <w:t>On July 24, 2019, IMAX (Shanghai) Multimedia Technology Co., Ltd. (“IMAX Shanghai”), the Company’s majority-owned subsidiary in China, renewed its unsecured revolving facility for up to 200.0 million Renminbi (approximately $30.0 million) to fund ongoing working capital requirements (the “Working Capital Facility”). As at June 30, 2020, there was 1.7 million Renminbi ($0.2 million) in borrowings outstanding under the Working Capital Facility, and 198.3 million Renminbi ($29.8 million) was available for future borrowings. There were no amounts drawn under the Working Capital facility at December 31, 2019. The amounts available for borrowing under the Working Capital Facility are not subject to a standby fee. The effective interest rate for the three and six months ended June 30, 2020 was 4.35%, respectively. Subsequent to June 30, 2020, IMAX Shanghai renewed its Working Capital Facility.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and Other Commitments</w:t>
      </w:r>
    </w:p>
    <w:p>
      <w:pPr>
        <w:spacing w:after="0" w:line="180"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8"/>
          <w:szCs w:val="18"/>
          <w:color w:val="auto"/>
        </w:rPr>
        <w:t>As at June 30, 2020, the Company did not have any letters of credit or advance payment guarantees outstanding (December 31, 2019 — $nil), under the Credit Facility.</w:t>
      </w:r>
    </w:p>
    <w:p>
      <w:pPr>
        <w:spacing w:after="0" w:line="149" w:lineRule="exact"/>
        <w:rPr>
          <w:sz w:val="20"/>
          <w:szCs w:val="20"/>
          <w:color w:val="auto"/>
        </w:rPr>
      </w:pPr>
    </w:p>
    <w:p>
      <w:pPr>
        <w:jc w:val="both"/>
        <w:ind w:firstLine="224"/>
        <w:spacing w:after="0" w:line="271" w:lineRule="auto"/>
        <w:rPr>
          <w:sz w:val="20"/>
          <w:szCs w:val="20"/>
          <w:color w:val="auto"/>
        </w:rPr>
      </w:pPr>
      <w:r>
        <w:rPr>
          <w:rFonts w:ascii="Arial" w:cs="Arial" w:eastAsia="Arial" w:hAnsi="Arial"/>
          <w:sz w:val="17"/>
          <w:szCs w:val="17"/>
          <w:color w:val="auto"/>
        </w:rPr>
        <w:t>On October 28, 2019, the Company entered into a $5.0 million facility for advance payment guarantees and letters of credit through the National Bank of Canada for use solely in conjunction with guarantees fully insured by Export Development Canada (the “NBC Facility”) to replace a Bank of Montreal Facility with substantially the same terms which expired on September 30, 2019. The NBC Facility is unsecured and includes typical affirmative and negative covenants, including delivery of annual consolidated financial statements within 120 days of the end of the fiscal year. As at June 30, 2020, the Company did not have any letters of credit or advance payment guarantees outstanding under the NBC Facility.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0" w:lineRule="exact"/>
        <w:rPr>
          <w:sz w:val="20"/>
          <w:szCs w:val="20"/>
          <w:color w:val="auto"/>
        </w:rPr>
      </w:pPr>
    </w:p>
    <w:p>
      <w:pPr>
        <w:jc w:val="both"/>
        <w:ind w:firstLine="224"/>
        <w:spacing w:after="0" w:line="275" w:lineRule="auto"/>
        <w:rPr>
          <w:sz w:val="20"/>
          <w:szCs w:val="20"/>
          <w:color w:val="auto"/>
        </w:rPr>
      </w:pPr>
      <w:r>
        <w:rPr>
          <w:rFonts w:ascii="Arial" w:cs="Arial" w:eastAsia="Arial" w:hAnsi="Arial"/>
          <w:sz w:val="17"/>
          <w:szCs w:val="17"/>
          <w:color w:val="auto"/>
        </w:rPr>
        <w:t>As of June 30, 2020, the Company’s principal sources of liquidity included: (i) its balances of cash and cash equivalents ($319.0 million, which reflects the full draw of the Credit Facility in the first quarter of 2020), (ii) the anticipated collection of trade accounts receivable, which includes amounts owed under joint revenue sharing arrangements and DMR agreements with movie studios, (iii) the anticipated collection from financing receivables due in the next 12 months and (iv) payments expected in the next 12 months on its existing sales and sales type lease backlog.</w:t>
      </w:r>
    </w:p>
    <w:p>
      <w:pPr>
        <w:spacing w:after="0" w:line="146" w:lineRule="exact"/>
        <w:rPr>
          <w:sz w:val="20"/>
          <w:szCs w:val="20"/>
          <w:color w:val="auto"/>
        </w:rPr>
      </w:pPr>
    </w:p>
    <w:p>
      <w:pPr>
        <w:jc w:val="both"/>
        <w:ind w:firstLine="224"/>
        <w:spacing w:after="0" w:line="268" w:lineRule="auto"/>
        <w:rPr>
          <w:sz w:val="20"/>
          <w:szCs w:val="20"/>
          <w:color w:val="auto"/>
        </w:rPr>
      </w:pPr>
      <w:r>
        <w:rPr>
          <w:rFonts w:ascii="Arial" w:cs="Arial" w:eastAsia="Arial" w:hAnsi="Arial"/>
          <w:sz w:val="17"/>
          <w:szCs w:val="17"/>
          <w:color w:val="auto"/>
        </w:rPr>
        <w:t>The Company’s $319.0 million balance of cash and cash equivalents as of June 30, 2020 includes $75.0 million in cash held outside of Canada (December 31, 2019 — $90.1 million), of which $61.5 million was held in the People’s Republic of China (the “PRC”) (December 31, 2019 — $67.6 million). In the first quarter of 2020, management completed a reassessment of its strategy with respect to the most efficient means of deploying the Company’s capital resources globally. Based on the results of this reassessment, management concluded that the historical earnings of certain foreign subsidiaries in excess of amounts required to sustain business operations would no longer be indefinitely reinvested. As a result, during the six months ended June 30, 2020, the Company recognized a deferred tax liability of $18.5 million for the applicable foreign withholding taxes associated with these historical earnings, which will become payable upon the repatriation of any such earnings.</w:t>
      </w:r>
    </w:p>
    <w:p>
      <w:pPr>
        <w:spacing w:after="0" w:line="142"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7"/>
          <w:szCs w:val="17"/>
          <w:color w:val="auto"/>
        </w:rPr>
        <w:t>During the six months ended June 30, 2020, cash and cash equivalents increased by $209.5 million, which reflects the full draw of the Credit Facility in the first quarter of 2020, as discussed above. This financing cash inflow was partially offset by $20.9 million in cash used to fund the Company’s operating activities as the COVID-19 global pandemic resulted in a significant decline in revenue and earnings. In addition, during the six months ended June 30, 2020, the Company repurchased $36.6 million of its common shares under the share repurchase program and invested $3.9 million in equipment to be used in its joint revenue sharing arrangements with exhibitors. Based on management’s current operating plan for 2020, the Company expects to continue to use cash to deploy additional IMAX Theater Systems under joint revenue sharing arrangements.</w:t>
      </w:r>
    </w:p>
    <w:p>
      <w:pPr>
        <w:spacing w:after="0" w:line="137" w:lineRule="exact"/>
        <w:rPr>
          <w:sz w:val="20"/>
          <w:szCs w:val="20"/>
          <w:color w:val="auto"/>
        </w:rPr>
      </w:pPr>
    </w:p>
    <w:p>
      <w:pPr>
        <w:jc w:val="both"/>
        <w:ind w:firstLine="224"/>
        <w:spacing w:after="0" w:line="251" w:lineRule="auto"/>
        <w:rPr>
          <w:sz w:val="20"/>
          <w:szCs w:val="20"/>
          <w:color w:val="auto"/>
        </w:rPr>
      </w:pPr>
      <w:r>
        <w:rPr>
          <w:rFonts w:ascii="Arial" w:cs="Arial" w:eastAsia="Arial" w:hAnsi="Arial"/>
          <w:sz w:val="18"/>
          <w:szCs w:val="18"/>
          <w:color w:val="auto"/>
        </w:rPr>
        <w:t>The Company’s operating cash flow will be adversely affected if management’s projections of future signings for IMAX Theater Systems and film performance, theater installations and film productions are not realized. The Company forecasts its short-term liquidity requirements on a quarterly and annual basis. Since the Company’s future cash flows are based on estimates and there may be factors that are outside of the Company’s control (see “Risk Factors” in Item 1A in the Company’s 2019 Form 10-K), there is no guarantee that the Company will continue to be able to fund its operations through cash flows from operations. Under the terms of the Company’s typical sale and sales-type lease agreements, the Company receives substantial cash payments before the Company completes the performance of its obligations. Similarly, the Company receives cash payments for some of its film productions in advance of related cash expenditures.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8" w:name="page69"/>
    <w:bookmarkEnd w:id="68"/>
    <w:p>
      <w:pPr>
        <w:jc w:val="both"/>
        <w:ind w:firstLine="224"/>
        <w:spacing w:after="0" w:line="286" w:lineRule="auto"/>
        <w:rPr>
          <w:sz w:val="20"/>
          <w:szCs w:val="20"/>
          <w:color w:val="auto"/>
        </w:rPr>
      </w:pPr>
      <w:r>
        <w:rPr>
          <w:rFonts w:ascii="Arial" w:cs="Arial" w:eastAsia="Arial" w:hAnsi="Arial"/>
          <w:sz w:val="16"/>
          <w:szCs w:val="16"/>
          <w:color w:val="auto"/>
        </w:rPr>
        <w:t>The repercussions of the COVID-19 global pandemic have resulted in a significant decrease in the Company’s revenues, earnings and operating cash flows during the three and six months ended June 30, 2020 as GBO results declined significantly, the installation of certain theater systems was delayed, and maintenance services were generally suspended. During the time period when a significant number of theaters in the IMAX network are closed, the Company has and will continue to experience a significant decline in earnings and operating cash flows as it is generating significantly lower than normal levels of GBO-based revenue from its joint revenue sharing arrangements and digital remastering services, it is unable to provide normal maintenance services to any of the theaters that remain closed, and while some installation activity is continuing, certain theater system installations have, and may continue to be delayed. In addition, the Company has experienced and may continue to experience delays in collecting payments due under existing theater sale or lease arrangements from its exhibitor partners who are facing financial difficulties as a result of the theater closures.</w:t>
      </w:r>
    </w:p>
    <w:p>
      <w:pPr>
        <w:spacing w:after="0" w:line="143"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8"/>
          <w:szCs w:val="18"/>
          <w:color w:val="auto"/>
        </w:rPr>
        <w:t>Based on the Company’s current cash balances and operating cash flows, it expects to have sufficient capital and liquidity to fund its operations in the normal course for the next 12 months.</w:t>
      </w:r>
    </w:p>
    <w:p>
      <w:pPr>
        <w:spacing w:after="0" w:line="135"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8"/>
          <w:szCs w:val="18"/>
          <w:color w:val="auto"/>
        </w:rPr>
        <w:t>See “Management’s Discussion and Analysis of Financial Condition and Results of Operations – Impact of COVID-19 Pandemic” in Item 2 of this Form 10-Q and “Risk Factors – The Company has experienced a significant decrease in its revenues, earnings and cash flows due to the COVID-19 global pandemic and its business, financial condition and results of operations may continue to be significantly harmed in future reporting periods” in Part II, Item 1A of this Form 10-Q.</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9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 Company’s net cash used in or provided by operating activities is affected by a number of factors, including: (i) the level of cash collections from customers in respect of existing IMAX Theater System sale and lease agreements, (ii) the amount of upfront payments collected from newly signed IMAX Theater System sale and lease agreements, (iii) the box-office performance of films distributed by the Company and/or released to IMAX theaters, (iv) the level of inventory purchases and (v) the level of the Company’s operating expenses, including expenses for research and development and new business initiatives.</w:t>
      </w:r>
    </w:p>
    <w:p>
      <w:pPr>
        <w:spacing w:after="0" w:line="151"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Net cash used in operating activities totaled $20.9 million for the six months ended June 30, 2020 as compared to net cash provided by operating activities of $48.5 million for the six months ended June 30, 2019. In the six months ended June 30, 2020, the net cash outflow from operating activities is principally due to the significant decrease in the Company’s revenue and earnings as a result of the COVID-19 global pandemic. In addition, the Company has experienced a slowdown in manufacturing, shipments and installation of IMAX Theater Systems at customer sites, resulting in an increase in inventories. These cash outflows are partially offset by a $37.0 million decrease in accounts receivable.</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9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Net cash used in investing activities totaled $5.7 million for the six months ended June 30, 2020, which includes $3.9 million invested in equipment to be used in the Company’s joint revenue sharing arrangements with exhibitors. In addition, the Company acquired $1.2 million of intangible asset, principally related to the purchase or development of software, and purchased $0.6 million of property, plant and equipment. In the six months ended June 30, 2019, net cash used in investing activities totaled $42.7 million including the purchase by IMAX China (Hong Kong), Limited, a wholly-owned subsidiary of IMAX China of equity securities in Maoyan for $15.2 million.</w:t>
      </w:r>
    </w:p>
    <w:p>
      <w:pPr>
        <w:spacing w:after="0" w:line="151"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Capital expenditures, including the Company’s investment in joint revenue sharing equipment, purchase of property, plant and equipment, other intangible assets and investments in film assets were $9.8 million for the six months ended June 30, 2020 as compared to $35.7 million for the six months ended June 30, 2019.</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94"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Net cash provided by financing activities totaled $235.7 million for the six months ended June 30, 2020, as compared to $41.3 million used in financing activities in the six months ended June 30, 2019. During the six months ended June 30, 2020, the net cash provided by financing activities was principally due to the $280.0 million in Credit Facility borrowings drawn in the first quarter of 2020, as discussed above, and $0.2 million drawn on IMAX China’s Working Capital Facility, partially offset by $36.6 million paid to repurchase common shares under the Company’s share repurchase program, $3.3 million paid to purchase treasury stock for the settlement of restricted share units and related taxes, $1.5 million for the repurchase of common shares under the IMAX China share repurchase program, $2.1 million of dividends paid to the non-controlling interest shareholders of IMAX China and $1.0 million in credit agreement amendment fees.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CONTRACTUAL OBLIGATIONS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Payments to be made by the Company under contractual obligations as at June 30, 2020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w w:val="90"/>
              </w:rPr>
              <w:t>Payments Due by Period</w:t>
            </w: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5"/>
              </w:rPr>
              <w:t>Total</w:t>
            </w:r>
          </w:p>
        </w:tc>
        <w:tc>
          <w:tcPr>
            <w:tcW w:w="98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1"/>
              </w:rPr>
              <w:t>Less Than One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0"/>
              </w:rPr>
              <w:t>1 to 3 years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3 to 5 years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170"/>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12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Obligation</w:t>
            </w:r>
          </w:p>
        </w:tc>
        <w:tc>
          <w:tcPr>
            <w:tcW w:w="220" w:type="dxa"/>
            <w:vAlign w:val="bottom"/>
          </w:tcPr>
          <w:p>
            <w:pPr>
              <w:spacing w:after="0"/>
              <w:rPr>
                <w:sz w:val="14"/>
                <w:szCs w:val="14"/>
                <w:color w:val="auto"/>
              </w:rPr>
            </w:pPr>
          </w:p>
        </w:tc>
        <w:tc>
          <w:tcPr>
            <w:tcW w:w="760" w:type="dxa"/>
            <w:vAlign w:val="bottom"/>
          </w:tcPr>
          <w:p>
            <w:pPr>
              <w:jc w:val="right"/>
              <w:ind w:right="273"/>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2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36,035</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34,063</w:t>
            </w: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1,960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Arial" w:cs="Arial" w:eastAsia="Arial" w:hAnsi="Arial"/>
                <w:sz w:val="18"/>
                <w:szCs w:val="18"/>
                <w:color w:val="auto"/>
              </w:rPr>
              <w:t>Pension obligations</w:t>
            </w:r>
            <w:r>
              <w:rPr>
                <w:rFonts w:ascii="Arial" w:cs="Arial" w:eastAsia="Arial" w:hAnsi="Arial"/>
                <w:sz w:val="15"/>
                <w:szCs w:val="15"/>
                <w:color w:val="auto"/>
              </w:rPr>
              <w:t>(2)</w:t>
            </w: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20,298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20,298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(3)</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20,512</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4,827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3,861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8,144</w:t>
            </w: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Arial" w:cs="Arial" w:eastAsia="Arial" w:hAnsi="Arial"/>
                <w:sz w:val="18"/>
                <w:szCs w:val="18"/>
                <w:color w:val="auto"/>
              </w:rPr>
              <w:t>Credit Facility</w:t>
            </w:r>
            <w:r>
              <w:rPr>
                <w:rFonts w:ascii="Arial" w:cs="Arial" w:eastAsia="Arial" w:hAnsi="Arial"/>
                <w:sz w:val="15"/>
                <w:szCs w:val="15"/>
                <w:color w:val="auto"/>
              </w:rPr>
              <w:t>(4)</w:t>
            </w:r>
          </w:p>
        </w:tc>
        <w:tc>
          <w:tcPr>
            <w:tcW w:w="12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Working Capital Facility</w:t>
            </w:r>
            <w:r>
              <w:rPr>
                <w:rFonts w:ascii="Arial" w:cs="Arial" w:eastAsia="Arial" w:hAnsi="Arial"/>
                <w:sz w:val="15"/>
                <w:szCs w:val="15"/>
                <w:color w:val="auto"/>
              </w:rPr>
              <w:t>(5)</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220" w:type="dxa"/>
            <w:vAlign w:val="bottom"/>
            <w:gridSpan w:val="2"/>
          </w:tcPr>
          <w:p>
            <w:pPr>
              <w:spacing w:after="0"/>
              <w:rPr>
                <w:sz w:val="20"/>
                <w:szCs w:val="20"/>
                <w:color w:val="auto"/>
              </w:rPr>
            </w:pPr>
            <w:r>
              <w:rPr>
                <w:rFonts w:ascii="Arial" w:cs="Arial" w:eastAsia="Arial" w:hAnsi="Arial"/>
                <w:sz w:val="18"/>
                <w:szCs w:val="18"/>
                <w:color w:val="auto"/>
              </w:rPr>
              <w:t>Postretirement benefits obligations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2,151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0"/>
        </w:trPr>
        <w:tc>
          <w:tcPr>
            <w:tcW w:w="15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379,240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38,090</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327,302</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4,097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9,751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20" w:hanging="373"/>
        <w:spacing w:after="0" w:line="255"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total payments to be made under binding commitments with suppliers and outstanding payments to be made for supplies ordered, but yet to be invoiced.</w:t>
      </w:r>
    </w:p>
    <w:p>
      <w:pPr>
        <w:jc w:val="both"/>
        <w:ind w:left="380" w:hanging="373"/>
        <w:spacing w:after="0" w:line="247"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has an unfunded defined benefit pension plan, the SERP, covering Mr. Gelfond, with a fixed benefit payable of $20.3 million. The table above assumes that Mr. Gelfond will receive a lump sum payment of $20.3 million six months after retirement at the end of the term of his current employment agreement (December 31, 2022) in accordance with the terms of the SERP, although Mr. Gelfond has not informed the Company that he intends to retire at that time.</w:t>
      </w:r>
    </w:p>
    <w:p>
      <w:pPr>
        <w:spacing w:after="0" w:line="2" w:lineRule="exact"/>
        <w:rPr>
          <w:rFonts w:ascii="Arial" w:cs="Arial" w:eastAsia="Arial" w:hAnsi="Arial"/>
          <w:sz w:val="18"/>
          <w:szCs w:val="18"/>
          <w:color w:val="auto"/>
        </w:rPr>
      </w:pPr>
    </w:p>
    <w:p>
      <w:pPr>
        <w:ind w:left="380" w:hanging="373"/>
        <w:spacing w:after="0" w:line="247"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total minimum annual rental payments to be made under operating leases, mostly consisting of rent at the Company’s property in New York and at the various owned and operated theaters.</w:t>
      </w:r>
    </w:p>
    <w:p>
      <w:pPr>
        <w:spacing w:after="0" w:line="1" w:lineRule="exact"/>
        <w:rPr>
          <w:rFonts w:ascii="Arial" w:cs="Arial" w:eastAsia="Arial" w:hAnsi="Arial"/>
          <w:sz w:val="18"/>
          <w:szCs w:val="18"/>
          <w:color w:val="auto"/>
        </w:rPr>
      </w:pPr>
    </w:p>
    <w:p>
      <w:pPr>
        <w:ind w:left="380" w:hanging="373"/>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is not required to make any minimum payments on the Credit Facility.</w:t>
      </w:r>
    </w:p>
    <w:p>
      <w:pPr>
        <w:spacing w:after="0" w:line="6" w:lineRule="exact"/>
        <w:rPr>
          <w:rFonts w:ascii="Arial" w:cs="Arial" w:eastAsia="Arial" w:hAnsi="Arial"/>
          <w:sz w:val="18"/>
          <w:szCs w:val="18"/>
          <w:color w:val="auto"/>
        </w:rPr>
      </w:pPr>
    </w:p>
    <w:p>
      <w:pPr>
        <w:ind w:left="360" w:hanging="341"/>
        <w:spacing w:after="0"/>
        <w:tabs>
          <w:tab w:leader="none" w:pos="3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Subsequent to June 30, 2020, IMAX Shanghai renewed its Working Capital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Obligations</w:t>
      </w:r>
    </w:p>
    <w:p>
      <w:pPr>
        <w:spacing w:after="0" w:line="194" w:lineRule="exact"/>
        <w:rPr>
          <w:sz w:val="20"/>
          <w:szCs w:val="20"/>
          <w:color w:val="auto"/>
        </w:rPr>
      </w:pPr>
    </w:p>
    <w:p>
      <w:pPr>
        <w:jc w:val="both"/>
        <w:ind w:firstLine="225"/>
        <w:spacing w:after="0" w:line="292" w:lineRule="auto"/>
        <w:rPr>
          <w:sz w:val="20"/>
          <w:szCs w:val="20"/>
          <w:color w:val="auto"/>
        </w:rPr>
      </w:pPr>
      <w:r>
        <w:rPr>
          <w:rFonts w:ascii="Arial" w:cs="Arial" w:eastAsia="Arial" w:hAnsi="Arial"/>
          <w:sz w:val="16"/>
          <w:szCs w:val="16"/>
          <w:color w:val="auto"/>
        </w:rPr>
        <w:t>The Company has an unfunded defined benefit pension plan, the SERP, covering Mr. Gelfond. Pursuant to an amendment dated November 1, 2019 to an existing employment agreement, the term of Mr. Gelfond’s employment was extended through December 31, 2022, although Mr. Gelfond has not informed the Company that he intends to retire at that time. Under the terms of the amendment to his employment agreement, the total amount of benefit payable to Mr. Gelfond under the SERP has been fixed at $20.3 million. As at June 30, 2020, the Company’s Condensed Consolidated Balance Sheet includes the related benefit obligation of approximately $19.0 million recorded within accrued and other liabilities (December 31, 2019— $18.8 million).</w:t>
      </w:r>
    </w:p>
    <w:p>
      <w:pPr>
        <w:spacing w:after="0" w:line="123"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has a postretirement plan to provide health and welfare benefits to Canadian employees meeting certain eligibility requirements. As at June 30, 2020, the Company’s Condensed Consolidated Balance Sheet includes an unfunded benefit obligation of $1.5 million recorded within accrued and other liabilities (December 31, 2019 — $1.6 million).</w:t>
      </w:r>
    </w:p>
    <w:p>
      <w:pPr>
        <w:spacing w:after="0" w:line="145" w:lineRule="exact"/>
        <w:rPr>
          <w:sz w:val="20"/>
          <w:szCs w:val="20"/>
          <w:color w:val="auto"/>
        </w:rPr>
      </w:pPr>
    </w:p>
    <w:p>
      <w:pPr>
        <w:jc w:val="both"/>
        <w:ind w:firstLine="225"/>
        <w:spacing w:after="0" w:line="281" w:lineRule="auto"/>
        <w:rPr>
          <w:sz w:val="20"/>
          <w:szCs w:val="20"/>
          <w:color w:val="auto"/>
        </w:rPr>
      </w:pPr>
      <w:r>
        <w:rPr>
          <w:rFonts w:ascii="Arial" w:cs="Arial" w:eastAsia="Arial" w:hAnsi="Arial"/>
          <w:sz w:val="17"/>
          <w:szCs w:val="17"/>
          <w:color w:val="auto"/>
        </w:rPr>
        <w:t>In July 2000, the Company agreed to maintain health benefits for Messrs. Gelfond and Bradley J. Wechsler, the Company’s former Co-CEO and current Chairman of its Board of Directors, upon retirement. As at June 30, 2020, the Company’s Condensed Consolidated Balance Sheet includes an unfunded benefit obligation of $0.6 million recorded within accrued and other liabilities (December 31, 2019 — $0.7 million).</w:t>
      </w:r>
    </w:p>
    <w:p>
      <w:pPr>
        <w:spacing w:after="0" w:line="142"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he incurred a separation from service (as defined therein). In the fourth quarter of 2018, the executive incurred a separation from service, and as such, the Retirement Plan benefits became fully vested as at December 31, 2018 and the accelerated costs were recognized and reflected in Executive Transition Costs in the Consolidated Statement of Operations. As at June 30, 2020, the Company’s Condensed Consolidated Balance Sheet includes a funded benefit obligation of $3.6 million recorded within accrued and other liabilities (December 31, 2019 —$3.6 million).</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4" w:lineRule="exact"/>
        <w:rPr>
          <w:sz w:val="20"/>
          <w:szCs w:val="20"/>
          <w:color w:val="auto"/>
        </w:rPr>
      </w:pPr>
    </w:p>
    <w:p>
      <w:pPr>
        <w:jc w:val="both"/>
        <w:ind w:right="20" w:firstLine="225"/>
        <w:spacing w:after="0" w:line="270" w:lineRule="auto"/>
        <w:rPr>
          <w:sz w:val="20"/>
          <w:szCs w:val="20"/>
          <w:color w:val="auto"/>
        </w:rPr>
      </w:pPr>
      <w:r>
        <w:rPr>
          <w:rFonts w:ascii="Arial" w:cs="Arial" w:eastAsia="Arial" w:hAnsi="Arial"/>
          <w:sz w:val="18"/>
          <w:szCs w:val="18"/>
          <w:color w:val="auto"/>
        </w:rPr>
        <w:t>See Note 3 of Notes to Condensed Consolidated Financial Statements in Item 1 for a discussion of recently issued accounting standards and their impact on the Company’s financial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GAAP refers to generally accepted accounting principles in the United States of America. In this report, the Company presents financial measures in accordance with GAAP and also on a non-GAAP basis under U.S. Securities and Exchange Commission rules. Specifically, the Company presents the following non-GAAP financial measures as supplemental measures of its performance:</w:t>
      </w:r>
    </w:p>
    <w:p>
      <w:pPr>
        <w:spacing w:after="0" w:line="185" w:lineRule="exact"/>
        <w:rPr>
          <w:sz w:val="20"/>
          <w:szCs w:val="20"/>
          <w:color w:val="auto"/>
        </w:rPr>
      </w:pPr>
    </w:p>
    <w:p>
      <w:pPr>
        <w:ind w:left="580" w:hanging="359"/>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net (loss) income attributable to common shareholders;</w:t>
      </w:r>
    </w:p>
    <w:p>
      <w:pPr>
        <w:spacing w:after="0" w:line="247" w:lineRule="exact"/>
        <w:rPr>
          <w:rFonts w:ascii="Arial" w:cs="Arial" w:eastAsia="Arial" w:hAnsi="Arial"/>
          <w:sz w:val="18"/>
          <w:szCs w:val="18"/>
          <w:color w:val="auto"/>
        </w:rPr>
      </w:pPr>
    </w:p>
    <w:p>
      <w:pPr>
        <w:ind w:left="580" w:hanging="359"/>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net (loss) income attributable to common shareholders per basic and diluted share;</w:t>
      </w:r>
    </w:p>
    <w:p>
      <w:pPr>
        <w:spacing w:after="0" w:line="220" w:lineRule="exact"/>
        <w:rPr>
          <w:rFonts w:ascii="Arial" w:cs="Arial" w:eastAsia="Arial" w:hAnsi="Arial"/>
          <w:sz w:val="18"/>
          <w:szCs w:val="18"/>
          <w:color w:val="auto"/>
        </w:rPr>
      </w:pPr>
    </w:p>
    <w:p>
      <w:pPr>
        <w:ind w:left="580" w:hanging="359"/>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EBITDA; and</w:t>
      </w:r>
    </w:p>
    <w:p>
      <w:pPr>
        <w:spacing w:after="0" w:line="247" w:lineRule="exact"/>
        <w:rPr>
          <w:rFonts w:ascii="Arial" w:cs="Arial" w:eastAsia="Arial" w:hAnsi="Arial"/>
          <w:sz w:val="18"/>
          <w:szCs w:val="18"/>
          <w:color w:val="auto"/>
        </w:rPr>
      </w:pPr>
    </w:p>
    <w:p>
      <w:pPr>
        <w:ind w:left="580" w:hanging="359"/>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EBITDA per Credit Facility.</w:t>
      </w:r>
    </w:p>
    <w:p>
      <w:pPr>
        <w:spacing w:after="0" w:line="180"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Adjusted net (loss) income attributable to common shareholders and adjusted net (loss) income attributable to common shareholders per basic and diluted share exclude, where applicable: (i) share-based compensation; (ii) exit costs, restructuring charges and associated impairments, (iii) changes in the fair value of equity investments, (iv) COVID-19 government relief benefits, as well as the related tax impact of these adjustments, and (v) the income tax effects related to the removal of the indefinitely reinvested assertion on the historical earnings of certain subsidiaries.</w:t>
      </w:r>
    </w:p>
    <w:p>
      <w:pPr>
        <w:spacing w:after="0" w:line="133"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 xml:space="preserve">The Company believes that these non-GAAP financial measures are important supplemental measures that allow management and users of the Company’s financial statements to </w:t>
      </w:r>
      <w:r>
        <w:rPr>
          <w:rFonts w:ascii="Arial" w:cs="Arial" w:eastAsia="Arial" w:hAnsi="Arial"/>
          <w:sz w:val="18"/>
          <w:szCs w:val="18"/>
          <w:color w:val="212529"/>
        </w:rPr>
        <w:t>view operating trends and analyze controllable operating performance on a comparable basis between periods without the</w:t>
      </w:r>
      <w:r>
        <w:rPr>
          <w:rFonts w:ascii="Arial" w:cs="Arial" w:eastAsia="Arial" w:hAnsi="Arial"/>
          <w:sz w:val="18"/>
          <w:szCs w:val="18"/>
          <w:color w:val="auto"/>
        </w:rPr>
        <w:t xml:space="preserve"> </w:t>
      </w:r>
      <w:r>
        <w:rPr>
          <w:rFonts w:ascii="Arial" w:cs="Arial" w:eastAsia="Arial" w:hAnsi="Arial"/>
          <w:sz w:val="18"/>
          <w:szCs w:val="18"/>
          <w:color w:val="212529"/>
        </w:rPr>
        <w:t xml:space="preserve">after-tax impact of share-based compensation and </w:t>
      </w:r>
      <w:r>
        <w:rPr>
          <w:rFonts w:ascii="Arial" w:cs="Arial" w:eastAsia="Arial" w:hAnsi="Arial"/>
          <w:sz w:val="18"/>
          <w:szCs w:val="18"/>
          <w:color w:val="000000"/>
        </w:rPr>
        <w:t>certain unusual items included in net (loss) income attributable to common shareholders</w:t>
      </w:r>
      <w:r>
        <w:rPr>
          <w:rFonts w:ascii="Arial" w:cs="Arial" w:eastAsia="Arial" w:hAnsi="Arial"/>
          <w:sz w:val="18"/>
          <w:szCs w:val="18"/>
          <w:color w:val="212529"/>
        </w:rPr>
        <w:t xml:space="preserve">. </w:t>
      </w:r>
      <w:r>
        <w:rPr>
          <w:rFonts w:ascii="Arial" w:cs="Arial" w:eastAsia="Arial" w:hAnsi="Arial"/>
          <w:sz w:val="18"/>
          <w:szCs w:val="18"/>
          <w:color w:val="000000"/>
        </w:rPr>
        <w:t>Although share-based compensation is an important aspect of the Company’s employee and executive compensation packages, it is a non-cash expense and is excluded from certain internal business performance measures.</w:t>
      </w:r>
    </w:p>
    <w:p>
      <w:pPr>
        <w:spacing w:after="0" w:line="165" w:lineRule="exact"/>
        <w:rPr>
          <w:sz w:val="20"/>
          <w:szCs w:val="20"/>
          <w:color w:val="auto"/>
        </w:rPr>
      </w:pPr>
    </w:p>
    <w:p>
      <w:pPr>
        <w:jc w:val="both"/>
        <w:ind w:firstLine="224"/>
        <w:spacing w:after="0" w:line="292" w:lineRule="auto"/>
        <w:rPr>
          <w:sz w:val="20"/>
          <w:szCs w:val="20"/>
          <w:color w:val="auto"/>
        </w:rPr>
      </w:pPr>
      <w:r>
        <w:rPr>
          <w:rFonts w:ascii="Arial" w:cs="Arial" w:eastAsia="Arial" w:hAnsi="Arial"/>
          <w:sz w:val="16"/>
          <w:szCs w:val="16"/>
          <w:color w:val="auto"/>
        </w:rPr>
        <w:t>A reconciliation of net (loss) income attributable to common shareholders and the comparable per share amounts, the most directly comparable GAAP measures, to adjusted net (loss) income attributable to common shareholders and adjusted net (loss) income attributable to common shareholders per diluted share is presented in the table below. The Company believes that net (loss) income attributable to common shareholders is the most directly comparable GAAP measure because it reflects the earnings relevant to the Company’s shareholders, rather than including the non-controlling interest. As such, beginning in the first quarter of 2020, the Company has updated the reconciliations for such non-GAAP financial measures included herein.</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2"/>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of U.S. dollars, except per share amounts)</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June 30, 2020</w:t>
            </w:r>
          </w:p>
        </w:tc>
        <w:tc>
          <w:tcPr>
            <w:tcW w:w="5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right"/>
              <w:ind w:right="793"/>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4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Net Loss</w:t>
            </w:r>
          </w:p>
        </w:tc>
        <w:tc>
          <w:tcPr>
            <w:tcW w:w="120" w:type="dxa"/>
            <w:vAlign w:val="bottom"/>
          </w:tcPr>
          <w:p>
            <w:pPr>
              <w:spacing w:after="0"/>
              <w:rPr>
                <w:sz w:val="14"/>
                <w:szCs w:val="14"/>
                <w:color w:val="auto"/>
              </w:rPr>
            </w:pPr>
          </w:p>
        </w:tc>
        <w:tc>
          <w:tcPr>
            <w:tcW w:w="14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Diluted EPS</w:t>
            </w:r>
          </w:p>
        </w:tc>
        <w:tc>
          <w:tcPr>
            <w:tcW w:w="140" w:type="dxa"/>
            <w:vAlign w:val="bottom"/>
          </w:tcPr>
          <w:p>
            <w:pPr>
              <w:spacing w:after="0"/>
              <w:rPr>
                <w:sz w:val="14"/>
                <w:szCs w:val="14"/>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8"/>
              </w:rPr>
              <w:t>Net Income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Diluted EPS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Reported net (loss) income attributable to common shareholders</w:t>
            </w:r>
          </w:p>
        </w:tc>
        <w:tc>
          <w:tcPr>
            <w:tcW w:w="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(25,967)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(1)</w:t>
            </w: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Changes in the fair value of equity securities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(1,413)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COVID-19 government relief benefits</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(3,151)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40"/>
              <w:spacing w:after="0"/>
              <w:rPr>
                <w:sz w:val="20"/>
                <w:szCs w:val="20"/>
                <w:color w:val="auto"/>
              </w:rPr>
            </w:pPr>
            <w:r>
              <w:rPr>
                <w:rFonts w:ascii="Arial" w:cs="Arial" w:eastAsia="Arial" w:hAnsi="Arial"/>
                <w:sz w:val="18"/>
                <w:szCs w:val="18"/>
                <w:color w:val="auto"/>
              </w:rPr>
              <w:t>Tax impact on items listed above</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Income tax effects related to the removal of the indefinitely reinvested</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assertion on the historical earnings of certain subsidiaries</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0"/>
        </w:trPr>
        <w:tc>
          <w:tcPr>
            <w:tcW w:w="5400" w:type="dxa"/>
            <w:vAlign w:val="bottom"/>
            <w:gridSpan w:val="2"/>
          </w:tcPr>
          <w:p>
            <w:pPr>
              <w:spacing w:after="0"/>
              <w:rPr>
                <w:sz w:val="20"/>
                <w:szCs w:val="20"/>
                <w:color w:val="auto"/>
              </w:rPr>
            </w:pPr>
            <w:r>
              <w:rPr>
                <w:rFonts w:ascii="Arial" w:cs="Arial" w:eastAsia="Arial" w:hAnsi="Arial"/>
                <w:sz w:val="18"/>
                <w:szCs w:val="18"/>
                <w:color w:val="auto"/>
              </w:rPr>
              <w:t>Adjusted net (loss) income</w:t>
            </w:r>
            <w:r>
              <w:rPr>
                <w:rFonts w:ascii="Arial" w:cs="Arial" w:eastAsia="Arial" w:hAnsi="Arial"/>
                <w:sz w:val="15"/>
                <w:szCs w:val="15"/>
                <w:color w:val="auto"/>
              </w:rPr>
              <w:t>(1)</w:t>
            </w:r>
          </w:p>
        </w:tc>
        <w:tc>
          <w:tcPr>
            <w:tcW w:w="3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3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3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basic shares outstanding</w:t>
            </w:r>
          </w:p>
        </w:tc>
        <w:tc>
          <w:tcPr>
            <w:tcW w:w="32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920" w:type="dxa"/>
            <w:vAlign w:val="bottom"/>
            <w:tcBorders>
              <w:bottom w:val="single" w:sz="8" w:color="CFF0FC"/>
            </w:tcBorders>
          </w:tcPr>
          <w:p>
            <w:pPr>
              <w:spacing w:after="0"/>
              <w:rPr>
                <w:sz w:val="23"/>
                <w:szCs w:val="23"/>
                <w:color w:val="auto"/>
              </w:rPr>
            </w:pP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58,808</w:t>
            </w:r>
          </w:p>
        </w:tc>
        <w:tc>
          <w:tcPr>
            <w:tcW w:w="34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960" w:type="dxa"/>
            <w:vAlign w:val="bottom"/>
            <w:tcBorders>
              <w:bottom w:val="single" w:sz="8" w:color="CFF0FC"/>
            </w:tcBorders>
          </w:tcPr>
          <w:p>
            <w:pPr>
              <w:spacing w:after="0"/>
              <w:rPr>
                <w:sz w:val="23"/>
                <w:szCs w:val="23"/>
                <w:color w:val="auto"/>
              </w:rPr>
            </w:pPr>
          </w:p>
        </w:tc>
        <w:tc>
          <w:tcPr>
            <w:tcW w:w="20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61,331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rPr>
              <w:t>Weighted average diluted shares outstanding</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58,808</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0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auto"/>
              </w:rPr>
              <w:t>71</w:t>
            </w: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6"/>
                <w:szCs w:val="16"/>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right"/>
              <w:ind w:right="773"/>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of U.S. dollars, except per share amounts)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Net Loss</w:t>
            </w:r>
          </w:p>
        </w:tc>
        <w:tc>
          <w:tcPr>
            <w:tcW w:w="14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Diluted EPS</w:t>
            </w: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Net Income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Diluted EPS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Reported net (loss) income attributable to common shareholders</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(75,321)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19,662</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(1)</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Exit costs, restructuring charges and associated impairments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Change in the fair value of equity securities</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COVID-19 government relief benefits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(3,151)</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Tax impact on items listed above</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(1,195)</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(2,484)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w w:val="95"/>
              </w:rPr>
              <w:t>Income tax effects related to the removal of the indefinitely reinvested</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40" w:type="dxa"/>
            <w:vAlign w:val="bottom"/>
            <w:gridSpan w:val="2"/>
          </w:tcPr>
          <w:p>
            <w:pPr>
              <w:ind w:left="240"/>
              <w:spacing w:after="0"/>
              <w:rPr>
                <w:sz w:val="20"/>
                <w:szCs w:val="20"/>
                <w:color w:val="auto"/>
              </w:rPr>
            </w:pPr>
            <w:r>
              <w:rPr>
                <w:rFonts w:ascii="Arial" w:cs="Arial" w:eastAsia="Arial" w:hAnsi="Arial"/>
                <w:sz w:val="18"/>
                <w:szCs w:val="18"/>
                <w:color w:val="auto"/>
              </w:rPr>
              <w:t>assertion on the historical earnings of certain subsidiaries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12,885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Adjusted net (loss) income</w:t>
            </w:r>
            <w:r>
              <w:rPr>
                <w:rFonts w:ascii="Arial" w:cs="Arial" w:eastAsia="Arial" w:hAnsi="Arial"/>
                <w:sz w:val="15"/>
                <w:szCs w:val="15"/>
                <w:color w:val="auto"/>
              </w:rPr>
              <w:t>(1)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5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 average basic shares outstanding</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59,613</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61,354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diluted shares outstanding</w:t>
            </w: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6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4"/>
          <w:szCs w:val="14"/>
          <w:color w:val="auto"/>
        </w:rPr>
        <w:t>Reflects amounts attributable to common shareholders.</w:t>
      </w:r>
    </w:p>
    <w:p>
      <w:pPr>
        <w:spacing w:after="0" w:line="180"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In addition to the non-GAAP financial measures discussed above, management also uses “EBITDA,” as such term is defined in the Credit Agreement, and which is referred to herein as “Adjusted EBITDA per Credit Facility.” As allowed by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against its Credit Agreement requirements in the current period, if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154" w:lineRule="exact"/>
        <w:rPr>
          <w:sz w:val="20"/>
          <w:szCs w:val="20"/>
          <w:color w:val="auto"/>
        </w:rPr>
      </w:pPr>
    </w:p>
    <w:p>
      <w:pPr>
        <w:jc w:val="both"/>
        <w:ind w:firstLine="225"/>
        <w:spacing w:after="0" w:line="255" w:lineRule="auto"/>
        <w:rPr>
          <w:sz w:val="20"/>
          <w:szCs w:val="20"/>
          <w:color w:val="auto"/>
        </w:rPr>
      </w:pPr>
      <w:r>
        <w:rPr>
          <w:rFonts w:ascii="Arial" w:cs="Arial" w:eastAsia="Arial" w:hAnsi="Arial"/>
          <w:sz w:val="18"/>
          <w:szCs w:val="18"/>
          <w:color w:val="auto"/>
        </w:rPr>
        <w:t>EBITDA is defined as net (loss) income excluding: (i) interest expense, net of interest income; (ii) income tax (benefit) expense; and (iii) depreciation and amortization, including film asset amortization. Adjusted EBITDA per Credit Facility is defined as EBITDA excluding: (i) share-based and other non-cash compensation; (ii) gain (loss) in fair value of equity investment; (iii) write-downs, net of recoveries, including asset impairments and credit loss expense; and (iv) (gain) loss from equity accounted investments.</w:t>
      </w:r>
    </w:p>
    <w:p>
      <w:pPr>
        <w:spacing w:after="0" w:line="149"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A reconciliation of net loss attributable to common shareholders, the most directly comparable GAAP measure, to EBITDA and Adjusted EBITDA per Credit Facility is presented in the table below. The Company believes that net loss attributable to common shareholders is the most directly comparable GAAP measure because it reflects the earnings relevant to the Company’s shareholders, rather than including the non-controlling interest. As such, beginning in the first quarter of 2020, the Company has updated the reconciliations for such non-GAAP financial measures included 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8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2"/>
              </w:rPr>
              <w:t xml:space="preserve">For the Three Months Ended June 30, 2020 </w:t>
            </w:r>
            <w:r>
              <w:rPr>
                <w:rFonts w:ascii="Arial" w:cs="Arial" w:eastAsia="Arial" w:hAnsi="Arial"/>
                <w:sz w:val="12"/>
                <w:szCs w:val="12"/>
                <w:b w:val="1"/>
                <w:bCs w:val="1"/>
                <w:color w:val="auto"/>
                <w:w w:val="92"/>
              </w:rPr>
              <w:t>(1)</w:t>
            </w:r>
          </w:p>
        </w:tc>
      </w:tr>
      <w:tr>
        <w:trPr>
          <w:trHeight w:val="236"/>
        </w:trPr>
        <w:tc>
          <w:tcPr>
            <w:tcW w:w="15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Attributable to</w:t>
            </w: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7"/>
        </w:trPr>
        <w:tc>
          <w:tcPr>
            <w:tcW w:w="1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1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Interests and</w:t>
            </w:r>
          </w:p>
        </w:tc>
        <w:tc>
          <w:tcPr>
            <w:tcW w:w="140" w:type="dxa"/>
            <w:vAlign w:val="bottom"/>
          </w:tcPr>
          <w:p>
            <w:pPr>
              <w:spacing w:after="0"/>
              <w:rPr>
                <w:sz w:val="19"/>
                <w:szCs w:val="19"/>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Less: Attributable to</w:t>
            </w:r>
          </w:p>
        </w:tc>
        <w:tc>
          <w:tcPr>
            <w:tcW w:w="100" w:type="dxa"/>
            <w:vAlign w:val="bottom"/>
          </w:tcPr>
          <w:p>
            <w:pPr>
              <w:spacing w:after="0"/>
              <w:rPr>
                <w:sz w:val="19"/>
                <w:szCs w:val="19"/>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Attributable to</w:t>
            </w:r>
          </w:p>
        </w:tc>
      </w:tr>
      <w:tr>
        <w:trPr>
          <w:trHeight w:val="212"/>
        </w:trPr>
        <w:tc>
          <w:tcPr>
            <w:tcW w:w="15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Common Shareholders</w:t>
            </w:r>
          </w:p>
        </w:tc>
        <w:tc>
          <w:tcPr>
            <w:tcW w:w="1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Non-controlling Interests</w:t>
            </w:r>
          </w:p>
        </w:tc>
        <w:tc>
          <w:tcPr>
            <w:tcW w:w="1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Common Shareholders</w:t>
            </w:r>
          </w:p>
        </w:tc>
      </w:tr>
      <w:tr>
        <w:trPr>
          <w:trHeight w:val="220"/>
        </w:trPr>
        <w:tc>
          <w:tcPr>
            <w:tcW w:w="5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Reported net loss</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(30,047)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(25,967)</w:t>
            </w:r>
          </w:p>
        </w:tc>
      </w:tr>
      <w:tr>
        <w:trPr>
          <w:trHeight w:val="227"/>
        </w:trPr>
        <w:tc>
          <w:tcPr>
            <w:tcW w:w="5680" w:type="dxa"/>
            <w:vAlign w:val="bottom"/>
            <w:gridSpan w:val="2"/>
          </w:tcPr>
          <w:p>
            <w:pPr>
              <w:spacing w:after="0"/>
              <w:rPr>
                <w:sz w:val="20"/>
                <w:szCs w:val="20"/>
                <w:color w:val="auto"/>
              </w:rPr>
            </w:pPr>
            <w:r>
              <w:rPr>
                <w:rFonts w:ascii="Arial" w:cs="Arial" w:eastAsia="Arial" w:hAnsi="Arial"/>
                <w:sz w:val="18"/>
                <w:szCs w:val="18"/>
                <w:color w:val="auto"/>
              </w:rPr>
              <w:t>Add (subtract):</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56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Income tax (benefit) expense</w:t>
            </w:r>
          </w:p>
        </w:tc>
        <w:tc>
          <w:tcPr>
            <w:tcW w:w="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(10,248)</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(10,886)</w:t>
            </w:r>
          </w:p>
        </w:tc>
      </w:tr>
      <w:tr>
        <w:trPr>
          <w:trHeight w:val="227"/>
        </w:trPr>
        <w:tc>
          <w:tcPr>
            <w:tcW w:w="5680" w:type="dxa"/>
            <w:vAlign w:val="bottom"/>
            <w:gridSpan w:val="2"/>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9"/>
                <w:szCs w:val="19"/>
                <w:color w:val="auto"/>
              </w:rPr>
            </w:pPr>
          </w:p>
        </w:tc>
      </w:tr>
      <w:tr>
        <w:trPr>
          <w:trHeight w:val="227"/>
        </w:trPr>
        <w:tc>
          <w:tcPr>
            <w:tcW w:w="56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Depreciation and amortization, including film asset amortization</w:t>
            </w:r>
          </w:p>
        </w:tc>
        <w:tc>
          <w:tcPr>
            <w:tcW w:w="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10,881</w:t>
            </w:r>
          </w:p>
        </w:tc>
        <w:tc>
          <w:tcPr>
            <w:tcW w:w="120" w:type="dxa"/>
            <w:vAlign w:val="bottom"/>
            <w:shd w:val="clear" w:color="auto" w:fill="CFF0FC"/>
          </w:tcPr>
          <w:p>
            <w:pPr>
              <w:spacing w:after="0"/>
              <w:rPr>
                <w:sz w:val="19"/>
                <w:szCs w:val="19"/>
                <w:color w:val="auto"/>
              </w:rPr>
            </w:pPr>
          </w:p>
        </w:tc>
      </w:tr>
      <w:tr>
        <w:trPr>
          <w:trHeight w:val="220"/>
        </w:trPr>
        <w:tc>
          <w:tcPr>
            <w:tcW w:w="5680" w:type="dxa"/>
            <w:vAlign w:val="bottom"/>
            <w:gridSpan w:val="2"/>
          </w:tcPr>
          <w:p>
            <w:pPr>
              <w:ind w:left="120"/>
              <w:spacing w:after="0"/>
              <w:rPr>
                <w:sz w:val="20"/>
                <w:szCs w:val="20"/>
                <w:color w:val="auto"/>
              </w:rPr>
            </w:pPr>
            <w:r>
              <w:rPr>
                <w:rFonts w:ascii="Arial" w:cs="Arial" w:eastAsia="Arial" w:hAnsi="Arial"/>
                <w:sz w:val="18"/>
                <w:szCs w:val="18"/>
                <w:color w:val="auto"/>
              </w:rPr>
              <w:t>EBITDA</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(27,841)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(2,489)</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(25,352)</w:t>
            </w:r>
          </w:p>
        </w:tc>
        <w:tc>
          <w:tcPr>
            <w:tcW w:w="120" w:type="dxa"/>
            <w:vAlign w:val="bottom"/>
          </w:tcPr>
          <w:p>
            <w:pPr>
              <w:spacing w:after="0"/>
              <w:rPr>
                <w:sz w:val="19"/>
                <w:szCs w:val="19"/>
                <w:color w:val="auto"/>
              </w:rPr>
            </w:pPr>
          </w:p>
        </w:tc>
      </w:tr>
      <w:tr>
        <w:trPr>
          <w:trHeight w:val="227"/>
        </w:trPr>
        <w:tc>
          <w:tcPr>
            <w:tcW w:w="56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Share-based and other non-cash compensation</w:t>
            </w:r>
          </w:p>
        </w:tc>
        <w:tc>
          <w:tcPr>
            <w:tcW w:w="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6,242</w:t>
            </w:r>
          </w:p>
        </w:tc>
        <w:tc>
          <w:tcPr>
            <w:tcW w:w="120" w:type="dxa"/>
            <w:vAlign w:val="bottom"/>
            <w:shd w:val="clear" w:color="auto" w:fill="CFF0FC"/>
          </w:tcPr>
          <w:p>
            <w:pPr>
              <w:spacing w:after="0"/>
              <w:rPr>
                <w:sz w:val="19"/>
                <w:szCs w:val="19"/>
                <w:color w:val="auto"/>
              </w:rPr>
            </w:pPr>
          </w:p>
        </w:tc>
      </w:tr>
      <w:tr>
        <w:trPr>
          <w:trHeight w:val="227"/>
        </w:trPr>
        <w:tc>
          <w:tcPr>
            <w:tcW w:w="5680" w:type="dxa"/>
            <w:vAlign w:val="bottom"/>
            <w:gridSpan w:val="2"/>
          </w:tcPr>
          <w:p>
            <w:pPr>
              <w:ind w:left="120"/>
              <w:spacing w:after="0"/>
              <w:rPr>
                <w:sz w:val="20"/>
                <w:szCs w:val="20"/>
                <w:color w:val="auto"/>
              </w:rPr>
            </w:pPr>
            <w:r>
              <w:rPr>
                <w:rFonts w:ascii="Arial" w:cs="Arial" w:eastAsia="Arial" w:hAnsi="Arial"/>
                <w:sz w:val="18"/>
                <w:szCs w:val="18"/>
                <w:color w:val="auto"/>
              </w:rPr>
              <w:t>Gain in fair value of equity investment</w:t>
            </w:r>
          </w:p>
        </w:tc>
        <w:tc>
          <w:tcPr>
            <w:tcW w:w="8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(1,413)</w:t>
            </w:r>
          </w:p>
        </w:tc>
      </w:tr>
      <w:tr>
        <w:trPr>
          <w:trHeight w:val="227"/>
        </w:trPr>
        <w:tc>
          <w:tcPr>
            <w:tcW w:w="56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Write-downs, including asset impairments and credit loss expense</w:t>
            </w:r>
          </w:p>
        </w:tc>
        <w:tc>
          <w:tcPr>
            <w:tcW w:w="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3,843</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FF0FC"/>
          </w:tcPr>
          <w:p>
            <w:pPr>
              <w:spacing w:after="0"/>
              <w:rPr>
                <w:sz w:val="19"/>
                <w:szCs w:val="19"/>
                <w:color w:val="auto"/>
              </w:rPr>
            </w:pPr>
          </w:p>
        </w:tc>
      </w:tr>
      <w:tr>
        <w:trPr>
          <w:trHeight w:val="220"/>
        </w:trPr>
        <w:tc>
          <w:tcPr>
            <w:tcW w:w="5680" w:type="dxa"/>
            <w:vAlign w:val="bottom"/>
            <w:gridSpan w:val="2"/>
          </w:tcPr>
          <w:p>
            <w:pPr>
              <w:spacing w:after="0"/>
              <w:rPr>
                <w:sz w:val="20"/>
                <w:szCs w:val="20"/>
                <w:color w:val="auto"/>
              </w:rPr>
            </w:pPr>
            <w:r>
              <w:rPr>
                <w:rFonts w:ascii="Arial" w:cs="Arial" w:eastAsia="Arial" w:hAnsi="Arial"/>
                <w:sz w:val="18"/>
                <w:szCs w:val="18"/>
                <w:color w:val="auto"/>
              </w:rPr>
              <w:t>Adjusted EBITDA per Credit Facility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(19,482)</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(18,495)</w:t>
            </w:r>
          </w:p>
        </w:tc>
        <w:tc>
          <w:tcPr>
            <w:tcW w:w="12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48"/>
        </w:trPr>
        <w:tc>
          <w:tcPr>
            <w:tcW w:w="15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 xml:space="preserve">For the Twelve Months Ended June 30, 2020 </w:t>
            </w:r>
            <w:r>
              <w:rPr>
                <w:rFonts w:ascii="Arial" w:cs="Arial" w:eastAsia="Arial" w:hAnsi="Arial"/>
                <w:sz w:val="12"/>
                <w:szCs w:val="12"/>
                <w:b w:val="1"/>
                <w:bCs w:val="1"/>
                <w:color w:val="auto"/>
                <w:w w:val="92"/>
              </w:rPr>
              <w:t>(1)</w:t>
            </w:r>
          </w:p>
        </w:tc>
      </w:tr>
      <w:tr>
        <w:trPr>
          <w:trHeight w:val="236"/>
        </w:trPr>
        <w:tc>
          <w:tcPr>
            <w:tcW w:w="15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Attributable to</w:t>
            </w:r>
          </w:p>
        </w:tc>
        <w:tc>
          <w:tcPr>
            <w:tcW w:w="1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7"/>
        </w:trPr>
        <w:tc>
          <w:tcPr>
            <w:tcW w:w="1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15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Interests and</w:t>
            </w:r>
          </w:p>
        </w:tc>
        <w:tc>
          <w:tcPr>
            <w:tcW w:w="140" w:type="dxa"/>
            <w:vAlign w:val="bottom"/>
          </w:tcPr>
          <w:p>
            <w:pPr>
              <w:spacing w:after="0"/>
              <w:rPr>
                <w:sz w:val="19"/>
                <w:szCs w:val="19"/>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Less: Attributable to</w:t>
            </w:r>
          </w:p>
        </w:tc>
        <w:tc>
          <w:tcPr>
            <w:tcW w:w="100" w:type="dxa"/>
            <w:vAlign w:val="bottom"/>
          </w:tcPr>
          <w:p>
            <w:pPr>
              <w:spacing w:after="0"/>
              <w:rPr>
                <w:sz w:val="19"/>
                <w:szCs w:val="19"/>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Attributable to</w:t>
            </w:r>
          </w:p>
        </w:tc>
      </w:tr>
      <w:tr>
        <w:trPr>
          <w:trHeight w:val="212"/>
        </w:trPr>
        <w:tc>
          <w:tcPr>
            <w:tcW w:w="15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Common Shareholders</w:t>
            </w:r>
          </w:p>
        </w:tc>
        <w:tc>
          <w:tcPr>
            <w:tcW w:w="1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Non-controlling Interests</w:t>
            </w:r>
          </w:p>
        </w:tc>
        <w:tc>
          <w:tcPr>
            <w:tcW w:w="1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Common Shareholders</w:t>
            </w:r>
          </w:p>
        </w:tc>
      </w:tr>
      <w:tr>
        <w:trPr>
          <w:trHeight w:val="219"/>
        </w:trPr>
        <w:tc>
          <w:tcPr>
            <w:tcW w:w="5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of U.S. Dollars)</w:t>
            </w:r>
          </w:p>
        </w:tc>
        <w:tc>
          <w:tcPr>
            <w:tcW w:w="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7"/>
        </w:trPr>
        <w:tc>
          <w:tcPr>
            <w:tcW w:w="5680" w:type="dxa"/>
            <w:vAlign w:val="bottom"/>
            <w:gridSpan w:val="2"/>
          </w:tcPr>
          <w:p>
            <w:pPr>
              <w:spacing w:after="0"/>
              <w:rPr>
                <w:sz w:val="20"/>
                <w:szCs w:val="20"/>
                <w:color w:val="auto"/>
              </w:rPr>
            </w:pPr>
            <w:r>
              <w:rPr>
                <w:rFonts w:ascii="Arial" w:cs="Arial" w:eastAsia="Arial" w:hAnsi="Arial"/>
                <w:sz w:val="18"/>
                <w:szCs w:val="18"/>
                <w:color w:val="auto"/>
              </w:rPr>
              <w:t>Reported net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(57,210)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(9,093)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(48,117)</w:t>
            </w:r>
          </w:p>
        </w:tc>
      </w:tr>
      <w:tr>
        <w:trPr>
          <w:trHeight w:val="229"/>
        </w:trPr>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 (subtract):</w:t>
            </w:r>
          </w:p>
        </w:tc>
        <w:tc>
          <w:tcPr>
            <w:tcW w:w="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568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13,069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6,362</w:t>
            </w:r>
          </w:p>
        </w:tc>
        <w:tc>
          <w:tcPr>
            <w:tcW w:w="120" w:type="dxa"/>
            <w:vAlign w:val="bottom"/>
          </w:tcPr>
          <w:p>
            <w:pPr>
              <w:spacing w:after="0"/>
              <w:rPr>
                <w:sz w:val="19"/>
                <w:szCs w:val="19"/>
                <w:color w:val="auto"/>
              </w:rPr>
            </w:pPr>
          </w:p>
        </w:tc>
      </w:tr>
      <w:tr>
        <w:trPr>
          <w:trHeight w:val="227"/>
        </w:trPr>
        <w:tc>
          <w:tcPr>
            <w:tcW w:w="56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 net of interest income</w:t>
            </w:r>
          </w:p>
        </w:tc>
        <w:tc>
          <w:tcPr>
            <w:tcW w:w="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w:t>
            </w:r>
          </w:p>
        </w:tc>
        <w:tc>
          <w:tcPr>
            <w:tcW w:w="120" w:type="dxa"/>
            <w:vAlign w:val="bottom"/>
            <w:shd w:val="clear" w:color="auto" w:fill="CFF0FC"/>
          </w:tcPr>
          <w:p>
            <w:pPr>
              <w:spacing w:after="0"/>
              <w:rPr>
                <w:sz w:val="19"/>
                <w:szCs w:val="19"/>
                <w:color w:val="auto"/>
              </w:rPr>
            </w:pPr>
          </w:p>
        </w:tc>
      </w:tr>
      <w:tr>
        <w:trPr>
          <w:trHeight w:val="227"/>
        </w:trPr>
        <w:tc>
          <w:tcPr>
            <w:tcW w:w="568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Depreciation and amortization, including film asset amortization</w:t>
            </w: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55,968</w:t>
            </w:r>
          </w:p>
        </w:tc>
        <w:tc>
          <w:tcPr>
            <w:tcW w:w="120" w:type="dxa"/>
            <w:vAlign w:val="bottom"/>
            <w:tcBorders>
              <w:bottom w:val="single" w:sz="8" w:color="CFF0FC"/>
            </w:tcBorders>
          </w:tcPr>
          <w:p>
            <w:pPr>
              <w:spacing w:after="0"/>
              <w:rPr>
                <w:sz w:val="19"/>
                <w:szCs w:val="19"/>
                <w:color w:val="auto"/>
              </w:rPr>
            </w:pPr>
          </w:p>
        </w:tc>
      </w:tr>
      <w:tr>
        <w:trPr>
          <w:trHeight w:val="221"/>
        </w:trPr>
        <w:tc>
          <w:tcPr>
            <w:tcW w:w="56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EBITDA</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15,559</w:t>
            </w:r>
          </w:p>
        </w:tc>
        <w:tc>
          <w:tcPr>
            <w:tcW w:w="120" w:type="dxa"/>
            <w:vAlign w:val="bottom"/>
            <w:shd w:val="clear" w:color="auto" w:fill="CFF0FC"/>
          </w:tcPr>
          <w:p>
            <w:pPr>
              <w:spacing w:after="0"/>
              <w:rPr>
                <w:sz w:val="19"/>
                <w:szCs w:val="19"/>
                <w:color w:val="auto"/>
              </w:rPr>
            </w:pPr>
          </w:p>
        </w:tc>
      </w:tr>
      <w:tr>
        <w:trPr>
          <w:trHeight w:val="227"/>
        </w:trPr>
        <w:tc>
          <w:tcPr>
            <w:tcW w:w="5680" w:type="dxa"/>
            <w:vAlign w:val="bottom"/>
            <w:gridSpan w:val="2"/>
          </w:tcPr>
          <w:p>
            <w:pPr>
              <w:ind w:left="120"/>
              <w:spacing w:after="0"/>
              <w:rPr>
                <w:sz w:val="20"/>
                <w:szCs w:val="20"/>
                <w:color w:val="auto"/>
              </w:rPr>
            </w:pPr>
            <w:r>
              <w:rPr>
                <w:rFonts w:ascii="Arial" w:cs="Arial" w:eastAsia="Arial" w:hAnsi="Arial"/>
                <w:sz w:val="18"/>
                <w:szCs w:val="18"/>
                <w:color w:val="auto"/>
              </w:rPr>
              <w:t>Share-based and other non-cash compensation</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22,710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21,980</w:t>
            </w:r>
          </w:p>
        </w:tc>
        <w:tc>
          <w:tcPr>
            <w:tcW w:w="120" w:type="dxa"/>
            <w:vAlign w:val="bottom"/>
          </w:tcPr>
          <w:p>
            <w:pPr>
              <w:spacing w:after="0"/>
              <w:rPr>
                <w:sz w:val="19"/>
                <w:szCs w:val="19"/>
                <w:color w:val="auto"/>
              </w:rPr>
            </w:pPr>
          </w:p>
        </w:tc>
      </w:tr>
      <w:tr>
        <w:trPr>
          <w:trHeight w:val="227"/>
        </w:trPr>
        <w:tc>
          <w:tcPr>
            <w:tcW w:w="56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Loss in fair value of equity investment</w:t>
            </w:r>
          </w:p>
        </w:tc>
        <w:tc>
          <w:tcPr>
            <w:tcW w:w="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FF0FC"/>
          </w:tcPr>
          <w:p>
            <w:pPr>
              <w:spacing w:after="0"/>
              <w:rPr>
                <w:sz w:val="19"/>
                <w:szCs w:val="19"/>
                <w:color w:val="auto"/>
              </w:rPr>
            </w:pPr>
          </w:p>
        </w:tc>
      </w:tr>
      <w:tr>
        <w:trPr>
          <w:trHeight w:val="227"/>
        </w:trPr>
        <w:tc>
          <w:tcPr>
            <w:tcW w:w="5680" w:type="dxa"/>
            <w:vAlign w:val="bottom"/>
            <w:gridSpan w:val="2"/>
          </w:tcPr>
          <w:p>
            <w:pPr>
              <w:ind w:left="120"/>
              <w:spacing w:after="0"/>
              <w:rPr>
                <w:sz w:val="20"/>
                <w:szCs w:val="20"/>
                <w:color w:val="auto"/>
              </w:rPr>
            </w:pPr>
            <w:r>
              <w:rPr>
                <w:rFonts w:ascii="Arial" w:cs="Arial" w:eastAsia="Arial" w:hAnsi="Arial"/>
                <w:sz w:val="18"/>
                <w:szCs w:val="18"/>
                <w:color w:val="auto"/>
              </w:rPr>
              <w:t>Write-downs, including asset impairments and credit loss expense</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23,404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17,984</w:t>
            </w:r>
          </w:p>
        </w:tc>
        <w:tc>
          <w:tcPr>
            <w:tcW w:w="120" w:type="dxa"/>
            <w:vAlign w:val="bottom"/>
          </w:tcPr>
          <w:p>
            <w:pPr>
              <w:spacing w:after="0"/>
              <w:rPr>
                <w:sz w:val="19"/>
                <w:szCs w:val="19"/>
                <w:color w:val="auto"/>
              </w:rPr>
            </w:pPr>
          </w:p>
        </w:tc>
      </w:tr>
      <w:tr>
        <w:trPr>
          <w:trHeight w:val="227"/>
        </w:trPr>
        <w:tc>
          <w:tcPr>
            <w:tcW w:w="56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Loss from equity accounted investments</w:t>
            </w:r>
          </w:p>
        </w:tc>
        <w:tc>
          <w:tcPr>
            <w:tcW w:w="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spacing w:after="0"/>
              <w:rPr>
                <w:sz w:val="19"/>
                <w:szCs w:val="19"/>
                <w:color w:val="auto"/>
              </w:rPr>
            </w:pPr>
          </w:p>
        </w:tc>
      </w:tr>
      <w:tr>
        <w:trPr>
          <w:trHeight w:val="220"/>
        </w:trPr>
        <w:tc>
          <w:tcPr>
            <w:tcW w:w="5680" w:type="dxa"/>
            <w:vAlign w:val="bottom"/>
            <w:gridSpan w:val="2"/>
          </w:tcPr>
          <w:p>
            <w:pPr>
              <w:spacing w:after="0"/>
              <w:rPr>
                <w:sz w:val="20"/>
                <w:szCs w:val="20"/>
                <w:color w:val="auto"/>
              </w:rPr>
            </w:pPr>
            <w:r>
              <w:rPr>
                <w:rFonts w:ascii="Arial" w:cs="Arial" w:eastAsia="Arial" w:hAnsi="Arial"/>
                <w:sz w:val="18"/>
                <w:szCs w:val="18"/>
                <w:color w:val="auto"/>
              </w:rPr>
              <w:t>Adjusted EBITDA per Credit Facility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65,042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56,531</w:t>
            </w:r>
          </w:p>
        </w:tc>
        <w:tc>
          <w:tcPr>
            <w:tcW w:w="12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4"/>
        </w:trPr>
        <w:tc>
          <w:tcPr>
            <w:tcW w:w="150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26" w:lineRule="exact"/>
        <w:rPr>
          <w:sz w:val="20"/>
          <w:szCs w:val="20"/>
          <w:color w:val="auto"/>
        </w:rPr>
      </w:pPr>
    </w:p>
    <w:p>
      <w:pPr>
        <w:jc w:val="both"/>
        <w:ind w:left="380" w:hanging="373"/>
        <w:spacing w:after="0" w:line="255"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Senior Secured Net Leverage Ratio calculated using twelve months ended Adjusted EBITDA per Credit Facility. During the second quarter of 2020, the Company entered into the Amendment to the Credit Facility Agreement which provides for, among other things, the suspension of the Senior Secured Net Leverage Ratio financial covenant through the first quarter of 2021. For more information see Note 7 of Notes to Condensed Consolidated Financial Statements.</w:t>
      </w:r>
    </w:p>
    <w:p>
      <w:pPr>
        <w:spacing w:after="0" w:line="162"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as a substitute for, or superior to, the comparable GAAP amounts.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4"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There are currently no off-balance sheet arrangements that have or are reasonably likely to have a current or future material effect on the Company’s financial condition.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98" w:lineRule="exact"/>
        <w:rPr>
          <w:sz w:val="20"/>
          <w:szCs w:val="20"/>
          <w:color w:val="auto"/>
        </w:rPr>
      </w:pPr>
    </w:p>
    <w:p>
      <w:pPr>
        <w:jc w:val="both"/>
        <w:ind w:firstLine="225"/>
        <w:spacing w:after="0" w:line="275" w:lineRule="auto"/>
        <w:rPr>
          <w:sz w:val="20"/>
          <w:szCs w:val="20"/>
          <w:color w:val="auto"/>
        </w:rPr>
      </w:pPr>
      <w:r>
        <w:rPr>
          <w:rFonts w:ascii="Arial" w:cs="Arial" w:eastAsia="Arial" w:hAnsi="Arial"/>
          <w:sz w:val="17"/>
          <w:szCs w:val="17"/>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the Chinese Yuan Renminbi. The Company does not use financial instruments for trading or other speculative purposes.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84" w:lineRule="exact"/>
        <w:rPr>
          <w:sz w:val="20"/>
          <w:szCs w:val="20"/>
          <w:color w:val="auto"/>
        </w:rPr>
      </w:pPr>
    </w:p>
    <w:p>
      <w:pPr>
        <w:jc w:val="both"/>
        <w:ind w:firstLine="225"/>
        <w:spacing w:after="0" w:line="251" w:lineRule="auto"/>
        <w:rPr>
          <w:sz w:val="20"/>
          <w:szCs w:val="20"/>
          <w:color w:val="auto"/>
        </w:rPr>
      </w:pPr>
      <w:r>
        <w:rPr>
          <w:rFonts w:ascii="Arial" w:cs="Arial" w:eastAsia="Arial" w:hAnsi="Arial"/>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81 different countries, and therefore unfavorable exchange rates between applicable local currencies and the U.S. dollar could have an impact on the Company’s reported gross box office and revenues. The Company has incoming cash flows from its revenue generating theaters and ongoing operating expenses in China through its majority-owned subsidiary IMAX (Shanghai) Multimedia Technology Co., Ltd. In Japan, the Company has ongoing Yen-denominated operating expenses related to its Japanese operations. Net Renminbi and Japanese Yen cash flows are converted to U.S. dollars through the spot market. The Company also has cash receipts under leases denominated in Renminbi, Japanese Yen, Euros and Canadian dollars.</w:t>
      </w:r>
    </w:p>
    <w:p>
      <w:pPr>
        <w:spacing w:after="0" w:line="165"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The Company manages its exposure to foreign exchange rate risks through the Company’s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145"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Certain of the Company’s subsidiaries held approximately 434.9 million Renminbi ($61.5 million) in cash and cash equivalents as at June 30, 2020 (December 31, 2019 — 471.6 million Renminbi or $67.6 million) and are required to transact locally in Renminbi.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China government are beyond the control of the Company; however, the Company monitors and manages its capital and liquidity requirements to ensure compliance with local regulatory and policy requirements.</w:t>
      </w:r>
    </w:p>
    <w:p>
      <w:pPr>
        <w:spacing w:after="0" w:line="152"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For the three and six months ended June 30, 2020, the Company recorded a foreign exchange net loss of $0.3 million and net loss of $1.0 million, respectively, as compared to a foreign exchange net loss of $0.2 million and net loss of $0.4 million for the three and six months ended June 30, 2019, respectively, associated with the translation of foreign currency denominated monetary assets and liabilities.</w:t>
      </w:r>
    </w:p>
    <w:p>
      <w:pPr>
        <w:spacing w:after="0" w:line="158"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color w:val="auto"/>
        </w:rPr>
        <w:t>The Company entered into a series of foreign currency forward contracts to manage the Company’s risks associated with the volatility of foreign currencies. The forward contracts have settlement dates throughout 2020 and 2021. Foreign currency derivatives are recognized and measured in the balance sheet at fair value. Changes in the fair value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and inventories. For foreign currency cash flow hedging instruments related to selling, general and administrative expenses, the effective portion of the gain or loss in a hedge of a forecasted transaction is reported in Other Comprehensive Income and reclassified to the Condensed Consolidated Statements of Operations when the forecasted transaction occurs. For foreign currency cash flow hedging instruments related to inventories, the effective portion of the gain or loss in a hedge of a forecasted transaction is reported in Other Comprehensive Income and reclassified to Inventories on the Condensed Consolidated Balance Sheets when the forecasted transaction occurs. Any ineffective portion is recognized immediately in the Condensed Consolidated Statement of Operations.</w:t>
      </w:r>
    </w:p>
    <w:p>
      <w:pPr>
        <w:spacing w:after="0" w:line="144"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The notional value of foreign currency cash flow hedging instruments that qualify for hedge accounting at June 30, 2020 was $32.4 million (December 31, 2019 — $36.1 million). A gain of $1.3 million and a loss of $1.5 million was recorded to Other Comprehensive Income with respect to the change in fair value of these contracts for the three and six months ended June 30, 2020, respectively (2019 — gain of $0.3 million and a gain of $0.4 million, respectively). A loss of $0.3 million and a loss of $0.7 million was reclassified from Accumulated Other Comprehensive Income to Selling, General and Administrative Expenses, Inventories and Property, Plant and Equipment for the three and six months ended June 30, 2020, respectively (2019 — loss of $0.4 million and a loss of $0.7 million, respectively). The Company's estimated net amount of existing losses as at June 30, 2020 is $0.4 million, which is expected to be reclassified to earnings within the next twelve months. Appreciation or depreciation on forward contracts not meeting the requirements for hedge accounting in the Derivatives and Hedging Topic of the FASB Accounting Standards Codification 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74" w:name="page75"/>
    <w:bookmarkEnd w:id="74"/>
    <w:p>
      <w:pPr>
        <w:jc w:val="both"/>
        <w:spacing w:after="0" w:line="270" w:lineRule="auto"/>
        <w:rPr>
          <w:sz w:val="20"/>
          <w:szCs w:val="20"/>
          <w:color w:val="auto"/>
        </w:rPr>
      </w:pPr>
      <w:r>
        <w:rPr>
          <w:rFonts w:ascii="Arial" w:cs="Arial" w:eastAsia="Arial" w:hAnsi="Arial"/>
          <w:sz w:val="18"/>
          <w:szCs w:val="18"/>
          <w:color w:val="auto"/>
        </w:rPr>
        <w:t>recorded to Selling, General and Administrative Expenses. The notional value of forward contracts that do not qualify for hedge accounting at June 30, 2020 was $3.6 million (December 31, 2019 — $nil).</w:t>
      </w:r>
    </w:p>
    <w:p>
      <w:pPr>
        <w:spacing w:after="0" w:line="149"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35"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At June 30, 2020, the Company’s financing receivables and working capital items denominated in Canadian dollars, Renminbi, Japanese yen and Euros translated into U.S. dollars was $119.9 million. Assuming a 10% appreciation or depreciation in foreign currency exchange rates from the quoted foreign currency exchange rates at June 30, 2020, the potential change in the fair value of foreign currency-denominated financing receivables and working capital items would have been $12.0 million. A significant portion of the Company’s selling, general, and administrative expenses is denominated in Canadian dollars. Assuming a 1% appreciation or depreciation in foreign currency exchange rates at June 30, 2020, the potential change in the amount of selling, general, and administrative expenses would be $0.1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198"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The Company’s earnings are also affected by changes in interest rates due to the impact those changes have on its interest income from cash, and its interest expense from variable-rate borrowings under the Credit Facility.</w:t>
      </w:r>
    </w:p>
    <w:p>
      <w:pPr>
        <w:spacing w:after="0" w:line="135"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8"/>
          <w:szCs w:val="18"/>
          <w:color w:val="auto"/>
        </w:rPr>
        <w:t>As at June 30, 2020, the Company had drawn down $300.0 million on its Credit Facility (December 31, 2019 — $20.0 million) and $0.2 million on IMAX China’s Working Capital Facility (December 31, 2019 — $nil).</w:t>
      </w:r>
    </w:p>
    <w:p>
      <w:pPr>
        <w:spacing w:after="0" w:line="135" w:lineRule="exact"/>
        <w:rPr>
          <w:sz w:val="20"/>
          <w:szCs w:val="20"/>
          <w:color w:val="auto"/>
        </w:rPr>
      </w:pPr>
    </w:p>
    <w:p>
      <w:pPr>
        <w:jc w:val="both"/>
        <w:ind w:firstLine="225"/>
        <w:spacing w:after="0" w:line="297" w:lineRule="auto"/>
        <w:rPr>
          <w:sz w:val="20"/>
          <w:szCs w:val="20"/>
          <w:color w:val="auto"/>
        </w:rPr>
      </w:pPr>
      <w:r>
        <w:rPr>
          <w:rFonts w:ascii="Arial" w:cs="Arial" w:eastAsia="Arial" w:hAnsi="Arial"/>
          <w:sz w:val="16"/>
          <w:szCs w:val="16"/>
          <w:color w:val="auto"/>
        </w:rPr>
        <w:t>The Company’s largest exposure with respect to variable rate debt comes from changes in the LIBOR. The Company had variable rate debt instruments representing 55.3% and 8.1% of its total liabilities as at June 30, 2020 and December 31, 2019, respectively. If the interest rates available to the Company increased by 10%, the Company’s interest expense would increase by $0.4 million and interest income from cash would increase by $0.2 million. These amounts are determined by considering the impact of the hypothetical interest rates on the Company’s variable rate debt and cash balances at June 30,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4" w:lineRule="exact"/>
        <w:rPr>
          <w:sz w:val="20"/>
          <w:szCs w:val="20"/>
          <w:color w:val="auto"/>
        </w:rPr>
      </w:pPr>
    </w:p>
    <w:p>
      <w:pPr>
        <w:jc w:val="both"/>
        <w:ind w:firstLine="225"/>
        <w:spacing w:after="0" w:line="252" w:lineRule="auto"/>
        <w:rPr>
          <w:sz w:val="20"/>
          <w:szCs w:val="20"/>
          <w:color w:val="auto"/>
        </w:rPr>
      </w:pPr>
      <w:r>
        <w:rPr>
          <w:rFonts w:ascii="Arial" w:cs="Arial" w:eastAsia="Arial" w:hAnsi="Arial"/>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5" w:lineRule="exact"/>
        <w:rPr>
          <w:sz w:val="20"/>
          <w:szCs w:val="20"/>
          <w:color w:val="auto"/>
        </w:rPr>
      </w:pPr>
    </w:p>
    <w:p>
      <w:pPr>
        <w:jc w:val="both"/>
        <w:ind w:firstLine="225"/>
        <w:spacing w:after="0" w:line="271" w:lineRule="auto"/>
        <w:rPr>
          <w:sz w:val="20"/>
          <w:szCs w:val="20"/>
          <w:color w:val="auto"/>
        </w:rPr>
      </w:pPr>
      <w:r>
        <w:rPr>
          <w:rFonts w:ascii="Arial" w:cs="Arial" w:eastAsia="Arial" w:hAnsi="Arial"/>
          <w:sz w:val="17"/>
          <w:szCs w:val="17"/>
          <w:color w:val="auto"/>
        </w:rPr>
        <w:t>The Company’s management, with the participation of its CEO and its CFO, has evaluated the effectiveness of the Company’s “disclosure controls and procedures” (as defined in the Securities Exchange Act of 1934 Rules 13a-15(e) or 15d-15(e)) as at June 30, 2020 and has concluded that, as at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4" w:lineRule="exact"/>
        <w:rPr>
          <w:sz w:val="20"/>
          <w:szCs w:val="20"/>
          <w:color w:val="auto"/>
        </w:rPr>
      </w:pPr>
    </w:p>
    <w:p>
      <w:pPr>
        <w:jc w:val="both"/>
        <w:ind w:firstLine="225"/>
        <w:spacing w:after="0" w:line="253"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three months ended June 30, 2020, that have materially affected, or are reasonably likely to materially affect, the Company’s internal control over financial reporting. We have not experienced any material impact to our internal control over financial reporting despite the fact that most of our employees are working remotely due to the COVID-19 pandemic. We will continue to monitor the evolving COVID-19 situation to minimize its impact on the design and operating effectiveness of our internal control.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98"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8"/>
          <w:szCs w:val="18"/>
          <w:color w:val="auto"/>
        </w:rPr>
        <w:t>See Note 8 of Notes to Condensed Consolidated Financial Statements to the accompanying Condensed Consolidated Financial Statements in Item 1 for information regarding legal proceedings involving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4" w:lineRule="exact"/>
        <w:rPr>
          <w:sz w:val="20"/>
          <w:szCs w:val="20"/>
          <w:color w:val="auto"/>
        </w:rPr>
      </w:pPr>
    </w:p>
    <w:p>
      <w:pPr>
        <w:jc w:val="both"/>
        <w:ind w:firstLine="255"/>
        <w:spacing w:after="0" w:line="292" w:lineRule="auto"/>
        <w:rPr>
          <w:sz w:val="20"/>
          <w:szCs w:val="20"/>
          <w:color w:val="auto"/>
        </w:rPr>
      </w:pPr>
      <w:r>
        <w:rPr>
          <w:rFonts w:ascii="Arial" w:cs="Arial" w:eastAsia="Arial" w:hAnsi="Arial"/>
          <w:sz w:val="16"/>
          <w:szCs w:val="16"/>
          <w:color w:val="auto"/>
        </w:rPr>
        <w:t>This Form 10-Q and the risk factor below should be read together with, and supplement, the risk factors in Item 1A. Risk Factors in the Company’s 2019 Form 10-K, which describes various risks and uncertainties to which the Company is or may become subject, and the risk factor below supersedes the risk factor disclosed in Item 1A of the Company’s Quarterly Report on Form 10-Q for the quarterly period ended March 31, 2020. The risks described below and in the Company’s 2019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136" w:lineRule="exact"/>
        <w:rPr>
          <w:sz w:val="20"/>
          <w:szCs w:val="20"/>
          <w:color w:val="auto"/>
        </w:rPr>
      </w:pPr>
    </w:p>
    <w:p>
      <w:pPr>
        <w:jc w:val="both"/>
        <w:ind w:firstLine="255"/>
        <w:spacing w:after="0" w:line="300" w:lineRule="auto"/>
        <w:rPr>
          <w:sz w:val="20"/>
          <w:szCs w:val="20"/>
          <w:color w:val="auto"/>
        </w:rPr>
      </w:pPr>
      <w:r>
        <w:rPr>
          <w:rFonts w:ascii="Arial" w:cs="Arial" w:eastAsia="Arial" w:hAnsi="Arial"/>
          <w:sz w:val="17"/>
          <w:szCs w:val="17"/>
          <w:b w:val="1"/>
          <w:bCs w:val="1"/>
          <w:i w:val="1"/>
          <w:iCs w:val="1"/>
          <w:color w:val="212529"/>
        </w:rPr>
        <w:t>The Company has experienced a significant decrease in its revenues, earnings and cash flows due to the COVID-19 global pandemic and its business, financial condition and results of operations may continue to be significantly harmed in future reporting periods.</w:t>
      </w:r>
    </w:p>
    <w:p>
      <w:pPr>
        <w:spacing w:after="0" w:line="153"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6"/>
          <w:szCs w:val="16"/>
          <w:color w:val="212529"/>
        </w:rPr>
        <w:t>In late-January 2020, in response to the public health risks associated with an outbreak of COVID-19, the Chinese government directed exhibitors in China to temporarily close more than 70,000 movie theaters, including all of the approximately 700 IMAX theaters in mainland China. On March 11, 2020, due to the worsening public health crisis associated with the novel coronavirus, COVID-19 was characterized as a pandemic by the World Health Organization, and in the following weeks, local, state and national governments instituted stay-at-home orders and restrictions on large public gatherings which caused movie theaters in countries around the world to temporarily close, including substantially all of the IMAX theaters in those countries. As a result of the theater closures, Hollywood and Chinese movie studios have postponed the theatrical release of multiple films, including many scheduled to be shown in IMAX theaters</w:t>
      </w:r>
      <w:r>
        <w:rPr>
          <w:rFonts w:ascii="Arial" w:cs="Arial" w:eastAsia="Arial" w:hAnsi="Arial"/>
          <w:sz w:val="16"/>
          <w:szCs w:val="16"/>
          <w:color w:val="000000"/>
        </w:rPr>
        <w:t>, while other films have been released directly to streaming platforms</w:t>
      </w:r>
      <w:r>
        <w:rPr>
          <w:rFonts w:ascii="Arial" w:cs="Arial" w:eastAsia="Arial" w:hAnsi="Arial"/>
          <w:sz w:val="16"/>
          <w:szCs w:val="16"/>
          <w:color w:val="212529"/>
        </w:rPr>
        <w:t xml:space="preserve">. </w:t>
      </w:r>
      <w:r>
        <w:rPr>
          <w:rFonts w:ascii="Arial" w:cs="Arial" w:eastAsia="Arial" w:hAnsi="Arial"/>
          <w:sz w:val="16"/>
          <w:szCs w:val="16"/>
          <w:color w:val="000000"/>
        </w:rPr>
        <w:t>As of the date of this report, stay-at-home orders have been</w:t>
      </w:r>
      <w:r>
        <w:rPr>
          <w:rFonts w:ascii="Arial" w:cs="Arial" w:eastAsia="Arial" w:hAnsi="Arial"/>
          <w:sz w:val="16"/>
          <w:szCs w:val="16"/>
          <w:color w:val="212529"/>
        </w:rPr>
        <w:t xml:space="preserve"> </w:t>
      </w:r>
      <w:r>
        <w:rPr>
          <w:rFonts w:ascii="Arial" w:cs="Arial" w:eastAsia="Arial" w:hAnsi="Arial"/>
          <w:sz w:val="16"/>
          <w:szCs w:val="16"/>
          <w:color w:val="000000"/>
        </w:rPr>
        <w:t>lifted in many countries and movie theaters are gradually reopening with reduced capacities, physical distancing requirements, and other safety measures. Subsequent to June 30, 2020, approximately 40% of the theaters in the IMAX commercial multiplex network have begun to report GBO in July. These theaters span across 40 countries and include the Domestic, Greater China and Rest of World markets.</w:t>
      </w:r>
    </w:p>
    <w:p>
      <w:pPr>
        <w:spacing w:after="0" w:line="174"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7"/>
          <w:szCs w:val="17"/>
          <w:color w:val="212529"/>
        </w:rPr>
        <w:t>The repercussions of the COVID-19 global pandemic have resulted in a significant decrease in the Company’s revenues, earnings, and operating cash flow during the first and second quarters of 2020 due to a decline in the box office related revenues generated by IMAX theaters, delays in the installation of certain theater systems and suspension of maintenance services. During this period, the Company is generating significantly lower than normal levels of box-office based revenue and expects that it will continue to experience a significant decrease in overall revenues and earnings during the time period when a significant number of the theaters in the IMAX network are closed. Moreover, given the uncertainty around when movie-going will return to historical levels, there can be no guarantees that the Company will not continue to be significantly impacted by the COVID-19 global pandemic even after some or all theaters are reopened. In addition, the global economic impact of COVID-19 has led to record levels of unemployment in certain countries, which has led to, and may continue to result in, lower consumer spending. The timing and extent of a recovery of consumer behavior and willingness to spend discretionary income on movie-going may delay the Company’s ability to generate significant GBO-based revenue until such time as consumer behavior normalizes and consumer spending recovers.</w:t>
      </w:r>
    </w:p>
    <w:p>
      <w:pPr>
        <w:spacing w:after="0" w:line="185" w:lineRule="exact"/>
        <w:rPr>
          <w:sz w:val="20"/>
          <w:szCs w:val="20"/>
          <w:color w:val="auto"/>
        </w:rPr>
      </w:pPr>
    </w:p>
    <w:p>
      <w:pPr>
        <w:jc w:val="both"/>
        <w:ind w:firstLine="255"/>
        <w:spacing w:after="0" w:line="266" w:lineRule="auto"/>
        <w:rPr>
          <w:sz w:val="20"/>
          <w:szCs w:val="20"/>
          <w:color w:val="auto"/>
        </w:rPr>
      </w:pPr>
      <w:r>
        <w:rPr>
          <w:rFonts w:ascii="Arial" w:cs="Arial" w:eastAsia="Arial" w:hAnsi="Arial"/>
          <w:sz w:val="17"/>
          <w:szCs w:val="17"/>
          <w:color w:val="auto"/>
        </w:rPr>
        <w:t>In addition, there can be no guarantees that the steps the Company has taken and continues to take to preserve cash and manage its expenditures will result in the cost savings the Company anticipates. There can also be no guarantees that any wage subsidies, tax credits and other financial support or any other governmental benefits and support for which the Company is eligible domestically or internationally under newly enacted COVID-19 relief legislation in the countries in which the Company operates will materialize in the amounts expected. The Company cannot predict the manner in which such benefits will be allocated or administered, and the Company cannot guarantee that it will be able to access such benefits in a timely manner or at all. Certain of the benefits the Company seeks to access or may apply for in the future have not previously been administered on the present scale or at all. Any benefits the Company expects to receive, or may apply for in the future, may not be at the same levels as currently estimated, may impose additional conditions and restrictions on the Company’s operations or may otherwise provide less relief than currently contemplated. There can be no guarantees that the Company will receive any additional material financial support through these or other programs that may be created, expanded or implemented by governments in the countries in which the Company operates.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76" w:name="page77"/>
    <w:bookmarkEnd w:id="76"/>
    <w:p>
      <w:pPr>
        <w:jc w:val="both"/>
        <w:ind w:firstLine="255"/>
        <w:spacing w:after="0" w:line="251" w:lineRule="auto"/>
        <w:rPr>
          <w:sz w:val="20"/>
          <w:szCs w:val="20"/>
          <w:color w:val="auto"/>
        </w:rPr>
      </w:pPr>
      <w:r>
        <w:rPr>
          <w:rFonts w:ascii="Arial" w:cs="Arial" w:eastAsia="Arial" w:hAnsi="Arial"/>
          <w:sz w:val="18"/>
          <w:szCs w:val="18"/>
          <w:color w:val="212529"/>
        </w:rPr>
        <w:t>In addition, the Company has experienced and may continue to experience delays in collecting payments due under existing theater sale or lease arrangements from its exhibitor partners who are now facing financial difficulties as a result of the theater closures. The ability of such partners to make payments cannot be guaranteed and is subject to changing economic circumstances. There are no guarantees that some of the Company’s exhibitor partners will not enter into bankruptcy proceedings. In such cases, the local laws governing restructurings would apply, and there can be no guarantees of the Company’s success in obtaining complete or partial payments owed to it under these regulatory regimes. Further, the Company has had to delay movie theater installations from backlog and may be required to further delay or cancel such installations in the future. As a result, the Company’s future revenues and cash flows may be adversely affected.</w:t>
      </w:r>
    </w:p>
    <w:p>
      <w:pPr>
        <w:spacing w:after="0" w:line="195" w:lineRule="exact"/>
        <w:rPr>
          <w:sz w:val="20"/>
          <w:szCs w:val="20"/>
          <w:color w:val="auto"/>
        </w:rPr>
      </w:pPr>
    </w:p>
    <w:p>
      <w:pPr>
        <w:jc w:val="both"/>
        <w:ind w:firstLine="308"/>
        <w:spacing w:after="0" w:line="283" w:lineRule="auto"/>
        <w:rPr>
          <w:sz w:val="20"/>
          <w:szCs w:val="20"/>
          <w:color w:val="auto"/>
        </w:rPr>
      </w:pPr>
      <w:r>
        <w:rPr>
          <w:rFonts w:ascii="Arial" w:cs="Arial" w:eastAsia="Arial" w:hAnsi="Arial"/>
          <w:sz w:val="16"/>
          <w:szCs w:val="16"/>
          <w:color w:val="212529"/>
        </w:rPr>
        <w:t xml:space="preserve">Given the dynamic nature of the circumstances, while the Company has been negatively impacted as of the date of filing of this report, it is difficult to predict the full extent of such adverse impact of the COVID-19 global pandemic on the Company’s financial condition, liquidity, business and results of operations in future reporting periods. The extent and duration of such impact on the Company will depend on future developments, including, but not limited to, the timing of reopening of movie theaters worldwide, and the timing of when delayed films are released, consumer behavior and general economic conditions, the solvency of the Company’s exhibitor partners, their ability to make timely payments and any potential construction or installation delays involving our exhibitor partners. Such events are highly uncertain and cannot be accurately forecast. Moreover, there can be no guarantees that the Company’s liquidity needs will not increase materially over the course of this pandemic. In addition, liquidity needs as well as other changes to the Company’s business and operations may impact the Company’s ability to maintain compliance with certain covenants under the amended Credit Agreement. The Company may also be subject to impairment losses based on long-term estimated projections. </w:t>
      </w:r>
      <w:r>
        <w:rPr>
          <w:rFonts w:ascii="Arial" w:cs="Arial" w:eastAsia="Arial" w:hAnsi="Arial"/>
          <w:sz w:val="16"/>
          <w:szCs w:val="16"/>
          <w:color w:val="000000"/>
        </w:rPr>
        <w:t>These estimates and the likelihood of future changes in</w:t>
      </w:r>
      <w:r>
        <w:rPr>
          <w:rFonts w:ascii="Arial" w:cs="Arial" w:eastAsia="Arial" w:hAnsi="Arial"/>
          <w:sz w:val="16"/>
          <w:szCs w:val="16"/>
          <w:color w:val="212529"/>
        </w:rPr>
        <w:t xml:space="preserve"> </w:t>
      </w:r>
      <w:r>
        <w:rPr>
          <w:rFonts w:ascii="Arial" w:cs="Arial" w:eastAsia="Arial" w:hAnsi="Arial"/>
          <w:sz w:val="16"/>
          <w:szCs w:val="16"/>
          <w:color w:val="000000"/>
        </w:rPr>
        <w:t xml:space="preserve">these estimates depend on a number of underlying variables and a range of possible outcomes. Actual results may materially differ from management’s estimates, especially due to the uncertainties associated with the COVID-19 pandemic. </w:t>
      </w:r>
      <w:r>
        <w:rPr>
          <w:rFonts w:ascii="Arial" w:cs="Arial" w:eastAsia="Arial" w:hAnsi="Arial"/>
          <w:sz w:val="16"/>
          <w:szCs w:val="16"/>
          <w:color w:val="212529"/>
        </w:rPr>
        <w:t>If business conditions deteriorate further, or should they remain</w:t>
      </w:r>
      <w:r>
        <w:rPr>
          <w:rFonts w:ascii="Arial" w:cs="Arial" w:eastAsia="Arial" w:hAnsi="Arial"/>
          <w:sz w:val="16"/>
          <w:szCs w:val="16"/>
          <w:color w:val="000000"/>
        </w:rPr>
        <w:t xml:space="preserve"> </w:t>
      </w:r>
      <w:r>
        <w:rPr>
          <w:rFonts w:ascii="Arial" w:cs="Arial" w:eastAsia="Arial" w:hAnsi="Arial"/>
          <w:sz w:val="16"/>
          <w:szCs w:val="16"/>
          <w:color w:val="212529"/>
        </w:rPr>
        <w:t>depressed for a prolonged period of time, management’s estimates of operating results and future cash flows for reporting units may be insufficient to support the goodwill assigned to them, thus requiring impairment charges. Estimates related to future expected credit losses and deferred tax assets could also be materially impacted by changes in estimates in the future.</w:t>
      </w:r>
    </w:p>
    <w:p>
      <w:pPr>
        <w:spacing w:after="0" w:line="169" w:lineRule="exact"/>
        <w:rPr>
          <w:sz w:val="20"/>
          <w:szCs w:val="20"/>
          <w:color w:val="auto"/>
        </w:rPr>
      </w:pPr>
    </w:p>
    <w:p>
      <w:pPr>
        <w:jc w:val="both"/>
        <w:ind w:firstLine="255"/>
        <w:spacing w:after="0" w:line="268" w:lineRule="auto"/>
        <w:rPr>
          <w:sz w:val="20"/>
          <w:szCs w:val="20"/>
          <w:color w:val="auto"/>
        </w:rPr>
      </w:pPr>
      <w:r>
        <w:rPr>
          <w:rFonts w:ascii="Arial" w:cs="Arial" w:eastAsia="Arial" w:hAnsi="Arial"/>
          <w:sz w:val="17"/>
          <w:szCs w:val="17"/>
          <w:color w:val="212529"/>
        </w:rPr>
        <w:t xml:space="preserve">In addition, the COVID-19 pandemic and public health measures implemented to contain it may also have the effect of heightening many of the other risks described in the Company’s </w:t>
      </w:r>
      <w:r>
        <w:rPr>
          <w:rFonts w:ascii="Arial" w:cs="Arial" w:eastAsia="Arial" w:hAnsi="Arial"/>
          <w:sz w:val="17"/>
          <w:szCs w:val="17"/>
          <w:color w:val="000000"/>
        </w:rPr>
        <w:t>2019</w:t>
      </w:r>
      <w:r>
        <w:rPr>
          <w:rFonts w:ascii="Arial" w:cs="Arial" w:eastAsia="Arial" w:hAnsi="Arial"/>
          <w:sz w:val="17"/>
          <w:szCs w:val="17"/>
          <w:color w:val="212529"/>
        </w:rPr>
        <w:t xml:space="preserve"> Form 10-K, including, but not limited to, risks relating to harm to our key personnel, diverting management’s resources and time to addressing the impacts of COVID-19 which may negatively affect the Company’s ability to implement its business plan and pursue certain opportunities, potential impairments, the effectiveness of our internal control of financial reporting, cybersecurity and data privacy risks due to employees working from home, and risks of increased indebtedness due to the full draw down of the Credit Facility, including the Company’s ability to seek waivers of covenants or to refinance such borrowings, among others. The longer the COVID-19 pandemic and associated protective measures persist, the more severe the extent of the adverse impact of the pandemic on the Company is likely to be.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4" w:lineRule="exact"/>
        <w:rPr>
          <w:sz w:val="20"/>
          <w:szCs w:val="20"/>
          <w:color w:val="auto"/>
        </w:rPr>
      </w:pPr>
    </w:p>
    <w:p>
      <w:pPr>
        <w:jc w:val="both"/>
        <w:ind w:firstLine="224"/>
        <w:spacing w:after="0" w:line="270" w:lineRule="auto"/>
        <w:rPr>
          <w:sz w:val="20"/>
          <w:szCs w:val="20"/>
          <w:color w:val="auto"/>
        </w:rPr>
      </w:pPr>
      <w:r>
        <w:rPr>
          <w:rFonts w:ascii="Arial" w:cs="Arial" w:eastAsia="Arial" w:hAnsi="Arial"/>
          <w:sz w:val="17"/>
          <w:szCs w:val="17"/>
          <w:color w:val="auto"/>
        </w:rPr>
        <w:t>In 2017, the Company’s Board of Directors approved a new $200.0 million share repurchase program for shares of the Company’s common shares, that would have expired on, June 30, 2020. In June 2020, the Board of Directors approved a 12-month extension of this program which will now expire on June 30, 2021. The repurchases may be made either in the open market or through private transactions, subject to market conditions, applicable legal requirements and other relevant factors. The Company has no obligation to repurchase shares and the share repurchase program may be suspended or discontinued by the Company at any time. During the three months ended June 30, 2020, the Company did not repurchase any shares under this program. As at June 30, 2020, the Company has $89.4 million available under its approved repurchase program.</w:t>
      </w:r>
    </w:p>
    <w:p>
      <w:pPr>
        <w:spacing w:after="0" w:line="137" w:lineRule="exact"/>
        <w:rPr>
          <w:sz w:val="20"/>
          <w:szCs w:val="20"/>
          <w:color w:val="auto"/>
        </w:rPr>
      </w:pPr>
    </w:p>
    <w:p>
      <w:pPr>
        <w:jc w:val="both"/>
        <w:ind w:firstLine="224"/>
        <w:spacing w:after="0" w:line="286" w:lineRule="auto"/>
        <w:rPr>
          <w:sz w:val="20"/>
          <w:szCs w:val="20"/>
          <w:color w:val="auto"/>
        </w:rPr>
      </w:pPr>
      <w:r>
        <w:rPr>
          <w:rFonts w:ascii="Arial" w:cs="Arial" w:eastAsia="Arial" w:hAnsi="Arial"/>
          <w:sz w:val="16"/>
          <w:szCs w:val="16"/>
          <w:color w:val="auto"/>
        </w:rPr>
        <w:t>In 2019, IMAX China announced that its shareholders granted its Board of Directors a general mandate authorizing the Board, subject to applicable laws, to repurchase shares of IMAX China in an amount not to exceed 10% of the total number of issued shares of IMAX China as at June 6, 2019 (35,605,560 shares). This program expired on the date of the 2020 Annual General Meeting of IMAX China on June 11, 2020. During the 2020 Annual General Meeting, shareholders approved the repurchase of shares of IMAX China not to exceed 10% of the total number of issued shares as of June 11, 2020 (34,848,398 shares). This program will be valid until the 2021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In the three and six months ended June 30, 2020, IMAX China repurchased 425,800 and 906,400 common shares, respectively at an average price of HKD 11.63 per share and HKD 13.13 per share, respectively ($1.50 and $1.69 per share,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35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7" w:name="page78"/>
    <w:bookmarkEnd w:id="77"/>
    <w:p>
      <w:pPr>
        <w:ind w:firstLine="224"/>
        <w:spacing w:after="0" w:line="270" w:lineRule="auto"/>
        <w:rPr>
          <w:sz w:val="20"/>
          <w:szCs w:val="20"/>
          <w:color w:val="auto"/>
        </w:rPr>
      </w:pPr>
      <w:r>
        <w:rPr>
          <w:rFonts w:ascii="Arial" w:cs="Arial" w:eastAsia="Arial" w:hAnsi="Arial"/>
          <w:sz w:val="18"/>
          <w:szCs w:val="18"/>
          <w:color w:val="auto"/>
        </w:rPr>
        <w:t>The total number of shares purchased during the three and six months ended June 30, 2020, under both the Company and IMAX China’s repurchase plans, does not include any shares purchased in the administration of employee share-based compensation plans.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jc w:val="center"/>
              <w:ind w:left="893"/>
              <w:spacing w:after="0"/>
              <w:rPr>
                <w:sz w:val="20"/>
                <w:szCs w:val="20"/>
                <w:color w:val="auto"/>
              </w:rPr>
            </w:pPr>
            <w:r>
              <w:rPr>
                <w:rFonts w:ascii="Arial" w:cs="Arial" w:eastAsia="Arial" w:hAnsi="Arial"/>
                <w:sz w:val="14"/>
                <w:szCs w:val="14"/>
                <w:b w:val="1"/>
                <w:bCs w:val="1"/>
                <w:color w:val="auto"/>
                <w:w w:val="94"/>
              </w:rPr>
              <w:t>Exhibit</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240" w:type="dxa"/>
            <w:vAlign w:val="bottom"/>
            <w:gridSpan w:val="3"/>
            <w:vMerge w:val="restart"/>
          </w:tcPr>
          <w:p>
            <w:pPr>
              <w:ind w:left="2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0"/>
        </w:trPr>
        <w:tc>
          <w:tcPr>
            <w:tcW w:w="1420" w:type="dxa"/>
            <w:vAlign w:val="bottom"/>
            <w:tcBorders>
              <w:bottom w:val="single" w:sz="8" w:color="auto"/>
            </w:tcBorders>
          </w:tcPr>
          <w:p>
            <w:pPr>
              <w:jc w:val="center"/>
              <w:ind w:left="893"/>
              <w:spacing w:after="0"/>
              <w:rPr>
                <w:sz w:val="20"/>
                <w:szCs w:val="20"/>
                <w:color w:val="auto"/>
              </w:rPr>
            </w:pPr>
            <w:r>
              <w:rPr>
                <w:rFonts w:ascii="Arial" w:cs="Arial" w:eastAsia="Arial" w:hAnsi="Arial"/>
                <w:sz w:val="14"/>
                <w:szCs w:val="14"/>
                <w:b w:val="1"/>
                <w:bCs w:val="1"/>
                <w:color w:val="auto"/>
                <w:w w:val="88"/>
              </w:rPr>
              <w:t>No.</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724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420" w:type="dxa"/>
            <w:vAlign w:val="bottom"/>
          </w:tcPr>
          <w:p>
            <w:pPr>
              <w:jc w:val="center"/>
              <w:spacing w:after="0"/>
              <w:rPr>
                <w:sz w:val="20"/>
                <w:szCs w:val="20"/>
                <w:color w:val="auto"/>
              </w:rPr>
            </w:pPr>
            <w:r>
              <w:rPr>
                <w:rFonts w:ascii="Arial" w:cs="Arial" w:eastAsia="Arial" w:hAnsi="Arial"/>
                <w:sz w:val="18"/>
                <w:szCs w:val="18"/>
                <w:color w:val="auto"/>
                <w:w w:val="88"/>
              </w:rPr>
              <w:t>10.48</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780" w:type="dxa"/>
            <w:vAlign w:val="bottom"/>
            <w:gridSpan w:val="4"/>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Employment Agreement, dated October 18, 2018, between IMAX Corporation and Megan Colligan.</w:t>
              </w:r>
            </w:hyperlink>
          </w:p>
        </w:tc>
        <w:tc>
          <w:tcPr>
            <w:tcW w:w="0" w:type="dxa"/>
            <w:vAlign w:val="bottom"/>
          </w:tcPr>
          <w:p>
            <w:pPr>
              <w:spacing w:after="0"/>
              <w:rPr>
                <w:sz w:val="1"/>
                <w:szCs w:val="1"/>
                <w:color w:val="auto"/>
              </w:rPr>
            </w:pPr>
          </w:p>
        </w:tc>
      </w:tr>
      <w:tr>
        <w:trPr>
          <w:trHeight w:val="281"/>
        </w:trPr>
        <w:tc>
          <w:tcPr>
            <w:tcW w:w="1420" w:type="dxa"/>
            <w:vAlign w:val="bottom"/>
          </w:tcPr>
          <w:p>
            <w:pPr>
              <w:jc w:val="center"/>
              <w:spacing w:after="0"/>
              <w:rPr>
                <w:sz w:val="20"/>
                <w:szCs w:val="20"/>
                <w:color w:val="auto"/>
              </w:rPr>
            </w:pPr>
            <w:r>
              <w:rPr>
                <w:rFonts w:ascii="Arial" w:cs="Arial" w:eastAsia="Arial" w:hAnsi="Arial"/>
                <w:sz w:val="18"/>
                <w:szCs w:val="18"/>
                <w:color w:val="auto"/>
                <w:w w:val="88"/>
              </w:rPr>
              <w:t>10.49</w:t>
            </w:r>
          </w:p>
        </w:tc>
        <w:tc>
          <w:tcPr>
            <w:tcW w:w="1020" w:type="dxa"/>
            <w:vAlign w:val="bottom"/>
          </w:tcPr>
          <w:p>
            <w:pPr>
              <w:spacing w:after="0"/>
              <w:rPr>
                <w:sz w:val="24"/>
                <w:szCs w:val="24"/>
                <w:color w:val="auto"/>
              </w:rPr>
            </w:pPr>
          </w:p>
        </w:tc>
        <w:tc>
          <w:tcPr>
            <w:tcW w:w="8800" w:type="dxa"/>
            <w:vAlign w:val="bottom"/>
            <w:gridSpan w:val="5"/>
          </w:tcPr>
          <w:p>
            <w:pPr>
              <w:spacing w:after="0"/>
              <w:rPr>
                <w:rFonts w:ascii="Arial" w:cs="Arial" w:eastAsia="Arial" w:hAnsi="Arial"/>
                <w:sz w:val="18"/>
                <w:szCs w:val="18"/>
                <w:color w:val="0000EE"/>
                <w:w w:val="98"/>
              </w:rPr>
            </w:pPr>
            <w:hyperlink r:id="rId114">
              <w:r>
                <w:rPr>
                  <w:rFonts w:ascii="Arial" w:cs="Arial" w:eastAsia="Arial" w:hAnsi="Arial"/>
                  <w:sz w:val="18"/>
                  <w:szCs w:val="18"/>
                  <w:color w:val="0000EE"/>
                  <w:w w:val="98"/>
                </w:rPr>
                <w:t>Summary of Employment Arrangement, effective October 3, 2011 between IMAX Corporation and Mark Welton.</w:t>
              </w:r>
            </w:hyperlink>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0" w:type="dxa"/>
            <w:vAlign w:val="bottom"/>
            <w:tcBorders>
              <w:bottom w:val="single" w:sz="8" w:color="0000EE"/>
            </w:tcBorders>
            <w:gridSpan w:val="5"/>
          </w:tcPr>
          <w:p>
            <w:pPr>
              <w:spacing w:after="0" w:line="194"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Incorporated by reference to Exhibit 10.38 to IMAX Corporation’s Form 10-Q for the quarter ended September 30, 2011</w:t>
              </w:r>
            </w:hyperlink>
          </w:p>
        </w:tc>
        <w:tc>
          <w:tcPr>
            <w:tcW w:w="0" w:type="dxa"/>
            <w:vAlign w:val="bottom"/>
          </w:tcPr>
          <w:p>
            <w:pPr>
              <w:spacing w:after="0"/>
              <w:rPr>
                <w:sz w:val="1"/>
                <w:szCs w:val="1"/>
                <w:color w:val="auto"/>
              </w:rPr>
            </w:pPr>
          </w:p>
        </w:tc>
      </w:tr>
      <w:tr>
        <w:trPr>
          <w:trHeight w:val="194"/>
        </w:trPr>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0" w:type="dxa"/>
            <w:vAlign w:val="bottom"/>
            <w:gridSpan w:val="5"/>
          </w:tcPr>
          <w:p>
            <w:pPr>
              <w:spacing w:after="0" w:line="194" w:lineRule="exact"/>
              <w:rPr>
                <w:rFonts w:ascii="Arial" w:cs="Arial" w:eastAsia="Arial" w:hAnsi="Arial"/>
                <w:sz w:val="18"/>
                <w:szCs w:val="18"/>
                <w:color w:val="0000EE"/>
              </w:rPr>
            </w:pPr>
            <w:hyperlink r:id="rId114">
              <w:r>
                <w:rPr>
                  <w:rFonts w:ascii="Arial" w:cs="Arial" w:eastAsia="Arial" w:hAnsi="Arial"/>
                  <w:sz w:val="18"/>
                  <w:szCs w:val="18"/>
                  <w:color w:val="0000EE"/>
                </w:rPr>
                <w:t>(File No. 001-35066).</w:t>
              </w:r>
            </w:hyperlink>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1420" w:type="dxa"/>
            <w:vAlign w:val="bottom"/>
          </w:tcPr>
          <w:p>
            <w:pPr>
              <w:jc w:val="center"/>
              <w:spacing w:after="0"/>
              <w:rPr>
                <w:sz w:val="20"/>
                <w:szCs w:val="20"/>
                <w:color w:val="auto"/>
              </w:rPr>
            </w:pPr>
            <w:r>
              <w:rPr>
                <w:rFonts w:ascii="Arial" w:cs="Arial" w:eastAsia="Arial" w:hAnsi="Arial"/>
                <w:sz w:val="18"/>
                <w:szCs w:val="18"/>
                <w:color w:val="auto"/>
                <w:w w:val="88"/>
              </w:rPr>
              <w:t>10.50</w:t>
            </w:r>
          </w:p>
        </w:tc>
        <w:tc>
          <w:tcPr>
            <w:tcW w:w="1020" w:type="dxa"/>
            <w:vAlign w:val="bottom"/>
          </w:tcPr>
          <w:p>
            <w:pPr>
              <w:spacing w:after="0"/>
              <w:rPr>
                <w:sz w:val="24"/>
                <w:szCs w:val="24"/>
                <w:color w:val="auto"/>
              </w:rPr>
            </w:pPr>
          </w:p>
        </w:tc>
        <w:tc>
          <w:tcPr>
            <w:tcW w:w="8800" w:type="dxa"/>
            <w:vAlign w:val="bottom"/>
            <w:tcBorders>
              <w:bottom w:val="single" w:sz="8" w:color="0000EE"/>
            </w:tcBorders>
            <w:gridSpan w:val="5"/>
          </w:tcPr>
          <w:p>
            <w:pPr>
              <w:spacing w:after="0"/>
              <w:rPr>
                <w:rFonts w:ascii="Arial" w:cs="Arial" w:eastAsia="Arial" w:hAnsi="Arial"/>
                <w:sz w:val="18"/>
                <w:szCs w:val="18"/>
                <w:color w:val="0000EE"/>
                <w:w w:val="95"/>
              </w:rPr>
            </w:pPr>
            <w:hyperlink r:id="rId115">
              <w:r>
                <w:rPr>
                  <w:rFonts w:ascii="Arial" w:cs="Arial" w:eastAsia="Arial" w:hAnsi="Arial"/>
                  <w:sz w:val="18"/>
                  <w:szCs w:val="18"/>
                  <w:color w:val="0000EE"/>
                  <w:w w:val="95"/>
                </w:rPr>
                <w:t>First Amendment to Fifth Amended and Restated Credit Agreement entered into on June 10, 2020. Incorporated by</w:t>
              </w:r>
            </w:hyperlink>
          </w:p>
        </w:tc>
        <w:tc>
          <w:tcPr>
            <w:tcW w:w="0" w:type="dxa"/>
            <w:vAlign w:val="bottom"/>
          </w:tcPr>
          <w:p>
            <w:pPr>
              <w:spacing w:after="0"/>
              <w:rPr>
                <w:sz w:val="1"/>
                <w:szCs w:val="1"/>
                <w:color w:val="auto"/>
              </w:rPr>
            </w:pPr>
          </w:p>
        </w:tc>
      </w:tr>
      <w:tr>
        <w:trPr>
          <w:trHeight w:val="232"/>
        </w:trPr>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0" w:type="dxa"/>
            <w:vAlign w:val="bottom"/>
            <w:gridSpan w:val="5"/>
          </w:tcPr>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reference to Exhibit 10.1 to IMAX Corporation’s Form 8-K dated as of June 11, 2020 (File No. 001-35066).</w:t>
              </w:r>
            </w:hyperlink>
          </w:p>
        </w:tc>
        <w:tc>
          <w:tcPr>
            <w:tcW w:w="0" w:type="dxa"/>
            <w:vAlign w:val="bottom"/>
          </w:tcPr>
          <w:p>
            <w:pPr>
              <w:spacing w:after="0"/>
              <w:rPr>
                <w:sz w:val="1"/>
                <w:szCs w:val="1"/>
                <w:color w:val="auto"/>
              </w:rPr>
            </w:pPr>
          </w:p>
        </w:tc>
      </w:tr>
      <w:tr>
        <w:trPr>
          <w:trHeight w:val="295"/>
        </w:trPr>
        <w:tc>
          <w:tcPr>
            <w:tcW w:w="1420" w:type="dxa"/>
            <w:vAlign w:val="bottom"/>
          </w:tcPr>
          <w:p>
            <w:pPr>
              <w:jc w:val="center"/>
              <w:spacing w:after="0"/>
              <w:rPr>
                <w:sz w:val="20"/>
                <w:szCs w:val="20"/>
                <w:color w:val="auto"/>
              </w:rPr>
            </w:pPr>
            <w:r>
              <w:rPr>
                <w:rFonts w:ascii="Arial" w:cs="Arial" w:eastAsia="Arial" w:hAnsi="Arial"/>
                <w:sz w:val="18"/>
                <w:szCs w:val="18"/>
                <w:color w:val="auto"/>
                <w:w w:val="88"/>
              </w:rPr>
              <w:t>10.51</w:t>
            </w:r>
          </w:p>
        </w:tc>
        <w:tc>
          <w:tcPr>
            <w:tcW w:w="1020" w:type="dxa"/>
            <w:vAlign w:val="bottom"/>
          </w:tcPr>
          <w:p>
            <w:pPr>
              <w:spacing w:after="0"/>
              <w:rPr>
                <w:sz w:val="24"/>
                <w:szCs w:val="24"/>
                <w:color w:val="auto"/>
              </w:rPr>
            </w:pPr>
          </w:p>
        </w:tc>
        <w:tc>
          <w:tcPr>
            <w:tcW w:w="8800" w:type="dxa"/>
            <w:vAlign w:val="bottom"/>
            <w:tcBorders>
              <w:bottom w:val="single" w:sz="8" w:color="0000EE"/>
            </w:tcBorders>
            <w:gridSpan w:val="5"/>
          </w:tcPr>
          <w:p>
            <w:pPr>
              <w:spacing w:after="0"/>
              <w:rPr>
                <w:rFonts w:ascii="Arial" w:cs="Arial" w:eastAsia="Arial" w:hAnsi="Arial"/>
                <w:sz w:val="18"/>
                <w:szCs w:val="18"/>
                <w:color w:val="0000EE"/>
              </w:rPr>
            </w:pPr>
            <w:hyperlink r:id="rId116">
              <w:r>
                <w:rPr>
                  <w:rFonts w:ascii="Arial" w:cs="Arial" w:eastAsia="Arial" w:hAnsi="Arial"/>
                  <w:sz w:val="18"/>
                  <w:szCs w:val="18"/>
                  <w:color w:val="0000EE"/>
                </w:rPr>
                <w:t>Second Amended and Restated Long-Term Incentive Plan. Incorporated by reference to Exhibit 10.1 to IMAX</w:t>
              </w:r>
            </w:hyperlink>
          </w:p>
        </w:tc>
        <w:tc>
          <w:tcPr>
            <w:tcW w:w="0" w:type="dxa"/>
            <w:vAlign w:val="bottom"/>
          </w:tcPr>
          <w:p>
            <w:pPr>
              <w:spacing w:after="0"/>
              <w:rPr>
                <w:sz w:val="1"/>
                <w:szCs w:val="1"/>
                <w:color w:val="auto"/>
              </w:rPr>
            </w:pPr>
          </w:p>
        </w:tc>
      </w:tr>
      <w:tr>
        <w:trPr>
          <w:trHeight w:val="194"/>
        </w:trPr>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0" w:type="dxa"/>
            <w:vAlign w:val="bottom"/>
            <w:gridSpan w:val="5"/>
          </w:tcPr>
          <w:p>
            <w:pPr>
              <w:spacing w:after="0" w:line="194" w:lineRule="exact"/>
              <w:rPr>
                <w:rFonts w:ascii="Arial" w:cs="Arial" w:eastAsia="Arial" w:hAnsi="Arial"/>
                <w:sz w:val="18"/>
                <w:szCs w:val="18"/>
                <w:color w:val="0000EE"/>
              </w:rPr>
            </w:pPr>
            <w:hyperlink r:id="rId116">
              <w:r>
                <w:rPr>
                  <w:rFonts w:ascii="Arial" w:cs="Arial" w:eastAsia="Arial" w:hAnsi="Arial"/>
                  <w:sz w:val="18"/>
                  <w:szCs w:val="18"/>
                  <w:color w:val="0000EE"/>
                </w:rPr>
                <w:t>Corporation’s Form 8-K dated as of June 5, 2020 (File No. 001-35066).</w:t>
              </w:r>
            </w:hyperlink>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100" w:type="dxa"/>
            <w:vAlign w:val="bottom"/>
            <w:gridSpan w:val="3"/>
            <w:shd w:val="clear" w:color="auto" w:fill="0000EE"/>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20" w:type="dxa"/>
            <w:vAlign w:val="bottom"/>
          </w:tcPr>
          <w:p>
            <w:pPr>
              <w:spacing w:after="0"/>
              <w:rPr>
                <w:sz w:val="24"/>
                <w:szCs w:val="24"/>
                <w:color w:val="auto"/>
              </w:rPr>
            </w:pPr>
          </w:p>
        </w:tc>
        <w:tc>
          <w:tcPr>
            <w:tcW w:w="8800" w:type="dxa"/>
            <w:vAlign w:val="bottom"/>
            <w:gridSpan w:val="5"/>
          </w:tcPr>
          <w:p>
            <w:pPr>
              <w:spacing w:after="0"/>
              <w:rPr>
                <w:rFonts w:ascii="Arial" w:cs="Arial" w:eastAsia="Arial" w:hAnsi="Arial"/>
                <w:sz w:val="18"/>
                <w:szCs w:val="18"/>
                <w:u w:val="single" w:color="auto"/>
                <w:color w:val="0000EE"/>
                <w:w w:val="94"/>
              </w:rPr>
            </w:pPr>
            <w:hyperlink w:anchor="page91">
              <w:r>
                <w:rPr>
                  <w:rFonts w:ascii="Arial" w:cs="Arial" w:eastAsia="Arial" w:hAnsi="Arial"/>
                  <w:sz w:val="18"/>
                  <w:szCs w:val="18"/>
                  <w:u w:val="single" w:color="auto"/>
                  <w:color w:val="0000EE"/>
                  <w:w w:val="94"/>
                </w:rPr>
                <w:t>Certification Pursuant to Section 302 of the Sarbanes-Oxley Act of 2002, dated July 28, 2020, by Richard L. Gelfond.</w:t>
              </w:r>
            </w:hyperlink>
          </w:p>
        </w:tc>
        <w:tc>
          <w:tcPr>
            <w:tcW w:w="0" w:type="dxa"/>
            <w:vAlign w:val="bottom"/>
          </w:tcPr>
          <w:p>
            <w:pPr>
              <w:spacing w:after="0"/>
              <w:rPr>
                <w:sz w:val="1"/>
                <w:szCs w:val="1"/>
                <w:color w:val="auto"/>
              </w:rPr>
            </w:pPr>
          </w:p>
        </w:tc>
      </w:tr>
      <w:tr>
        <w:trPr>
          <w:trHeight w:val="334"/>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20" w:type="dxa"/>
            <w:vAlign w:val="bottom"/>
          </w:tcPr>
          <w:p>
            <w:pPr>
              <w:spacing w:after="0"/>
              <w:rPr>
                <w:sz w:val="24"/>
                <w:szCs w:val="24"/>
                <w:color w:val="auto"/>
              </w:rPr>
            </w:pPr>
          </w:p>
        </w:tc>
        <w:tc>
          <w:tcPr>
            <w:tcW w:w="8800" w:type="dxa"/>
            <w:vAlign w:val="bottom"/>
            <w:gridSpan w:val="5"/>
          </w:tcPr>
          <w:p>
            <w:pPr>
              <w:spacing w:after="0"/>
              <w:rPr>
                <w:rFonts w:ascii="Arial" w:cs="Arial" w:eastAsia="Arial" w:hAnsi="Arial"/>
                <w:sz w:val="18"/>
                <w:szCs w:val="18"/>
                <w:color w:val="0000EE"/>
                <w:w w:val="94"/>
              </w:rPr>
            </w:pPr>
            <w:hyperlink w:anchor="page92">
              <w:r>
                <w:rPr>
                  <w:rFonts w:ascii="Arial" w:cs="Arial" w:eastAsia="Arial" w:hAnsi="Arial"/>
                  <w:sz w:val="18"/>
                  <w:szCs w:val="18"/>
                  <w:u w:val="single" w:color="auto"/>
                  <w:color w:val="0000EE"/>
                  <w:w w:val="94"/>
                </w:rPr>
                <w:t>Certification Pursuant to Section 302 of the Sarbanes-Oxley Act of 2002, dated July 28, 2020, by Patrick McClymont</w:t>
              </w:r>
              <w:r>
                <w:rPr>
                  <w:rFonts w:ascii="Arial" w:cs="Arial" w:eastAsia="Arial" w:hAnsi="Arial"/>
                  <w:sz w:val="18"/>
                  <w:szCs w:val="18"/>
                  <w:color w:val="0000EE"/>
                  <w:w w:val="94"/>
                </w:rPr>
                <w:t>.</w:t>
              </w:r>
            </w:hyperlink>
          </w:p>
        </w:tc>
        <w:tc>
          <w:tcPr>
            <w:tcW w:w="0" w:type="dxa"/>
            <w:vAlign w:val="bottom"/>
          </w:tcPr>
          <w:p>
            <w:pPr>
              <w:spacing w:after="0"/>
              <w:rPr>
                <w:sz w:val="1"/>
                <w:szCs w:val="1"/>
                <w:color w:val="auto"/>
              </w:rPr>
            </w:pPr>
          </w:p>
        </w:tc>
      </w:tr>
      <w:tr>
        <w:trPr>
          <w:trHeight w:val="334"/>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20" w:type="dxa"/>
            <w:vAlign w:val="bottom"/>
          </w:tcPr>
          <w:p>
            <w:pPr>
              <w:spacing w:after="0"/>
              <w:rPr>
                <w:sz w:val="24"/>
                <w:szCs w:val="24"/>
                <w:color w:val="auto"/>
              </w:rPr>
            </w:pPr>
          </w:p>
        </w:tc>
        <w:tc>
          <w:tcPr>
            <w:tcW w:w="8800" w:type="dxa"/>
            <w:vAlign w:val="bottom"/>
            <w:gridSpan w:val="5"/>
          </w:tcPr>
          <w:p>
            <w:pPr>
              <w:spacing w:after="0"/>
              <w:rPr>
                <w:rFonts w:ascii="Arial" w:cs="Arial" w:eastAsia="Arial" w:hAnsi="Arial"/>
                <w:sz w:val="18"/>
                <w:szCs w:val="18"/>
                <w:u w:val="single" w:color="auto"/>
                <w:color w:val="0000EE"/>
                <w:w w:val="94"/>
              </w:rPr>
            </w:pPr>
            <w:hyperlink w:anchor="page93">
              <w:r>
                <w:rPr>
                  <w:rFonts w:ascii="Arial" w:cs="Arial" w:eastAsia="Arial" w:hAnsi="Arial"/>
                  <w:sz w:val="18"/>
                  <w:szCs w:val="18"/>
                  <w:u w:val="single" w:color="auto"/>
                  <w:color w:val="0000EE"/>
                  <w:w w:val="94"/>
                </w:rPr>
                <w:t>Certification Pursuant to Section 906 of the Sarbanes-Oxley Act of 2002, dated July 28, 2020, by Richard L. Gelfond.</w:t>
              </w:r>
            </w:hyperlink>
          </w:p>
        </w:tc>
        <w:tc>
          <w:tcPr>
            <w:tcW w:w="0" w:type="dxa"/>
            <w:vAlign w:val="bottom"/>
          </w:tcPr>
          <w:p>
            <w:pPr>
              <w:spacing w:after="0"/>
              <w:rPr>
                <w:sz w:val="1"/>
                <w:szCs w:val="1"/>
                <w:color w:val="auto"/>
              </w:rPr>
            </w:pPr>
          </w:p>
        </w:tc>
      </w:tr>
      <w:tr>
        <w:trPr>
          <w:trHeight w:val="334"/>
        </w:trPr>
        <w:tc>
          <w:tcPr>
            <w:tcW w:w="14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20" w:type="dxa"/>
            <w:vAlign w:val="bottom"/>
          </w:tcPr>
          <w:p>
            <w:pPr>
              <w:spacing w:after="0"/>
              <w:rPr>
                <w:sz w:val="24"/>
                <w:szCs w:val="24"/>
                <w:color w:val="auto"/>
              </w:rPr>
            </w:pPr>
          </w:p>
        </w:tc>
        <w:tc>
          <w:tcPr>
            <w:tcW w:w="8800" w:type="dxa"/>
            <w:vAlign w:val="bottom"/>
            <w:gridSpan w:val="5"/>
          </w:tcPr>
          <w:p>
            <w:pPr>
              <w:spacing w:after="0"/>
              <w:rPr>
                <w:rFonts w:ascii="Arial" w:cs="Arial" w:eastAsia="Arial" w:hAnsi="Arial"/>
                <w:sz w:val="18"/>
                <w:szCs w:val="18"/>
                <w:color w:val="0000EE"/>
                <w:w w:val="94"/>
              </w:rPr>
            </w:pPr>
            <w:hyperlink w:anchor="page94">
              <w:r>
                <w:rPr>
                  <w:rFonts w:ascii="Arial" w:cs="Arial" w:eastAsia="Arial" w:hAnsi="Arial"/>
                  <w:sz w:val="18"/>
                  <w:szCs w:val="18"/>
                  <w:u w:val="single" w:color="auto"/>
                  <w:color w:val="0000EE"/>
                  <w:w w:val="94"/>
                </w:rPr>
                <w:t>Certification Pursuant to Section 906 of the Sarbanes-Oxley Act of 2002, dated July 28, 2020, by Patrick McClymont</w:t>
              </w:r>
              <w:r>
                <w:rPr>
                  <w:rFonts w:ascii="Arial" w:cs="Arial" w:eastAsia="Arial" w:hAnsi="Arial"/>
                  <w:sz w:val="18"/>
                  <w:szCs w:val="18"/>
                  <w:color w:val="0000EE"/>
                  <w:w w:val="94"/>
                </w:rPr>
                <w:t>.</w:t>
              </w:r>
            </w:hyperlink>
          </w:p>
        </w:tc>
        <w:tc>
          <w:tcPr>
            <w:tcW w:w="0" w:type="dxa"/>
            <w:vAlign w:val="bottom"/>
          </w:tcPr>
          <w:p>
            <w:pPr>
              <w:spacing w:after="0"/>
              <w:rPr>
                <w:sz w:val="1"/>
                <w:szCs w:val="1"/>
                <w:color w:val="auto"/>
              </w:rPr>
            </w:pPr>
          </w:p>
        </w:tc>
      </w:tr>
      <w:tr>
        <w:trPr>
          <w:trHeight w:val="388"/>
        </w:trPr>
        <w:tc>
          <w:tcPr>
            <w:tcW w:w="1420" w:type="dxa"/>
            <w:vAlign w:val="bottom"/>
          </w:tcPr>
          <w:p>
            <w:pPr>
              <w:jc w:val="center"/>
              <w:ind w:right="573"/>
              <w:spacing w:after="0"/>
              <w:rPr>
                <w:sz w:val="20"/>
                <w:szCs w:val="20"/>
                <w:color w:val="auto"/>
              </w:rPr>
            </w:pPr>
            <w:r>
              <w:rPr>
                <w:rFonts w:ascii="Arial" w:cs="Arial" w:eastAsia="Arial" w:hAnsi="Arial"/>
                <w:sz w:val="18"/>
                <w:szCs w:val="18"/>
                <w:color w:val="auto"/>
                <w:w w:val="92"/>
              </w:rPr>
              <w:t>101.INS</w:t>
            </w:r>
          </w:p>
        </w:tc>
        <w:tc>
          <w:tcPr>
            <w:tcW w:w="9820" w:type="dxa"/>
            <w:vAlign w:val="bottom"/>
            <w:gridSpan w:val="6"/>
          </w:tcPr>
          <w:p>
            <w:pPr>
              <w:ind w:left="360"/>
              <w:spacing w:after="0"/>
              <w:rPr>
                <w:sz w:val="20"/>
                <w:szCs w:val="20"/>
                <w:color w:val="auto"/>
              </w:rPr>
            </w:pPr>
            <w:r>
              <w:rPr>
                <w:rFonts w:ascii="Arial" w:cs="Arial" w:eastAsia="Arial" w:hAnsi="Arial"/>
                <w:sz w:val="18"/>
                <w:szCs w:val="18"/>
                <w:color w:val="auto"/>
                <w:w w:val="97"/>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9820" w:type="dxa"/>
            <w:vAlign w:val="bottom"/>
            <w:gridSpan w:val="6"/>
          </w:tcPr>
          <w:p>
            <w:pPr>
              <w:ind w:left="36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53"/>
              <w:spacing w:after="0"/>
              <w:rPr>
                <w:sz w:val="20"/>
                <w:szCs w:val="20"/>
                <w:color w:val="auto"/>
              </w:rPr>
            </w:pPr>
            <w:r>
              <w:rPr>
                <w:rFonts w:ascii="Arial" w:cs="Arial" w:eastAsia="Arial" w:hAnsi="Arial"/>
                <w:sz w:val="18"/>
                <w:szCs w:val="18"/>
                <w:color w:val="auto"/>
                <w:w w:val="90"/>
              </w:rPr>
              <w:t>101.SCH</w:t>
            </w:r>
          </w:p>
        </w:tc>
        <w:tc>
          <w:tcPr>
            <w:tcW w:w="9820" w:type="dxa"/>
            <w:vAlign w:val="bottom"/>
            <w:gridSpan w:val="6"/>
          </w:tcPr>
          <w:p>
            <w:pPr>
              <w:ind w:left="3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53"/>
              <w:spacing w:after="0"/>
              <w:rPr>
                <w:sz w:val="20"/>
                <w:szCs w:val="20"/>
                <w:color w:val="auto"/>
              </w:rPr>
            </w:pPr>
            <w:r>
              <w:rPr>
                <w:rFonts w:ascii="Arial" w:cs="Arial" w:eastAsia="Arial" w:hAnsi="Arial"/>
                <w:sz w:val="18"/>
                <w:szCs w:val="18"/>
                <w:color w:val="auto"/>
                <w:w w:val="94"/>
              </w:rPr>
              <w:t>101.CAL</w:t>
            </w:r>
          </w:p>
        </w:tc>
        <w:tc>
          <w:tcPr>
            <w:tcW w:w="9820" w:type="dxa"/>
            <w:vAlign w:val="bottom"/>
            <w:gridSpan w:val="6"/>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53"/>
              <w:spacing w:after="0"/>
              <w:rPr>
                <w:sz w:val="20"/>
                <w:szCs w:val="20"/>
                <w:color w:val="auto"/>
              </w:rPr>
            </w:pPr>
            <w:r>
              <w:rPr>
                <w:rFonts w:ascii="Arial" w:cs="Arial" w:eastAsia="Arial" w:hAnsi="Arial"/>
                <w:sz w:val="18"/>
                <w:szCs w:val="18"/>
                <w:color w:val="auto"/>
                <w:w w:val="92"/>
              </w:rPr>
              <w:t>101.DEF</w:t>
            </w:r>
          </w:p>
        </w:tc>
        <w:tc>
          <w:tcPr>
            <w:tcW w:w="9820" w:type="dxa"/>
            <w:vAlign w:val="bottom"/>
            <w:gridSpan w:val="6"/>
          </w:tcPr>
          <w:p>
            <w:pPr>
              <w:ind w:left="3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53"/>
              <w:spacing w:after="0"/>
              <w:rPr>
                <w:sz w:val="20"/>
                <w:szCs w:val="20"/>
                <w:color w:val="auto"/>
              </w:rPr>
            </w:pPr>
            <w:r>
              <w:rPr>
                <w:rFonts w:ascii="Arial" w:cs="Arial" w:eastAsia="Arial" w:hAnsi="Arial"/>
                <w:sz w:val="18"/>
                <w:szCs w:val="18"/>
                <w:color w:val="auto"/>
                <w:w w:val="95"/>
              </w:rPr>
              <w:t>101.LAB</w:t>
            </w:r>
          </w:p>
        </w:tc>
        <w:tc>
          <w:tcPr>
            <w:tcW w:w="9820" w:type="dxa"/>
            <w:vAlign w:val="bottom"/>
            <w:gridSpan w:val="6"/>
          </w:tcPr>
          <w:p>
            <w:pPr>
              <w:ind w:left="3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4"/>
        </w:trPr>
        <w:tc>
          <w:tcPr>
            <w:tcW w:w="1420" w:type="dxa"/>
            <w:vAlign w:val="bottom"/>
          </w:tcPr>
          <w:p>
            <w:pPr>
              <w:jc w:val="center"/>
              <w:ind w:right="573"/>
              <w:spacing w:after="0"/>
              <w:rPr>
                <w:sz w:val="20"/>
                <w:szCs w:val="20"/>
                <w:color w:val="auto"/>
              </w:rPr>
            </w:pPr>
            <w:r>
              <w:rPr>
                <w:rFonts w:ascii="Arial" w:cs="Arial" w:eastAsia="Arial" w:hAnsi="Arial"/>
                <w:sz w:val="18"/>
                <w:szCs w:val="18"/>
                <w:color w:val="auto"/>
                <w:w w:val="88"/>
              </w:rPr>
              <w:t>101.PRE</w:t>
            </w:r>
          </w:p>
        </w:tc>
        <w:tc>
          <w:tcPr>
            <w:tcW w:w="9820" w:type="dxa"/>
            <w:vAlign w:val="bottom"/>
            <w:gridSpan w:val="6"/>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540" w:right="3000" w:hanging="5286"/>
        <w:spacing w:after="0" w:line="890" w:lineRule="auto"/>
        <w:tabs>
          <w:tab w:leader="none" w:pos="17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-286385</wp:posOffset>
            </wp:positionV>
            <wp:extent cx="71335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225"/>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60" w:type="dxa"/>
            <w:vAlign w:val="bottom"/>
          </w:tcPr>
          <w:p>
            <w:pPr>
              <w:spacing w:after="0"/>
              <w:rPr>
                <w:sz w:val="19"/>
                <w:szCs w:val="19"/>
                <w:color w:val="auto"/>
              </w:rPr>
            </w:pPr>
          </w:p>
        </w:tc>
        <w:tc>
          <w:tcPr>
            <w:tcW w:w="7780" w:type="dxa"/>
            <w:vAlign w:val="bottom"/>
            <w:gridSpan w:val="2"/>
          </w:tcPr>
          <w:p>
            <w:pPr>
              <w:ind w:left="2140"/>
              <w:spacing w:after="0"/>
              <w:rPr>
                <w:sz w:val="20"/>
                <w:szCs w:val="20"/>
                <w:color w:val="auto"/>
              </w:rPr>
            </w:pPr>
            <w:r>
              <w:rPr>
                <w:rFonts w:ascii="Arial" w:cs="Arial" w:eastAsia="Arial" w:hAnsi="Arial"/>
                <w:sz w:val="18"/>
                <w:szCs w:val="18"/>
                <w:color w:val="auto"/>
              </w:rPr>
              <w:t>IMAX CORPORATION</w:t>
            </w:r>
          </w:p>
        </w:tc>
      </w:tr>
      <w:tr>
        <w:trPr>
          <w:trHeight w:val="428"/>
        </w:trPr>
        <w:tc>
          <w:tcPr>
            <w:tcW w:w="3460" w:type="dxa"/>
            <w:vAlign w:val="bottom"/>
          </w:tcPr>
          <w:p>
            <w:pPr>
              <w:spacing w:after="0"/>
              <w:rPr>
                <w:sz w:val="20"/>
                <w:szCs w:val="20"/>
                <w:color w:val="auto"/>
              </w:rPr>
            </w:pPr>
            <w:r>
              <w:rPr>
                <w:rFonts w:ascii="Arial" w:cs="Arial" w:eastAsia="Arial" w:hAnsi="Arial"/>
                <w:sz w:val="18"/>
                <w:szCs w:val="18"/>
                <w:color w:val="auto"/>
              </w:rPr>
              <w:t>Date: July 28, 2020</w:t>
            </w:r>
          </w:p>
        </w:tc>
        <w:tc>
          <w:tcPr>
            <w:tcW w:w="2540" w:type="dxa"/>
            <w:vAlign w:val="bottom"/>
          </w:tcPr>
          <w:p>
            <w:pPr>
              <w:ind w:left="21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PATRICK MCCLYMONT</w:t>
            </w:r>
          </w:p>
        </w:tc>
      </w:tr>
      <w:tr>
        <w:trPr>
          <w:trHeight w:val="193"/>
        </w:trPr>
        <w:tc>
          <w:tcPr>
            <w:tcW w:w="34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Pr>
          <w:p>
            <w:pPr>
              <w:jc w:val="center"/>
              <w:spacing w:after="0" w:line="194" w:lineRule="exact"/>
              <w:rPr>
                <w:sz w:val="20"/>
                <w:szCs w:val="20"/>
                <w:color w:val="auto"/>
              </w:rPr>
            </w:pPr>
            <w:r>
              <w:rPr>
                <w:rFonts w:ascii="Arial" w:cs="Arial" w:eastAsia="Arial" w:hAnsi="Arial"/>
                <w:sz w:val="18"/>
                <w:szCs w:val="18"/>
                <w:color w:val="auto"/>
                <w:w w:val="93"/>
              </w:rPr>
              <w:t>Patrick McClymont</w:t>
            </w:r>
          </w:p>
        </w:tc>
      </w:tr>
      <w:tr>
        <w:trPr>
          <w:trHeight w:val="214"/>
        </w:trPr>
        <w:tc>
          <w:tcPr>
            <w:tcW w:w="3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2"/>
              </w:rPr>
              <w:t>Executive Vice-President &amp; Chief Financial Officer</w:t>
            </w:r>
          </w:p>
        </w:tc>
      </w:tr>
      <w:tr>
        <w:trPr>
          <w:trHeight w:val="227"/>
        </w:trPr>
        <w:tc>
          <w:tcPr>
            <w:tcW w:w="3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3"/>
              </w:rPr>
              <w:t>(Principal Financial Officer)</w:t>
            </w:r>
          </w:p>
        </w:tc>
      </w:tr>
      <w:tr>
        <w:trPr>
          <w:trHeight w:val="428"/>
        </w:trPr>
        <w:tc>
          <w:tcPr>
            <w:tcW w:w="3460" w:type="dxa"/>
            <w:vAlign w:val="bottom"/>
          </w:tcPr>
          <w:p>
            <w:pPr>
              <w:spacing w:after="0"/>
              <w:rPr>
                <w:sz w:val="20"/>
                <w:szCs w:val="20"/>
                <w:color w:val="auto"/>
              </w:rPr>
            </w:pPr>
            <w:r>
              <w:rPr>
                <w:rFonts w:ascii="Arial" w:cs="Arial" w:eastAsia="Arial" w:hAnsi="Arial"/>
                <w:sz w:val="18"/>
                <w:szCs w:val="18"/>
                <w:color w:val="auto"/>
              </w:rPr>
              <w:t>Date: July 28, 2020</w:t>
            </w:r>
          </w:p>
        </w:tc>
        <w:tc>
          <w:tcPr>
            <w:tcW w:w="2540" w:type="dxa"/>
            <w:vAlign w:val="bottom"/>
          </w:tcPr>
          <w:p>
            <w:pPr>
              <w:ind w:left="214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KEVIN M. DELANEY</w:t>
            </w:r>
          </w:p>
        </w:tc>
      </w:tr>
      <w:tr>
        <w:trPr>
          <w:trHeight w:val="193"/>
        </w:trPr>
        <w:tc>
          <w:tcPr>
            <w:tcW w:w="34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Pr>
          <w:p>
            <w:pPr>
              <w:jc w:val="center"/>
              <w:spacing w:after="0" w:line="194" w:lineRule="exact"/>
              <w:rPr>
                <w:sz w:val="20"/>
                <w:szCs w:val="20"/>
                <w:color w:val="auto"/>
              </w:rPr>
            </w:pPr>
            <w:r>
              <w:rPr>
                <w:rFonts w:ascii="Arial" w:cs="Arial" w:eastAsia="Arial" w:hAnsi="Arial"/>
                <w:sz w:val="18"/>
                <w:szCs w:val="18"/>
                <w:color w:val="auto"/>
                <w:w w:val="93"/>
              </w:rPr>
              <w:t>Kevin M. Delaney</w:t>
            </w:r>
          </w:p>
        </w:tc>
      </w:tr>
      <w:tr>
        <w:trPr>
          <w:trHeight w:val="214"/>
        </w:trPr>
        <w:tc>
          <w:tcPr>
            <w:tcW w:w="34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0"/>
              </w:rPr>
              <w:t>Senior Vice-President, Finance &amp; Controller</w:t>
            </w:r>
          </w:p>
        </w:tc>
      </w:tr>
      <w:tr>
        <w:trPr>
          <w:trHeight w:val="227"/>
        </w:trPr>
        <w:tc>
          <w:tcPr>
            <w:tcW w:w="34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r>
      <w:tr>
        <w:trPr>
          <w:trHeight w:val="641"/>
        </w:trPr>
        <w:tc>
          <w:tcPr>
            <w:tcW w:w="3460" w:type="dxa"/>
            <w:vAlign w:val="bottom"/>
          </w:tcPr>
          <w:p>
            <w:pPr>
              <w:spacing w:after="0"/>
              <w:rPr>
                <w:sz w:val="24"/>
                <w:szCs w:val="24"/>
                <w:color w:val="auto"/>
              </w:rPr>
            </w:pPr>
          </w:p>
        </w:tc>
        <w:tc>
          <w:tcPr>
            <w:tcW w:w="2540" w:type="dxa"/>
            <w:vAlign w:val="bottom"/>
          </w:tcPr>
          <w:p>
            <w:pPr>
              <w:jc w:val="right"/>
              <w:ind w:right="191"/>
              <w:spacing w:after="0"/>
              <w:rPr>
                <w:sz w:val="20"/>
                <w:szCs w:val="20"/>
                <w:color w:val="auto"/>
              </w:rPr>
            </w:pPr>
            <w:r>
              <w:rPr>
                <w:rFonts w:ascii="Arial" w:cs="Arial" w:eastAsia="Arial" w:hAnsi="Arial"/>
                <w:sz w:val="18"/>
                <w:szCs w:val="18"/>
                <w:color w:val="auto"/>
              </w:rPr>
              <w:t>79</w:t>
            </w:r>
          </w:p>
        </w:tc>
        <w:tc>
          <w:tcPr>
            <w:tcW w:w="5240" w:type="dxa"/>
            <w:vAlign w:val="bottom"/>
          </w:tcPr>
          <w:p>
            <w:pPr>
              <w:spacing w:after="0"/>
              <w:rPr>
                <w:sz w:val="24"/>
                <w:szCs w:val="24"/>
                <w:color w:val="auto"/>
              </w:rPr>
            </w:pPr>
          </w:p>
        </w:tc>
      </w:tr>
    </w:tbl>
    <w:p>
      <w:pPr>
        <w:sectPr>
          <w:pgSz w:w="11900" w:h="16838" w:orient="portrait"/>
          <w:cols w:equalWidth="0" w:num="1">
            <w:col w:w="11240"/>
          </w:cols>
          <w:pgMar w:left="320" w:top="335" w:right="3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Exhibit 10.48</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EMPLOYMENT AGREEMENT</w:t>
      </w:r>
    </w:p>
    <w:p>
      <w:pPr>
        <w:spacing w:after="0" w:line="219" w:lineRule="exact"/>
        <w:rPr>
          <w:sz w:val="20"/>
          <w:szCs w:val="20"/>
          <w:color w:val="auto"/>
        </w:rPr>
      </w:pPr>
    </w:p>
    <w:p>
      <w:pPr>
        <w:ind w:firstLine="1728"/>
        <w:spacing w:after="0" w:line="295" w:lineRule="auto"/>
        <w:rPr>
          <w:sz w:val="20"/>
          <w:szCs w:val="20"/>
          <w:color w:val="auto"/>
        </w:rPr>
      </w:pPr>
      <w:r>
        <w:rPr>
          <w:rFonts w:ascii="Arial" w:cs="Arial" w:eastAsia="Arial" w:hAnsi="Arial"/>
          <w:sz w:val="20"/>
          <w:szCs w:val="20"/>
          <w:color w:val="auto"/>
        </w:rPr>
        <w:t>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dated as of October 10, 2018, between IMAX CORPORATION, a corporation organized under the laws of Canada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Megan Colligan (the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w:t>
      </w:r>
    </w:p>
    <w:p>
      <w:pPr>
        <w:spacing w:after="0" w:line="129" w:lineRule="exact"/>
        <w:rPr>
          <w:sz w:val="20"/>
          <w:szCs w:val="20"/>
          <w:color w:val="auto"/>
        </w:rPr>
      </w:pPr>
    </w:p>
    <w:p>
      <w:pPr>
        <w:ind w:right="20" w:firstLine="1728"/>
        <w:spacing w:after="0" w:line="295" w:lineRule="auto"/>
        <w:rPr>
          <w:sz w:val="20"/>
          <w:szCs w:val="20"/>
          <w:color w:val="auto"/>
        </w:rPr>
      </w:pPr>
      <w:r>
        <w:rPr>
          <w:rFonts w:ascii="Arial" w:cs="Arial" w:eastAsia="Arial" w:hAnsi="Arial"/>
          <w:sz w:val="20"/>
          <w:szCs w:val="20"/>
          <w:color w:val="auto"/>
        </w:rPr>
        <w:t>WHEREAS, the Company wishes to enter into this Agreement to engage the Executive to provide services to the Company, and the Executive wishes to be so engaged, pursuant to the terms and conditions hereinafter set forth.</w:t>
      </w:r>
    </w:p>
    <w:p>
      <w:pPr>
        <w:spacing w:after="0" w:line="129" w:lineRule="exact"/>
        <w:rPr>
          <w:sz w:val="20"/>
          <w:szCs w:val="20"/>
          <w:color w:val="auto"/>
        </w:rPr>
      </w:pPr>
    </w:p>
    <w:p>
      <w:pPr>
        <w:ind w:firstLine="1728"/>
        <w:spacing w:after="0" w:line="269" w:lineRule="auto"/>
        <w:rPr>
          <w:sz w:val="20"/>
          <w:szCs w:val="20"/>
          <w:color w:val="auto"/>
        </w:rPr>
      </w:pPr>
      <w:r>
        <w:rPr>
          <w:rFonts w:ascii="Arial" w:cs="Arial" w:eastAsia="Arial" w:hAnsi="Arial"/>
          <w:sz w:val="21"/>
          <w:szCs w:val="21"/>
          <w:color w:val="auto"/>
        </w:rPr>
        <w:t>NOW, THEREFORE, in consideration of the premises and of the mutual covenants and agreements herein contained, the parties hereto agree as follows:</w:t>
      </w:r>
    </w:p>
    <w:p>
      <w:pPr>
        <w:spacing w:after="0" w:line="153" w:lineRule="exact"/>
        <w:rPr>
          <w:sz w:val="20"/>
          <w:szCs w:val="20"/>
          <w:color w:val="auto"/>
        </w:rPr>
      </w:pPr>
    </w:p>
    <w:p>
      <w:pPr>
        <w:ind w:left="1740"/>
        <w:spacing w:after="0"/>
        <w:tabs>
          <w:tab w:leader="none" w:pos="3800" w:val="left"/>
        </w:tabs>
        <w:rPr>
          <w:sz w:val="20"/>
          <w:szCs w:val="20"/>
          <w:color w:val="auto"/>
        </w:rPr>
      </w:pPr>
      <w:r>
        <w:rPr>
          <w:rFonts w:ascii="Arial" w:cs="Arial" w:eastAsia="Arial" w:hAnsi="Arial"/>
          <w:sz w:val="21"/>
          <w:szCs w:val="21"/>
          <w:color w:val="auto"/>
        </w:rPr>
        <w:t>1.</w:t>
      </w:r>
      <w:r>
        <w:rPr>
          <w:sz w:val="20"/>
          <w:szCs w:val="20"/>
          <w:color w:val="auto"/>
        </w:rPr>
        <w:tab/>
      </w:r>
      <w:r>
        <w:rPr>
          <w:rFonts w:ascii="Arial" w:cs="Arial" w:eastAsia="Arial" w:hAnsi="Arial"/>
          <w:sz w:val="21"/>
          <w:szCs w:val="21"/>
          <w:u w:val="single" w:color="auto"/>
          <w:color w:val="auto"/>
        </w:rPr>
        <w:t>Employment and Duties.</w:t>
      </w:r>
    </w:p>
    <w:p>
      <w:pPr>
        <w:spacing w:after="0" w:line="213" w:lineRule="exact"/>
        <w:rPr>
          <w:sz w:val="20"/>
          <w:szCs w:val="20"/>
          <w:color w:val="auto"/>
        </w:rPr>
      </w:pPr>
    </w:p>
    <w:p>
      <w:pPr>
        <w:ind w:left="880" w:firstLine="788"/>
        <w:spacing w:after="0" w:line="259" w:lineRule="auto"/>
        <w:tabs>
          <w:tab w:leader="none" w:pos="2556"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Subject to the terms and conditions hereof, the Executive shall serve as President of IMAX Entertainment and Executive Vice President, IMAX Corporation, reporting directly to the Company’s Chief Executive Officer (the “</w:t>
      </w:r>
      <w:r>
        <w:rPr>
          <w:rFonts w:ascii="Arial" w:cs="Arial" w:eastAsia="Arial" w:hAnsi="Arial"/>
          <w:sz w:val="20"/>
          <w:szCs w:val="20"/>
          <w:b w:val="1"/>
          <w:bCs w:val="1"/>
          <w:i w:val="1"/>
          <w:iCs w:val="1"/>
          <w:color w:val="auto"/>
        </w:rPr>
        <w:t>CEO</w:t>
      </w:r>
      <w:r>
        <w:rPr>
          <w:rFonts w:ascii="Arial" w:cs="Arial" w:eastAsia="Arial" w:hAnsi="Arial"/>
          <w:sz w:val="20"/>
          <w:szCs w:val="20"/>
          <w:color w:val="auto"/>
        </w:rPr>
        <w:t>”). The Executive shall perform the duties and services for the Company commensurate with the Executive’s position as directed by the CEO from time to time. The Executive’s principal place of employment shall be the offices of the Company in Los Angeles, California, subject to regular domestic and international travel as required by the performance of her duties and the business of the Company.</w:t>
      </w:r>
    </w:p>
    <w:p>
      <w:pPr>
        <w:spacing w:after="0" w:line="167" w:lineRule="exact"/>
        <w:rPr>
          <w:rFonts w:ascii="Arial" w:cs="Arial" w:eastAsia="Arial" w:hAnsi="Arial"/>
          <w:sz w:val="20"/>
          <w:szCs w:val="20"/>
          <w:color w:val="auto"/>
        </w:rPr>
      </w:pPr>
    </w:p>
    <w:p>
      <w:pPr>
        <w:ind w:left="880" w:right="40" w:firstLine="788"/>
        <w:spacing w:after="0" w:line="259" w:lineRule="auto"/>
        <w:tabs>
          <w:tab w:leader="none" w:pos="2568"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Exclusive Services</w:t>
      </w:r>
      <w:r>
        <w:rPr>
          <w:rFonts w:ascii="Arial" w:cs="Arial" w:eastAsia="Arial" w:hAnsi="Arial"/>
          <w:sz w:val="20"/>
          <w:szCs w:val="20"/>
          <w:color w:val="auto"/>
        </w:rPr>
        <w:t>. For so long as the Executive is employed by the Company, the Executive shall devote her full business working time to her duties hereunder, shall faithfully serve the Company, shall conform to and comply with the lawful and good faith directions and instructions given to her by the CEO, and shall use her best efforts to promote and serve the interests of the Company. Further, the Executive shall not, directly or indirectly, render material services to any other person or organization without the consent of the Chief Legal Officer, or otherwise engage in activities that would impede her ability to fully perform her obligations hereunder.</w:t>
      </w:r>
    </w:p>
    <w:p>
      <w:pPr>
        <w:spacing w:after="0" w:line="167" w:lineRule="exact"/>
        <w:rPr>
          <w:sz w:val="20"/>
          <w:szCs w:val="20"/>
          <w:color w:val="auto"/>
        </w:rPr>
      </w:pPr>
    </w:p>
    <w:p>
      <w:pPr>
        <w:ind w:right="120" w:firstLine="1728"/>
        <w:spacing w:after="0" w:line="249" w:lineRule="auto"/>
        <w:rPr>
          <w:sz w:val="20"/>
          <w:szCs w:val="20"/>
          <w:color w:val="auto"/>
        </w:rPr>
      </w:pPr>
      <w:r>
        <w:rPr>
          <w:rFonts w:ascii="Arial" w:cs="Arial" w:eastAsia="Arial" w:hAnsi="Arial"/>
          <w:sz w:val="21"/>
          <w:szCs w:val="21"/>
          <w:color w:val="auto"/>
        </w:rPr>
        <w:t xml:space="preserve">2. </w:t>
      </w:r>
      <w:r>
        <w:rPr>
          <w:rFonts w:ascii="Arial" w:cs="Arial" w:eastAsia="Arial" w:hAnsi="Arial"/>
          <w:sz w:val="21"/>
          <w:szCs w:val="21"/>
          <w:u w:val="single" w:color="auto"/>
          <w:color w:val="auto"/>
        </w:rPr>
        <w:t>Term</w:t>
      </w:r>
      <w:r>
        <w:rPr>
          <w:rFonts w:ascii="Arial" w:cs="Arial" w:eastAsia="Arial" w:hAnsi="Arial"/>
          <w:sz w:val="21"/>
          <w:szCs w:val="21"/>
          <w:color w:val="auto"/>
        </w:rPr>
        <w:t>. The Executive’s employment pursuant to this Agreement shall commence on February 19, 2019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and shall continue indefinitely until the Executive’s termination of, or resignation from, employment pursuant to Section 4 hereunder (the “</w:t>
      </w:r>
      <w:r>
        <w:rPr>
          <w:rFonts w:ascii="Arial" w:cs="Arial" w:eastAsia="Arial" w:hAnsi="Arial"/>
          <w:sz w:val="21"/>
          <w:szCs w:val="21"/>
          <w:b w:val="1"/>
          <w:bCs w:val="1"/>
          <w:i w:val="1"/>
          <w:iCs w:val="1"/>
          <w:color w:val="auto"/>
        </w:rPr>
        <w:t>End Date</w:t>
      </w:r>
      <w:r>
        <w:rPr>
          <w:rFonts w:ascii="Arial" w:cs="Arial" w:eastAsia="Arial" w:hAnsi="Arial"/>
          <w:sz w:val="21"/>
          <w:szCs w:val="21"/>
          <w:color w:val="auto"/>
        </w:rPr>
        <w:t>”). The period commencing as of the Effective Date and ending on the End Date is hereinafter referred to as the “</w:t>
      </w:r>
      <w:r>
        <w:rPr>
          <w:rFonts w:ascii="Arial" w:cs="Arial" w:eastAsia="Arial" w:hAnsi="Arial"/>
          <w:sz w:val="21"/>
          <w:szCs w:val="21"/>
          <w:b w:val="1"/>
          <w:bCs w:val="1"/>
          <w:i w:val="1"/>
          <w:iCs w:val="1"/>
          <w:color w:val="auto"/>
        </w:rPr>
        <w:t>Term</w:t>
      </w:r>
      <w:r>
        <w:rPr>
          <w:rFonts w:ascii="Arial" w:cs="Arial" w:eastAsia="Arial" w:hAnsi="Arial"/>
          <w:sz w:val="21"/>
          <w:szCs w:val="21"/>
          <w:color w:val="auto"/>
        </w:rPr>
        <w:t>”.</w:t>
      </w:r>
    </w:p>
    <w:p>
      <w:pPr>
        <w:spacing w:after="0" w:line="173" w:lineRule="exact"/>
        <w:rPr>
          <w:sz w:val="20"/>
          <w:szCs w:val="20"/>
          <w:color w:val="auto"/>
        </w:rPr>
      </w:pPr>
    </w:p>
    <w:p>
      <w:pPr>
        <w:ind w:right="140" w:firstLine="1728"/>
        <w:spacing w:after="0" w:line="254" w:lineRule="auto"/>
        <w:rPr>
          <w:sz w:val="20"/>
          <w:szCs w:val="20"/>
          <w:color w:val="auto"/>
        </w:rPr>
      </w:pPr>
      <w:r>
        <w:rPr>
          <w:rFonts w:ascii="Arial" w:cs="Arial" w:eastAsia="Arial" w:hAnsi="Arial"/>
          <w:sz w:val="21"/>
          <w:szCs w:val="21"/>
          <w:color w:val="auto"/>
        </w:rPr>
        <w:t xml:space="preserve">3. </w:t>
      </w:r>
      <w:r>
        <w:rPr>
          <w:rFonts w:ascii="Arial" w:cs="Arial" w:eastAsia="Arial" w:hAnsi="Arial"/>
          <w:sz w:val="21"/>
          <w:szCs w:val="21"/>
          <w:u w:val="single" w:color="auto"/>
          <w:color w:val="auto"/>
        </w:rPr>
        <w:t>Compensation and Other Benefits</w:t>
      </w:r>
      <w:r>
        <w:rPr>
          <w:rFonts w:ascii="Arial" w:cs="Arial" w:eastAsia="Arial" w:hAnsi="Arial"/>
          <w:sz w:val="21"/>
          <w:szCs w:val="21"/>
          <w:color w:val="auto"/>
        </w:rPr>
        <w:t>. Subject to the provisions of this Agreement, the Company shall pay and provide the following compensation and other benefits to the Executive during the Term as compensation for services rendered hereunder: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0" w:right="339" w:bottom="1440" w:gutter="0" w:footer="0" w:header="0"/>
        </w:sectPr>
      </w:pPr>
    </w:p>
    <w:bookmarkStart w:id="80" w:name="page81"/>
    <w:bookmarkEnd w:id="80"/>
    <w:p>
      <w:pPr>
        <w:ind w:left="1660" w:hanging="872"/>
        <w:spacing w:after="0"/>
        <w:tabs>
          <w:tab w:leader="none" w:pos="166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The Company shall pay to the Executive an annual salary (the “</w:t>
      </w:r>
      <w:r>
        <w:rPr>
          <w:rFonts w:ascii="Arial" w:cs="Arial" w:eastAsia="Arial" w:hAnsi="Arial"/>
          <w:sz w:val="20"/>
          <w:szCs w:val="20"/>
          <w:b w:val="1"/>
          <w:bCs w:val="1"/>
          <w:i w:val="1"/>
          <w:iCs w:val="1"/>
          <w:color w:val="auto"/>
        </w:rPr>
        <w:t>Base Salary</w:t>
      </w:r>
      <w:r>
        <w:rPr>
          <w:rFonts w:ascii="Arial" w:cs="Arial" w:eastAsia="Arial" w:hAnsi="Arial"/>
          <w:sz w:val="20"/>
          <w:szCs w:val="20"/>
          <w:color w:val="auto"/>
        </w:rPr>
        <w:t>”) of</w:t>
      </w:r>
    </w:p>
    <w:p>
      <w:pPr>
        <w:spacing w:after="0" w:line="28" w:lineRule="exact"/>
        <w:rPr>
          <w:sz w:val="20"/>
          <w:szCs w:val="20"/>
          <w:color w:val="auto"/>
        </w:rPr>
      </w:pPr>
    </w:p>
    <w:p>
      <w:pPr>
        <w:ind w:right="160"/>
        <w:spacing w:after="0" w:line="245" w:lineRule="auto"/>
        <w:rPr>
          <w:sz w:val="20"/>
          <w:szCs w:val="20"/>
          <w:color w:val="auto"/>
        </w:rPr>
      </w:pPr>
      <w:r>
        <w:rPr>
          <w:rFonts w:ascii="Arial" w:cs="Arial" w:eastAsia="Arial" w:hAnsi="Arial"/>
          <w:sz w:val="21"/>
          <w:szCs w:val="21"/>
          <w:color w:val="auto"/>
        </w:rPr>
        <w:t>$1,000,000, less applicable withholdings and deductions, and subject to annual review as part of the Company’s review cycle. The Base Salary will be payable in substantially equal installments in accordance with the Company’s regular payroll practices as established from time to time.</w:t>
      </w:r>
    </w:p>
    <w:p>
      <w:pPr>
        <w:spacing w:after="0" w:line="178" w:lineRule="exact"/>
        <w:rPr>
          <w:sz w:val="20"/>
          <w:szCs w:val="20"/>
          <w:color w:val="auto"/>
        </w:rPr>
      </w:pPr>
    </w:p>
    <w:p>
      <w:pPr>
        <w:ind w:right="120" w:firstLine="788"/>
        <w:spacing w:after="0" w:line="256" w:lineRule="auto"/>
        <w:tabs>
          <w:tab w:leader="none" w:pos="1688"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Bonus</w:t>
      </w:r>
      <w:r>
        <w:rPr>
          <w:rFonts w:ascii="Arial" w:cs="Arial" w:eastAsia="Arial" w:hAnsi="Arial"/>
          <w:sz w:val="20"/>
          <w:szCs w:val="20"/>
          <w:color w:val="auto"/>
        </w:rPr>
        <w:t>. The Executive shall be eligible to receive a discretionary incentive bonus as determined in the sole discretion of the Company (the “</w:t>
      </w:r>
      <w:r>
        <w:rPr>
          <w:rFonts w:ascii="Arial" w:cs="Arial" w:eastAsia="Arial" w:hAnsi="Arial"/>
          <w:sz w:val="20"/>
          <w:szCs w:val="20"/>
          <w:b w:val="1"/>
          <w:bCs w:val="1"/>
          <w:i w:val="1"/>
          <w:iCs w:val="1"/>
          <w:color w:val="auto"/>
        </w:rPr>
        <w:t>Bonus</w:t>
      </w:r>
      <w:r>
        <w:rPr>
          <w:rFonts w:ascii="Arial" w:cs="Arial" w:eastAsia="Arial" w:hAnsi="Arial"/>
          <w:sz w:val="20"/>
          <w:szCs w:val="20"/>
          <w:color w:val="auto"/>
        </w:rPr>
        <w:t>”). The target amount of the Bonus shall be 100% of Base Salary (the “</w:t>
      </w:r>
      <w:r>
        <w:rPr>
          <w:rFonts w:ascii="Arial" w:cs="Arial" w:eastAsia="Arial" w:hAnsi="Arial"/>
          <w:sz w:val="20"/>
          <w:szCs w:val="20"/>
          <w:b w:val="1"/>
          <w:bCs w:val="1"/>
          <w:i w:val="1"/>
          <w:iCs w:val="1"/>
          <w:color w:val="auto"/>
        </w:rPr>
        <w:t>Target Bonus</w:t>
      </w:r>
      <w:r>
        <w:rPr>
          <w:rFonts w:ascii="Arial" w:cs="Arial" w:eastAsia="Arial" w:hAnsi="Arial"/>
          <w:sz w:val="20"/>
          <w:szCs w:val="20"/>
          <w:color w:val="auto"/>
        </w:rPr>
        <w:t xml:space="preserve">”), with the potential to overachieve. The actual amount of the Bonus shall be based upon the attainment of individual and Company performance goals and objectives consistent with the Company’s practices with respect to similarly-situated executives and approved by the Compensation Committee of the Board of Directors of the Company in its sole discretion, and shall be determined in conformity with the IMAX Performance Bonus Plan (or any successor plans established by the Company). The Bonus (if any) shall be paid on the date on which the Company pays out bonuses to senior executives generally;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except as provided by Section 4(c)(i)(C) below, the Executive must remain employed by the Company on the payout date.</w:t>
      </w:r>
    </w:p>
    <w:p>
      <w:pPr>
        <w:spacing w:after="0" w:line="169" w:lineRule="exact"/>
        <w:rPr>
          <w:rFonts w:ascii="Arial" w:cs="Arial" w:eastAsia="Arial" w:hAnsi="Arial"/>
          <w:sz w:val="20"/>
          <w:szCs w:val="20"/>
          <w:color w:val="auto"/>
        </w:rPr>
      </w:pPr>
    </w:p>
    <w:p>
      <w:pPr>
        <w:ind w:left="1660" w:hanging="872"/>
        <w:spacing w:after="0"/>
        <w:tabs>
          <w:tab w:leader="none" w:pos="1660"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Equity Awards</w:t>
      </w:r>
      <w:r>
        <w:rPr>
          <w:rFonts w:ascii="Arial" w:cs="Arial" w:eastAsia="Arial" w:hAnsi="Arial"/>
          <w:sz w:val="21"/>
          <w:szCs w:val="21"/>
          <w:color w:val="auto"/>
        </w:rPr>
        <w:t>.</w:t>
      </w:r>
    </w:p>
    <w:p>
      <w:pPr>
        <w:spacing w:after="0" w:line="212" w:lineRule="exact"/>
        <w:rPr>
          <w:rFonts w:ascii="Arial" w:cs="Arial" w:eastAsia="Arial" w:hAnsi="Arial"/>
          <w:sz w:val="21"/>
          <w:szCs w:val="21"/>
          <w:color w:val="auto"/>
        </w:rPr>
      </w:pPr>
    </w:p>
    <w:p>
      <w:pPr>
        <w:ind w:left="1700" w:hanging="422"/>
        <w:spacing w:after="0" w:line="242" w:lineRule="auto"/>
        <w:tabs>
          <w:tab w:leader="none" w:pos="1700" w:val="left"/>
        </w:tabs>
        <w:numPr>
          <w:ilvl w:val="1"/>
          <w:numId w:val="43"/>
        </w:numPr>
        <w:rPr>
          <w:rFonts w:ascii="Arial" w:cs="Arial" w:eastAsia="Arial" w:hAnsi="Arial"/>
          <w:sz w:val="21"/>
          <w:szCs w:val="21"/>
          <w:color w:val="auto"/>
        </w:rPr>
      </w:pPr>
      <w:r>
        <w:rPr>
          <w:rFonts w:ascii="Arial" w:cs="Arial" w:eastAsia="Arial" w:hAnsi="Arial"/>
          <w:sz w:val="21"/>
          <w:szCs w:val="21"/>
          <w:color w:val="auto"/>
        </w:rPr>
        <w:t>As soon as practicable following the Effective Date, the Executive shall be granted an equity award with an aggregate grant date fair market value equal to $1,000,000 (the “</w:t>
      </w:r>
      <w:r>
        <w:rPr>
          <w:rFonts w:ascii="Arial" w:cs="Arial" w:eastAsia="Arial" w:hAnsi="Arial"/>
          <w:sz w:val="21"/>
          <w:szCs w:val="21"/>
          <w:b w:val="1"/>
          <w:bCs w:val="1"/>
          <w:i w:val="1"/>
          <w:iCs w:val="1"/>
          <w:color w:val="auto"/>
        </w:rPr>
        <w:t>Upfront Grant</w:t>
      </w:r>
      <w:r>
        <w:rPr>
          <w:rFonts w:ascii="Arial" w:cs="Arial" w:eastAsia="Arial" w:hAnsi="Arial"/>
          <w:sz w:val="21"/>
          <w:szCs w:val="21"/>
          <w:color w:val="auto"/>
        </w:rPr>
        <w:t>”). The Upfront Grant shall be comprised of 50% nonqualified stock options to purchase common shares of the Company (“</w:t>
      </w:r>
      <w:r>
        <w:rPr>
          <w:rFonts w:ascii="Arial" w:cs="Arial" w:eastAsia="Arial" w:hAnsi="Arial"/>
          <w:sz w:val="21"/>
          <w:szCs w:val="21"/>
          <w:b w:val="1"/>
          <w:bCs w:val="1"/>
          <w:i w:val="1"/>
          <w:iCs w:val="1"/>
          <w:color w:val="auto"/>
        </w:rPr>
        <w:t>Options</w:t>
      </w:r>
      <w:r>
        <w:rPr>
          <w:rFonts w:ascii="Arial" w:cs="Arial" w:eastAsia="Arial" w:hAnsi="Arial"/>
          <w:sz w:val="21"/>
          <w:szCs w:val="21"/>
          <w:color w:val="auto"/>
        </w:rPr>
        <w:t>”) and 50% performance stock units (“</w:t>
      </w:r>
      <w:r>
        <w:rPr>
          <w:rFonts w:ascii="Arial" w:cs="Arial" w:eastAsia="Arial" w:hAnsi="Arial"/>
          <w:sz w:val="21"/>
          <w:szCs w:val="21"/>
          <w:b w:val="1"/>
          <w:bCs w:val="1"/>
          <w:i w:val="1"/>
          <w:iCs w:val="1"/>
          <w:color w:val="auto"/>
        </w:rPr>
        <w:t>PSUs</w:t>
      </w:r>
      <w:r>
        <w:rPr>
          <w:rFonts w:ascii="Arial" w:cs="Arial" w:eastAsia="Arial" w:hAnsi="Arial"/>
          <w:sz w:val="21"/>
          <w:szCs w:val="21"/>
          <w:color w:val="auto"/>
        </w:rPr>
        <w:t>”) and/or restricted share units (“</w:t>
      </w:r>
      <w:r>
        <w:rPr>
          <w:rFonts w:ascii="Arial" w:cs="Arial" w:eastAsia="Arial" w:hAnsi="Arial"/>
          <w:sz w:val="21"/>
          <w:szCs w:val="21"/>
          <w:b w:val="1"/>
          <w:bCs w:val="1"/>
          <w:i w:val="1"/>
          <w:iCs w:val="1"/>
          <w:color w:val="auto"/>
        </w:rPr>
        <w:t>RSUs</w:t>
      </w:r>
      <w:r>
        <w:rPr>
          <w:rFonts w:ascii="Arial" w:cs="Arial" w:eastAsia="Arial" w:hAnsi="Arial"/>
          <w:sz w:val="21"/>
          <w:szCs w:val="21"/>
          <w:color w:val="auto"/>
        </w:rPr>
        <w:t>”</w:t>
      </w:r>
      <w:r>
        <w:rPr>
          <w:rFonts w:ascii="Arial" w:cs="Arial" w:eastAsia="Arial" w:hAnsi="Arial"/>
          <w:sz w:val="21"/>
          <w:szCs w:val="21"/>
          <w:i w:val="1"/>
          <w:iCs w:val="1"/>
          <w:color w:val="auto"/>
        </w:rPr>
        <w:t>)</w:t>
      </w:r>
      <w:r>
        <w:rPr>
          <w:rFonts w:ascii="Arial" w:cs="Arial" w:eastAsia="Arial" w:hAnsi="Arial"/>
          <w:sz w:val="21"/>
          <w:szCs w:val="21"/>
          <w:color w:val="auto"/>
        </w:rPr>
        <w:t>. The Upfront Grants shall vest as follows: (i) 1/3 on the first anniversary of the applicable grant date; (ii) 1/3 on the second anniversary of the applicable grant date; and (iii) 1/3 on the third anniversary of the applicable grant date. In addition, the vesting of any PSUs that are granted will be subject to certain metrics being achieved, consistent with the vesting metrics established for other senior executives.</w:t>
      </w:r>
    </w:p>
    <w:p>
      <w:pPr>
        <w:spacing w:after="0" w:line="186" w:lineRule="exact"/>
        <w:rPr>
          <w:rFonts w:ascii="Arial" w:cs="Arial" w:eastAsia="Arial" w:hAnsi="Arial"/>
          <w:sz w:val="21"/>
          <w:szCs w:val="21"/>
          <w:color w:val="auto"/>
        </w:rPr>
      </w:pPr>
    </w:p>
    <w:p>
      <w:pPr>
        <w:ind w:left="1700" w:right="80" w:hanging="422"/>
        <w:spacing w:after="0" w:line="255" w:lineRule="auto"/>
        <w:tabs>
          <w:tab w:leader="none" w:pos="1700" w:val="left"/>
        </w:tabs>
        <w:numPr>
          <w:ilvl w:val="1"/>
          <w:numId w:val="43"/>
        </w:numPr>
        <w:rPr>
          <w:rFonts w:ascii="Arial" w:cs="Arial" w:eastAsia="Arial" w:hAnsi="Arial"/>
          <w:sz w:val="20"/>
          <w:szCs w:val="20"/>
          <w:color w:val="auto"/>
        </w:rPr>
      </w:pPr>
      <w:r>
        <w:rPr>
          <w:rFonts w:ascii="Arial" w:cs="Arial" w:eastAsia="Arial" w:hAnsi="Arial"/>
          <w:sz w:val="20"/>
          <w:szCs w:val="20"/>
          <w:color w:val="auto"/>
        </w:rPr>
        <w:t>The Executive will also be eligible to participate in the Company’s annual equity grant process, which occurs in or around March of each year. The Executive shall receive an equity award with a target aggregate grant date fair market value for the March 2019 grant of $1,500,000. For each subsequent year of the Term starting in March 2020, the Executive shall be eligible to receive a target aggregate grant date fair market value within the range of $1,500,000 to $2,000,000, based on both Company and personal performance (the “</w:t>
      </w:r>
      <w:r>
        <w:rPr>
          <w:rFonts w:ascii="Arial" w:cs="Arial" w:eastAsia="Arial" w:hAnsi="Arial"/>
          <w:sz w:val="20"/>
          <w:szCs w:val="20"/>
          <w:b w:val="1"/>
          <w:bCs w:val="1"/>
          <w:i w:val="1"/>
          <w:iCs w:val="1"/>
          <w:color w:val="auto"/>
        </w:rPr>
        <w:t>Annual Grants</w:t>
      </w:r>
      <w:r>
        <w:rPr>
          <w:rFonts w:ascii="Arial" w:cs="Arial" w:eastAsia="Arial" w:hAnsi="Arial"/>
          <w:sz w:val="20"/>
          <w:szCs w:val="20"/>
          <w:color w:val="auto"/>
        </w:rPr>
        <w:t>”). Any such Annual Grants commencing in March 2020 will be in the Company’s sole discretion, and the vehicles, mix of Options, PSUs, and RSUs, and vesting schedules for any Annual Grant will be consistent with the Company’s standard process and grants given to other senior executives at the time. Any such Annual Grants shall be granted on or about the time that awards are generally</w:t>
      </w:r>
    </w:p>
    <w:p>
      <w:pPr>
        <w:spacing w:after="0" w:line="388" w:lineRule="exact"/>
        <w:rPr>
          <w:sz w:val="20"/>
          <w:szCs w:val="20"/>
          <w:color w:val="auto"/>
        </w:rPr>
      </w:pPr>
    </w:p>
    <w:p>
      <w:pPr>
        <w:ind w:left="470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216535</wp:posOffset>
            </wp:positionV>
            <wp:extent cx="715073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60"/>
          </w:cols>
          <w:pgMar w:left="1200" w:top="332" w:right="339" w:bottom="1440" w:gutter="0" w:footer="0" w:header="0"/>
        </w:sectPr>
      </w:pPr>
    </w:p>
    <w:bookmarkStart w:id="81" w:name="page82"/>
    <w:bookmarkEnd w:id="81"/>
    <w:p>
      <w:pPr>
        <w:ind w:left="1460" w:right="180"/>
        <w:spacing w:after="0" w:line="269" w:lineRule="auto"/>
        <w:rPr>
          <w:sz w:val="20"/>
          <w:szCs w:val="20"/>
          <w:color w:val="auto"/>
        </w:rPr>
      </w:pPr>
      <w:r>
        <w:rPr>
          <w:rFonts w:ascii="Arial" w:cs="Arial" w:eastAsia="Arial" w:hAnsi="Arial"/>
          <w:sz w:val="21"/>
          <w:szCs w:val="21"/>
          <w:color w:val="auto"/>
        </w:rPr>
        <w:t>granted to the Company’s senior executives. The Executive must be employed by the Company on the grant date in order to receive the Annual Grants.</w:t>
      </w:r>
    </w:p>
    <w:p>
      <w:pPr>
        <w:spacing w:after="0" w:line="153" w:lineRule="exact"/>
        <w:rPr>
          <w:sz w:val="20"/>
          <w:szCs w:val="20"/>
          <w:color w:val="auto"/>
        </w:rPr>
      </w:pPr>
    </w:p>
    <w:p>
      <w:pPr>
        <w:ind w:left="1460" w:right="60" w:hanging="422"/>
        <w:spacing w:after="0" w:line="245" w:lineRule="auto"/>
        <w:tabs>
          <w:tab w:leader="none" w:pos="1460"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Options, PSUs, and RSUs to be granted pursuant to this Section 3(c) shall be granted on the terms and conditions set forth in the IMAX Corporation Amended and Restated Long-Term Incentive Plan (as amended from time to time, the “</w:t>
      </w:r>
      <w:r>
        <w:rPr>
          <w:rFonts w:ascii="Arial" w:cs="Arial" w:eastAsia="Arial" w:hAnsi="Arial"/>
          <w:sz w:val="21"/>
          <w:szCs w:val="21"/>
          <w:b w:val="1"/>
          <w:bCs w:val="1"/>
          <w:i w:val="1"/>
          <w:iCs w:val="1"/>
          <w:color w:val="auto"/>
        </w:rPr>
        <w:t>LTIP</w:t>
      </w:r>
      <w:r>
        <w:rPr>
          <w:rFonts w:ascii="Arial" w:cs="Arial" w:eastAsia="Arial" w:hAnsi="Arial"/>
          <w:sz w:val="21"/>
          <w:szCs w:val="21"/>
          <w:color w:val="auto"/>
        </w:rPr>
        <w:t>”), the grant agreements to be entered into between the Company and the Executive pursuant to the LTIP, and this Agreement. The exercise price of the Options shall be the Fair Market Value of the Common Shares on the date of grant. The Options shall have a seven (7) year term.</w:t>
      </w:r>
    </w:p>
    <w:p>
      <w:pPr>
        <w:spacing w:after="0" w:line="177" w:lineRule="exact"/>
        <w:rPr>
          <w:rFonts w:ascii="Arial" w:cs="Arial" w:eastAsia="Arial" w:hAnsi="Arial"/>
          <w:sz w:val="21"/>
          <w:szCs w:val="21"/>
          <w:color w:val="auto"/>
        </w:rPr>
      </w:pPr>
    </w:p>
    <w:p>
      <w:pPr>
        <w:ind w:left="-240" w:right="40" w:firstLine="788"/>
        <w:spacing w:after="0" w:line="274" w:lineRule="auto"/>
        <w:tabs>
          <w:tab w:leader="none" w:pos="1501"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Benefit Plans</w:t>
      </w:r>
      <w:r>
        <w:rPr>
          <w:rFonts w:ascii="Arial" w:cs="Arial" w:eastAsia="Arial" w:hAnsi="Arial"/>
          <w:sz w:val="19"/>
          <w:szCs w:val="19"/>
          <w:color w:val="auto"/>
        </w:rPr>
        <w:t>. During the Term, the Executive shall be entitled to participate, on the same basis and at the same level as generally available to other senior executives of the Company, in any group insurance, hospitalization, medical, health and accident, disability, fringe benefit and deferred compensation plans or programs of the Company (including executive supplemental health benefits) now existing or hereafter established, as in effect from time to time. In addition, the Executive shall be entitled to participate in the Company’s wellness allowance program, pursuant to which the Executive shall be entitled to reimbursement of up to $2,500 annually for qualifying expenses related to personal health and fitness goals. The wellness allowance program is a taxable benefit to the Executive.</w:t>
      </w:r>
    </w:p>
    <w:p>
      <w:pPr>
        <w:spacing w:after="0" w:line="150" w:lineRule="exact"/>
        <w:rPr>
          <w:rFonts w:ascii="Arial" w:cs="Arial" w:eastAsia="Arial" w:hAnsi="Arial"/>
          <w:sz w:val="19"/>
          <w:szCs w:val="19"/>
          <w:color w:val="auto"/>
        </w:rPr>
      </w:pPr>
    </w:p>
    <w:p>
      <w:pPr>
        <w:ind w:left="-240" w:right="20" w:firstLine="788"/>
        <w:spacing w:after="0" w:line="278" w:lineRule="auto"/>
        <w:tabs>
          <w:tab w:leader="none" w:pos="143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Automobile</w:t>
      </w:r>
      <w:r>
        <w:rPr>
          <w:rFonts w:ascii="Arial" w:cs="Arial" w:eastAsia="Arial" w:hAnsi="Arial"/>
          <w:sz w:val="19"/>
          <w:szCs w:val="19"/>
          <w:color w:val="auto"/>
        </w:rPr>
        <w:t>. The Company shall provide the Executive with an automobile allowance of $1,100 per month (the “</w:t>
      </w:r>
      <w:r>
        <w:rPr>
          <w:rFonts w:ascii="Arial" w:cs="Arial" w:eastAsia="Arial" w:hAnsi="Arial"/>
          <w:sz w:val="19"/>
          <w:szCs w:val="19"/>
          <w:b w:val="1"/>
          <w:bCs w:val="1"/>
          <w:i w:val="1"/>
          <w:iCs w:val="1"/>
          <w:color w:val="auto"/>
        </w:rPr>
        <w:t>Automobile Payment</w:t>
      </w:r>
      <w:r>
        <w:rPr>
          <w:rFonts w:ascii="Arial" w:cs="Arial" w:eastAsia="Arial" w:hAnsi="Arial"/>
          <w:sz w:val="19"/>
          <w:szCs w:val="19"/>
          <w:color w:val="auto"/>
        </w:rPr>
        <w:t>”). The Automobile Payment will be paid and is taxable as ordinary income. In addition, the Company shall reimburse Executive for the costs of gasoline, insurance, and reasonable operating expenses for that automobile, as well as costs for taxis or ride hailing services such as Uber, in accordance with Company policies in effect for senior executives from time to time, up to a collective maximum of $11,800 per annum.</w:t>
      </w:r>
    </w:p>
    <w:p>
      <w:pPr>
        <w:spacing w:after="0" w:line="150" w:lineRule="exact"/>
        <w:rPr>
          <w:rFonts w:ascii="Arial" w:cs="Arial" w:eastAsia="Arial" w:hAnsi="Arial"/>
          <w:sz w:val="19"/>
          <w:szCs w:val="19"/>
          <w:color w:val="auto"/>
        </w:rPr>
      </w:pPr>
    </w:p>
    <w:p>
      <w:pPr>
        <w:ind w:left="-240" w:right="300" w:firstLine="788"/>
        <w:spacing w:after="0" w:line="269" w:lineRule="auto"/>
        <w:tabs>
          <w:tab w:leader="none" w:pos="1412"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Vacation</w:t>
      </w:r>
      <w:r>
        <w:rPr>
          <w:rFonts w:ascii="Arial" w:cs="Arial" w:eastAsia="Arial" w:hAnsi="Arial"/>
          <w:sz w:val="21"/>
          <w:szCs w:val="21"/>
          <w:color w:val="auto"/>
        </w:rPr>
        <w:t>. The Executive shall be entitled to vacation time of twenty (20) days per year, subject to proration based on partial years of service.</w:t>
      </w:r>
    </w:p>
    <w:p>
      <w:pPr>
        <w:spacing w:after="0" w:line="153" w:lineRule="exact"/>
        <w:rPr>
          <w:rFonts w:ascii="Arial" w:cs="Arial" w:eastAsia="Arial" w:hAnsi="Arial"/>
          <w:sz w:val="21"/>
          <w:szCs w:val="21"/>
          <w:color w:val="auto"/>
        </w:rPr>
      </w:pPr>
    </w:p>
    <w:p>
      <w:pPr>
        <w:ind w:left="-240" w:firstLine="788"/>
        <w:spacing w:after="0" w:line="274" w:lineRule="auto"/>
        <w:tabs>
          <w:tab w:leader="none" w:pos="1448"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The Company shall reimburse the Executive for reasonable travel and other business-related expenses incurred by her in the fulfillment of her duties hereunder upon presentation of written documentation thereof, in accordance with the business expense reimbursement policies and procedures of the Company as in effect from time to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level of travel and hotel accommodations shall be no less favorable than those arrangements made available to other senior executives of the Company. Payments with respect to reimbursements of expenses shall be made consistent with the Company’s reimbursement policies and procedures and in no event later than the last day of the calendar year following the calendar year in which the relevant expense is incurred.</w:t>
      </w:r>
    </w:p>
    <w:p>
      <w:pPr>
        <w:spacing w:after="0" w:line="151"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216535</wp:posOffset>
            </wp:positionV>
            <wp:extent cx="715073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080"/>
          </w:cols>
          <w:pgMar w:left="1440" w:top="332" w:right="379" w:bottom="1440" w:gutter="0" w:footer="0" w:header="0"/>
        </w:sectPr>
      </w:pPr>
    </w:p>
    <w:bookmarkStart w:id="82" w:name="page83"/>
    <w:bookmarkEnd w:id="82"/>
    <w:p>
      <w:pPr>
        <w:ind w:firstLine="1728"/>
        <w:spacing w:after="0" w:line="254" w:lineRule="auto"/>
        <w:rPr>
          <w:sz w:val="20"/>
          <w:szCs w:val="20"/>
          <w:color w:val="auto"/>
        </w:rPr>
      </w:pPr>
      <w:r>
        <w:rPr>
          <w:rFonts w:ascii="Arial" w:cs="Arial" w:eastAsia="Arial" w:hAnsi="Arial"/>
          <w:sz w:val="21"/>
          <w:szCs w:val="21"/>
          <w:color w:val="auto"/>
        </w:rPr>
        <w:t xml:space="preserve">4. </w:t>
      </w: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Subject to this Section 4, the Company shall have the right to terminate the Executive’s employment at any time, with or without Cause (as defined in Section 5), and the Executive shall have the right to terminate her employment at any time and for any reason.</w:t>
      </w:r>
    </w:p>
    <w:p>
      <w:pPr>
        <w:spacing w:after="0" w:line="168" w:lineRule="exact"/>
        <w:rPr>
          <w:sz w:val="20"/>
          <w:szCs w:val="20"/>
          <w:color w:val="auto"/>
        </w:rPr>
      </w:pPr>
    </w:p>
    <w:p>
      <w:pPr>
        <w:ind w:left="880" w:firstLine="788"/>
        <w:spacing w:after="0" w:line="267" w:lineRule="auto"/>
        <w:tabs>
          <w:tab w:leader="none" w:pos="2556"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Termination Due to Death or Disability</w:t>
      </w:r>
      <w:r>
        <w:rPr>
          <w:rFonts w:ascii="Arial" w:cs="Arial" w:eastAsia="Arial" w:hAnsi="Arial"/>
          <w:sz w:val="19"/>
          <w:szCs w:val="19"/>
          <w:color w:val="auto"/>
        </w:rPr>
        <w:t>. The Executive’s employment under this Agreement will terminate upon the Executive’s death or the Executive’s Disability (as defined in Section 5). In the event the Executive’s employment terminates as a result of the Executive’s death or Disability, the Company shall pay to the Executive (or her estate, as applicable) (i) the Base Salary and Automobile Payment through and including the date of termination, (ii) an amount equal to the Executive’s accrued and unused vacation pay as of the date of termination, and (iii) any other amounts or benefits required to be paid or provided by law or under any plan, program, policy or practice of the Company (including unreimbursed business expenses properly incurred through the date of termination) ((i) through (iii) collectively the “</w:t>
      </w:r>
      <w:r>
        <w:rPr>
          <w:rFonts w:ascii="Arial" w:cs="Arial" w:eastAsia="Arial" w:hAnsi="Arial"/>
          <w:sz w:val="19"/>
          <w:szCs w:val="19"/>
          <w:b w:val="1"/>
          <w:bCs w:val="1"/>
          <w:i w:val="1"/>
          <w:iCs w:val="1"/>
          <w:color w:val="auto"/>
        </w:rPr>
        <w:t>Other Accrued Compensation and Benefits</w:t>
      </w:r>
      <w:r>
        <w:rPr>
          <w:rFonts w:ascii="Arial" w:cs="Arial" w:eastAsia="Arial" w:hAnsi="Arial"/>
          <w:sz w:val="19"/>
          <w:szCs w:val="19"/>
          <w:color w:val="auto"/>
        </w:rPr>
        <w:t>”), in each case, payable within thirty (30) days of the Executive’s termination of employment by reason of death or Disability (or as otherwise expressly set forth in the applicable plan, program or agreement). Furthermore, upon a termination of employment as a result of the Executive’s death or Disability, a portion of the Executive’s equity awards that have already been granted pursuant to this Agreement shall vest such that, when combined with previously vested equity awards, an aggregate of 50% of all of the equity awards that have been granted pursuant to this Agreement shall have vested. Any vested Options shall continue to be exercisable for a period of 180 days following the date of the Executive’s death or Disability (but in no event later than the expiration of the term of such Options). All Options not exercised within such 180-day period shall be cancelled and shall revert back to the Company for no consideration and the Executive or her estate, as applicable, shall have no further right or interest therein. Except as provided in this Section 4(a), the Executive shall have no further right to receive any other compensation or benefits after a termination of employment due to the Executive’s death or Disability.</w:t>
      </w:r>
    </w:p>
    <w:p>
      <w:pPr>
        <w:spacing w:after="0" w:line="166" w:lineRule="exact"/>
        <w:rPr>
          <w:rFonts w:ascii="Arial" w:cs="Arial" w:eastAsia="Arial" w:hAnsi="Arial"/>
          <w:sz w:val="19"/>
          <w:szCs w:val="19"/>
          <w:color w:val="auto"/>
        </w:rPr>
      </w:pPr>
    </w:p>
    <w:p>
      <w:pPr>
        <w:ind w:left="880" w:right="20" w:firstLine="788"/>
        <w:spacing w:after="0" w:line="255" w:lineRule="auto"/>
        <w:tabs>
          <w:tab w:leader="none" w:pos="2568"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Termination for Cause; Resignation without Good Reason</w:t>
      </w:r>
      <w:r>
        <w:rPr>
          <w:rFonts w:ascii="Arial" w:cs="Arial" w:eastAsia="Arial" w:hAnsi="Arial"/>
          <w:sz w:val="20"/>
          <w:szCs w:val="20"/>
          <w:color w:val="auto"/>
        </w:rPr>
        <w:t>. If, at any time, the Executive incurs a Separation from Service (as defined in Section 5) by reason of the Company’s termination of the Executive’s employment for Cause, or if the Executive resigns from her employment for any reason other than for Good Reason (as defined in Section 5), then (i) the Executive shall be entitled to payment of her Other Accrued Compensation and Benefits, payable within thirty (30) days after the Executive’s Separation from Service (or as otherwise expressly set forth in the applicable plan, program or agreement) and (ii) all outstanding equity awards will be treated in accordance with the terms of the LTIP and/or the applicable award letters. Except as set forth in this Section 4(b), the Executive shall have no further right to receive any other compensation or benefits after her termination for Cause or resignation of employment for any reason other than for Good Reason. The Executive shall provide thirty (30) days’ written notice to the Company prior to resigning her employment.</w:t>
      </w:r>
    </w:p>
    <w:p>
      <w:pPr>
        <w:spacing w:after="0" w:line="174" w:lineRule="exact"/>
        <w:rPr>
          <w:rFonts w:ascii="Arial" w:cs="Arial" w:eastAsia="Arial" w:hAnsi="Arial"/>
          <w:sz w:val="20"/>
          <w:szCs w:val="20"/>
          <w:color w:val="auto"/>
        </w:rPr>
      </w:pPr>
    </w:p>
    <w:p>
      <w:pPr>
        <w:ind w:left="2540" w:hanging="872"/>
        <w:spacing w:after="0"/>
        <w:tabs>
          <w:tab w:leader="none" w:pos="254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Termination Without Cause; Resignation for Good Reason</w:t>
      </w:r>
      <w:r>
        <w:rPr>
          <w:rFonts w:ascii="Arial" w:cs="Arial" w:eastAsia="Arial" w:hAnsi="Arial"/>
          <w:sz w:val="21"/>
          <w:szCs w:val="21"/>
          <w:color w:val="auto"/>
        </w:rPr>
        <w: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83" w:name="page84"/>
    <w:bookmarkEnd w:id="83"/>
    <w:p>
      <w:pPr>
        <w:jc w:val="both"/>
        <w:ind w:left="620" w:right="100" w:firstLine="731"/>
        <w:spacing w:after="0" w:line="249" w:lineRule="auto"/>
        <w:rPr>
          <w:sz w:val="20"/>
          <w:szCs w:val="20"/>
          <w:color w:val="auto"/>
        </w:rPr>
      </w:pPr>
      <w:r>
        <w:rPr>
          <w:rFonts w:ascii="Arial" w:cs="Arial" w:eastAsia="Arial" w:hAnsi="Arial"/>
          <w:sz w:val="21"/>
          <w:szCs w:val="21"/>
          <w:color w:val="auto"/>
        </w:rPr>
        <w:t>(i) If, at any time, the Executive incurs a Separation from Service by reason of the Company’s termination of the Executive’s employment without Cause, or as a result of her resignation for Good Reason, then the Executive shall receive the Other Accrued Compensation and Benefits and, subject to Section 4(d):</w:t>
      </w:r>
    </w:p>
    <w:p>
      <w:pPr>
        <w:spacing w:after="0" w:line="172" w:lineRule="exact"/>
        <w:rPr>
          <w:sz w:val="20"/>
          <w:szCs w:val="20"/>
          <w:color w:val="auto"/>
        </w:rPr>
      </w:pPr>
    </w:p>
    <w:tbl>
      <w:tblPr>
        <w:tblLayout w:type="fixed"/>
        <w:tblInd w:w="940" w:type="dxa"/>
        <w:tblCellMar>
          <w:top w:w="0" w:type="dxa"/>
          <w:left w:w="0" w:type="dxa"/>
          <w:bottom w:w="0" w:type="dxa"/>
          <w:right w:w="0" w:type="dxa"/>
        </w:tblCellMar>
      </w:tblPr>
      <w:tr>
        <w:trPr>
          <w:trHeight w:val="241"/>
        </w:trPr>
        <w:tc>
          <w:tcPr>
            <w:tcW w:w="2900" w:type="dxa"/>
            <w:vAlign w:val="bottom"/>
          </w:tcPr>
          <w:p>
            <w:pPr>
              <w:ind w:left="1200"/>
              <w:spacing w:after="0"/>
              <w:rPr>
                <w:sz w:val="20"/>
                <w:szCs w:val="20"/>
                <w:color w:val="auto"/>
              </w:rPr>
            </w:pPr>
            <w:r>
              <w:rPr>
                <w:rFonts w:ascii="Arial" w:cs="Arial" w:eastAsia="Arial" w:hAnsi="Arial"/>
                <w:sz w:val="21"/>
                <w:szCs w:val="21"/>
                <w:color w:val="auto"/>
              </w:rPr>
              <w:t>(A)</w:t>
            </w:r>
          </w:p>
        </w:tc>
        <w:tc>
          <w:tcPr>
            <w:tcW w:w="6220" w:type="dxa"/>
            <w:vAlign w:val="bottom"/>
          </w:tcPr>
          <w:p>
            <w:pPr>
              <w:ind w:left="1480"/>
              <w:spacing w:after="0"/>
              <w:rPr>
                <w:sz w:val="20"/>
                <w:szCs w:val="20"/>
                <w:color w:val="auto"/>
              </w:rPr>
            </w:pPr>
            <w:r>
              <w:rPr>
                <w:rFonts w:ascii="Arial" w:cs="Arial" w:eastAsia="Arial" w:hAnsi="Arial"/>
                <w:sz w:val="21"/>
                <w:szCs w:val="21"/>
                <w:color w:val="auto"/>
              </w:rPr>
              <w:t>if the termination without Cause or resignation for</w:t>
            </w:r>
          </w:p>
        </w:tc>
      </w:tr>
      <w:tr>
        <w:trPr>
          <w:trHeight w:val="240"/>
        </w:trPr>
        <w:tc>
          <w:tcPr>
            <w:tcW w:w="9120" w:type="dxa"/>
            <w:vAlign w:val="bottom"/>
            <w:gridSpan w:val="2"/>
          </w:tcPr>
          <w:p>
            <w:pPr>
              <w:ind w:left="540"/>
              <w:spacing w:after="0" w:line="240" w:lineRule="exact"/>
              <w:rPr>
                <w:sz w:val="20"/>
                <w:szCs w:val="20"/>
                <w:color w:val="auto"/>
              </w:rPr>
            </w:pPr>
            <w:r>
              <w:rPr>
                <w:rFonts w:ascii="Arial" w:cs="Arial" w:eastAsia="Arial" w:hAnsi="Arial"/>
                <w:sz w:val="21"/>
                <w:szCs w:val="21"/>
                <w:color w:val="auto"/>
                <w:w w:val="99"/>
              </w:rPr>
              <w:t>Good Reason occurs on or before February 18, 2020, the Company shall continue to pay the</w:t>
            </w:r>
          </w:p>
        </w:tc>
      </w:tr>
      <w:tr>
        <w:trPr>
          <w:trHeight w:val="240"/>
        </w:trPr>
        <w:tc>
          <w:tcPr>
            <w:tcW w:w="9120" w:type="dxa"/>
            <w:vAlign w:val="bottom"/>
            <w:gridSpan w:val="2"/>
          </w:tcPr>
          <w:p>
            <w:pPr>
              <w:ind w:left="540"/>
              <w:spacing w:after="0" w:line="240" w:lineRule="exact"/>
              <w:rPr>
                <w:sz w:val="20"/>
                <w:szCs w:val="20"/>
                <w:color w:val="auto"/>
              </w:rPr>
            </w:pPr>
            <w:r>
              <w:rPr>
                <w:rFonts w:ascii="Arial" w:cs="Arial" w:eastAsia="Arial" w:hAnsi="Arial"/>
                <w:sz w:val="21"/>
                <w:szCs w:val="21"/>
                <w:color w:val="auto"/>
              </w:rPr>
              <w:t>Executive the Base Salary and Automobile Payment for a period of six (6) months. If the</w:t>
            </w:r>
          </w:p>
        </w:tc>
      </w:tr>
      <w:tr>
        <w:trPr>
          <w:trHeight w:val="240"/>
        </w:trPr>
        <w:tc>
          <w:tcPr>
            <w:tcW w:w="9120" w:type="dxa"/>
            <w:vAlign w:val="bottom"/>
            <w:gridSpan w:val="2"/>
          </w:tcPr>
          <w:p>
            <w:pPr>
              <w:ind w:left="540"/>
              <w:spacing w:after="0" w:line="240" w:lineRule="exact"/>
              <w:rPr>
                <w:sz w:val="20"/>
                <w:szCs w:val="20"/>
                <w:color w:val="auto"/>
              </w:rPr>
            </w:pPr>
            <w:r>
              <w:rPr>
                <w:rFonts w:ascii="Arial" w:cs="Arial" w:eastAsia="Arial" w:hAnsi="Arial"/>
                <w:sz w:val="21"/>
                <w:szCs w:val="21"/>
                <w:color w:val="auto"/>
                <w:w w:val="92"/>
              </w:rPr>
              <w:t>termination without Cause or resignation for Good Reason occurs on or after February 19, 2020, the</w:t>
            </w:r>
          </w:p>
        </w:tc>
      </w:tr>
      <w:tr>
        <w:trPr>
          <w:trHeight w:val="240"/>
        </w:trPr>
        <w:tc>
          <w:tcPr>
            <w:tcW w:w="9120" w:type="dxa"/>
            <w:vAlign w:val="bottom"/>
            <w:gridSpan w:val="2"/>
          </w:tcPr>
          <w:p>
            <w:pPr>
              <w:ind w:left="540"/>
              <w:spacing w:after="0" w:line="240" w:lineRule="exact"/>
              <w:rPr>
                <w:sz w:val="20"/>
                <w:szCs w:val="20"/>
                <w:color w:val="auto"/>
              </w:rPr>
            </w:pPr>
            <w:r>
              <w:rPr>
                <w:rFonts w:ascii="Arial" w:cs="Arial" w:eastAsia="Arial" w:hAnsi="Arial"/>
                <w:sz w:val="21"/>
                <w:szCs w:val="21"/>
                <w:color w:val="auto"/>
                <w:w w:val="92"/>
              </w:rPr>
              <w:t>Company shall continue to pay the Executive the Base Salary and Automobile Payment for a period</w:t>
            </w:r>
          </w:p>
        </w:tc>
      </w:tr>
      <w:tr>
        <w:trPr>
          <w:trHeight w:val="240"/>
        </w:trPr>
        <w:tc>
          <w:tcPr>
            <w:tcW w:w="9120" w:type="dxa"/>
            <w:vAlign w:val="bottom"/>
            <w:gridSpan w:val="2"/>
          </w:tcPr>
          <w:p>
            <w:pPr>
              <w:ind w:left="540"/>
              <w:spacing w:after="0" w:line="240" w:lineRule="exact"/>
              <w:rPr>
                <w:sz w:val="20"/>
                <w:szCs w:val="20"/>
                <w:color w:val="auto"/>
              </w:rPr>
            </w:pPr>
            <w:r>
              <w:rPr>
                <w:rFonts w:ascii="Arial" w:cs="Arial" w:eastAsia="Arial" w:hAnsi="Arial"/>
                <w:sz w:val="21"/>
                <w:szCs w:val="21"/>
                <w:color w:val="auto"/>
                <w:w w:val="93"/>
              </w:rPr>
              <w:t>of twelve (12) months. The Base Salary and Automobile Payment will be paid either in a lump sum</w:t>
            </w:r>
          </w:p>
        </w:tc>
      </w:tr>
      <w:tr>
        <w:trPr>
          <w:trHeight w:val="240"/>
        </w:trPr>
        <w:tc>
          <w:tcPr>
            <w:tcW w:w="9120" w:type="dxa"/>
            <w:vAlign w:val="bottom"/>
            <w:gridSpan w:val="2"/>
          </w:tcPr>
          <w:p>
            <w:pPr>
              <w:ind w:left="540"/>
              <w:spacing w:after="0" w:line="240" w:lineRule="exact"/>
              <w:rPr>
                <w:sz w:val="20"/>
                <w:szCs w:val="20"/>
                <w:color w:val="auto"/>
              </w:rPr>
            </w:pPr>
            <w:r>
              <w:rPr>
                <w:rFonts w:ascii="Arial" w:cs="Arial" w:eastAsia="Arial" w:hAnsi="Arial"/>
                <w:sz w:val="21"/>
                <w:szCs w:val="21"/>
                <w:color w:val="auto"/>
                <w:w w:val="96"/>
              </w:rPr>
              <w:t>or in accordance with the Company’s ordinary payroll practices in effect from time to time, at the</w:t>
            </w:r>
          </w:p>
        </w:tc>
      </w:tr>
      <w:tr>
        <w:trPr>
          <w:trHeight w:val="240"/>
        </w:trPr>
        <w:tc>
          <w:tcPr>
            <w:tcW w:w="9120" w:type="dxa"/>
            <w:vAlign w:val="bottom"/>
            <w:gridSpan w:val="2"/>
          </w:tcPr>
          <w:p>
            <w:pPr>
              <w:ind w:left="540"/>
              <w:spacing w:after="0" w:line="240" w:lineRule="exact"/>
              <w:rPr>
                <w:sz w:val="20"/>
                <w:szCs w:val="20"/>
                <w:color w:val="auto"/>
              </w:rPr>
            </w:pPr>
            <w:r>
              <w:rPr>
                <w:rFonts w:ascii="Arial" w:cs="Arial" w:eastAsia="Arial" w:hAnsi="Arial"/>
                <w:sz w:val="21"/>
                <w:szCs w:val="21"/>
                <w:color w:val="auto"/>
                <w:w w:val="92"/>
              </w:rPr>
              <w:t xml:space="preserve">Company’s discretion; </w:t>
            </w:r>
            <w:r>
              <w:rPr>
                <w:rFonts w:ascii="Arial" w:cs="Arial" w:eastAsia="Arial" w:hAnsi="Arial"/>
                <w:sz w:val="21"/>
                <w:szCs w:val="21"/>
                <w:i w:val="1"/>
                <w:iCs w:val="1"/>
                <w:color w:val="auto"/>
                <w:w w:val="92"/>
              </w:rPr>
              <w:t>provided</w:t>
            </w:r>
            <w:r>
              <w:rPr>
                <w:rFonts w:ascii="Arial" w:cs="Arial" w:eastAsia="Arial" w:hAnsi="Arial"/>
                <w:sz w:val="21"/>
                <w:szCs w:val="21"/>
                <w:color w:val="auto"/>
                <w:w w:val="92"/>
              </w:rPr>
              <w:t xml:space="preserve">, </w:t>
            </w:r>
            <w:r>
              <w:rPr>
                <w:rFonts w:ascii="Arial" w:cs="Arial" w:eastAsia="Arial" w:hAnsi="Arial"/>
                <w:sz w:val="21"/>
                <w:szCs w:val="21"/>
                <w:i w:val="1"/>
                <w:iCs w:val="1"/>
                <w:color w:val="auto"/>
                <w:w w:val="92"/>
              </w:rPr>
              <w:t>however</w:t>
            </w:r>
            <w:r>
              <w:rPr>
                <w:rFonts w:ascii="Arial" w:cs="Arial" w:eastAsia="Arial" w:hAnsi="Arial"/>
                <w:sz w:val="21"/>
                <w:szCs w:val="21"/>
                <w:color w:val="auto"/>
                <w:w w:val="92"/>
              </w:rPr>
              <w:t>, that payments in respect of the Severance Period will not</w:t>
            </w:r>
          </w:p>
        </w:tc>
      </w:tr>
      <w:tr>
        <w:trPr>
          <w:trHeight w:val="272"/>
        </w:trPr>
        <w:tc>
          <w:tcPr>
            <w:tcW w:w="9120" w:type="dxa"/>
            <w:vAlign w:val="bottom"/>
            <w:gridSpan w:val="2"/>
          </w:tcPr>
          <w:p>
            <w:pPr>
              <w:ind w:left="540"/>
              <w:spacing w:after="0"/>
              <w:rPr>
                <w:sz w:val="20"/>
                <w:szCs w:val="20"/>
                <w:color w:val="auto"/>
              </w:rPr>
            </w:pPr>
            <w:r>
              <w:rPr>
                <w:rFonts w:ascii="Arial" w:cs="Arial" w:eastAsia="Arial" w:hAnsi="Arial"/>
                <w:sz w:val="21"/>
                <w:szCs w:val="21"/>
                <w:color w:val="auto"/>
              </w:rPr>
              <w:t>commence until the 60</w:t>
            </w:r>
            <w:r>
              <w:rPr>
                <w:rFonts w:ascii="Arial" w:cs="Arial" w:eastAsia="Arial" w:hAnsi="Arial"/>
                <w:sz w:val="18"/>
                <w:szCs w:val="18"/>
                <w:color w:val="auto"/>
              </w:rPr>
              <w:t>th</w:t>
            </w:r>
            <w:r>
              <w:rPr>
                <w:rFonts w:ascii="Arial" w:cs="Arial" w:eastAsia="Arial" w:hAnsi="Arial"/>
                <w:sz w:val="21"/>
                <w:szCs w:val="21"/>
                <w:color w:val="auto"/>
              </w:rPr>
              <w:t xml:space="preserve"> day following the Executive’s termination of employment;</w:t>
            </w:r>
          </w:p>
        </w:tc>
      </w:tr>
      <w:tr>
        <w:trPr>
          <w:trHeight w:val="422"/>
        </w:trPr>
        <w:tc>
          <w:tcPr>
            <w:tcW w:w="2900" w:type="dxa"/>
            <w:vAlign w:val="bottom"/>
          </w:tcPr>
          <w:p>
            <w:pPr>
              <w:ind w:left="1140"/>
              <w:spacing w:after="0"/>
              <w:rPr>
                <w:sz w:val="20"/>
                <w:szCs w:val="20"/>
                <w:color w:val="auto"/>
              </w:rPr>
            </w:pPr>
            <w:r>
              <w:rPr>
                <w:rFonts w:ascii="Arial" w:cs="Arial" w:eastAsia="Arial" w:hAnsi="Arial"/>
                <w:sz w:val="21"/>
                <w:szCs w:val="21"/>
                <w:color w:val="auto"/>
              </w:rPr>
              <w:t>(B)</w:t>
            </w:r>
          </w:p>
        </w:tc>
        <w:tc>
          <w:tcPr>
            <w:tcW w:w="6220" w:type="dxa"/>
            <w:vAlign w:val="bottom"/>
          </w:tcPr>
          <w:p>
            <w:pPr>
              <w:ind w:left="1420"/>
              <w:spacing w:after="0"/>
              <w:rPr>
                <w:sz w:val="20"/>
                <w:szCs w:val="20"/>
                <w:color w:val="auto"/>
              </w:rPr>
            </w:pPr>
            <w:r>
              <w:rPr>
                <w:rFonts w:ascii="Arial" w:cs="Arial" w:eastAsia="Arial" w:hAnsi="Arial"/>
                <w:sz w:val="21"/>
                <w:szCs w:val="21"/>
                <w:color w:val="auto"/>
                <w:w w:val="93"/>
              </w:rPr>
              <w:t>all outstanding equity will be treated in accordance with</w:t>
            </w:r>
          </w:p>
        </w:tc>
      </w:tr>
      <w:tr>
        <w:trPr>
          <w:trHeight w:val="272"/>
        </w:trPr>
        <w:tc>
          <w:tcPr>
            <w:tcW w:w="9120" w:type="dxa"/>
            <w:vAlign w:val="bottom"/>
            <w:gridSpan w:val="2"/>
          </w:tcPr>
          <w:p>
            <w:pPr>
              <w:spacing w:after="0"/>
              <w:rPr>
                <w:sz w:val="20"/>
                <w:szCs w:val="20"/>
                <w:color w:val="auto"/>
              </w:rPr>
            </w:pPr>
            <w:r>
              <w:rPr>
                <w:rFonts w:ascii="Arial" w:cs="Arial" w:eastAsia="Arial" w:hAnsi="Arial"/>
                <w:sz w:val="21"/>
                <w:szCs w:val="21"/>
                <w:color w:val="auto"/>
              </w:rPr>
              <w:t>the terms of the LTIP or the applicable award letters; and</w:t>
            </w:r>
          </w:p>
        </w:tc>
      </w:tr>
      <w:tr>
        <w:trPr>
          <w:trHeight w:val="440"/>
        </w:trPr>
        <w:tc>
          <w:tcPr>
            <w:tcW w:w="2900" w:type="dxa"/>
            <w:vAlign w:val="bottom"/>
          </w:tcPr>
          <w:p>
            <w:pPr>
              <w:ind w:left="1140"/>
              <w:spacing w:after="0"/>
              <w:rPr>
                <w:sz w:val="20"/>
                <w:szCs w:val="20"/>
                <w:color w:val="auto"/>
              </w:rPr>
            </w:pPr>
            <w:r>
              <w:rPr>
                <w:rFonts w:ascii="Arial" w:cs="Arial" w:eastAsia="Arial" w:hAnsi="Arial"/>
                <w:sz w:val="21"/>
                <w:szCs w:val="21"/>
                <w:color w:val="auto"/>
              </w:rPr>
              <w:t>(C)</w:t>
            </w:r>
          </w:p>
        </w:tc>
        <w:tc>
          <w:tcPr>
            <w:tcW w:w="6220" w:type="dxa"/>
            <w:vAlign w:val="bottom"/>
          </w:tcPr>
          <w:p>
            <w:pPr>
              <w:ind w:left="1420"/>
              <w:spacing w:after="0"/>
              <w:rPr>
                <w:sz w:val="20"/>
                <w:szCs w:val="20"/>
                <w:color w:val="auto"/>
              </w:rPr>
            </w:pPr>
            <w:r>
              <w:rPr>
                <w:rFonts w:ascii="Arial" w:cs="Arial" w:eastAsia="Arial" w:hAnsi="Arial"/>
                <w:sz w:val="21"/>
                <w:szCs w:val="21"/>
                <w:color w:val="auto"/>
                <w:w w:val="92"/>
              </w:rPr>
              <w:t>the Bonus to which the Executive would have otherwise</w:t>
            </w:r>
          </w:p>
        </w:tc>
      </w:tr>
    </w:tbl>
    <w:p>
      <w:pPr>
        <w:ind w:left="940" w:right="100"/>
        <w:spacing w:after="0" w:line="303" w:lineRule="auto"/>
        <w:rPr>
          <w:sz w:val="20"/>
          <w:szCs w:val="20"/>
          <w:color w:val="auto"/>
        </w:rPr>
      </w:pPr>
      <w:r>
        <w:rPr>
          <w:rFonts w:ascii="Arial" w:cs="Arial" w:eastAsia="Arial" w:hAnsi="Arial"/>
          <w:sz w:val="19"/>
          <w:szCs w:val="19"/>
          <w:color w:val="auto"/>
        </w:rPr>
        <w:t>been entitled had she remained employed at the Company on the payout date will be paid to the Executive on a prorated basis based on the length of her employment with the Company during the year at issue.</w:t>
      </w:r>
    </w:p>
    <w:p>
      <w:pPr>
        <w:spacing w:after="0" w:line="125" w:lineRule="exact"/>
        <w:rPr>
          <w:sz w:val="20"/>
          <w:szCs w:val="20"/>
          <w:color w:val="auto"/>
        </w:rPr>
      </w:pPr>
    </w:p>
    <w:p>
      <w:pPr>
        <w:ind w:left="1460" w:right="420" w:hanging="422"/>
        <w:spacing w:after="0" w:line="249" w:lineRule="auto"/>
        <w:tabs>
          <w:tab w:leader="none" w:pos="1460"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The Executive agrees that the provisions of Section 4(c) are fair and reasonable and that if her employment is terminated without Cause, or she resigns for Good Reason, except as otherwise provided in this Agreement, she shall have no further right to receive any other compensation or benefits.</w:t>
      </w:r>
    </w:p>
    <w:p>
      <w:pPr>
        <w:spacing w:after="0" w:line="173" w:lineRule="exact"/>
        <w:rPr>
          <w:rFonts w:ascii="Arial" w:cs="Arial" w:eastAsia="Arial" w:hAnsi="Arial"/>
          <w:sz w:val="21"/>
          <w:szCs w:val="21"/>
          <w:color w:val="auto"/>
        </w:rPr>
      </w:pPr>
    </w:p>
    <w:p>
      <w:pPr>
        <w:ind w:left="-240" w:firstLine="788"/>
        <w:spacing w:after="0" w:line="256" w:lineRule="auto"/>
        <w:tabs>
          <w:tab w:leader="none" w:pos="1448"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Execution and Delivery of Release; Restrictive Covenants</w:t>
      </w:r>
      <w:r>
        <w:rPr>
          <w:rFonts w:ascii="Arial" w:cs="Arial" w:eastAsia="Arial" w:hAnsi="Arial"/>
          <w:sz w:val="20"/>
          <w:szCs w:val="20"/>
          <w:color w:val="auto"/>
        </w:rPr>
        <w:t xml:space="preserve">. The Company shall not be required to make the payments and provide the benefits under Section 4(c) (other than the Other Accrued Compensation and Benefits) unless (i) the Executive executes and delivers to the Company, within sixty (60) days following the Executive’s termination of employment, a general waiver and release of claims and the release has become effective and irrevocable in its entirety, and (ii) the Executive remains in material compliance with the Confidentiality, Non-Competition and Intellectual Property Agreement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Non-Competition Agreement</w:t>
      </w:r>
      <w:r>
        <w:rPr>
          <w:rFonts w:ascii="Arial" w:cs="Arial" w:eastAsia="Arial" w:hAnsi="Arial"/>
          <w:sz w:val="20"/>
          <w:szCs w:val="20"/>
          <w:color w:val="auto"/>
        </w:rPr>
        <w:t>”). The Executive’s failure or refusal to sign the release (or the revocation of such release in accordance with applicable laws) or the Executive’s failure to comply with the Non-Competition Agreement shall result in the forfeiture of the payments and benefits payable under Section 4(c).</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216535</wp:posOffset>
            </wp:positionV>
            <wp:extent cx="715073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120"/>
          </w:cols>
          <w:pgMar w:left="1440" w:top="332" w:right="339" w:bottom="1440" w:gutter="0" w:footer="0" w:header="0"/>
        </w:sectPr>
      </w:pPr>
    </w:p>
    <w:bookmarkStart w:id="84" w:name="page85"/>
    <w:bookmarkEnd w:id="84"/>
    <w:p>
      <w:pPr>
        <w:ind w:left="20" w:right="260" w:firstLine="788"/>
        <w:spacing w:after="0" w:line="246" w:lineRule="auto"/>
        <w:tabs>
          <w:tab w:leader="none" w:pos="1696"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termination of employment by the Company or the Executive shall be communicated by a written “</w:t>
      </w:r>
      <w:r>
        <w:rPr>
          <w:rFonts w:ascii="Arial" w:cs="Arial" w:eastAsia="Arial" w:hAnsi="Arial"/>
          <w:sz w:val="21"/>
          <w:szCs w:val="21"/>
          <w:b w:val="1"/>
          <w:bCs w:val="1"/>
          <w:i w:val="1"/>
          <w:iCs w:val="1"/>
          <w:color w:val="auto"/>
        </w:rPr>
        <w:t>Notice of Termination</w:t>
      </w:r>
      <w:r>
        <w:rPr>
          <w:rFonts w:ascii="Arial" w:cs="Arial" w:eastAsia="Arial" w:hAnsi="Arial"/>
          <w:sz w:val="21"/>
          <w:szCs w:val="21"/>
          <w:color w:val="auto"/>
        </w:rPr>
        <w:t>” to the other party hereto given in accordance with Section 22 of this Agreement, except that the Company may waive the requirement for such Notice of Termination by the Executive. The date of the Executive’s termination of employment shall be the date specified in the Notice of Termination.</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5.</w:t>
      </w: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13" w:lineRule="exact"/>
        <w:rPr>
          <w:sz w:val="20"/>
          <w:szCs w:val="20"/>
          <w:color w:val="auto"/>
        </w:rPr>
      </w:pPr>
    </w:p>
    <w:p>
      <w:pPr>
        <w:ind w:left="20" w:right="540" w:firstLine="788"/>
        <w:spacing w:after="0" w:line="269" w:lineRule="auto"/>
        <w:tabs>
          <w:tab w:leader="none" w:pos="1696"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For purposes of this Agreement, “</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shall mean the termination of the Executive’s employment because of:</w:t>
      </w:r>
    </w:p>
    <w:p>
      <w:pPr>
        <w:spacing w:after="0" w:line="153" w:lineRule="exact"/>
        <w:rPr>
          <w:rFonts w:ascii="Arial" w:cs="Arial" w:eastAsia="Arial" w:hAnsi="Arial"/>
          <w:sz w:val="21"/>
          <w:szCs w:val="21"/>
          <w:color w:val="auto"/>
        </w:rPr>
      </w:pPr>
    </w:p>
    <w:p>
      <w:pPr>
        <w:ind w:left="1720" w:right="140" w:hanging="422"/>
        <w:spacing w:after="0" w:line="269" w:lineRule="auto"/>
        <w:tabs>
          <w:tab w:leader="none" w:pos="1720" w:val="left"/>
        </w:tabs>
        <w:numPr>
          <w:ilvl w:val="1"/>
          <w:numId w:val="50"/>
        </w:numPr>
        <w:rPr>
          <w:rFonts w:ascii="Arial" w:cs="Arial" w:eastAsia="Arial" w:hAnsi="Arial"/>
          <w:sz w:val="21"/>
          <w:szCs w:val="21"/>
          <w:color w:val="auto"/>
        </w:rPr>
      </w:pPr>
      <w:r>
        <w:rPr>
          <w:rFonts w:ascii="Arial" w:cs="Arial" w:eastAsia="Arial" w:hAnsi="Arial"/>
          <w:sz w:val="21"/>
          <w:szCs w:val="21"/>
          <w:color w:val="auto"/>
        </w:rPr>
        <w:t>the cessation of the Executive’s ability to work legally in the United States or Canada other than for reasons not within the Executive’s reasonable control;</w:t>
      </w:r>
    </w:p>
    <w:p>
      <w:pPr>
        <w:spacing w:after="0" w:line="153" w:lineRule="exact"/>
        <w:rPr>
          <w:rFonts w:ascii="Arial" w:cs="Arial" w:eastAsia="Arial" w:hAnsi="Arial"/>
          <w:sz w:val="21"/>
          <w:szCs w:val="21"/>
          <w:color w:val="auto"/>
        </w:rPr>
      </w:pPr>
    </w:p>
    <w:p>
      <w:pPr>
        <w:ind w:left="1720" w:right="200" w:hanging="422"/>
        <w:spacing w:after="0" w:line="269" w:lineRule="auto"/>
        <w:tabs>
          <w:tab w:leader="none" w:pos="1720" w:val="left"/>
        </w:tabs>
        <w:numPr>
          <w:ilvl w:val="1"/>
          <w:numId w:val="50"/>
        </w:numPr>
        <w:rPr>
          <w:rFonts w:ascii="Arial" w:cs="Arial" w:eastAsia="Arial" w:hAnsi="Arial"/>
          <w:sz w:val="21"/>
          <w:szCs w:val="21"/>
          <w:color w:val="auto"/>
        </w:rPr>
      </w:pPr>
      <w:r>
        <w:rPr>
          <w:rFonts w:ascii="Arial" w:cs="Arial" w:eastAsia="Arial" w:hAnsi="Arial"/>
          <w:sz w:val="21"/>
          <w:szCs w:val="21"/>
          <w:color w:val="auto"/>
        </w:rPr>
        <w:t>any act or omission that constitutes a material breach by the Executive of any of her obligations under this Agreement;</w:t>
      </w:r>
    </w:p>
    <w:p>
      <w:pPr>
        <w:spacing w:after="0" w:line="153" w:lineRule="exact"/>
        <w:rPr>
          <w:rFonts w:ascii="Arial" w:cs="Arial" w:eastAsia="Arial" w:hAnsi="Arial"/>
          <w:sz w:val="21"/>
          <w:szCs w:val="21"/>
          <w:color w:val="auto"/>
        </w:rPr>
      </w:pPr>
    </w:p>
    <w:p>
      <w:pPr>
        <w:ind w:left="1720" w:right="200" w:hanging="422"/>
        <w:spacing w:after="0" w:line="269" w:lineRule="auto"/>
        <w:tabs>
          <w:tab w:leader="none" w:pos="1720" w:val="left"/>
        </w:tabs>
        <w:numPr>
          <w:ilvl w:val="1"/>
          <w:numId w:val="50"/>
        </w:numPr>
        <w:rPr>
          <w:rFonts w:ascii="Arial" w:cs="Arial" w:eastAsia="Arial" w:hAnsi="Arial"/>
          <w:sz w:val="21"/>
          <w:szCs w:val="21"/>
          <w:color w:val="auto"/>
        </w:rPr>
      </w:pPr>
      <w:r>
        <w:rPr>
          <w:rFonts w:ascii="Arial" w:cs="Arial" w:eastAsia="Arial" w:hAnsi="Arial"/>
          <w:sz w:val="21"/>
          <w:szCs w:val="21"/>
          <w:color w:val="auto"/>
        </w:rPr>
        <w:t>the continued failure or refusal of the Executive to perform the duties reasonably required of her in her role;</w:t>
      </w:r>
    </w:p>
    <w:p>
      <w:pPr>
        <w:spacing w:after="0" w:line="153" w:lineRule="exact"/>
        <w:rPr>
          <w:rFonts w:ascii="Arial" w:cs="Arial" w:eastAsia="Arial" w:hAnsi="Arial"/>
          <w:sz w:val="21"/>
          <w:szCs w:val="21"/>
          <w:color w:val="auto"/>
        </w:rPr>
      </w:pPr>
    </w:p>
    <w:p>
      <w:pPr>
        <w:ind w:left="1720" w:right="20" w:hanging="422"/>
        <w:spacing w:after="0" w:line="254" w:lineRule="auto"/>
        <w:tabs>
          <w:tab w:leader="none" w:pos="1720" w:val="left"/>
        </w:tabs>
        <w:numPr>
          <w:ilvl w:val="1"/>
          <w:numId w:val="50"/>
        </w:numPr>
        <w:rPr>
          <w:rFonts w:ascii="Arial" w:cs="Arial" w:eastAsia="Arial" w:hAnsi="Arial"/>
          <w:sz w:val="21"/>
          <w:szCs w:val="21"/>
          <w:color w:val="auto"/>
        </w:rPr>
      </w:pPr>
      <w:r>
        <w:rPr>
          <w:rFonts w:ascii="Arial" w:cs="Arial" w:eastAsia="Arial" w:hAnsi="Arial"/>
          <w:sz w:val="21"/>
          <w:szCs w:val="21"/>
          <w:color w:val="auto"/>
        </w:rPr>
        <w:t xml:space="preserve">the Executive's commission of, or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any felony or (B) any crime involving dishonesty or moral turpitude or which reflects negatively upon the Company or otherwise impairs or impedes its operations;</w:t>
      </w:r>
    </w:p>
    <w:p>
      <w:pPr>
        <w:spacing w:after="0" w:line="168" w:lineRule="exact"/>
        <w:rPr>
          <w:rFonts w:ascii="Arial" w:cs="Arial" w:eastAsia="Arial" w:hAnsi="Arial"/>
          <w:sz w:val="21"/>
          <w:szCs w:val="21"/>
          <w:color w:val="auto"/>
        </w:rPr>
      </w:pPr>
    </w:p>
    <w:p>
      <w:pPr>
        <w:ind w:left="1720" w:hanging="422"/>
        <w:spacing w:after="0" w:line="269" w:lineRule="auto"/>
        <w:tabs>
          <w:tab w:leader="none" w:pos="1720" w:val="left"/>
        </w:tabs>
        <w:numPr>
          <w:ilvl w:val="1"/>
          <w:numId w:val="50"/>
        </w:numPr>
        <w:rPr>
          <w:rFonts w:ascii="Arial" w:cs="Arial" w:eastAsia="Arial" w:hAnsi="Arial"/>
          <w:sz w:val="21"/>
          <w:szCs w:val="21"/>
          <w:color w:val="auto"/>
        </w:rPr>
      </w:pPr>
      <w:r>
        <w:rPr>
          <w:rFonts w:ascii="Arial" w:cs="Arial" w:eastAsia="Arial" w:hAnsi="Arial"/>
          <w:sz w:val="21"/>
          <w:szCs w:val="21"/>
          <w:color w:val="auto"/>
        </w:rPr>
        <w:t>the Executive's engaging in any misconduct, negligence, act of dishonesty, violence or threat of violence that is materially injurious to the Company or any of its subsidiaries or affiliates;</w:t>
      </w:r>
    </w:p>
    <w:p>
      <w:pPr>
        <w:spacing w:after="0" w:line="153" w:lineRule="exact"/>
        <w:rPr>
          <w:rFonts w:ascii="Arial" w:cs="Arial" w:eastAsia="Arial" w:hAnsi="Arial"/>
          <w:sz w:val="21"/>
          <w:szCs w:val="21"/>
          <w:color w:val="auto"/>
        </w:rPr>
      </w:pPr>
    </w:p>
    <w:p>
      <w:pPr>
        <w:ind w:left="1720" w:right="100" w:hanging="422"/>
        <w:spacing w:after="0" w:line="323" w:lineRule="auto"/>
        <w:tabs>
          <w:tab w:leader="none" w:pos="1720"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 Executive's breach of the Employee Confidentiality, Non-Competition, and Intellectual Property Agreement or any material written policy of the Company or any of its subsidiaries or affiliates; or</w:t>
      </w:r>
    </w:p>
    <w:p>
      <w:pPr>
        <w:spacing w:after="0" w:line="106" w:lineRule="exact"/>
        <w:rPr>
          <w:rFonts w:ascii="Arial" w:cs="Arial" w:eastAsia="Arial" w:hAnsi="Arial"/>
          <w:sz w:val="19"/>
          <w:szCs w:val="19"/>
          <w:color w:val="auto"/>
        </w:rPr>
      </w:pPr>
    </w:p>
    <w:p>
      <w:pPr>
        <w:ind w:left="1720" w:right="60" w:hanging="422"/>
        <w:spacing w:after="0" w:line="249" w:lineRule="auto"/>
        <w:tabs>
          <w:tab w:leader="none" w:pos="1720" w:val="left"/>
        </w:tabs>
        <w:numPr>
          <w:ilvl w:val="1"/>
          <w:numId w:val="50"/>
        </w:numPr>
        <w:rPr>
          <w:rFonts w:ascii="Arial" w:cs="Arial" w:eastAsia="Arial" w:hAnsi="Arial"/>
          <w:sz w:val="21"/>
          <w:szCs w:val="21"/>
          <w:color w:val="auto"/>
        </w:rPr>
      </w:pPr>
      <w:r>
        <w:rPr>
          <w:rFonts w:ascii="Arial" w:cs="Arial" w:eastAsia="Arial" w:hAnsi="Arial"/>
          <w:sz w:val="21"/>
          <w:szCs w:val="21"/>
          <w:color w:val="auto"/>
        </w:rPr>
        <w:t>any other action by the Executive which in the good faith judgment of the Company is materially injurious to the financial condition or business reputation of, or is otherwise materially injurious to, the Company or any of its subsidiaries or affiliates, or which results in the violation by the Company or any of its subsidiaries or affiliates of any law;</w:t>
      </w:r>
    </w:p>
    <w:p>
      <w:pPr>
        <w:spacing w:after="0" w:line="173" w:lineRule="exact"/>
        <w:rPr>
          <w:sz w:val="20"/>
          <w:szCs w:val="20"/>
          <w:color w:val="auto"/>
        </w:rPr>
      </w:pPr>
    </w:p>
    <w:p>
      <w:pPr>
        <w:ind w:right="60" w:firstLine="811"/>
        <w:spacing w:after="0" w:line="245" w:lineRule="auto"/>
        <w:rPr>
          <w:sz w:val="20"/>
          <w:szCs w:val="20"/>
          <w:color w:val="auto"/>
        </w:rPr>
      </w:pP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subject to the proviso at the end of this paragraph, no event or condition described in</w:t>
      </w:r>
      <w:r>
        <w:rPr>
          <w:rFonts w:ascii="Arial" w:cs="Arial" w:eastAsia="Arial" w:hAnsi="Arial"/>
          <w:sz w:val="21"/>
          <w:szCs w:val="21"/>
          <w:i w:val="1"/>
          <w:iCs w:val="1"/>
          <w:color w:val="auto"/>
        </w:rPr>
        <w:t xml:space="preserve"> </w:t>
      </w:r>
      <w:r>
        <w:rPr>
          <w:rFonts w:ascii="Arial" w:cs="Arial" w:eastAsia="Arial" w:hAnsi="Arial"/>
          <w:sz w:val="21"/>
          <w:szCs w:val="21"/>
          <w:color w:val="auto"/>
        </w:rPr>
        <w:t>clauses (i), (ii), (iii), (v), (vi) or (vii) shall constitute Cause unless (A) the Company first gives the Executive written notice of its intention to terminate her employment for Cause and the grounds for such termination, (B) such grounds for termination (if susceptible to correction) are not corrected by the Executive within thirty (30) days of her receipt of such notice (or, in the event that such grounds cannot be corrected within such thirty (30)-day period, the Executive has not taken all</w:t>
      </w:r>
    </w:p>
    <w:p>
      <w:pPr>
        <w:spacing w:after="0" w:line="177" w:lineRule="exact"/>
        <w:rPr>
          <w:sz w:val="20"/>
          <w:szCs w:val="20"/>
          <w:color w:val="auto"/>
        </w:rPr>
      </w:pPr>
    </w:p>
    <w:p>
      <w:pPr>
        <w:ind w:left="4720"/>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216535</wp:posOffset>
            </wp:positionV>
            <wp:extent cx="715073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0380"/>
          </w:cols>
          <w:pgMar w:left="1180" w:top="332" w:right="339" w:bottom="1440" w:gutter="0" w:footer="0" w:header="0"/>
        </w:sectPr>
      </w:pPr>
    </w:p>
    <w:bookmarkStart w:id="85" w:name="page86"/>
    <w:bookmarkEnd w:id="85"/>
    <w:p>
      <w:pPr>
        <w:ind w:left="860" w:right="40"/>
        <w:spacing w:after="0" w:line="254" w:lineRule="auto"/>
        <w:rPr>
          <w:sz w:val="20"/>
          <w:szCs w:val="20"/>
          <w:color w:val="auto"/>
        </w:rPr>
      </w:pPr>
      <w:r>
        <w:rPr>
          <w:rFonts w:ascii="Arial" w:cs="Arial" w:eastAsia="Arial" w:hAnsi="Arial"/>
          <w:sz w:val="21"/>
          <w:szCs w:val="21"/>
          <w:color w:val="auto"/>
        </w:rPr>
        <w:t>reasonable steps within such thirty (30)-day period to correct such grounds as promptly as practicable thereafter) and (C) the Company actually terminates the Executive’s employment with the Company within thirty (30) days following the expiration of the thirty (30) day cure period.</w:t>
      </w:r>
    </w:p>
    <w:p>
      <w:pPr>
        <w:spacing w:after="0" w:line="168" w:lineRule="exact"/>
        <w:rPr>
          <w:sz w:val="20"/>
          <w:szCs w:val="20"/>
          <w:color w:val="auto"/>
        </w:rPr>
      </w:pPr>
    </w:p>
    <w:p>
      <w:pPr>
        <w:ind w:left="880" w:firstLine="788"/>
        <w:spacing w:after="0" w:line="273" w:lineRule="auto"/>
        <w:tabs>
          <w:tab w:leader="none" w:pos="2568"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For purposes of this Agreement, “</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means a physical or mental disability or infirmity of the Executive that prevents the normal performance of substantially all of her duties under this Agreement as an Executive of the Company, which disability or infirmity shall exist for any continuous period of 180 days.</w:t>
      </w:r>
    </w:p>
    <w:p>
      <w:pPr>
        <w:spacing w:after="0" w:line="150" w:lineRule="exact"/>
        <w:rPr>
          <w:rFonts w:ascii="Arial" w:cs="Arial" w:eastAsia="Arial" w:hAnsi="Arial"/>
          <w:sz w:val="20"/>
          <w:szCs w:val="20"/>
          <w:color w:val="auto"/>
        </w:rPr>
      </w:pPr>
    </w:p>
    <w:p>
      <w:pPr>
        <w:ind w:left="880" w:right="40" w:firstLine="788"/>
        <w:spacing w:after="0" w:line="242" w:lineRule="auto"/>
        <w:tabs>
          <w:tab w:leader="none" w:pos="2556"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Good Reason</w:t>
      </w:r>
      <w:r>
        <w:rPr>
          <w:rFonts w:ascii="Arial" w:cs="Arial" w:eastAsia="Arial" w:hAnsi="Arial"/>
          <w:sz w:val="21"/>
          <w:szCs w:val="21"/>
          <w:color w:val="auto"/>
        </w:rPr>
        <w:t>. For purposes of this Agreement, “</w:t>
      </w:r>
      <w:r>
        <w:rPr>
          <w:rFonts w:ascii="Arial" w:cs="Arial" w:eastAsia="Arial" w:hAnsi="Arial"/>
          <w:sz w:val="21"/>
          <w:szCs w:val="21"/>
          <w:b w:val="1"/>
          <w:bCs w:val="1"/>
          <w:i w:val="1"/>
          <w:iCs w:val="1"/>
          <w:color w:val="auto"/>
        </w:rPr>
        <w:t>Good Reason</w:t>
      </w:r>
      <w:r>
        <w:rPr>
          <w:rFonts w:ascii="Arial" w:cs="Arial" w:eastAsia="Arial" w:hAnsi="Arial"/>
          <w:sz w:val="21"/>
          <w:szCs w:val="21"/>
          <w:color w:val="auto"/>
        </w:rPr>
        <w:t xml:space="preserve">” shall mean the Executive’s resignation as a result of (i) a material diminution of the Executive’s responsibilities; (ii) the Executive ceasing to report to the CEO; (iii) the Company requiring the Executive to be based at any office or location more than thirty (30) miles from Los Angeles; or (iv) a material breach by the Company of any material term of this Agreement;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that no such event shall constitute Good Reason unless (A) the Executive first gives the Company written notice of her intention to resign her employment for Good Reason and the grounds for such resignation, (B) such grounds for resignation (if susceptible to correction) are not corrected by the Company within thirty (30) days of its receipt of such notice and (C) the Executive actually resigns her employment with the Company within thirty (30) days following the expiration of the thirty (30) day cure period.</w:t>
      </w:r>
    </w:p>
    <w:p>
      <w:pPr>
        <w:spacing w:after="0" w:line="186" w:lineRule="exact"/>
        <w:rPr>
          <w:rFonts w:ascii="Arial" w:cs="Arial" w:eastAsia="Arial" w:hAnsi="Arial"/>
          <w:sz w:val="21"/>
          <w:szCs w:val="21"/>
          <w:color w:val="auto"/>
        </w:rPr>
      </w:pPr>
    </w:p>
    <w:p>
      <w:pPr>
        <w:ind w:left="880" w:right="180" w:firstLine="788"/>
        <w:spacing w:after="0" w:line="254" w:lineRule="auto"/>
        <w:tabs>
          <w:tab w:leader="none" w:pos="2568"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Separation from Service</w:t>
      </w:r>
      <w:r>
        <w:rPr>
          <w:rFonts w:ascii="Arial" w:cs="Arial" w:eastAsia="Arial" w:hAnsi="Arial"/>
          <w:sz w:val="21"/>
          <w:szCs w:val="21"/>
          <w:color w:val="auto"/>
        </w:rPr>
        <w:t>. “</w:t>
      </w:r>
      <w:r>
        <w:rPr>
          <w:rFonts w:ascii="Arial" w:cs="Arial" w:eastAsia="Arial" w:hAnsi="Arial"/>
          <w:sz w:val="21"/>
          <w:szCs w:val="21"/>
          <w:b w:val="1"/>
          <w:bCs w:val="1"/>
          <w:i w:val="1"/>
          <w:iCs w:val="1"/>
          <w:color w:val="auto"/>
        </w:rPr>
        <w:t>Separation from Service</w:t>
      </w:r>
      <w:r>
        <w:rPr>
          <w:rFonts w:ascii="Arial" w:cs="Arial" w:eastAsia="Arial" w:hAnsi="Arial"/>
          <w:sz w:val="21"/>
          <w:szCs w:val="21"/>
          <w:color w:val="auto"/>
        </w:rPr>
        <w:t>” will have the meaning set forth in Section 409A(a)(2)(A)(i) of the Internal Revenue Code (as amended, and the regulations and guidance promulgated thereunder (collectively, the “</w:t>
      </w:r>
      <w:r>
        <w:rPr>
          <w:rFonts w:ascii="Arial" w:cs="Arial" w:eastAsia="Arial" w:hAnsi="Arial"/>
          <w:sz w:val="21"/>
          <w:szCs w:val="21"/>
          <w:b w:val="1"/>
          <w:bCs w:val="1"/>
          <w:i w:val="1"/>
          <w:iCs w:val="1"/>
          <w:color w:val="auto"/>
        </w:rPr>
        <w:t>Code</w:t>
      </w:r>
      <w:r>
        <w:rPr>
          <w:rFonts w:ascii="Arial" w:cs="Arial" w:eastAsia="Arial" w:hAnsi="Arial"/>
          <w:sz w:val="21"/>
          <w:szCs w:val="21"/>
          <w:color w:val="auto"/>
        </w:rPr>
        <w:t>”)).</w:t>
      </w:r>
    </w:p>
    <w:p>
      <w:pPr>
        <w:spacing w:after="0" w:line="168" w:lineRule="exact"/>
        <w:rPr>
          <w:sz w:val="20"/>
          <w:szCs w:val="20"/>
          <w:color w:val="auto"/>
        </w:rPr>
      </w:pPr>
    </w:p>
    <w:p>
      <w:pPr>
        <w:ind w:right="100" w:firstLine="1728"/>
        <w:spacing w:after="0" w:line="262" w:lineRule="auto"/>
        <w:rPr>
          <w:sz w:val="20"/>
          <w:szCs w:val="20"/>
          <w:color w:val="auto"/>
        </w:rPr>
      </w:pPr>
      <w:r>
        <w:rPr>
          <w:rFonts w:ascii="Arial" w:cs="Arial" w:eastAsia="Arial" w:hAnsi="Arial"/>
          <w:sz w:val="20"/>
          <w:szCs w:val="20"/>
          <w:color w:val="auto"/>
        </w:rPr>
        <w:t xml:space="preserve">6. </w:t>
      </w:r>
      <w:r>
        <w:rPr>
          <w:rFonts w:ascii="Arial" w:cs="Arial" w:eastAsia="Arial" w:hAnsi="Arial"/>
          <w:sz w:val="20"/>
          <w:szCs w:val="20"/>
          <w:u w:val="single" w:color="auto"/>
          <w:color w:val="auto"/>
        </w:rPr>
        <w:t>Nondisparagement</w:t>
      </w:r>
      <w:r>
        <w:rPr>
          <w:rFonts w:ascii="Arial" w:cs="Arial" w:eastAsia="Arial" w:hAnsi="Arial"/>
          <w:sz w:val="20"/>
          <w:szCs w:val="20"/>
          <w:color w:val="auto"/>
        </w:rPr>
        <w:t>. The Executive agrees that at no time during the Executive’s employment by the Company or thereafter shall the Executive make, or cause or assist any other person to make, any statement or other communication to any third party that impugns or attacks, or is otherwise critical of, the reputation, business or character of the Company, its subsidiaries and affiliates, and their respective directors, officers or employees. It shall not be a violation of this Section 6 for the Executive to testify truthfully in response to a subpoena or other lawful process.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jc w:val="right"/>
              <w:ind w:right="1813"/>
              <w:spacing w:after="0"/>
              <w:rPr>
                <w:sz w:val="20"/>
                <w:szCs w:val="20"/>
                <w:color w:val="auto"/>
              </w:rPr>
            </w:pPr>
            <w:r>
              <w:rPr>
                <w:rFonts w:ascii="Arial" w:cs="Arial" w:eastAsia="Arial" w:hAnsi="Arial"/>
                <w:sz w:val="21"/>
                <w:szCs w:val="21"/>
                <w:color w:val="auto"/>
              </w:rPr>
              <w:t>7.</w:t>
            </w:r>
          </w:p>
        </w:tc>
        <w:tc>
          <w:tcPr>
            <w:tcW w:w="6440" w:type="dxa"/>
            <w:vAlign w:val="bottom"/>
            <w:gridSpan w:val="3"/>
          </w:tcPr>
          <w:p>
            <w:pPr>
              <w:spacing w:after="0"/>
              <w:rPr>
                <w:sz w:val="20"/>
                <w:szCs w:val="20"/>
                <w:color w:val="auto"/>
              </w:rPr>
            </w:pPr>
            <w:r>
              <w:rPr>
                <w:rFonts w:ascii="Arial" w:cs="Arial" w:eastAsia="Arial" w:hAnsi="Arial"/>
                <w:sz w:val="21"/>
                <w:szCs w:val="21"/>
                <w:color w:val="auto"/>
                <w:w w:val="93"/>
              </w:rPr>
              <w:t>Recovery of Compensation. All payments and benefits provided under this</w:t>
            </w:r>
          </w:p>
        </w:tc>
      </w:tr>
      <w:tr>
        <w:trPr>
          <w:trHeight w:val="20"/>
        </w:trPr>
        <w:tc>
          <w:tcPr>
            <w:tcW w:w="38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71"/>
        </w:trPr>
        <w:tc>
          <w:tcPr>
            <w:tcW w:w="10260" w:type="dxa"/>
            <w:vAlign w:val="bottom"/>
            <w:gridSpan w:val="4"/>
          </w:tcPr>
          <w:p>
            <w:pPr>
              <w:spacing w:after="0"/>
              <w:rPr>
                <w:sz w:val="20"/>
                <w:szCs w:val="20"/>
                <w:color w:val="auto"/>
              </w:rPr>
            </w:pPr>
            <w:r>
              <w:rPr>
                <w:rFonts w:ascii="Arial" w:cs="Arial" w:eastAsia="Arial" w:hAnsi="Arial"/>
                <w:sz w:val="21"/>
                <w:szCs w:val="21"/>
                <w:color w:val="auto"/>
              </w:rPr>
              <w:t>Agreement shall be subject to any compensation recovery or clawback as required under law.</w:t>
            </w:r>
          </w:p>
        </w:tc>
      </w:tr>
      <w:tr>
        <w:trPr>
          <w:trHeight w:val="404"/>
        </w:trPr>
        <w:tc>
          <w:tcPr>
            <w:tcW w:w="3820" w:type="dxa"/>
            <w:vAlign w:val="bottom"/>
          </w:tcPr>
          <w:p>
            <w:pPr>
              <w:jc w:val="right"/>
              <w:ind w:right="1813"/>
              <w:spacing w:after="0"/>
              <w:rPr>
                <w:sz w:val="20"/>
                <w:szCs w:val="20"/>
                <w:color w:val="auto"/>
              </w:rPr>
            </w:pPr>
            <w:r>
              <w:rPr>
                <w:rFonts w:ascii="Arial" w:cs="Arial" w:eastAsia="Arial" w:hAnsi="Arial"/>
                <w:sz w:val="21"/>
                <w:szCs w:val="21"/>
                <w:color w:val="auto"/>
              </w:rPr>
              <w:t>8.</w:t>
            </w:r>
          </w:p>
        </w:tc>
        <w:tc>
          <w:tcPr>
            <w:tcW w:w="6440" w:type="dxa"/>
            <w:vAlign w:val="bottom"/>
            <w:gridSpan w:val="3"/>
          </w:tcPr>
          <w:p>
            <w:pPr>
              <w:spacing w:after="0"/>
              <w:rPr>
                <w:sz w:val="20"/>
                <w:szCs w:val="20"/>
                <w:color w:val="auto"/>
              </w:rPr>
            </w:pPr>
            <w:r>
              <w:rPr>
                <w:rFonts w:ascii="Arial" w:cs="Arial" w:eastAsia="Arial" w:hAnsi="Arial"/>
                <w:sz w:val="21"/>
                <w:szCs w:val="21"/>
                <w:color w:val="auto"/>
              </w:rPr>
              <w:t>Section 409A of the Code.</w:t>
            </w:r>
          </w:p>
        </w:tc>
      </w:tr>
      <w:tr>
        <w:trPr>
          <w:trHeight w:val="20"/>
        </w:trPr>
        <w:tc>
          <w:tcPr>
            <w:tcW w:w="38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pacing w:after="0" w:line="219" w:lineRule="exact"/>
        <w:rPr>
          <w:sz w:val="20"/>
          <w:szCs w:val="20"/>
          <w:color w:val="auto"/>
        </w:rPr>
      </w:pPr>
    </w:p>
    <w:p>
      <w:pPr>
        <w:ind w:left="880" w:firstLine="788"/>
        <w:spacing w:after="0" w:line="246" w:lineRule="auto"/>
        <w:tabs>
          <w:tab w:leader="none" w:pos="2556"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payments and benefits provided under this Agreement are intended to comply with, or be exempt from, Section 409A of the Code (“</w:t>
      </w:r>
      <w:r>
        <w:rPr>
          <w:rFonts w:ascii="Arial" w:cs="Arial" w:eastAsia="Arial" w:hAnsi="Arial"/>
          <w:sz w:val="21"/>
          <w:szCs w:val="21"/>
          <w:b w:val="1"/>
          <w:bCs w:val="1"/>
          <w:i w:val="1"/>
          <w:iCs w:val="1"/>
          <w:color w:val="auto"/>
        </w:rPr>
        <w:t>Section 409A</w:t>
      </w:r>
      <w:r>
        <w:rPr>
          <w:rFonts w:ascii="Arial" w:cs="Arial" w:eastAsia="Arial" w:hAnsi="Arial"/>
          <w:sz w:val="21"/>
          <w:szCs w:val="21"/>
          <w:color w:val="auto"/>
        </w:rPr>
        <w:t>”) and shall be interpreted or construed consistent with that intent. The Company shall not accelerate any payment or the provision of any benefits under this Agreement or make or provide any such payment or benefits if such payment or provision of such benefits would, as a result, be subject to tax under Section 409A. If, in the good faith judgment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86" w:name="page87"/>
    <w:bookmarkEnd w:id="86"/>
    <w:p>
      <w:pPr>
        <w:ind w:left="880"/>
        <w:spacing w:after="0" w:line="245" w:lineRule="auto"/>
        <w:rPr>
          <w:sz w:val="20"/>
          <w:szCs w:val="20"/>
          <w:color w:val="auto"/>
        </w:rPr>
      </w:pPr>
      <w:r>
        <w:rPr>
          <w:rFonts w:ascii="Arial" w:cs="Arial" w:eastAsia="Arial" w:hAnsi="Arial"/>
          <w:sz w:val="21"/>
          <w:szCs w:val="21"/>
          <w:color w:val="auto"/>
        </w:rPr>
        <w:t>Company, any provision of this Agreement could cause the Executive to be subject to adverse or unintended tax consequences under Section 409A, such provision shall be modified by the Company in its sole discretion to maintain, to the maximum extent practicable, the original intent of the applicable provision without contravening the requirements of Section 409A. This Section 8(a) does not create an obligation on the part of the Company to modify this Agreement and does not guarantee that the amounts or benefits owed under this Agreement will not be subject to tax, interest and penalties under Section 409A.</w:t>
      </w:r>
    </w:p>
    <w:p>
      <w:pPr>
        <w:spacing w:after="0" w:line="177" w:lineRule="exact"/>
        <w:rPr>
          <w:sz w:val="20"/>
          <w:szCs w:val="20"/>
          <w:color w:val="auto"/>
        </w:rPr>
      </w:pPr>
    </w:p>
    <w:p>
      <w:pPr>
        <w:ind w:left="880" w:firstLine="788"/>
        <w:spacing w:after="0" w:line="255" w:lineRule="auto"/>
        <w:tabs>
          <w:tab w:leader="none" w:pos="2621"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Anything in this Agreement to the contrary notwithstanding, each payment of compensation made to the Executive shall be treated as a separate and distinct installment payment from all other such payments for purposes of Section 409A. The actual date of payment pursuant to this Agreement shall be within the sole discretion of the Company. In no event may the Executive be permitted to control the year in which payment occurs. With regard to any provision herein that provides for reimbursement of costs and expenses or in-kind benefits, except as permitted by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and (iii) such payments shall be made on or before the last day of the Executive’s taxable year following the taxable year in which the expense occurred, or such earlier date as required hereunder.</w:t>
      </w:r>
    </w:p>
    <w:p>
      <w:pPr>
        <w:spacing w:after="0" w:line="174" w:lineRule="exact"/>
        <w:rPr>
          <w:rFonts w:ascii="Arial" w:cs="Arial" w:eastAsia="Arial" w:hAnsi="Arial"/>
          <w:sz w:val="20"/>
          <w:szCs w:val="20"/>
          <w:color w:val="auto"/>
        </w:rPr>
      </w:pPr>
    </w:p>
    <w:p>
      <w:pPr>
        <w:ind w:left="880" w:right="100" w:firstLine="788"/>
        <w:spacing w:after="0" w:line="255" w:lineRule="auto"/>
        <w:tabs>
          <w:tab w:leader="none" w:pos="2556"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payment to be made under this Agreement upon a termination of employment shall only be made upon a Separation from Service under Section 409A. Notwithstanding any other provision of this Agreement, to the extent that the right to any payment (including the provision of benefits) to be made hereunder upon the Executive’s Separation from Service provides for the “deferral of compensation” within the meaning of Section 409A(d)(1), if the Executive is a “Specified Executive” within the meaning of Section 409A(a)(2)(B)(i) on the date of the Executive’s Separation from Service, then no such payment shall be made or commence during the period beginning on the date of the Executive’s Separation from Service and ending on the date that is six (6) months following the Executive’s Separation from Service or, if earlier, on the date of the Executive’s death. The amount of any payment that would otherwise be paid to the Executive during this period shall instead be paid to the Executive on the fifteenth (15</w:t>
      </w:r>
      <w:r>
        <w:rPr>
          <w:rFonts w:ascii="Arial" w:cs="Arial" w:eastAsia="Arial" w:hAnsi="Arial"/>
          <w:sz w:val="17"/>
          <w:szCs w:val="17"/>
          <w:color w:val="auto"/>
        </w:rPr>
        <w:t>th</w:t>
      </w:r>
      <w:r>
        <w:rPr>
          <w:rFonts w:ascii="Arial" w:cs="Arial" w:eastAsia="Arial" w:hAnsi="Arial"/>
          <w:sz w:val="20"/>
          <w:szCs w:val="20"/>
          <w:color w:val="auto"/>
        </w:rPr>
        <w:t>) day of the first calendar month following the end of the six (6)-month period.</w:t>
      </w:r>
    </w:p>
    <w:p>
      <w:pPr>
        <w:spacing w:after="0" w:line="175" w:lineRule="exact"/>
        <w:rPr>
          <w:sz w:val="20"/>
          <w:szCs w:val="20"/>
          <w:color w:val="auto"/>
        </w:rPr>
      </w:pPr>
    </w:p>
    <w:p>
      <w:pPr>
        <w:ind w:right="100" w:firstLine="1728"/>
        <w:spacing w:after="0" w:line="259" w:lineRule="auto"/>
        <w:rPr>
          <w:sz w:val="20"/>
          <w:szCs w:val="20"/>
          <w:color w:val="auto"/>
        </w:rPr>
      </w:pPr>
      <w:r>
        <w:rPr>
          <w:rFonts w:ascii="Arial" w:cs="Arial" w:eastAsia="Arial" w:hAnsi="Arial"/>
          <w:sz w:val="20"/>
          <w:szCs w:val="20"/>
          <w:color w:val="auto"/>
        </w:rPr>
        <w:t>9.</w:t>
      </w:r>
      <w:r>
        <w:rPr>
          <w:rFonts w:ascii="Arial" w:cs="Arial" w:eastAsia="Arial" w:hAnsi="Arial"/>
          <w:sz w:val="20"/>
          <w:szCs w:val="20"/>
          <w:u w:val="single" w:color="auto"/>
          <w:color w:val="auto"/>
        </w:rPr>
        <w:t>Source of Payments</w:t>
      </w:r>
      <w:r>
        <w:rPr>
          <w:rFonts w:ascii="Arial" w:cs="Arial" w:eastAsia="Arial" w:hAnsi="Arial"/>
          <w:sz w:val="20"/>
          <w:szCs w:val="20"/>
          <w:color w:val="auto"/>
        </w:rPr>
        <w:t>. All payments provided under this Agreement, other than payments made pursuant to a plan which provides otherwise, shall be paid in cash from the general funds of the Company, and no special or separate fund shall be established, and no other segregation of assets shall be made, to assure payment. The Executive shall have no right, title or interest whatsoever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87" w:name="page88"/>
    <w:bookmarkEnd w:id="87"/>
    <w:p>
      <w:pPr>
        <w:ind w:right="120" w:firstLine="1728"/>
        <w:spacing w:after="0" w:line="254" w:lineRule="auto"/>
        <w:rPr>
          <w:sz w:val="20"/>
          <w:szCs w:val="20"/>
          <w:color w:val="auto"/>
        </w:rPr>
      </w:pPr>
      <w:r>
        <w:rPr>
          <w:rFonts w:ascii="Arial" w:cs="Arial" w:eastAsia="Arial" w:hAnsi="Arial"/>
          <w:sz w:val="21"/>
          <w:szCs w:val="21"/>
          <w:color w:val="auto"/>
        </w:rPr>
        <w:t xml:space="preserve">10. </w:t>
      </w:r>
      <w:r>
        <w:rPr>
          <w:rFonts w:ascii="Arial" w:cs="Arial" w:eastAsia="Arial" w:hAnsi="Arial"/>
          <w:sz w:val="21"/>
          <w:szCs w:val="21"/>
          <w:u w:val="single" w:color="auto"/>
          <w:color w:val="auto"/>
        </w:rPr>
        <w:t>Representation and Warranty</w:t>
      </w:r>
      <w:r>
        <w:rPr>
          <w:rFonts w:ascii="Arial" w:cs="Arial" w:eastAsia="Arial" w:hAnsi="Arial"/>
          <w:sz w:val="21"/>
          <w:szCs w:val="21"/>
          <w:color w:val="auto"/>
        </w:rPr>
        <w:t>. The Executive represents and warrants that she is not subject to any non-competition covenant or any other agreement with any party that would in any manner restrict or limit her ability to render the services required of her hereunder.</w:t>
      </w:r>
    </w:p>
    <w:p>
      <w:pPr>
        <w:spacing w:after="0" w:line="168" w:lineRule="exact"/>
        <w:rPr>
          <w:sz w:val="20"/>
          <w:szCs w:val="20"/>
          <w:color w:val="auto"/>
        </w:rPr>
      </w:pPr>
    </w:p>
    <w:p>
      <w:pPr>
        <w:ind w:right="400" w:firstLine="1728"/>
        <w:spacing w:after="0" w:line="254"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Assignment</w:t>
      </w:r>
      <w:r>
        <w:rPr>
          <w:rFonts w:ascii="Arial" w:cs="Arial" w:eastAsia="Arial" w:hAnsi="Arial"/>
          <w:sz w:val="21"/>
          <w:szCs w:val="21"/>
          <w:color w:val="auto"/>
        </w:rPr>
        <w:t>. This Agreement may be assigned by the Company to an affiliate or subsidiary, or in connection with a sale of all or substantially all of the Company’s assets. The Executive may not assign or delegate her duties under this Agreement.</w:t>
      </w:r>
    </w:p>
    <w:p>
      <w:pPr>
        <w:spacing w:after="0" w:line="168" w:lineRule="exact"/>
        <w:rPr>
          <w:sz w:val="20"/>
          <w:szCs w:val="20"/>
          <w:color w:val="auto"/>
        </w:rPr>
      </w:pPr>
    </w:p>
    <w:p>
      <w:pPr>
        <w:ind w:right="140" w:firstLine="1728"/>
        <w:spacing w:after="0" w:line="269"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Binding Agreement</w:t>
      </w:r>
      <w:r>
        <w:rPr>
          <w:rFonts w:ascii="Arial" w:cs="Arial" w:eastAsia="Arial" w:hAnsi="Arial"/>
          <w:sz w:val="21"/>
          <w:szCs w:val="21"/>
          <w:color w:val="auto"/>
        </w:rPr>
        <w:t>. This Agreement shall be binding upon and inure to the benefit of the parties hereto and their respective heirs, successors and permitted assigns.</w:t>
      </w:r>
    </w:p>
    <w:p>
      <w:pPr>
        <w:spacing w:after="0" w:line="153" w:lineRule="exact"/>
        <w:rPr>
          <w:sz w:val="20"/>
          <w:szCs w:val="20"/>
          <w:color w:val="auto"/>
        </w:rPr>
      </w:pPr>
    </w:p>
    <w:p>
      <w:pPr>
        <w:jc w:val="both"/>
        <w:ind w:firstLine="1735"/>
        <w:spacing w:after="0" w:line="254" w:lineRule="auto"/>
        <w:tabs>
          <w:tab w:leader="none" w:pos="3277"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Any payments made or benefits provided to the Executive under this Agreement shall be reduced by any applicable withholding taxes or other amounts required or permitted to be withheld by law or contract.</w:t>
      </w:r>
    </w:p>
    <w:p>
      <w:pPr>
        <w:spacing w:after="0" w:line="168" w:lineRule="exact"/>
        <w:rPr>
          <w:sz w:val="20"/>
          <w:szCs w:val="20"/>
          <w:color w:val="auto"/>
        </w:rPr>
      </w:pPr>
    </w:p>
    <w:p>
      <w:pPr>
        <w:ind w:right="120" w:firstLine="1728"/>
        <w:spacing w:after="0" w:line="246" w:lineRule="auto"/>
        <w:rPr>
          <w:sz w:val="20"/>
          <w:szCs w:val="20"/>
          <w:color w:val="auto"/>
        </w:rPr>
      </w:pPr>
      <w:r>
        <w:rPr>
          <w:rFonts w:ascii="Arial" w:cs="Arial" w:eastAsia="Arial" w:hAnsi="Arial"/>
          <w:sz w:val="21"/>
          <w:szCs w:val="21"/>
          <w:color w:val="auto"/>
        </w:rPr>
        <w:t xml:space="preserve">14. </w:t>
      </w:r>
      <w:r>
        <w:rPr>
          <w:rFonts w:ascii="Arial" w:cs="Arial" w:eastAsia="Arial" w:hAnsi="Arial"/>
          <w:sz w:val="21"/>
          <w:szCs w:val="21"/>
          <w:u w:val="single" w:color="auto"/>
          <w:color w:val="auto"/>
        </w:rPr>
        <w:t>Amendment; Waiver</w:t>
      </w:r>
      <w:r>
        <w:rPr>
          <w:rFonts w:ascii="Arial" w:cs="Arial" w:eastAsia="Arial" w:hAnsi="Arial"/>
          <w:sz w:val="21"/>
          <w:szCs w:val="21"/>
          <w:color w:val="auto"/>
        </w:rPr>
        <w:t>. This Agreement may not be modified, amended or waived in any manner, except by an instrument in writing signed by both parties hereto. The waiver by either party of compliance with any provision of this Agreement by the other party (including the failure to insist upon strict compliance with any term, covenant or condition) shall not operate or be construed as a waiver of (i) any other provision of this Agreement, or (ii) any subsequent breach by such party of a provision of this Agreement.</w:t>
      </w:r>
    </w:p>
    <w:p>
      <w:pPr>
        <w:spacing w:after="0" w:line="178" w:lineRule="exact"/>
        <w:rPr>
          <w:sz w:val="20"/>
          <w:szCs w:val="20"/>
          <w:color w:val="auto"/>
        </w:rPr>
      </w:pPr>
    </w:p>
    <w:p>
      <w:pPr>
        <w:ind w:right="40" w:firstLine="1728"/>
        <w:spacing w:after="0" w:line="254"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Governing Law</w:t>
      </w:r>
      <w:r>
        <w:rPr>
          <w:rFonts w:ascii="Arial" w:cs="Arial" w:eastAsia="Arial" w:hAnsi="Arial"/>
          <w:sz w:val="21"/>
          <w:szCs w:val="21"/>
          <w:color w:val="auto"/>
        </w:rPr>
        <w:t>. All matters affecting this Agreement, including the validity thereof, are to be subject to, and interpreted and construed in accordance with, the laws of the State of California applicable to contracts executed in and to be performed in that State.</w:t>
      </w:r>
    </w:p>
    <w:p>
      <w:pPr>
        <w:spacing w:after="0" w:line="168" w:lineRule="exact"/>
        <w:rPr>
          <w:sz w:val="20"/>
          <w:szCs w:val="20"/>
          <w:color w:val="auto"/>
        </w:rPr>
      </w:pPr>
    </w:p>
    <w:p>
      <w:pPr>
        <w:ind w:right="200" w:firstLine="1735"/>
        <w:spacing w:after="0" w:line="256" w:lineRule="auto"/>
        <w:tabs>
          <w:tab w:leader="none" w:pos="2636"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Arbitration</w:t>
      </w:r>
      <w:r>
        <w:rPr>
          <w:rFonts w:ascii="Arial" w:cs="Arial" w:eastAsia="Arial" w:hAnsi="Arial"/>
          <w:sz w:val="20"/>
          <w:szCs w:val="20"/>
          <w:color w:val="auto"/>
        </w:rPr>
        <w:t>. Any dispute or controversy arising under or in connection with this Agreement or otherwise in connection with the Executive's employment by the Company that cannot be mutually resolved by the parties to this Agreement and their respective advisors and representatives shall be settled exclusively by arbitration in Los Angeles County, California in accordance with the rules of the American Arbitration Association, provided that discovery in any such arbitration shall be conducted in accordance with the California Code of Civil Procedure. The arbitration shall be held before one arbitrator of exemplary qualifications and stature, who shall be selected jointly by an individual to be designated by the Company and an individual to be selected by the Executive, or if such two individuals cannot agree on the selection of the arbitrator, who shall be selected pursuant to Employment Arbitration Rules and Mediation Procedures of the American Arbitration Association. The prevailing party shall be entitled to recover its/her reasonable fees and costs.</w:t>
      </w:r>
    </w:p>
    <w:p>
      <w:pPr>
        <w:spacing w:after="0" w:line="169" w:lineRule="exact"/>
        <w:rPr>
          <w:rFonts w:ascii="Arial" w:cs="Arial" w:eastAsia="Arial" w:hAnsi="Arial"/>
          <w:sz w:val="20"/>
          <w:szCs w:val="20"/>
          <w:color w:val="auto"/>
        </w:rPr>
      </w:pPr>
    </w:p>
    <w:p>
      <w:pPr>
        <w:ind w:right="120" w:firstLine="1735"/>
        <w:spacing w:after="0" w:line="269" w:lineRule="auto"/>
        <w:tabs>
          <w:tab w:leader="none" w:pos="2636"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Survival of Certain Provisions</w:t>
      </w:r>
      <w:r>
        <w:rPr>
          <w:rFonts w:ascii="Arial" w:cs="Arial" w:eastAsia="Arial" w:hAnsi="Arial"/>
          <w:sz w:val="21"/>
          <w:szCs w:val="21"/>
          <w:color w:val="auto"/>
        </w:rPr>
        <w:t>. The rights and obligations set forth in this Agreement that, by their terms, extend beyond the Term shall survive the Term.</w:t>
      </w:r>
    </w:p>
    <w:p>
      <w:pPr>
        <w:spacing w:after="0" w:line="153" w:lineRule="exact"/>
        <w:rPr>
          <w:sz w:val="20"/>
          <w:szCs w:val="20"/>
          <w:color w:val="auto"/>
        </w:rPr>
      </w:pPr>
    </w:p>
    <w:p>
      <w:pPr>
        <w:ind w:right="20" w:firstLine="1728"/>
        <w:spacing w:after="0" w:line="246" w:lineRule="auto"/>
        <w:rPr>
          <w:sz w:val="20"/>
          <w:szCs w:val="20"/>
          <w:color w:val="auto"/>
        </w:rPr>
      </w:pPr>
      <w:r>
        <w:rPr>
          <w:rFonts w:ascii="Arial" w:cs="Arial" w:eastAsia="Arial" w:hAnsi="Arial"/>
          <w:sz w:val="21"/>
          <w:szCs w:val="21"/>
          <w:color w:val="auto"/>
        </w:rPr>
        <w:t xml:space="preserve">18.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the equity award agreements referenced in Section 3(c) of this Agreement and the Non-Competition Agreement, contain the entire agreement and understanding of the parties hereto with respect to the matters covered herein, and supersede all prior or contemporaneous negotiations, commitments, agreements and writings with respect to the subject matter hereof, including the Prior Agreement. All such other negotiations, commitments, agreements and writings shall have no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88" w:name="page89"/>
    <w:bookmarkEnd w:id="88"/>
    <w:p>
      <w:pPr>
        <w:spacing w:after="0" w:line="269" w:lineRule="auto"/>
        <w:rPr>
          <w:sz w:val="20"/>
          <w:szCs w:val="20"/>
          <w:color w:val="auto"/>
        </w:rPr>
      </w:pPr>
      <w:r>
        <w:rPr>
          <w:rFonts w:ascii="Arial" w:cs="Arial" w:eastAsia="Arial" w:hAnsi="Arial"/>
          <w:sz w:val="21"/>
          <w:szCs w:val="21"/>
          <w:color w:val="auto"/>
        </w:rPr>
        <w:t>further force or effect, and the parties to any such other negotiation, commitment, agreement or writing shall have no further rights or obligations thereunder.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jc w:val="right"/>
              <w:ind w:right="1813"/>
              <w:spacing w:after="0"/>
              <w:rPr>
                <w:sz w:val="20"/>
                <w:szCs w:val="20"/>
                <w:color w:val="auto"/>
              </w:rPr>
            </w:pPr>
            <w:r>
              <w:rPr>
                <w:rFonts w:ascii="Arial" w:cs="Arial" w:eastAsia="Arial" w:hAnsi="Arial"/>
                <w:sz w:val="21"/>
                <w:szCs w:val="21"/>
                <w:color w:val="auto"/>
              </w:rPr>
              <w:t>19.</w:t>
            </w:r>
          </w:p>
        </w:tc>
        <w:tc>
          <w:tcPr>
            <w:tcW w:w="320" w:type="dxa"/>
            <w:vAlign w:val="bottom"/>
          </w:tcPr>
          <w:p>
            <w:pPr>
              <w:spacing w:after="0"/>
              <w:rPr>
                <w:sz w:val="21"/>
                <w:szCs w:val="21"/>
                <w:color w:val="auto"/>
              </w:rPr>
            </w:pPr>
          </w:p>
        </w:tc>
        <w:tc>
          <w:tcPr>
            <w:tcW w:w="6860" w:type="dxa"/>
            <w:vAlign w:val="bottom"/>
            <w:gridSpan w:val="3"/>
          </w:tcPr>
          <w:p>
            <w:pPr>
              <w:spacing w:after="0"/>
              <w:rPr>
                <w:sz w:val="20"/>
                <w:szCs w:val="20"/>
                <w:color w:val="auto"/>
              </w:rPr>
            </w:pPr>
            <w:r>
              <w:rPr>
                <w:rFonts w:ascii="Arial" w:cs="Arial" w:eastAsia="Arial" w:hAnsi="Arial"/>
                <w:sz w:val="21"/>
                <w:szCs w:val="21"/>
                <w:color w:val="auto"/>
                <w:w w:val="93"/>
              </w:rPr>
              <w:t>Severability. In the event any provision or part of this Agreement is found to be</w:t>
            </w:r>
          </w:p>
        </w:tc>
      </w:tr>
      <w:tr>
        <w:trPr>
          <w:trHeight w:val="20"/>
        </w:trPr>
        <w:tc>
          <w:tcPr>
            <w:tcW w:w="424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71"/>
        </w:trPr>
        <w:tc>
          <w:tcPr>
            <w:tcW w:w="11100" w:type="dxa"/>
            <w:vAlign w:val="bottom"/>
            <w:gridSpan w:val="5"/>
          </w:tcPr>
          <w:p>
            <w:pPr>
              <w:spacing w:after="0"/>
              <w:rPr>
                <w:sz w:val="20"/>
                <w:szCs w:val="20"/>
                <w:color w:val="auto"/>
              </w:rPr>
            </w:pPr>
            <w:r>
              <w:rPr>
                <w:rFonts w:ascii="Arial" w:cs="Arial" w:eastAsia="Arial" w:hAnsi="Arial"/>
                <w:sz w:val="21"/>
                <w:szCs w:val="21"/>
                <w:color w:val="auto"/>
                <w:w w:val="99"/>
              </w:rPr>
              <w:t>invalid or unenforceable, only that particular provision or part so found, and not the entire Agreement, will be inoperative.</w:t>
            </w:r>
          </w:p>
        </w:tc>
      </w:tr>
      <w:tr>
        <w:trPr>
          <w:trHeight w:val="404"/>
        </w:trPr>
        <w:tc>
          <w:tcPr>
            <w:tcW w:w="3920" w:type="dxa"/>
            <w:vAlign w:val="bottom"/>
          </w:tcPr>
          <w:p>
            <w:pPr>
              <w:jc w:val="right"/>
              <w:ind w:right="1813"/>
              <w:spacing w:after="0"/>
              <w:rPr>
                <w:sz w:val="20"/>
                <w:szCs w:val="20"/>
                <w:color w:val="auto"/>
              </w:rPr>
            </w:pPr>
            <w:r>
              <w:rPr>
                <w:rFonts w:ascii="Arial" w:cs="Arial" w:eastAsia="Arial" w:hAnsi="Arial"/>
                <w:sz w:val="21"/>
                <w:szCs w:val="21"/>
                <w:color w:val="auto"/>
              </w:rPr>
              <w:t>20.</w:t>
            </w:r>
          </w:p>
        </w:tc>
        <w:tc>
          <w:tcPr>
            <w:tcW w:w="7180" w:type="dxa"/>
            <w:vAlign w:val="bottom"/>
            <w:gridSpan w:val="4"/>
          </w:tcPr>
          <w:p>
            <w:pPr>
              <w:spacing w:after="0"/>
              <w:rPr>
                <w:sz w:val="20"/>
                <w:szCs w:val="20"/>
                <w:color w:val="auto"/>
              </w:rPr>
            </w:pPr>
            <w:r>
              <w:rPr>
                <w:rFonts w:ascii="Arial" w:cs="Arial" w:eastAsia="Arial" w:hAnsi="Arial"/>
                <w:sz w:val="21"/>
                <w:szCs w:val="21"/>
                <w:color w:val="auto"/>
                <w:w w:val="95"/>
              </w:rPr>
              <w:t>Counterparts. This Agreement may be executed by either of the parties hereto in</w:t>
            </w:r>
          </w:p>
        </w:tc>
      </w:tr>
      <w:tr>
        <w:trPr>
          <w:trHeight w:val="20"/>
        </w:trPr>
        <w:tc>
          <w:tcPr>
            <w:tcW w:w="3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bl>
    <w:p>
      <w:pPr>
        <w:spacing w:after="0" w:line="5" w:lineRule="exact"/>
        <w:rPr>
          <w:sz w:val="20"/>
          <w:szCs w:val="20"/>
          <w:color w:val="auto"/>
        </w:rPr>
      </w:pPr>
    </w:p>
    <w:p>
      <w:pPr>
        <w:ind w:right="100"/>
        <w:spacing w:after="0" w:line="269" w:lineRule="auto"/>
        <w:rPr>
          <w:sz w:val="20"/>
          <w:szCs w:val="20"/>
          <w:color w:val="auto"/>
        </w:rPr>
      </w:pPr>
      <w:r>
        <w:rPr>
          <w:rFonts w:ascii="Arial" w:cs="Arial" w:eastAsia="Arial" w:hAnsi="Arial"/>
          <w:sz w:val="21"/>
          <w:szCs w:val="21"/>
          <w:color w:val="auto"/>
        </w:rPr>
        <w:t>counterparts, each of which shall be deemed to be an original, but all such counterparts shall together constitute one and the same instrument.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jc w:val="right"/>
              <w:ind w:right="1813"/>
              <w:spacing w:after="0"/>
              <w:rPr>
                <w:sz w:val="20"/>
                <w:szCs w:val="20"/>
                <w:color w:val="auto"/>
              </w:rPr>
            </w:pPr>
            <w:r>
              <w:rPr>
                <w:rFonts w:ascii="Arial" w:cs="Arial" w:eastAsia="Arial" w:hAnsi="Arial"/>
                <w:sz w:val="21"/>
                <w:szCs w:val="21"/>
                <w:color w:val="auto"/>
              </w:rPr>
              <w:t>21.</w:t>
            </w:r>
          </w:p>
        </w:tc>
        <w:tc>
          <w:tcPr>
            <w:tcW w:w="7120" w:type="dxa"/>
            <w:vAlign w:val="bottom"/>
            <w:gridSpan w:val="3"/>
          </w:tcPr>
          <w:p>
            <w:pPr>
              <w:spacing w:after="0"/>
              <w:rPr>
                <w:sz w:val="20"/>
                <w:szCs w:val="20"/>
                <w:color w:val="auto"/>
              </w:rPr>
            </w:pPr>
            <w:r>
              <w:rPr>
                <w:rFonts w:ascii="Arial" w:cs="Arial" w:eastAsia="Arial" w:hAnsi="Arial"/>
                <w:sz w:val="21"/>
                <w:szCs w:val="21"/>
                <w:color w:val="auto"/>
                <w:w w:val="94"/>
              </w:rPr>
              <w:t>Headings. The headings of sections herein are included solely for convenience of</w:t>
            </w:r>
          </w:p>
        </w:tc>
      </w:tr>
      <w:tr>
        <w:trPr>
          <w:trHeight w:val="20"/>
        </w:trPr>
        <w:tc>
          <w:tcPr>
            <w:tcW w:w="3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71"/>
        </w:trPr>
        <w:tc>
          <w:tcPr>
            <w:tcW w:w="11040" w:type="dxa"/>
            <w:vAlign w:val="bottom"/>
            <w:gridSpan w:val="4"/>
          </w:tcPr>
          <w:p>
            <w:pPr>
              <w:spacing w:after="0"/>
              <w:rPr>
                <w:sz w:val="20"/>
                <w:szCs w:val="20"/>
                <w:color w:val="auto"/>
              </w:rPr>
            </w:pPr>
            <w:r>
              <w:rPr>
                <w:rFonts w:ascii="Arial" w:cs="Arial" w:eastAsia="Arial" w:hAnsi="Arial"/>
                <w:sz w:val="21"/>
                <w:szCs w:val="21"/>
                <w:color w:val="auto"/>
              </w:rPr>
              <w:t>reference and shall not control the meaning or interpretation of any of the provisions of this Agreement.</w:t>
            </w:r>
          </w:p>
        </w:tc>
      </w:tr>
      <w:tr>
        <w:trPr>
          <w:trHeight w:val="404"/>
        </w:trPr>
        <w:tc>
          <w:tcPr>
            <w:tcW w:w="3920" w:type="dxa"/>
            <w:vAlign w:val="bottom"/>
          </w:tcPr>
          <w:p>
            <w:pPr>
              <w:jc w:val="right"/>
              <w:ind w:right="1813"/>
              <w:spacing w:after="0"/>
              <w:rPr>
                <w:sz w:val="20"/>
                <w:szCs w:val="20"/>
                <w:color w:val="auto"/>
              </w:rPr>
            </w:pPr>
            <w:r>
              <w:rPr>
                <w:rFonts w:ascii="Arial" w:cs="Arial" w:eastAsia="Arial" w:hAnsi="Arial"/>
                <w:sz w:val="21"/>
                <w:szCs w:val="21"/>
                <w:color w:val="auto"/>
              </w:rPr>
              <w:t>22.</w:t>
            </w:r>
          </w:p>
        </w:tc>
        <w:tc>
          <w:tcPr>
            <w:tcW w:w="7120" w:type="dxa"/>
            <w:vAlign w:val="bottom"/>
            <w:gridSpan w:val="3"/>
          </w:tcPr>
          <w:p>
            <w:pPr>
              <w:spacing w:after="0"/>
              <w:rPr>
                <w:sz w:val="20"/>
                <w:szCs w:val="20"/>
                <w:color w:val="auto"/>
              </w:rPr>
            </w:pPr>
            <w:r>
              <w:rPr>
                <w:rFonts w:ascii="Arial" w:cs="Arial" w:eastAsia="Arial" w:hAnsi="Arial"/>
                <w:sz w:val="21"/>
                <w:szCs w:val="21"/>
                <w:color w:val="auto"/>
                <w:w w:val="92"/>
              </w:rPr>
              <w:t>Notices. All notices or communications hereunder shall be in writing, addressed as</w:t>
            </w:r>
          </w:p>
        </w:tc>
      </w:tr>
      <w:tr>
        <w:trPr>
          <w:trHeight w:val="271"/>
        </w:trPr>
        <w:tc>
          <w:tcPr>
            <w:tcW w:w="3920" w:type="dxa"/>
            <w:vAlign w:val="bottom"/>
          </w:tcPr>
          <w:p>
            <w:pPr>
              <w:spacing w:after="0"/>
              <w:rPr>
                <w:sz w:val="20"/>
                <w:szCs w:val="20"/>
                <w:color w:val="auto"/>
              </w:rPr>
            </w:pPr>
            <w:r>
              <w:rPr>
                <w:rFonts w:ascii="Arial" w:cs="Arial" w:eastAsia="Arial" w:hAnsi="Arial"/>
                <w:sz w:val="21"/>
                <w:szCs w:val="21"/>
                <w:color w:val="auto"/>
              </w:rPr>
              <w:t>follows:</w:t>
            </w:r>
          </w:p>
        </w:tc>
        <w:tc>
          <w:tcPr>
            <w:tcW w:w="66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6300" w:type="dxa"/>
            <w:vAlign w:val="bottom"/>
          </w:tcPr>
          <w:p>
            <w:pPr>
              <w:spacing w:after="0"/>
              <w:rPr>
                <w:sz w:val="23"/>
                <w:szCs w:val="23"/>
                <w:color w:val="auto"/>
              </w:rPr>
            </w:pPr>
          </w:p>
        </w:tc>
      </w:tr>
    </w:tbl>
    <w:p>
      <w:pPr>
        <w:spacing w:after="0" w:line="182"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if to the Company:</w:t>
      </w:r>
    </w:p>
    <w:p>
      <w:pPr>
        <w:spacing w:after="0" w:line="199"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IMAX Corporation</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902 Broadway, 20</w:t>
      </w:r>
      <w:r>
        <w:rPr>
          <w:rFonts w:ascii="Arial" w:cs="Arial" w:eastAsia="Arial" w:hAnsi="Arial"/>
          <w:sz w:val="18"/>
          <w:szCs w:val="18"/>
          <w:color w:val="auto"/>
        </w:rPr>
        <w:t>th</w:t>
      </w:r>
      <w:r>
        <w:rPr>
          <w:rFonts w:ascii="Arial" w:cs="Arial" w:eastAsia="Arial" w:hAnsi="Arial"/>
          <w:sz w:val="21"/>
          <w:szCs w:val="21"/>
          <w:color w:val="auto"/>
        </w:rPr>
        <w:t xml:space="preserve"> Floor</w:t>
      </w:r>
    </w:p>
    <w:p>
      <w:pPr>
        <w:ind w:left="2600"/>
        <w:spacing w:after="0" w:line="238" w:lineRule="auto"/>
        <w:rPr>
          <w:sz w:val="20"/>
          <w:szCs w:val="20"/>
          <w:color w:val="auto"/>
        </w:rPr>
      </w:pPr>
      <w:r>
        <w:rPr>
          <w:rFonts w:ascii="Arial" w:cs="Arial" w:eastAsia="Arial" w:hAnsi="Arial"/>
          <w:sz w:val="21"/>
          <w:szCs w:val="21"/>
          <w:color w:val="auto"/>
        </w:rPr>
        <w:t>New York, NY 10010</w:t>
      </w:r>
    </w:p>
    <w:p>
      <w:pPr>
        <w:ind w:left="2600"/>
        <w:spacing w:after="0"/>
        <w:rPr>
          <w:sz w:val="20"/>
          <w:szCs w:val="20"/>
          <w:color w:val="auto"/>
        </w:rPr>
      </w:pPr>
      <w:r>
        <w:rPr>
          <w:rFonts w:ascii="Arial" w:cs="Arial" w:eastAsia="Arial" w:hAnsi="Arial"/>
          <w:sz w:val="21"/>
          <w:szCs w:val="21"/>
          <w:color w:val="auto"/>
        </w:rPr>
        <w:t>Attention: Chief Legal Officer</w:t>
      </w:r>
    </w:p>
    <w:tbl>
      <w:tblPr>
        <w:tblLayout w:type="fixed"/>
        <w:tblInd w:w="2600" w:type="dxa"/>
        <w:tblCellMar>
          <w:top w:w="0" w:type="dxa"/>
          <w:left w:w="0" w:type="dxa"/>
          <w:bottom w:w="0" w:type="dxa"/>
          <w:right w:w="0" w:type="dxa"/>
        </w:tblCellMar>
      </w:tblPr>
      <w:tr>
        <w:trPr>
          <w:trHeight w:val="272"/>
        </w:trPr>
        <w:tc>
          <w:tcPr>
            <w:tcW w:w="1540" w:type="dxa"/>
            <w:vAlign w:val="bottom"/>
          </w:tcPr>
          <w:p>
            <w:pPr>
              <w:spacing w:after="0"/>
              <w:rPr>
                <w:sz w:val="20"/>
                <w:szCs w:val="20"/>
                <w:color w:val="auto"/>
              </w:rPr>
            </w:pPr>
            <w:r>
              <w:rPr>
                <w:rFonts w:ascii="Arial" w:cs="Arial" w:eastAsia="Arial" w:hAnsi="Arial"/>
                <w:sz w:val="21"/>
                <w:szCs w:val="21"/>
                <w:color w:val="auto"/>
              </w:rPr>
              <w:t>Facsimile:</w:t>
            </w:r>
          </w:p>
        </w:tc>
        <w:tc>
          <w:tcPr>
            <w:tcW w:w="1960" w:type="dxa"/>
            <w:vAlign w:val="bottom"/>
          </w:tcPr>
          <w:p>
            <w:pPr>
              <w:jc w:val="right"/>
              <w:spacing w:after="0"/>
              <w:rPr>
                <w:sz w:val="20"/>
                <w:szCs w:val="20"/>
                <w:color w:val="auto"/>
              </w:rPr>
            </w:pPr>
            <w:r>
              <w:rPr>
                <w:rFonts w:ascii="Arial" w:cs="Arial" w:eastAsia="Arial" w:hAnsi="Arial"/>
                <w:sz w:val="21"/>
                <w:szCs w:val="21"/>
                <w:color w:val="auto"/>
              </w:rPr>
              <w:t>(212) 371-7584</w:t>
            </w:r>
          </w:p>
        </w:tc>
      </w:tr>
    </w:tbl>
    <w:p>
      <w:pPr>
        <w:spacing w:after="0" w:line="16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if to the Executive:</w:t>
      </w:r>
    </w:p>
    <w:p>
      <w:pPr>
        <w:spacing w:after="0" w:line="239" w:lineRule="exact"/>
        <w:rPr>
          <w:sz w:val="20"/>
          <w:szCs w:val="20"/>
          <w:color w:val="auto"/>
        </w:rPr>
      </w:pPr>
    </w:p>
    <w:p>
      <w:pPr>
        <w:ind w:left="2380"/>
        <w:spacing w:after="0"/>
        <w:rPr>
          <w:sz w:val="20"/>
          <w:szCs w:val="20"/>
          <w:color w:val="auto"/>
        </w:rPr>
      </w:pPr>
      <w:r>
        <w:rPr>
          <w:rFonts w:ascii="Arial" w:cs="Arial" w:eastAsia="Arial" w:hAnsi="Arial"/>
          <w:sz w:val="21"/>
          <w:szCs w:val="21"/>
          <w:color w:val="auto"/>
        </w:rPr>
        <w:t>Megan Colligan</w:t>
      </w:r>
    </w:p>
    <w:p>
      <w:pPr>
        <w:spacing w:after="0" w:line="17" w:lineRule="exact"/>
        <w:rPr>
          <w:sz w:val="20"/>
          <w:szCs w:val="20"/>
          <w:color w:val="auto"/>
        </w:rPr>
      </w:pPr>
    </w:p>
    <w:p>
      <w:pPr>
        <w:ind w:left="23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Address On File with the Company</w:t>
      </w:r>
      <w:r>
        <w:rPr>
          <w:rFonts w:ascii="Arial" w:cs="Arial" w:eastAsia="Arial" w:hAnsi="Arial"/>
          <w:sz w:val="21"/>
          <w:szCs w:val="21"/>
          <w:color w:val="auto"/>
        </w:rPr>
        <w:t>]</w:t>
      </w:r>
    </w:p>
    <w:p>
      <w:pPr>
        <w:spacing w:after="0" w:line="200" w:lineRule="exact"/>
        <w:rPr>
          <w:sz w:val="20"/>
          <w:szCs w:val="20"/>
          <w:color w:val="auto"/>
        </w:rPr>
      </w:pPr>
    </w:p>
    <w:p>
      <w:pPr>
        <w:spacing w:after="0" w:line="235" w:lineRule="exact"/>
        <w:rPr>
          <w:sz w:val="20"/>
          <w:szCs w:val="20"/>
          <w:color w:val="auto"/>
        </w:rPr>
      </w:pPr>
    </w:p>
    <w:p>
      <w:pPr>
        <w:ind w:right="60" w:firstLine="1728"/>
        <w:spacing w:after="0" w:line="249" w:lineRule="auto"/>
        <w:rPr>
          <w:sz w:val="20"/>
          <w:szCs w:val="20"/>
          <w:color w:val="auto"/>
        </w:rPr>
      </w:pPr>
      <w:r>
        <w:rPr>
          <w:rFonts w:ascii="Arial" w:cs="Arial" w:eastAsia="Arial" w:hAnsi="Arial"/>
          <w:sz w:val="21"/>
          <w:szCs w:val="21"/>
          <w:color w:val="auto"/>
        </w:rPr>
        <w:t xml:space="preserve">All such notices shall be conclusively deemed to be received and shall be effective (i) if sent by hand delivery or overnight courier, upon receipt or (ii) if sent by electronic mail or facsimile, upon receipt by the sender of confirmation of such transmission;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electronic mail or facsimile will be deemed received and effective only if followed, within 48 hours, by a hard copy sent by certified United States mail.</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15073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80"/>
          </w:cols>
          <w:pgMar w:left="320" w:top="332" w:right="399" w:bottom="1440" w:gutter="0" w:footer="0" w:header="0"/>
        </w:sectPr>
      </w:pPr>
    </w:p>
    <w:bookmarkStart w:id="89" w:name="page90"/>
    <w:bookmarkEnd w:id="89"/>
    <w:p>
      <w:pPr>
        <w:spacing w:after="0"/>
        <w:rPr>
          <w:sz w:val="20"/>
          <w:szCs w:val="20"/>
          <w:color w:val="auto"/>
        </w:rPr>
      </w:pPr>
      <w:r>
        <w:rPr>
          <w:rFonts w:ascii="Arial" w:cs="Arial" w:eastAsia="Arial" w:hAnsi="Arial"/>
          <w:sz w:val="19"/>
          <w:szCs w:val="19"/>
          <w:color w:val="auto"/>
        </w:rPr>
        <w:t>IN WITNESS WHEREOF, the Company and the Executive have duly executed this Agreement as of October 10, 2018.</w:t>
      </w:r>
    </w:p>
    <w:p>
      <w:pPr>
        <w:sectPr>
          <w:pgSz w:w="11900" w:h="16838" w:orient="portrait"/>
          <w:cols w:equalWidth="0" w:num="1">
            <w:col w:w="10240"/>
          </w:cols>
          <w:pgMar w:left="320" w:top="332"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IMAX CORPORATION</w:t>
      </w: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Robert D. Lister</w:t>
      </w:r>
      <w:r>
        <w:rPr>
          <w:rFonts w:ascii="Arial" w:cs="Arial" w:eastAsia="Arial" w:hAnsi="Arial"/>
          <w:sz w:val="20"/>
          <w:szCs w:val="20"/>
          <w:color w:val="auto"/>
        </w:rPr>
        <w:t>____________</w:t>
      </w:r>
    </w:p>
    <w:p>
      <w:pPr>
        <w:spacing w:after="0" w:line="28"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Name:_</w:t>
      </w:r>
      <w:r>
        <w:rPr>
          <w:rFonts w:ascii="Arial" w:cs="Arial" w:eastAsia="Arial" w:hAnsi="Arial"/>
          <w:sz w:val="20"/>
          <w:szCs w:val="20"/>
          <w:u w:val="single" w:color="auto"/>
          <w:color w:val="auto"/>
        </w:rPr>
        <w:t>Robert D. Lister</w:t>
      </w:r>
      <w:r>
        <w:rPr>
          <w:rFonts w:ascii="Arial" w:cs="Arial" w:eastAsia="Arial" w:hAnsi="Arial"/>
          <w:sz w:val="20"/>
          <w:szCs w:val="20"/>
          <w:color w:val="auto"/>
        </w:rPr>
        <w:t>____________</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21"/>
          <w:szCs w:val="21"/>
          <w:color w:val="auto"/>
        </w:rPr>
        <w:t>Title: _</w:t>
      </w:r>
      <w:r>
        <w:rPr>
          <w:rFonts w:ascii="Arial" w:cs="Arial" w:eastAsia="Arial" w:hAnsi="Arial"/>
          <w:sz w:val="21"/>
          <w:szCs w:val="21"/>
          <w:u w:val="single" w:color="auto"/>
          <w:color w:val="auto"/>
        </w:rPr>
        <w:t>Chief Legal Officer and______</w:t>
      </w:r>
    </w:p>
    <w:p>
      <w:pPr>
        <w:ind w:left="5180"/>
        <w:spacing w:after="0"/>
        <w:rPr>
          <w:sz w:val="20"/>
          <w:szCs w:val="20"/>
          <w:color w:val="auto"/>
        </w:rPr>
      </w:pPr>
      <w:r>
        <w:rPr>
          <w:rFonts w:ascii="Arial" w:cs="Arial" w:eastAsia="Arial" w:hAnsi="Arial"/>
          <w:sz w:val="19"/>
          <w:szCs w:val="19"/>
          <w:u w:val="single" w:color="auto"/>
          <w:color w:val="auto"/>
        </w:rPr>
        <w:t>Senior Executive Vice President</w:t>
      </w:r>
      <w:r>
        <w:rPr>
          <w:rFonts w:ascii="Arial" w:cs="Arial" w:eastAsia="Arial" w:hAnsi="Arial"/>
          <w:sz w:val="19"/>
          <w:szCs w:val="19"/>
          <w:color w:val="auto"/>
        </w:rPr>
        <w:t>______</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By: _</w:t>
      </w:r>
      <w:r>
        <w:rPr>
          <w:rFonts w:ascii="Arial" w:cs="Arial" w:eastAsia="Arial" w:hAnsi="Arial"/>
          <w:sz w:val="19"/>
          <w:szCs w:val="19"/>
          <w:u w:val="single" w:color="auto"/>
          <w:color w:val="auto"/>
        </w:rPr>
        <w:t>/s/ Carrie Lindzon-Jacobs</w:t>
      </w:r>
      <w:r>
        <w:rPr>
          <w:rFonts w:ascii="Arial" w:cs="Arial" w:eastAsia="Arial" w:hAnsi="Arial"/>
          <w:sz w:val="19"/>
          <w:szCs w:val="19"/>
          <w:color w:val="auto"/>
        </w:rPr>
        <w:t>_______</w:t>
      </w:r>
    </w:p>
    <w:p>
      <w:pPr>
        <w:spacing w:after="0" w:line="40" w:lineRule="exact"/>
        <w:rPr>
          <w:sz w:val="20"/>
          <w:szCs w:val="20"/>
          <w:color w:val="auto"/>
        </w:rPr>
      </w:pPr>
    </w:p>
    <w:p>
      <w:pPr>
        <w:ind w:left="5180"/>
        <w:spacing w:after="0"/>
        <w:rPr>
          <w:sz w:val="20"/>
          <w:szCs w:val="20"/>
          <w:color w:val="auto"/>
        </w:rPr>
      </w:pPr>
      <w:r>
        <w:rPr>
          <w:rFonts w:ascii="Arial" w:cs="Arial" w:eastAsia="Arial" w:hAnsi="Arial"/>
          <w:sz w:val="19"/>
          <w:szCs w:val="19"/>
          <w:color w:val="auto"/>
        </w:rPr>
        <w:t>Name:_</w:t>
      </w:r>
      <w:r>
        <w:rPr>
          <w:rFonts w:ascii="Arial" w:cs="Arial" w:eastAsia="Arial" w:hAnsi="Arial"/>
          <w:sz w:val="19"/>
          <w:szCs w:val="19"/>
          <w:u w:val="single" w:color="auto"/>
          <w:color w:val="auto"/>
        </w:rPr>
        <w:t>Carrie Lindzon-Jacobs________</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Title: _</w:t>
      </w:r>
      <w:r>
        <w:rPr>
          <w:rFonts w:ascii="Arial" w:cs="Arial" w:eastAsia="Arial" w:hAnsi="Arial"/>
          <w:sz w:val="20"/>
          <w:szCs w:val="20"/>
          <w:u w:val="single" w:color="auto"/>
          <w:color w:val="auto"/>
        </w:rPr>
        <w:t>Chief Human Resources Officer</w:t>
      </w:r>
    </w:p>
    <w:p>
      <w:pPr>
        <w:spacing w:after="0" w:line="10" w:lineRule="exact"/>
        <w:rPr>
          <w:sz w:val="20"/>
          <w:szCs w:val="20"/>
          <w:color w:val="auto"/>
        </w:rPr>
      </w:pPr>
    </w:p>
    <w:p>
      <w:pPr>
        <w:ind w:left="5180"/>
        <w:spacing w:after="0"/>
        <w:rPr>
          <w:sz w:val="20"/>
          <w:szCs w:val="20"/>
          <w:color w:val="auto"/>
        </w:rPr>
      </w:pPr>
      <w:r>
        <w:rPr>
          <w:rFonts w:ascii="Arial" w:cs="Arial" w:eastAsia="Arial" w:hAnsi="Arial"/>
          <w:sz w:val="19"/>
          <w:szCs w:val="19"/>
          <w:u w:val="single" w:color="auto"/>
          <w:color w:val="auto"/>
        </w:rPr>
        <w:t>and Executive Vice President_________</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MEGAN COLLIGAN</w:t>
      </w: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Arial" w:cs="Arial" w:eastAsia="Arial" w:hAnsi="Arial"/>
          <w:sz w:val="21"/>
          <w:szCs w:val="21"/>
          <w:u w:val="single" w:color="auto"/>
          <w:color w:val="auto"/>
        </w:rPr>
        <w:t>/s/ Megan Colligan</w:t>
      </w:r>
      <w:r>
        <w:rPr>
          <w:rFonts w:ascii="Arial" w:cs="Arial" w:eastAsia="Arial" w:hAnsi="Arial"/>
          <w:sz w:val="21"/>
          <w:szCs w:val="21"/>
          <w:color w:val="auto"/>
        </w:rPr>
        <w:t>______________</w:t>
      </w:r>
    </w:p>
    <w:p>
      <w:pPr>
        <w:spacing w:after="0" w:line="213"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0240"/>
          </w:cols>
          <w:pgMar w:left="320" w:top="332" w:right="13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L. Gelfond, certify that:</w:t>
      </w:r>
    </w:p>
    <w:p>
      <w:pPr>
        <w:spacing w:after="0" w:line="220" w:lineRule="exact"/>
        <w:rPr>
          <w:sz w:val="20"/>
          <w:szCs w:val="20"/>
          <w:color w:val="auto"/>
        </w:rPr>
      </w:pPr>
    </w:p>
    <w:p>
      <w:pPr>
        <w:ind w:left="540" w:hanging="466"/>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2020 of the registrant, IMAX Corporation;</w:t>
      </w:r>
    </w:p>
    <w:p>
      <w:pPr>
        <w:spacing w:after="0" w:line="220" w:lineRule="exact"/>
        <w:rPr>
          <w:rFonts w:ascii="Arial" w:cs="Arial" w:eastAsia="Arial" w:hAnsi="Arial"/>
          <w:sz w:val="18"/>
          <w:szCs w:val="18"/>
          <w:color w:val="auto"/>
        </w:rPr>
      </w:pPr>
    </w:p>
    <w:p>
      <w:pPr>
        <w:jc w:val="both"/>
        <w:ind w:left="540" w:hanging="466"/>
        <w:spacing w:after="0" w:line="259"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jc w:val="both"/>
        <w:ind w:left="540" w:hanging="466"/>
        <w:spacing w:after="0" w:line="259"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1480" w:hanging="471"/>
        <w:spacing w:after="0" w:line="334" w:lineRule="auto"/>
        <w:tabs>
          <w:tab w:leader="none" w:pos="14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480" w:hanging="471"/>
        <w:spacing w:after="0" w:line="259"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1480" w:hanging="471"/>
        <w:spacing w:after="0" w:line="300" w:lineRule="auto"/>
        <w:tabs>
          <w:tab w:leader="none" w:pos="14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7"/>
          <w:szCs w:val="17"/>
          <w:color w:val="auto"/>
        </w:rPr>
      </w:pPr>
    </w:p>
    <w:p>
      <w:pPr>
        <w:ind w:left="1480" w:right="20" w:hanging="471"/>
        <w:spacing w:after="0" w:line="270"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July 28, 2020</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rPr>
              <w:t>/s/ Richard L. Gelfond</w:t>
            </w:r>
          </w:p>
        </w:tc>
      </w:tr>
      <w:tr>
        <w:trPr>
          <w:trHeight w:val="194"/>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L. Gelfond</w:t>
            </w:r>
          </w:p>
        </w:tc>
      </w:tr>
      <w:tr>
        <w:trPr>
          <w:trHeight w:val="227"/>
        </w:trPr>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6"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 - 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Patrick McClymont, certify that:</w:t>
      </w:r>
    </w:p>
    <w:p>
      <w:pPr>
        <w:spacing w:after="0" w:line="220" w:lineRule="exact"/>
        <w:rPr>
          <w:sz w:val="20"/>
          <w:szCs w:val="20"/>
          <w:color w:val="auto"/>
        </w:rPr>
      </w:pPr>
    </w:p>
    <w:p>
      <w:pPr>
        <w:ind w:left="540" w:hanging="466"/>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2020 of the registrant, IMAX Corporation;</w:t>
      </w:r>
    </w:p>
    <w:p>
      <w:pPr>
        <w:spacing w:after="0" w:line="220" w:lineRule="exact"/>
        <w:rPr>
          <w:rFonts w:ascii="Arial" w:cs="Arial" w:eastAsia="Arial" w:hAnsi="Arial"/>
          <w:sz w:val="18"/>
          <w:szCs w:val="18"/>
          <w:color w:val="auto"/>
        </w:rPr>
      </w:pPr>
    </w:p>
    <w:p>
      <w:pPr>
        <w:jc w:val="both"/>
        <w:ind w:left="540" w:hanging="466"/>
        <w:spacing w:after="0" w:line="259"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7"/>
          <w:szCs w:val="17"/>
          <w:color w:val="auto"/>
        </w:rPr>
      </w:pPr>
    </w:p>
    <w:p>
      <w:pPr>
        <w:jc w:val="both"/>
        <w:ind w:left="540" w:hanging="466"/>
        <w:spacing w:after="0" w:line="259"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8"/>
          <w:szCs w:val="18"/>
          <w:color w:val="auto"/>
        </w:rPr>
      </w:pPr>
    </w:p>
    <w:p>
      <w:pPr>
        <w:jc w:val="both"/>
        <w:ind w:left="1480" w:hanging="471"/>
        <w:spacing w:after="0" w:line="259"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8"/>
          <w:szCs w:val="18"/>
          <w:color w:val="auto"/>
        </w:rPr>
      </w:pPr>
    </w:p>
    <w:p>
      <w:pPr>
        <w:ind w:left="1480" w:hanging="471"/>
        <w:spacing w:after="0" w:line="334" w:lineRule="auto"/>
        <w:tabs>
          <w:tab w:leader="none" w:pos="14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6"/>
          <w:szCs w:val="16"/>
          <w:color w:val="auto"/>
        </w:rPr>
      </w:pPr>
    </w:p>
    <w:p>
      <w:pPr>
        <w:jc w:val="both"/>
        <w:ind w:left="1480" w:hanging="471"/>
        <w:spacing w:after="0" w:line="259"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8"/>
          <w:szCs w:val="18"/>
          <w:color w:val="auto"/>
        </w:rPr>
      </w:pPr>
    </w:p>
    <w:p>
      <w:pPr>
        <w:ind w:left="540" w:hanging="466"/>
        <w:spacing w:after="0" w:line="300" w:lineRule="auto"/>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Arial" w:cs="Arial" w:eastAsia="Arial" w:hAnsi="Arial"/>
          <w:sz w:val="17"/>
          <w:szCs w:val="17"/>
          <w:color w:val="auto"/>
        </w:rPr>
      </w:pPr>
    </w:p>
    <w:p>
      <w:pPr>
        <w:ind w:left="1480" w:hanging="471"/>
        <w:spacing w:after="0" w:line="300" w:lineRule="auto"/>
        <w:tabs>
          <w:tab w:leader="none" w:pos="14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7"/>
          <w:szCs w:val="17"/>
          <w:color w:val="auto"/>
        </w:rPr>
      </w:pPr>
    </w:p>
    <w:p>
      <w:pPr>
        <w:ind w:left="1480" w:right="20" w:hanging="471"/>
        <w:spacing w:after="0" w:line="270"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July 28, 2020</w:t>
            </w:r>
          </w:p>
        </w:tc>
        <w:tc>
          <w:tcPr>
            <w:tcW w:w="2840" w:type="dxa"/>
            <w:vAlign w:val="bottom"/>
          </w:tcPr>
          <w:p>
            <w:pPr>
              <w:ind w:left="2020"/>
              <w:spacing w:after="0"/>
              <w:rPr>
                <w:sz w:val="20"/>
                <w:szCs w:val="20"/>
                <w:color w:val="auto"/>
              </w:rPr>
            </w:pPr>
            <w:r>
              <w:rPr>
                <w:rFonts w:ascii="Arial" w:cs="Arial" w:eastAsia="Arial" w:hAnsi="Arial"/>
                <w:sz w:val="18"/>
                <w:szCs w:val="18"/>
                <w:color w:val="auto"/>
              </w:rPr>
              <w:t>By:</w:t>
            </w:r>
          </w:p>
        </w:tc>
        <w:tc>
          <w:tcPr>
            <w:tcW w:w="3740" w:type="dxa"/>
            <w:vAlign w:val="bottom"/>
          </w:tcPr>
          <w:p>
            <w:pPr>
              <w:spacing w:after="0"/>
              <w:rPr>
                <w:sz w:val="20"/>
                <w:szCs w:val="20"/>
                <w:color w:val="auto"/>
              </w:rPr>
            </w:pPr>
            <w:r>
              <w:rPr>
                <w:rFonts w:ascii="Arial" w:cs="Arial" w:eastAsia="Arial" w:hAnsi="Arial"/>
                <w:sz w:val="18"/>
                <w:szCs w:val="18"/>
                <w:color w:val="auto"/>
              </w:rPr>
              <w:t>/s/ Patrick McClymont</w:t>
            </w:r>
          </w:p>
        </w:tc>
      </w:tr>
      <w:tr>
        <w:trPr>
          <w:trHeight w:val="194"/>
        </w:trPr>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Patrick McClymont</w:t>
            </w:r>
          </w:p>
        </w:tc>
      </w:tr>
      <w:tr>
        <w:trPr>
          <w:trHeight w:val="214"/>
        </w:trPr>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40" w:type="dxa"/>
            <w:vAlign w:val="bottom"/>
          </w:tcPr>
          <w:p>
            <w:pPr>
              <w:ind w:left="2020"/>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Chief Financial Officer &amp;</w:t>
            </w:r>
          </w:p>
        </w:tc>
      </w:tr>
      <w:tr>
        <w:trPr>
          <w:trHeight w:val="227"/>
        </w:trPr>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ectPr>
          <w:pgSz w:w="11900" w:h="16838" w:orient="portrait"/>
          <w:cols w:equalWidth="0" w:num="1">
            <w:col w:w="11240"/>
          </w:cols>
          <w:pgMar w:left="320" w:top="116"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11"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185"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The Quarterly Report on Form 10-Q for the quarter ended June 30, 2020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July 28, 2020</w:t>
            </w:r>
          </w:p>
        </w:tc>
        <w:tc>
          <w:tcPr>
            <w:tcW w:w="2840" w:type="dxa"/>
            <w:vAlign w:val="bottom"/>
          </w:tcPr>
          <w:p>
            <w:pPr>
              <w:ind w:left="200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Richard L. Gelfond</w:t>
            </w:r>
          </w:p>
        </w:tc>
      </w:tr>
      <w:tr>
        <w:trPr>
          <w:trHeight w:val="194"/>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L. Gelfond</w:t>
            </w:r>
          </w:p>
        </w:tc>
      </w:tr>
      <w:tr>
        <w:trPr>
          <w:trHeight w:val="227"/>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ind w:left="200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30"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25"/>
          <w:szCs w:val="25"/>
          <w:b w:val="1"/>
          <w:bCs w:val="1"/>
          <w:color w:val="auto"/>
        </w:rPr>
        <w:t>IMAX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Section 906 of the Sarbanes-Oxley Act of 2002</w:t>
      </w:r>
    </w:p>
    <w:p>
      <w:pPr>
        <w:jc w:val="center"/>
        <w:spacing w:after="0"/>
        <w:rPr>
          <w:sz w:val="20"/>
          <w:szCs w:val="20"/>
          <w:color w:val="auto"/>
        </w:rPr>
      </w:pPr>
      <w:r>
        <w:rPr>
          <w:rFonts w:ascii="Arial" w:cs="Arial" w:eastAsia="Arial" w:hAnsi="Arial"/>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11"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I, Patrick McClymont, Chief Financial Officer &amp; Executive Vice President of IMAX Corporation, a Canadian corporation (the “Company”), hereby certify, to my knowledge, that:</w:t>
      </w:r>
    </w:p>
    <w:p>
      <w:pPr>
        <w:spacing w:after="0" w:line="185"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The Quarterly Report on Form 10-Q for the quarter ended June 30, 2020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July 28, 2020</w:t>
            </w:r>
          </w:p>
        </w:tc>
        <w:tc>
          <w:tcPr>
            <w:tcW w:w="2840" w:type="dxa"/>
            <w:vAlign w:val="bottom"/>
          </w:tcPr>
          <w:p>
            <w:pPr>
              <w:ind w:left="2000"/>
              <w:spacing w:after="0"/>
              <w:rPr>
                <w:sz w:val="20"/>
                <w:szCs w:val="20"/>
                <w:color w:val="auto"/>
              </w:rPr>
            </w:pPr>
            <w:r>
              <w:rPr>
                <w:rFonts w:ascii="Arial" w:cs="Arial" w:eastAsia="Arial" w:hAnsi="Arial"/>
                <w:sz w:val="18"/>
                <w:szCs w:val="18"/>
                <w:color w:val="auto"/>
              </w:rPr>
              <w:t>By:</w:t>
            </w:r>
          </w:p>
        </w:tc>
        <w:tc>
          <w:tcPr>
            <w:tcW w:w="3760" w:type="dxa"/>
            <w:vAlign w:val="bottom"/>
          </w:tcPr>
          <w:p>
            <w:pPr>
              <w:spacing w:after="0"/>
              <w:rPr>
                <w:sz w:val="20"/>
                <w:szCs w:val="20"/>
                <w:color w:val="auto"/>
              </w:rPr>
            </w:pPr>
            <w:r>
              <w:rPr>
                <w:rFonts w:ascii="Arial" w:cs="Arial" w:eastAsia="Arial" w:hAnsi="Arial"/>
                <w:sz w:val="18"/>
                <w:szCs w:val="18"/>
                <w:color w:val="auto"/>
              </w:rPr>
              <w:t>/s/ Patrick McClymont</w:t>
            </w:r>
          </w:p>
        </w:tc>
      </w:tr>
      <w:tr>
        <w:trPr>
          <w:trHeight w:val="194"/>
        </w:trPr>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2840" w:type="dxa"/>
            <w:vAlign w:val="bottom"/>
          </w:tcPr>
          <w:p>
            <w:pPr>
              <w:ind w:left="2000"/>
              <w:spacing w:after="0" w:line="195" w:lineRule="exact"/>
              <w:rPr>
                <w:sz w:val="20"/>
                <w:szCs w:val="20"/>
                <w:color w:val="auto"/>
              </w:rPr>
            </w:pPr>
            <w:r>
              <w:rPr>
                <w:rFonts w:ascii="Arial" w:cs="Arial" w:eastAsia="Arial" w:hAnsi="Arial"/>
                <w:sz w:val="18"/>
                <w:szCs w:val="18"/>
                <w:color w:val="auto"/>
              </w:rPr>
              <w:t>Name:</w:t>
            </w: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Patrick McClymont</w:t>
            </w:r>
          </w:p>
        </w:tc>
      </w:tr>
      <w:tr>
        <w:trPr>
          <w:trHeight w:val="214"/>
        </w:trPr>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40" w:type="dxa"/>
            <w:vAlign w:val="bottom"/>
          </w:tcPr>
          <w:p>
            <w:pPr>
              <w:ind w:left="2000"/>
              <w:spacing w:after="0"/>
              <w:rPr>
                <w:sz w:val="20"/>
                <w:szCs w:val="20"/>
                <w:color w:val="auto"/>
              </w:rPr>
            </w:pPr>
            <w:r>
              <w:rPr>
                <w:rFonts w:ascii="Arial" w:cs="Arial" w:eastAsia="Arial" w:hAnsi="Arial"/>
                <w:sz w:val="18"/>
                <w:szCs w:val="18"/>
                <w:color w:val="auto"/>
              </w:rPr>
              <w:t>Title:</w:t>
            </w:r>
          </w:p>
        </w:tc>
        <w:tc>
          <w:tcPr>
            <w:tcW w:w="3760" w:type="dxa"/>
            <w:vAlign w:val="bottom"/>
          </w:tcPr>
          <w:p>
            <w:pPr>
              <w:spacing w:after="0"/>
              <w:rPr>
                <w:sz w:val="20"/>
                <w:szCs w:val="20"/>
                <w:color w:val="auto"/>
              </w:rPr>
            </w:pPr>
            <w:r>
              <w:rPr>
                <w:rFonts w:ascii="Arial" w:cs="Arial" w:eastAsia="Arial" w:hAnsi="Arial"/>
                <w:sz w:val="18"/>
                <w:szCs w:val="18"/>
                <w:color w:val="auto"/>
              </w:rPr>
              <w:t>Chief Financial Officer &amp;</w:t>
            </w:r>
          </w:p>
        </w:tc>
      </w:tr>
      <w:tr>
        <w:trPr>
          <w:trHeight w:val="227"/>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1" w:lineRule="exact"/>
        <w:rPr>
          <w:sz w:val="20"/>
          <w:szCs w:val="20"/>
          <w:color w:val="auto"/>
        </w:rPr>
      </w:pPr>
    </w:p>
    <w:sectPr>
      <w:pgSz w:w="11900" w:h="16838" w:orient="portrait"/>
      <w:cols w:equalWidth="0" w:num="1">
        <w:col w:w="11240"/>
      </w:cols>
      <w:pgMar w:left="320" w:top="3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5"/>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6"/>
    </w:lvl>
  </w:abstractNum>
  <w:abstractNum w:abstractNumId="7">
    <w:nsid w:val="22221A70"/>
    <w:multiLevelType w:val="hybridMultilevel"/>
    <w:lvl w:ilvl="0">
      <w:lvlJc w:val="left"/>
      <w:lvlText w:val="%1."/>
      <w:numFmt w:val="decimal"/>
      <w:start w:val="7"/>
    </w:lvl>
  </w:abstractNum>
  <w:abstractNum w:abstractNumId="8">
    <w:nsid w:val="4516DDE9"/>
    <w:multiLevelType w:val="hybridMultilevel"/>
    <w:lvl w:ilvl="0">
      <w:lvlJc w:val="left"/>
      <w:lvlText w:val="%1."/>
      <w:numFmt w:val="decimal"/>
      <w:start w:val="8"/>
    </w:lvl>
  </w:abstractNum>
  <w:abstractNum w:abstractNumId="9">
    <w:nsid w:val="3006C83E"/>
    <w:multiLevelType w:val="hybridMultilevel"/>
    <w:lvl w:ilvl="0">
      <w:lvlJc w:val="left"/>
      <w:lvlText w:val="(%1)"/>
      <w:numFmt w:val="lowerLetter"/>
      <w:start w:val="1"/>
    </w:lvl>
  </w:abstractNum>
  <w:abstractNum w:abstractNumId="10">
    <w:nsid w:val="614FD4A1"/>
    <w:multiLevelType w:val="hybridMultilevel"/>
    <w:lvl w:ilvl="0">
      <w:lvlJc w:val="left"/>
      <w:lvlText w:val="%1."/>
      <w:numFmt w:val="decimal"/>
      <w:start w:val="9"/>
    </w:lvl>
    <w:lvl w:ilvl="1">
      <w:lvlJc w:val="left"/>
      <w:lvlText w:val="(%2)"/>
      <w:numFmt w:val="lowerLetter"/>
      <w:start w:val="1"/>
    </w:lvl>
  </w:abstractNum>
  <w:abstractNum w:abstractNumId="11">
    <w:nsid w:val="419AC241"/>
    <w:multiLevelType w:val="hybridMultilevel"/>
    <w:lvl w:ilvl="0">
      <w:lvlJc w:val="left"/>
      <w:lvlText w:val="\emdash "/>
      <w:numFmt w:val="bullet"/>
      <w:start w:val="1"/>
    </w:lvl>
  </w:abstractNum>
  <w:abstractNum w:abstractNumId="12">
    <w:nsid w:val="5577F8E1"/>
    <w:multiLevelType w:val="hybridMultilevel"/>
    <w:lvl w:ilvl="0">
      <w:lvlJc w:val="left"/>
      <w:lvlText w:val="%1."/>
      <w:numFmt w:val="decimal"/>
      <w:start w:val="10"/>
    </w:lvl>
    <w:lvl w:ilvl="1">
      <w:lvlJc w:val="left"/>
      <w:lvlText w:val="(%2)"/>
      <w:numFmt w:val="lowerLetter"/>
      <w:start w:val="1"/>
    </w:lvl>
  </w:abstractNum>
  <w:abstractNum w:abstractNumId="13">
    <w:nsid w:val="440BADFC"/>
    <w:multiLevelType w:val="hybridMultilevel"/>
    <w:lvl w:ilvl="0">
      <w:lvlJc w:val="left"/>
      <w:lvlText w:val="(%1)"/>
      <w:numFmt w:val="decimal"/>
      <w:start w:val="1"/>
    </w:lvl>
    <w:lvl w:ilvl="1">
      <w:lvlJc w:val="left"/>
      <w:lvlText w:val="(%2)"/>
      <w:numFmt w:val="lowerLetter"/>
      <w:start w:val="4"/>
    </w:lvl>
  </w:abstractNum>
  <w:abstractNum w:abstractNumId="14">
    <w:nsid w:val="5072367"/>
    <w:multiLevelType w:val="hybridMultilevel"/>
    <w:lvl w:ilvl="0">
      <w:lvlJc w:val="left"/>
      <w:lvlText w:val="%1."/>
      <w:numFmt w:val="decimal"/>
      <w:start w:val="11"/>
    </w:lvl>
    <w:lvl w:ilvl="1">
      <w:lvlJc w:val="left"/>
      <w:lvlText w:val="(%2)"/>
      <w:numFmt w:val="lowerLetter"/>
      <w:start w:val="1"/>
    </w:lvl>
  </w:abstractNum>
  <w:abstractNum w:abstractNumId="15">
    <w:nsid w:val="3804823E"/>
    <w:multiLevelType w:val="hybridMultilevel"/>
    <w:lvl w:ilvl="0">
      <w:lvlJc w:val="left"/>
      <w:lvlText w:val="%1."/>
      <w:numFmt w:val="decimal"/>
      <w:start w:val="12"/>
    </w:lvl>
    <w:lvl w:ilvl="1">
      <w:lvlJc w:val="left"/>
      <w:lvlText w:val="(%2)"/>
      <w:numFmt w:val="lowerLetter"/>
      <w:start w:val="1"/>
    </w:lvl>
  </w:abstractNum>
  <w:abstractNum w:abstractNumId="16">
    <w:nsid w:val="77465F01"/>
    <w:multiLevelType w:val="hybridMultilevel"/>
    <w:lvl w:ilvl="0">
      <w:lvlJc w:val="left"/>
      <w:lvlText w:val="\emdash "/>
      <w:numFmt w:val="bullet"/>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lowerRoman"/>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2"/>
    </w:lvl>
  </w:abstractNum>
  <w:abstractNum w:abstractNumId="21">
    <w:nsid w:val="51EAD36B"/>
    <w:multiLevelType w:val="hybridMultilevel"/>
    <w:lvl w:ilvl="0">
      <w:lvlJc w:val="left"/>
      <w:lvlText w:val="%1."/>
      <w:numFmt w:val="decimal"/>
      <w:start w:val="15"/>
    </w:lvl>
    <w:lvl w:ilvl="1">
      <w:lvlJc w:val="left"/>
      <w:lvlText w:val="(%2)"/>
      <w:numFmt w:val="lowerLetter"/>
      <w:start w:val="1"/>
    </w:lvl>
  </w:abstractNum>
  <w:abstractNum w:abstractNumId="22">
    <w:nsid w:val="2D517796"/>
    <w:multiLevelType w:val="hybridMultilevel"/>
    <w:lvl w:ilvl="0">
      <w:lvlJc w:val="left"/>
      <w:lvlText w:val="%1."/>
      <w:numFmt w:val="decimal"/>
      <w:start w:val="16"/>
    </w:lvl>
    <w:lvl w:ilvl="1">
      <w:lvlJc w:val="left"/>
      <w:lvlText w:val="(%2)"/>
      <w:numFmt w:val="lowerLetter"/>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17"/>
    </w:lvl>
    <w:lvl w:ilvl="1">
      <w:lvlJc w:val="left"/>
      <w:lvlText w:val="(%2)"/>
      <w:numFmt w:val="lowerLetter"/>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start w:val="1"/>
    </w:lvl>
    <w:lvl w:ilvl="1">
      <w:lvlJc w:val="left"/>
      <w:lvlText w:val="(%2)"/>
      <w:numFmt w:val="decimal"/>
      <w:start w:val="3"/>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lvl w:ilvl="1">
      <w:lvlJc w:val="left"/>
      <w:lvlText w:val="(%2)"/>
      <w:numFmt w:val="decimal"/>
      <w:start w:val="5"/>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04"/>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Letter"/>
      <w:start w:val="1"/>
    </w:lvl>
  </w:abstractNum>
  <w:abstractNum w:abstractNumId="42">
    <w:nsid w:val="749ABB43"/>
    <w:multiLevelType w:val="hybridMultilevel"/>
    <w:lvl w:ilvl="0">
      <w:lvlJc w:val="left"/>
      <w:lvlText w:val="(%1)"/>
      <w:numFmt w:val="lowerLetter"/>
      <w:start w:val="2"/>
    </w:lvl>
    <w:lvl w:ilvl="1">
      <w:lvlJc w:val="left"/>
      <w:lvlText w:val="(%2)"/>
      <w:numFmt w:val="lowerRoman"/>
      <w:start w:val="1"/>
    </w:lvl>
  </w:abstractNum>
  <w:abstractNum w:abstractNumId="43">
    <w:nsid w:val="3DC240FB"/>
    <w:multiLevelType w:val="hybridMultilevel"/>
    <w:lvl w:ilvl="0">
      <w:lvlJc w:val="left"/>
      <w:lvlText w:val="%1"/>
      <w:numFmt w:val="lowerLetter"/>
      <w:start w:val="1"/>
    </w:lvl>
    <w:lvl w:ilvl="1">
      <w:lvlJc w:val="left"/>
      <w:lvlText w:val="(%2)"/>
      <w:numFmt w:val="lowerLetter"/>
      <w:start w:val="61"/>
    </w:lvl>
  </w:abstractNum>
  <w:abstractNum w:abstractNumId="44">
    <w:nsid w:val="1BA026FA"/>
    <w:multiLevelType w:val="hybridMultilevel"/>
    <w:lvl w:ilvl="0">
      <w:lvlJc w:val="left"/>
      <w:lvlText w:val="(%1)"/>
      <w:numFmt w:val="lowerLetter"/>
      <w:start w:val="4"/>
    </w:lvl>
    <w:lvl w:ilvl="1">
      <w:lvlJc w:val="left"/>
      <w:lvlText w:val="%2"/>
      <w:numFmt w:val="lowerLetter"/>
      <w:start w:val="1"/>
    </w:lvl>
  </w:abstractNum>
  <w:abstractNum w:abstractNumId="45">
    <w:nsid w:val="79A1DEAA"/>
    <w:multiLevelType w:val="hybridMultilevel"/>
    <w:lvl w:ilvl="0">
      <w:lvlJc w:val="left"/>
      <w:lvlText w:val="(%1)"/>
      <w:numFmt w:val="lowerLetter"/>
      <w:start w:val="1"/>
    </w:lvl>
  </w:abstractNum>
  <w:abstractNum w:abstractNumId="46">
    <w:nsid w:val="75C6C33A"/>
    <w:multiLevelType w:val="hybridMultilevel"/>
    <w:lvl w:ilvl="0">
      <w:lvlJc w:val="left"/>
      <w:lvlText w:val="%1"/>
      <w:numFmt w:val="lowerLetter"/>
      <w:start w:val="1"/>
    </w:lvl>
    <w:lvl w:ilvl="1">
      <w:lvlJc w:val="left"/>
      <w:lvlText w:val="(%2)"/>
      <w:numFmt w:val="lowerLetter"/>
      <w:start w:val="35"/>
    </w:lvl>
  </w:abstractNum>
  <w:abstractNum w:abstractNumId="47">
    <w:nsid w:val="12E685FB"/>
    <w:multiLevelType w:val="hybridMultilevel"/>
    <w:lvl w:ilvl="0">
      <w:lvlJc w:val="left"/>
      <w:lvlText w:val="(%1)"/>
      <w:numFmt w:val="lowerLetter"/>
      <w:start w:val="4"/>
    </w:lvl>
    <w:lvl w:ilvl="1">
      <w:lvlJc w:val="left"/>
      <w:lvlText w:val="%2"/>
      <w:numFmt w:val="lowerLetter"/>
      <w:start w:val="1"/>
    </w:lvl>
  </w:abstractNum>
  <w:abstractNum w:abstractNumId="48">
    <w:nsid w:val="70C6A529"/>
    <w:multiLevelType w:val="hybridMultilevel"/>
    <w:lvl w:ilvl="0">
      <w:lvlJc w:val="left"/>
      <w:lvlText w:val="(%1)"/>
      <w:numFmt w:val="lowerLetter"/>
      <w:start w:val="5"/>
    </w:lvl>
  </w:abstractNum>
  <w:abstractNum w:abstractNumId="49">
    <w:nsid w:val="520EEDD1"/>
    <w:multiLevelType w:val="hybridMultilevel"/>
    <w:lvl w:ilvl="0">
      <w:lvlJc w:val="left"/>
      <w:lvlText w:val="(%1)"/>
      <w:numFmt w:val="lowerLetter"/>
      <w:start w:val="1"/>
    </w:lvl>
    <w:lvl w:ilvl="1">
      <w:lvlJc w:val="left"/>
      <w:lvlText w:val="(%2)"/>
      <w:numFmt w:val="lowerRoman"/>
      <w:start w:val="1"/>
    </w:lvl>
  </w:abstractNum>
  <w:abstractNum w:abstractNumId="50">
    <w:nsid w:val="374A3FE6"/>
    <w:multiLevelType w:val="hybridMultilevel"/>
    <w:lvl w:ilvl="0">
      <w:lvlJc w:val="left"/>
      <w:lvlText w:val="(%1)"/>
      <w:numFmt w:val="lowerLetter"/>
      <w:start w:val="2"/>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lowerLetter"/>
      <w:start w:val="2"/>
    </w:lvl>
  </w:abstractNum>
  <w:abstractNum w:abstractNumId="53">
    <w:nsid w:val="649BB77C"/>
    <w:multiLevelType w:val="hybridMultilevel"/>
    <w:lvl w:ilvl="0">
      <w:lvlJc w:val="left"/>
      <w:lvlText w:val="%1."/>
      <w:numFmt w:val="decimal"/>
      <w:start w:val="13"/>
    </w:lvl>
  </w:abstractNum>
  <w:abstractNum w:abstractNumId="54">
    <w:nsid w:val="275AC794"/>
    <w:multiLevelType w:val="hybridMultilevel"/>
    <w:lvl w:ilvl="0">
      <w:lvlJc w:val="left"/>
      <w:lvlText w:val="%1."/>
      <w:numFmt w:val="decimal"/>
      <w:start w:val="16"/>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14" Type="http://schemas.openxmlformats.org/officeDocument/2006/relationships/hyperlink" Target="http://www.sec.gov/Archives/edgar/data/921582/000119312511283796/d246907dex1038.htm" TargetMode="External"/><Relationship Id="rId115" Type="http://schemas.openxmlformats.org/officeDocument/2006/relationships/hyperlink" Target="http://www.sec.gov/Archives/edgar/data/921582/000119312520166667/d902368dex101.htm" TargetMode="External"/><Relationship Id="rId116" Type="http://schemas.openxmlformats.org/officeDocument/2006/relationships/hyperlink" Target="http://www.sec.gov/Archives/edgar/data/921582/000119312520162205/d93882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2020-07-28T16:15:08Z</dcterms:created>
  <dcterms:modified xsi:type="dcterms:W3CDTF">2020-07-28T16:15:08Z</dcterms:modified>
</cp:coreProperties>
</file>