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200025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38735</wp:posOffset>
            </wp:positionV>
            <wp:extent cx="1419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8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69215</wp:posOffset>
            </wp:positionV>
            <wp:extent cx="1419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-113030</wp:posOffset>
            </wp:positionV>
            <wp:extent cx="86360" cy="8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360" cy="87630"/>
                    </a:xfrm>
                    <a:prstGeom prst="rect">
                      <a:avLst/>
                    </a:prstGeom>
                    <a:noFill/>
                  </pic:spPr>
                </pic:pic>
              </a:graphicData>
            </a:graphic>
          </wp:anchor>
        </w:drawing>
      </w:r>
    </w:p>
    <w:p>
      <w:pPr>
        <w:spacing w:after="0" w:line="3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2020</w:t>
      </w:r>
    </w:p>
    <w:p>
      <w:pPr>
        <w:spacing w:after="0" w:line="30" w:lineRule="exact"/>
        <w:rPr>
          <w:sz w:val="24"/>
          <w:szCs w:val="24"/>
          <w:color w:val="auto"/>
        </w:rPr>
      </w:pPr>
    </w:p>
    <w:p>
      <w:pPr>
        <w:ind w:left="260" w:hanging="21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-101600</wp:posOffset>
            </wp:positionV>
            <wp:extent cx="86360" cy="87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360" cy="87630"/>
                    </a:xfrm>
                    <a:prstGeom prst="rect">
                      <a:avLst/>
                    </a:prstGeom>
                    <a:noFill/>
                  </pic:spPr>
                </pic:pic>
              </a:graphicData>
            </a:graphic>
          </wp:anchor>
        </w:drawing>
      </w:r>
    </w:p>
    <w:p>
      <w:pPr>
        <w:spacing w:after="0" w:line="6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Commission file Number 001-35066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76200</wp:posOffset>
            </wp:positionV>
            <wp:extent cx="1419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3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6"/>
          <w:szCs w:val="36"/>
          <w:b w:val="1"/>
          <w:bCs w:val="1"/>
          <w:color w:val="auto"/>
        </w:rPr>
        <w:t>IMAX Corporation</w:t>
      </w:r>
    </w:p>
    <w:p>
      <w:pPr>
        <w:spacing w:after="0" w:line="4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52" w:lineRule="exact"/>
        <w:rPr>
          <w:sz w:val="24"/>
          <w:szCs w:val="24"/>
          <w:color w:val="auto"/>
        </w:rPr>
      </w:pPr>
    </w:p>
    <w:tbl>
      <w:tblPr>
        <w:tblLayout w:type="fixed"/>
        <w:tblInd w:w="1300" w:type="dxa"/>
        <w:tblCellMar>
          <w:top w:w="0" w:type="dxa"/>
          <w:left w:w="0" w:type="dxa"/>
          <w:bottom w:w="0" w:type="dxa"/>
          <w:right w:w="0" w:type="dxa"/>
        </w:tblCellMar>
      </w:tblPr>
      <w:tr>
        <w:trPr>
          <w:trHeight w:val="217"/>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39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98-0140269</w:t>
            </w:r>
          </w:p>
        </w:tc>
      </w:tr>
      <w:tr>
        <w:trPr>
          <w:trHeight w:val="215"/>
        </w:trPr>
        <w:tc>
          <w:tcPr>
            <w:tcW w:w="4440" w:type="dxa"/>
            <w:vAlign w:val="bottom"/>
          </w:tcPr>
          <w:p>
            <w:pPr>
              <w:jc w:val="center"/>
              <w:ind w:right="133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3980" w:type="dxa"/>
            <w:vAlign w:val="bottom"/>
          </w:tcPr>
          <w:p>
            <w:pPr>
              <w:jc w:val="center"/>
              <w:ind w:left="133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4440" w:type="dxa"/>
            <w:vAlign w:val="bottom"/>
          </w:tcPr>
          <w:p>
            <w:pPr>
              <w:jc w:val="center"/>
              <w:ind w:right="133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980" w:type="dxa"/>
            <w:vAlign w:val="bottom"/>
          </w:tcPr>
          <w:p>
            <w:pPr>
              <w:jc w:val="center"/>
              <w:ind w:left="131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r>
      <w:tr>
        <w:trPr>
          <w:trHeight w:val="274"/>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2525 Speakman Drive,</w:t>
            </w:r>
          </w:p>
        </w:tc>
        <w:tc>
          <w:tcPr>
            <w:tcW w:w="398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8"/>
              </w:rPr>
              <w:t>902 Broadway, Floor 20</w:t>
            </w:r>
          </w:p>
        </w:tc>
      </w:tr>
      <w:tr>
        <w:trPr>
          <w:trHeight w:val="215"/>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Mississauga, Ontario, Canada L5K 1B1</w:t>
            </w:r>
          </w:p>
        </w:tc>
        <w:tc>
          <w:tcPr>
            <w:tcW w:w="398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8"/>
              </w:rPr>
              <w:t>New York, New York, USA 10010</w:t>
            </w:r>
          </w:p>
        </w:tc>
      </w:tr>
      <w:tr>
        <w:trPr>
          <w:trHeight w:val="238"/>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(905) 403-6500</w:t>
            </w:r>
          </w:p>
        </w:tc>
        <w:tc>
          <w:tcPr>
            <w:tcW w:w="39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(212) 821-0100</w:t>
            </w:r>
          </w:p>
        </w:tc>
      </w:tr>
    </w:tbl>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 telephone numbers)</w:t>
      </w:r>
    </w:p>
    <w:p>
      <w:pPr>
        <w:spacing w:after="0" w:line="7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19"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41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7"/>
        </w:trPr>
        <w:tc>
          <w:tcPr>
            <w:tcW w:w="35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36"/>
        </w:trPr>
        <w:tc>
          <w:tcPr>
            <w:tcW w:w="41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Common Shares, no par value</w:t>
            </w:r>
          </w:p>
        </w:tc>
        <w:tc>
          <w:tcPr>
            <w:tcW w:w="31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5"/>
              </w:rPr>
              <w:t>IMAX</w:t>
            </w: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The New York Stock Exchange</w:t>
            </w:r>
          </w:p>
        </w:tc>
      </w:tr>
    </w:tbl>
    <w:p>
      <w:pPr>
        <w:spacing w:after="0" w:line="9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(Title of class)</w:t>
      </w:r>
    </w:p>
    <w:p>
      <w:pPr>
        <w:spacing w:after="0" w:line="72" w:lineRule="exact"/>
        <w:rPr>
          <w:sz w:val="24"/>
          <w:szCs w:val="24"/>
          <w:color w:val="auto"/>
        </w:rPr>
      </w:pPr>
    </w:p>
    <w:p>
      <w:pPr>
        <w:ind w:left="240" w:right="3320"/>
        <w:spacing w:after="0" w:line="24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jc w:val="both"/>
        <w:ind w:right="100" w:firstLine="2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jc w:val="both"/>
        <w:ind w:right="100" w:firstLine="2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0" w:lineRule="exact"/>
        <w:rPr>
          <w:sz w:val="24"/>
          <w:szCs w:val="24"/>
          <w:color w:val="auto"/>
        </w:rPr>
      </w:pPr>
    </w:p>
    <w:p>
      <w:pPr>
        <w:jc w:val="both"/>
        <w:ind w:right="100" w:firstLine="224"/>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4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Accelerated filer</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6"/>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4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6"/>
        </w:trPr>
        <w:tc>
          <w:tcPr>
            <w:tcW w:w="196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492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Emerging growth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1" w:lineRule="exact"/>
        <w:rPr>
          <w:sz w:val="24"/>
          <w:szCs w:val="24"/>
          <w:color w:val="auto"/>
        </w:rPr>
      </w:pPr>
    </w:p>
    <w:p>
      <w:pPr>
        <w:jc w:val="both"/>
        <w:ind w:right="100" w:firstLine="22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2" w:lineRule="exact"/>
        <w:rPr>
          <w:sz w:val="24"/>
          <w:szCs w:val="24"/>
          <w:color w:val="auto"/>
        </w:rPr>
      </w:pPr>
    </w:p>
    <w:p>
      <w:pPr>
        <w:jc w:val="both"/>
        <w:ind w:right="120" w:firstLine="224"/>
        <w:spacing w:after="0" w:line="17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240"/>
        <w:spacing w:after="0" w:line="161" w:lineRule="exact"/>
        <w:tabs>
          <w:tab w:leader="none" w:pos="67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30" w:lineRule="exact"/>
        <w:rPr>
          <w:sz w:val="24"/>
          <w:szCs w:val="24"/>
          <w:color w:val="auto"/>
        </w:rPr>
      </w:pPr>
    </w:p>
    <w:p>
      <w:pPr>
        <w:jc w:val="both"/>
        <w:ind w:right="100" w:firstLine="224"/>
        <w:spacing w:after="0" w:line="258" w:lineRule="auto"/>
        <w:rPr>
          <w:sz w:val="20"/>
          <w:szCs w:val="20"/>
          <w:color w:val="auto"/>
        </w:rPr>
      </w:pPr>
      <w:r>
        <w:rPr>
          <w:rFonts w:ascii="Times New Roman" w:cs="Times New Roman" w:eastAsia="Times New Roman" w:hAnsi="Times New Roman"/>
          <w:sz w:val="14"/>
          <w:szCs w:val="14"/>
          <w:color w:val="auto"/>
        </w:rPr>
        <w:t>The aggregate market value of the common shares of the registrant held by non-affiliates of the registrant, computed by reference to the last sale price of such shares as of the close of trading on June 30, 2020 was $549.8 million.</w:t>
      </w:r>
    </w:p>
    <w:p>
      <w:pPr>
        <w:spacing w:after="0" w:line="31"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4"/>
          <w:szCs w:val="14"/>
          <w:color w:val="auto"/>
        </w:rPr>
        <w:t>As of January 31, 2021, there were 58,948,829 common shares of the registrant outstanding.</w:t>
      </w:r>
    </w:p>
    <w:p>
      <w:pPr>
        <w:spacing w:after="0" w:line="6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Document Incorporated by Reference</w:t>
      </w:r>
    </w:p>
    <w:p>
      <w:pPr>
        <w:spacing w:after="0" w:line="75" w:lineRule="exact"/>
        <w:rPr>
          <w:sz w:val="24"/>
          <w:szCs w:val="24"/>
          <w:color w:val="auto"/>
        </w:rPr>
      </w:pPr>
    </w:p>
    <w:p>
      <w:pPr>
        <w:jc w:val="both"/>
        <w:ind w:right="100" w:firstLine="224"/>
        <w:spacing w:after="0" w:line="239"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filed within 120 days of the close of IMAX Corporation’s fiscal year ended December 31, 2020, with the Securities and Exchange Commission pursuant to Regulation 14A involving the election of directors and the annual meeting of the stockholders of the registrant (the “Proxy Statement”) are incorporated by reference in Part III of this Form 10-K to the extent described therein.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487045</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20" w:top="404"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9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IMAX CORPORATION</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040" w:type="dxa"/>
            <w:vAlign w:val="bottom"/>
          </w:tcPr>
          <w:p>
            <w:pPr>
              <w:spacing w:after="0"/>
              <w:rPr>
                <w:sz w:val="24"/>
                <w:szCs w:val="24"/>
                <w:color w:val="auto"/>
              </w:rPr>
            </w:pPr>
          </w:p>
        </w:tc>
        <w:tc>
          <w:tcPr>
            <w:tcW w:w="9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December 31, 2020</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40" w:type="dxa"/>
            <w:vAlign w:val="bottom"/>
          </w:tcPr>
          <w:p>
            <w:pPr>
              <w:spacing w:after="0"/>
              <w:rPr>
                <w:sz w:val="24"/>
                <w:szCs w:val="24"/>
                <w:color w:val="auto"/>
              </w:rPr>
            </w:pPr>
          </w:p>
        </w:tc>
        <w:tc>
          <w:tcPr>
            <w:tcW w:w="9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9320" w:type="dxa"/>
            <w:vAlign w:val="bottom"/>
            <w:vMerge w:val="restart"/>
          </w:tcPr>
          <w:p>
            <w:pPr>
              <w:jc w:val="center"/>
              <w:ind w:right="50"/>
              <w:spacing w:after="0"/>
              <w:rPr>
                <w:rFonts w:ascii="Times New Roman" w:cs="Times New Roman" w:eastAsia="Times New Roman" w:hAnsi="Times New Roman"/>
                <w:sz w:val="18"/>
                <w:szCs w:val="18"/>
                <w:b w:val="1"/>
                <w:bCs w:val="1"/>
                <w:u w:val="single" w:color="auto"/>
                <w:color w:val="0000EE"/>
                <w:w w:val="95"/>
              </w:rPr>
            </w:pPr>
            <w:hyperlink w:anchor="page4">
              <w:r>
                <w:rPr>
                  <w:rFonts w:ascii="Times New Roman" w:cs="Times New Roman" w:eastAsia="Times New Roman" w:hAnsi="Times New Roman"/>
                  <w:sz w:val="18"/>
                  <w:szCs w:val="18"/>
                  <w:b w:val="1"/>
                  <w:bCs w:val="1"/>
                  <w:u w:val="single" w:color="auto"/>
                  <w:color w:val="0000EE"/>
                  <w:w w:val="95"/>
                </w:rPr>
                <w:t>PART I</w:t>
              </w:r>
            </w:hyperlink>
          </w:p>
        </w:tc>
        <w:tc>
          <w:tcPr>
            <w:tcW w:w="8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40" w:type="dxa"/>
            <w:vAlign w:val="bottom"/>
          </w:tcPr>
          <w:p>
            <w:pPr>
              <w:spacing w:after="0"/>
              <w:rPr>
                <w:sz w:val="16"/>
                <w:szCs w:val="16"/>
                <w:color w:val="auto"/>
              </w:rPr>
            </w:pPr>
          </w:p>
        </w:tc>
        <w:tc>
          <w:tcPr>
            <w:tcW w:w="932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Business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Risk Factors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Unresolved Staff Comments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Properties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Legal Proceedings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Mine Safety Disclosures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37"/>
        </w:trPr>
        <w:tc>
          <w:tcPr>
            <w:tcW w:w="1040" w:type="dxa"/>
            <w:vAlign w:val="bottom"/>
          </w:tcPr>
          <w:p>
            <w:pPr>
              <w:spacing w:after="0"/>
              <w:rPr>
                <w:sz w:val="24"/>
                <w:szCs w:val="24"/>
                <w:color w:val="auto"/>
              </w:rPr>
            </w:pPr>
          </w:p>
        </w:tc>
        <w:tc>
          <w:tcPr>
            <w:tcW w:w="9320" w:type="dxa"/>
            <w:vAlign w:val="bottom"/>
          </w:tcPr>
          <w:p>
            <w:pPr>
              <w:jc w:val="center"/>
              <w:ind w:right="50"/>
              <w:spacing w:after="0"/>
              <w:rPr>
                <w:rFonts w:ascii="Times New Roman" w:cs="Times New Roman" w:eastAsia="Times New Roman" w:hAnsi="Times New Roman"/>
                <w:sz w:val="18"/>
                <w:szCs w:val="18"/>
                <w:b w:val="1"/>
                <w:bCs w:val="1"/>
                <w:u w:val="single" w:color="auto"/>
                <w:color w:val="0000EE"/>
                <w:w w:val="97"/>
              </w:rPr>
            </w:pPr>
            <w:hyperlink w:anchor="page32">
              <w:r>
                <w:rPr>
                  <w:rFonts w:ascii="Times New Roman" w:cs="Times New Roman" w:eastAsia="Times New Roman" w:hAnsi="Times New Roman"/>
                  <w:sz w:val="18"/>
                  <w:szCs w:val="18"/>
                  <w:b w:val="1"/>
                  <w:bCs w:val="1"/>
                  <w:u w:val="single" w:color="auto"/>
                  <w:color w:val="0000EE"/>
                  <w:w w:val="97"/>
                </w:rPr>
                <w:t>PART II</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Market for Registrant’s Common Equity, Related Stockholder Matters and Issuer Purchases of Equity Securities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Selected Financial Data</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Quantitative and Qualitative Disclosures about Market Risk</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Financial Statements and Supplementary Data</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149">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149">
              <w:r>
                <w:rPr>
                  <w:rFonts w:ascii="Times New Roman" w:cs="Times New Roman" w:eastAsia="Times New Roman" w:hAnsi="Times New Roman"/>
                  <w:sz w:val="18"/>
                  <w:szCs w:val="18"/>
                  <w:u w:val="single" w:color="auto"/>
                  <w:color w:val="0000EE"/>
                </w:rPr>
                <w:t>Controls and Procedures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150">
              <w:r>
                <w:rPr>
                  <w:rFonts w:ascii="Times New Roman" w:cs="Times New Roman" w:eastAsia="Times New Roman" w:hAnsi="Times New Roman"/>
                  <w:sz w:val="18"/>
                  <w:szCs w:val="18"/>
                  <w:u w:val="single" w:color="auto"/>
                  <w:color w:val="0000EE"/>
                </w:rPr>
                <w:t>Other Information</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337"/>
        </w:trPr>
        <w:tc>
          <w:tcPr>
            <w:tcW w:w="1040" w:type="dxa"/>
            <w:vAlign w:val="bottom"/>
          </w:tcPr>
          <w:p>
            <w:pPr>
              <w:spacing w:after="0"/>
              <w:rPr>
                <w:sz w:val="24"/>
                <w:szCs w:val="24"/>
                <w:color w:val="auto"/>
              </w:rPr>
            </w:pPr>
          </w:p>
        </w:tc>
        <w:tc>
          <w:tcPr>
            <w:tcW w:w="9320" w:type="dxa"/>
            <w:vAlign w:val="bottom"/>
          </w:tcPr>
          <w:p>
            <w:pPr>
              <w:jc w:val="center"/>
              <w:ind w:right="70"/>
              <w:spacing w:after="0"/>
              <w:rPr>
                <w:rFonts w:ascii="Times New Roman" w:cs="Times New Roman" w:eastAsia="Times New Roman" w:hAnsi="Times New Roman"/>
                <w:sz w:val="18"/>
                <w:szCs w:val="18"/>
                <w:b w:val="1"/>
                <w:bCs w:val="1"/>
                <w:u w:val="single" w:color="auto"/>
                <w:color w:val="0000EE"/>
                <w:w w:val="96"/>
              </w:rPr>
            </w:pPr>
            <w:hyperlink w:anchor="page151">
              <w:r>
                <w:rPr>
                  <w:rFonts w:ascii="Times New Roman" w:cs="Times New Roman" w:eastAsia="Times New Roman" w:hAnsi="Times New Roman"/>
                  <w:sz w:val="18"/>
                  <w:szCs w:val="18"/>
                  <w:b w:val="1"/>
                  <w:bCs w:val="1"/>
                  <w:u w:val="single" w:color="auto"/>
                  <w:color w:val="0000EE"/>
                  <w:w w:val="96"/>
                </w:rPr>
                <w:t>PART III</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Directors, Executive Officers and Corporate Governance</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Executive Compensation</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Principal Accounting Fees and Services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337"/>
        </w:trPr>
        <w:tc>
          <w:tcPr>
            <w:tcW w:w="1040" w:type="dxa"/>
            <w:vAlign w:val="bottom"/>
          </w:tcPr>
          <w:p>
            <w:pPr>
              <w:spacing w:after="0"/>
              <w:rPr>
                <w:sz w:val="24"/>
                <w:szCs w:val="24"/>
                <w:color w:val="auto"/>
              </w:rPr>
            </w:pPr>
          </w:p>
        </w:tc>
        <w:tc>
          <w:tcPr>
            <w:tcW w:w="9320" w:type="dxa"/>
            <w:vAlign w:val="bottom"/>
          </w:tcPr>
          <w:p>
            <w:pPr>
              <w:jc w:val="center"/>
              <w:ind w:right="70"/>
              <w:spacing w:after="0"/>
              <w:rPr>
                <w:rFonts w:ascii="Times New Roman" w:cs="Times New Roman" w:eastAsia="Times New Roman" w:hAnsi="Times New Roman"/>
                <w:sz w:val="18"/>
                <w:szCs w:val="18"/>
                <w:b w:val="1"/>
                <w:bCs w:val="1"/>
                <w:u w:val="single" w:color="auto"/>
                <w:color w:val="0000EE"/>
                <w:w w:val="97"/>
              </w:rPr>
            </w:pPr>
            <w:hyperlink w:anchor="page152">
              <w:r>
                <w:rPr>
                  <w:rFonts w:ascii="Times New Roman" w:cs="Times New Roman" w:eastAsia="Times New Roman" w:hAnsi="Times New Roman"/>
                  <w:sz w:val="18"/>
                  <w:szCs w:val="18"/>
                  <w:b w:val="1"/>
                  <w:bCs w:val="1"/>
                  <w:u w:val="single" w:color="auto"/>
                  <w:color w:val="0000EE"/>
                  <w:w w:val="97"/>
                </w:rPr>
                <w:t>PART IV</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152">
              <w:r>
                <w:rPr>
                  <w:rFonts w:ascii="Times New Roman" w:cs="Times New Roman" w:eastAsia="Times New Roman" w:hAnsi="Times New Roman"/>
                  <w:sz w:val="18"/>
                  <w:szCs w:val="18"/>
                  <w:u w:val="single" w:color="auto"/>
                  <w:color w:val="0000EE"/>
                </w:rPr>
                <w:t>Exhibits, Financial Statement Schedules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320" w:type="dxa"/>
            <w:vAlign w:val="bottom"/>
          </w:tcPr>
          <w:p>
            <w:pPr>
              <w:ind w:left="220"/>
              <w:spacing w:after="0"/>
              <w:rPr>
                <w:rFonts w:ascii="Times New Roman" w:cs="Times New Roman" w:eastAsia="Times New Roman" w:hAnsi="Times New Roman"/>
                <w:sz w:val="18"/>
                <w:szCs w:val="18"/>
                <w:u w:val="single" w:color="auto"/>
                <w:color w:val="0000EE"/>
              </w:rPr>
            </w:pPr>
            <w:hyperlink w:anchor="page155">
              <w:r>
                <w:rPr>
                  <w:rFonts w:ascii="Times New Roman" w:cs="Times New Roman" w:eastAsia="Times New Roman" w:hAnsi="Times New Roman"/>
                  <w:sz w:val="18"/>
                  <w:szCs w:val="18"/>
                  <w:u w:val="single" w:color="auto"/>
                  <w:color w:val="0000EE"/>
                </w:rPr>
                <w:t>Form 10-K Summary</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8"/>
        </w:trPr>
        <w:tc>
          <w:tcPr>
            <w:tcW w:w="104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156">
              <w:r>
                <w:rPr>
                  <w:rFonts w:ascii="Times New Roman" w:cs="Times New Roman" w:eastAsia="Times New Roman" w:hAnsi="Times New Roman"/>
                  <w:sz w:val="18"/>
                  <w:szCs w:val="18"/>
                  <w:b w:val="1"/>
                  <w:bCs w:val="1"/>
                  <w:u w:val="single" w:color="auto"/>
                  <w:color w:val="0000EE"/>
                </w:rPr>
                <w:t>Signatures</w:t>
              </w:r>
            </w:hyperlink>
          </w:p>
        </w:tc>
        <w:tc>
          <w:tcPr>
            <w:tcW w:w="9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DATA</w:t>
      </w:r>
    </w:p>
    <w:p>
      <w:pPr>
        <w:spacing w:after="0" w:line="201"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Unless otherwise indicated, all dollar amounts in this document are expressed in United States (“U.S.”) Dollars. The following table sets forth, for the periods indicated, certain exchange rates based on the noon buying rate in the City of New York for cable transfers in foreign currencies as certified for customs purposes by the Bank of Canada (the “Noon Buying Rate”). Such rates quoted are the number of U.S. Dollars per one Canadian Dollar and are the inverse of rates quoted by the Bank of Canada for Canadian Dollars per U.S. $1.00. The average exchange rate is based on the average of the exchange rates on the last day of each month during such periods. The Noon Buying Rate on December 31, 2020 was U.S. $0.7854.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55"/>
        </w:trPr>
        <w:tc>
          <w:tcPr>
            <w:tcW w:w="52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r>
      <w:tr>
        <w:trPr>
          <w:trHeight w:val="222"/>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rate at end of period</w:t>
            </w: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0.7854</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0.7699</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0.7330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0.7971</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0.7448</w:t>
            </w: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Average exchange rate during period</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0.7455</w:t>
            </w:r>
          </w:p>
        </w:tc>
        <w:tc>
          <w:tcPr>
            <w:tcW w:w="120" w:type="dxa"/>
            <w:vAlign w:val="bottom"/>
          </w:tcPr>
          <w:p>
            <w:pPr>
              <w:spacing w:after="0"/>
              <w:rPr>
                <w:sz w:val="19"/>
                <w:szCs w:val="19"/>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0.7536</w:t>
            </w:r>
          </w:p>
        </w:tc>
        <w:tc>
          <w:tcPr>
            <w:tcW w:w="14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0.7718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0.7712</w:t>
            </w:r>
          </w:p>
        </w:tc>
        <w:tc>
          <w:tcPr>
            <w:tcW w:w="1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0.7558</w:t>
            </w: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High exchange rate during period</w:t>
            </w: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0.7863</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0.7699</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0.8138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0.8245</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0.7972</w:t>
            </w: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Low exchange rate during period</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0.6898</w:t>
            </w:r>
          </w:p>
        </w:tc>
        <w:tc>
          <w:tcPr>
            <w:tcW w:w="120" w:type="dxa"/>
            <w:vAlign w:val="bottom"/>
          </w:tcPr>
          <w:p>
            <w:pPr>
              <w:spacing w:after="0"/>
              <w:rPr>
                <w:sz w:val="20"/>
                <w:szCs w:val="20"/>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0.7353</w:t>
            </w:r>
          </w:p>
        </w:tc>
        <w:tc>
          <w:tcPr>
            <w:tcW w:w="14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0.7330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0.7276</w:t>
            </w:r>
          </w:p>
        </w:tc>
        <w:tc>
          <w:tcPr>
            <w:tcW w:w="12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0.6854</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INFORMATION</w:t>
      </w:r>
    </w:p>
    <w:p>
      <w:pPr>
        <w:spacing w:after="0" w:line="188" w:lineRule="exact"/>
        <w:rPr>
          <w:sz w:val="20"/>
          <w:szCs w:val="20"/>
          <w:color w:val="auto"/>
        </w:rPr>
      </w:pPr>
    </w:p>
    <w:p>
      <w:pPr>
        <w:jc w:val="both"/>
        <w:ind w:firstLine="223"/>
        <w:spacing w:after="0" w:line="251" w:lineRule="auto"/>
        <w:rPr>
          <w:sz w:val="20"/>
          <w:szCs w:val="20"/>
          <w:color w:val="auto"/>
        </w:rPr>
      </w:pPr>
      <w:r>
        <w:rPr>
          <w:rFonts w:ascii="Times New Roman" w:cs="Times New Roman" w:eastAsia="Times New Roman" w:hAnsi="Times New Roman"/>
          <w:sz w:val="18"/>
          <w:szCs w:val="18"/>
          <w:color w:val="auto"/>
        </w:rPr>
        <w:t>Certain statements included in this annual report may constitute "forward-looking statements" within the meaning of the United States Private Securities Litigation Reform Act of 1995. These forward-looking statements include, but are not limited to, references to business and technology strategies and measures to implement strategies, competitive strengths, goals, expansion and growth of business, operations and technology, future capital expenditures (including the amount and nature thereof),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the impact of COVID-19 on the Company’s business, financial condition and results of operations and on the businesses of the Company’s customers and exhibitor partners; risks associated with investments and operations in foreign jurisdictions and any future international expansion, including those related to economic, political and regulatory policies of local governments and laws and policies of the United States and Canada; risks related to the Company’s growth and operations in China; the performance of IMAX DMR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films; the signing of IMAX theater system agreements; conditions, changes and developments in the commercial exhibition industry and broader entertainment industry, including both in-home and out-of-home entertainment markets; risks related to currency fluctuations; the potential impact of increased competition in the markets within which the Company operates, including competitive actions by other companies; the failure to respond to change and advancements in entertainment technology; risks relating to consolidation among commercial exhibitors and movie studios; risks related to new business initiatives that may be presented to and pursued by the Company; risks related to cyber-security and data privacy; risks related to the Company’s inability to protect its intellectual property; general economic, market or business conditions; the failure to convert IMAX theater system backlog into revenue; changes in laws or regulations; the failure to fully realize the projected cost savings and benefits from any of the Company’s restructuring initiatives; assumptions relating to any of the foregoing; other risks outlined in the Company’s periodic filings with the Securities and Exchange Commission; and other factors, many of which are beyond the control of the Company. Consequently, all of the forward-looking statements made in this annual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9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1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IMAX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IMAX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Dome, IMAX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3D, IMAX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3D Dome, Experience It In IMAX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IMAX DMR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DMR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IMAX nXos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Films To The Fullest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trademarks and trade names of the Company or its subsidiaries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or otherwise protected under laws of various jurisdictions.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01"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Company is a Canadian corporation that was formed in March 1994 as a result of an amalgamation between WGIM Acquisition Corp. and the former IMAX Corporation (“Predecessor IMAX”). Predecessor IMAX was incorporated in 1967.</w:t>
      </w:r>
    </w:p>
    <w:p>
      <w:pPr>
        <w:spacing w:after="0" w:line="121"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As of December 31, 2020, the Company indirectly owns 69.89% of IMAX China Holding, Inc. (“IMAX China”), whose shares trade on the Hong Kong Stock Exchange. IMAX China is a consolidated subsidiary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1"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IMAX is one of the world’s leading entertainment technology companies, specializing in technological innovations powering the presentation of some of today’s most immersive entertainment experiences. Through its proprietary software, theater architecture, patented intellectual property and specialized equipment, IMAX offers a unique end-to-end cinematic solution to create the highest-quality, most immersive motion picture and other entertainment event experiences for which the IMAX® brand has become globally known. Top filmmakers and movie studios utilize the cutting-edge visual and sound technology of IMAX to connect with audiences in innovative ways, and as a result, IMAX’s network is among the most important and successful distribution platforms for major films and other events around the world.</w:t>
      </w:r>
    </w:p>
    <w:p>
      <w:pPr>
        <w:spacing w:after="0" w:line="143"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leverages its innovative technology and engineering in all aspects of its core business, which principally consists of the digital remastering of films and other presentations into the IMAX format (“IMAX DMR”) and the sale or lease of premium IMAX theater systems (“IMAX Theater Systems”).</w:t>
      </w:r>
    </w:p>
    <w:p>
      <w:pPr>
        <w:spacing w:after="0" w:line="136"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IMAX Theater Systems are based on proprietary and patented image, audio and other technology developed over the course of the Company’s 53-year history. The Company’s customers are theater exhibitors that operate commercial theaters (particularly multiplexes), museums, science centers, or destination entertainment sites. The Company generally does not own the theaters in the IMAX network, but sells or leases the IMAX Theater System along with a license to use its trademarks.</w:t>
      </w:r>
    </w:p>
    <w:p>
      <w:pPr>
        <w:spacing w:after="0" w:line="154"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As of December 31, 2020, there were 1,650 IMAX Theater Systems operating in 84 countries and territories, including 1,562 commercial multiplexes, 12 commercial destinations and 76 institutional locations. This compares to 1,624 IMAX Theater Systems operating in 81 countries and territories as of December 31, 2019 including 1,529 commercial multiplexes, 14 commercial destinations and 81 institutional locations. (See the table below under “IMAX Network and Backlog” in Part II, Item 7, “Management’s Discussion and Analysis of Financial Condition and Results of Operations”, for additional information on the composition of the IMAX network.)</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IMAX Theater System provides the Company’s exhibitor customers with a combination of the following benefits:</w:t>
      </w:r>
    </w:p>
    <w:p>
      <w:pPr>
        <w:spacing w:after="0" w:line="184" w:lineRule="exact"/>
        <w:rPr>
          <w:sz w:val="20"/>
          <w:szCs w:val="20"/>
          <w:color w:val="auto"/>
        </w:rPr>
      </w:pPr>
    </w:p>
    <w:p>
      <w:pPr>
        <w:ind w:left="580" w:right="20" w:hanging="357"/>
        <w:spacing w:after="0" w:line="281"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exhibit content that has undergone the IMAX DMR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conversion process, which results in higher image and sound fidelity than conventional cinema experiences;</w:t>
      </w:r>
    </w:p>
    <w:p>
      <w:pPr>
        <w:spacing w:after="0" w:line="161" w:lineRule="exact"/>
        <w:rPr>
          <w:rFonts w:ascii="Times New Roman" w:cs="Times New Roman" w:eastAsia="Times New Roman" w:hAnsi="Times New Roman"/>
          <w:sz w:val="18"/>
          <w:szCs w:val="18"/>
          <w:color w:val="auto"/>
        </w:rPr>
      </w:pPr>
    </w:p>
    <w:p>
      <w:pPr>
        <w:ind w:left="580" w:hanging="357"/>
        <w:spacing w:after="0" w:line="281"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high-resolution projectors with specialized equipment and automated theater control systems, which generate significantly more contrast and brightness than conventional theater systems;</w:t>
      </w:r>
    </w:p>
    <w:p>
      <w:pPr>
        <w:spacing w:after="0" w:line="161" w:lineRule="exact"/>
        <w:rPr>
          <w:rFonts w:ascii="Times New Roman" w:cs="Times New Roman" w:eastAsia="Times New Roman" w:hAnsi="Times New Roman"/>
          <w:sz w:val="18"/>
          <w:szCs w:val="18"/>
          <w:color w:val="auto"/>
        </w:rPr>
      </w:pPr>
    </w:p>
    <w:p>
      <w:pPr>
        <w:ind w:left="580" w:hanging="357"/>
        <w:spacing w:after="0" w:line="281"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screens and proprietary theater geometry, which result in a substantially larger field of view so that the screen extends to the edge of a viewer’s peripheral vision and creates more realistic images;</w:t>
      </w:r>
    </w:p>
    <w:p>
      <w:pPr>
        <w:spacing w:after="0" w:line="161" w:lineRule="exact"/>
        <w:rPr>
          <w:rFonts w:ascii="Times New Roman" w:cs="Times New Roman" w:eastAsia="Times New Roman" w:hAnsi="Times New Roman"/>
          <w:sz w:val="18"/>
          <w:szCs w:val="18"/>
          <w:color w:val="auto"/>
        </w:rPr>
      </w:pPr>
    </w:p>
    <w:p>
      <w:pPr>
        <w:ind w:left="580" w:hanging="357"/>
        <w:spacing w:after="0" w:line="281"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sound system components, which deliver more expansive sound imagery and pinpointed origination of sound to any specific spot in an IMAX theater;</w:t>
      </w:r>
    </w:p>
    <w:p>
      <w:pPr>
        <w:spacing w:after="0" w:line="161" w:lineRule="exact"/>
        <w:rPr>
          <w:rFonts w:ascii="Times New Roman" w:cs="Times New Roman" w:eastAsia="Times New Roman" w:hAnsi="Times New Roman"/>
          <w:sz w:val="18"/>
          <w:szCs w:val="18"/>
          <w:color w:val="auto"/>
        </w:rPr>
      </w:pPr>
    </w:p>
    <w:p>
      <w:pPr>
        <w:ind w:left="580" w:hanging="357"/>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theater acoustics, which result in a four-fold reduction in background noise; and</w:t>
      </w:r>
    </w:p>
    <w:p>
      <w:pPr>
        <w:spacing w:after="0" w:line="223" w:lineRule="exact"/>
        <w:rPr>
          <w:rFonts w:ascii="Times New Roman" w:cs="Times New Roman" w:eastAsia="Times New Roman" w:hAnsi="Times New Roman"/>
          <w:sz w:val="18"/>
          <w:szCs w:val="18"/>
          <w:color w:val="auto"/>
        </w:rPr>
      </w:pPr>
    </w:p>
    <w:p>
      <w:pPr>
        <w:ind w:left="580" w:hanging="357"/>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to the globally recognized IMAX brand.</w:t>
      </w:r>
    </w:p>
    <w:p>
      <w:pPr>
        <w:spacing w:after="0" w:line="184"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addition, certain movies shown in IMAX theaters are filmed using proprietary IMAX film and IMAX certified digital cameras, which offer filmmakers customized guidance and a workflow process to provide further enhanced and differentiated image quality and a film aspect ratio that delivers up to 26% more image onto a movie screen.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Together these components cause audiences in IMAX theaters to feel as if they are a part of the on-screen action, creating a more intense, immersive, and exciting experience than a traditional theater.</w:t>
      </w:r>
    </w:p>
    <w:p>
      <w:pPr>
        <w:spacing w:after="0" w:line="133"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 xml:space="preserve">As a result of the engineering and scientific achievements that are a hallmark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exhibitor customers typically charge a premium for IMAX DMR films over films exhibited in their other auditoriums. The premium pricing, combined with the higher attendance levels associated with IMAX DMR films, generates incremental box office for the Company’s exhibitor customers and for the movie studios releasing their films to the IMAX network. The incremental box office generated by IMAX DMR films has helped establish IMAX as a key premium distribution and marketing platform for Hollywood blockbuster films.</w:t>
      </w:r>
    </w:p>
    <w:p>
      <w:pPr>
        <w:spacing w:after="0" w:line="142"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As one of the world’s leaders in entertainment technology, the Company strives to remain at the forefront of advancements in cinema technology. In 2018, the Company introduced IMAX with Laser, a laser projection system designed for IMAX theaters in commercial multiplexes, which represents a further evolution of IMAX’s proprietary technology. The Company believes that IMAX with Laser delivers increased resolution, sharper and brighter images, deeper contrast as well as the widest range of colors available to filmmakers today. The Company further believes that IMAX with Laser is helping facilitate the next major lease renewal and upgrade cycle for the global IMAX network.</w:t>
      </w:r>
    </w:p>
    <w:p>
      <w:pPr>
        <w:spacing w:after="0" w:line="144"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is also experimenting with new technologies and new content as a way to deepen consumer engagement and brand loyalty, which includes curating unique, differentiated alternative content to be exhibited in IMAX theaters, particularly during those periods when Hollywood blockbuster film content is not available.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PANDEMIC</w:t>
      </w:r>
    </w:p>
    <w:p>
      <w:pPr>
        <w:spacing w:after="0" w:line="188" w:lineRule="exact"/>
        <w:rPr>
          <w:sz w:val="20"/>
          <w:szCs w:val="20"/>
          <w:color w:val="auto"/>
        </w:rPr>
      </w:pPr>
    </w:p>
    <w:p>
      <w:pPr>
        <w:jc w:val="both"/>
        <w:ind w:firstLine="224"/>
        <w:spacing w:after="0" w:line="251" w:lineRule="auto"/>
        <w:rPr>
          <w:sz w:val="20"/>
          <w:szCs w:val="20"/>
          <w:color w:val="auto"/>
        </w:rPr>
      </w:pPr>
      <w:r>
        <w:rPr>
          <w:rFonts w:ascii="Times New Roman" w:cs="Times New Roman" w:eastAsia="Times New Roman" w:hAnsi="Times New Roman"/>
          <w:sz w:val="18"/>
          <w:szCs w:val="18"/>
          <w:color w:val="auto"/>
        </w:rPr>
        <w:t>In late January 2020, in response to the public health risks associated with the novel coronavirus and the disease that it causes (“COVID-19”), the Chinese government directed exhibitors in China to temporarily close more than 70,000 movie theaters, including all of the approximately 700 IMAX theaters in mainland China. On March 11, 2020, due to the worsening public health crisis associated with the novel coronavirus, COVID-19 was characterized as a pandemic by the World Health Organization, and in the following weeks, local, state and national governments instituted stay-at-home orders and restrictions on large public gatherings which caused movie theaters in countries around the world to temporarily close, including substantially all of the IMAX theaters in those countries. As a result of the theater closures, movie studios postponed the theatrical release of most films originally scheduled for release in 2020 and early 2021, including many scheduled to be shown in IMAX theaters, while several other films were released directly or concurrently to streaming platforms. More recently, stay-at-home orders have been lifted in many countries and movie theaters throughout the IMAX network gradually reopened in the third quarter of 2020 with reduced capacities, physical distancing requirements, and other safety measures. As of December 31, 2020, 71% of the theaters in the IMAX commercial multiplex network were open, spanning 41 countries. This included 44% of the theaters in Domestic (i.e., United States and Canada) locations, 97% of the theaters in Greater China and 53% of the theaters in Rest of World markets. In many parts of Asia, audiences have returned to theaters, particularly IMAX theaters, in numbers consistent with pre-pandemic attendance levels despite the continued delay of Hollywood theatrical releases, which typically account for 70% of box office ticket sales in those regions. Management believes this indicates that moviegoers are eager to return to cinemas where and when theaters are open and moviegoers feel safe. However, ticket sales have been significantly lower than normal levels in theaters outside of Asia as Hollywood movie studios have further delayed the theatrical release dates for a number of films. As a result, certain theater chains have remained closed or have reduced their operating hours. In addition, theaters in major markets remain temporarily closed.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 w:name="page6"/>
    <w:bookmarkEnd w:id="5"/>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The repercussions of the COVID-19 global pandemic resulted in a significant decrease in the Company’s revenues, earnings and operating cash flows in 2020 as gross box office (“GBO”) results from the Company’s theater customers declined significantly, the installation of certain theater systems was delayed, and maintenance services were generally suspended for theaters that were closed. While there continues to be a lack of new films released by movie studios and a significant number of theaters in the IMAX network are closed, the Company is experiencing a significant decline in earnings and operating cash flows as it is generating significantly lower than normal levels of GBO-based revenue from its joint revenue sharing arrangements and digital remastering services, it is unable to provide normal maintenance services to any of the theaters that remain closed, and while some installation activity is continuing, certain theater system installations have, and may continue to be delayed. In addition, the Company has experienced and is likely to continue to experience delays in collecting payments due under existing theater sale or lease arrangements from its exhibitor customers who are facing financial difficulties as a result of the theater closures. In response, the Company has provided temporary relief to exhibitor customers by waiving or reducing maintenance fees during periods when theaters are closed or operating with reduced capacities and, in certain situations, by providing extended payment terms on annual minimum payment obligations in exchange for a corresponding or longer extension of the term of the underlying sale or lease arrangement. In 2020, the Company increased its provision for current expected credit losses by $18.6 million, in part reflecting a reduction in the credit quality of its theater related accounts receivable, financing receivables and variable consideration receivables, which management believes is primarily related to the COVID-19 pandemic and adequately addresses the risk of not collecting these receivables in full.</w:t>
      </w:r>
    </w:p>
    <w:p>
      <w:pPr>
        <w:spacing w:after="0" w:line="163"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 xml:space="preserve">Management is encouraged by recent box office results in markets like China, Japan and South Korea where the virus is under control and audiences have demonstrated a willingness to return to cinema. However, the Company may </w:t>
      </w:r>
      <w:r>
        <w:rPr>
          <w:rFonts w:ascii="Times New Roman" w:cs="Times New Roman" w:eastAsia="Times New Roman" w:hAnsi="Times New Roman"/>
          <w:sz w:val="18"/>
          <w:szCs w:val="18"/>
          <w:color w:val="212529"/>
        </w:rPr>
        <w:t>continue to be significantly impacted by the COVID-19 global pandemic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even after a significant portion or all theaters are reopened. The global economic impact of COVID-19 has led to record levels of unemployment in certain countries, which has led to, and may continue to result in lower consumer spending. The timing and extent of a recovery of consumer behavior and willingness to spend discretionary income on movie-going may delay the Company’s ability to generate significant GBO-based revenue until consumer behavior normalizes and consumer spending recovers.</w:t>
      </w:r>
    </w:p>
    <w:p>
      <w:pPr>
        <w:spacing w:after="0" w:line="143"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response to uncertainties associated with the COVID-19 global pandemic, the Company has taken and is continuing to take significant steps to preserve cash by eliminating non-essential costs, placing certain employees on a temporary furlough, reducing the working hours of other employees and reducing all non-essential capital expenditures to minimum levels.</w:t>
      </w:r>
    </w:p>
    <w:p>
      <w:pPr>
        <w:spacing w:after="0" w:line="136"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has also implemented an active cash management process, which, among other things, requires senior management approval of all outgoing payments. In addition, in the first quarter of 2020, the Company drew down $280.0 million in remaining available borrowing capacity under the Credit Facility provided by its Credit Agreement with Wells Fargo Bank, National Association (both as defined in Part II, Item 7, “Liquidity and Capital Resources”), which was then amended in June 2020 to, among other things, suspend the Senior Secured Net Leverage Ratio financial covenant in the Credit Agreement through the first quarter of 2021 and substitute quarterly EBITDA from the third and fourth quarters of 2019 in lieu of the EBITDA for the corresponding quarters of 2020 to meet the original Senior Secured Net Leverage Ratio financial covenant.</w:t>
      </w:r>
    </w:p>
    <w:p>
      <w:pPr>
        <w:spacing w:after="0" w:line="157"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As of December 31, 2020, the Company was in compliance with all of its requirements under the Credit Agreement, as amended. The Company’s continued compliance with the requirements of the Credit Agreement will depend on the Company’s ability to generate sufficient EBITDA to ensure compliance with the Senior Secured Net Leverage Ratio covenant throughout the next twelve months, which is dependent on the timing of when theaters in the IMAX network resume normal operations. The risk of breaching this covenant within the next twelve months increases significantly as the ongoing COVID-19 pandemic continues to adversely impact the Company’s ability to generate EBITDA. A violation of this covenant would represent an event of default under the terms of the Credit Agreement, allowing lenders to declare the principal and interest on all outstanding Credit Facility indebtedness due or payable immediately. If a breach of the Senior Secured Net Leverage Ratio covenant were to occur, however, management believes the Company would be able to either reduce a sufficient portion of the drawn amount on the Credit Facility with existing cash balances to achieve compliance, obtain additional sources of liquidity prior to the time when the repayment of its outstanding Credit Facility indebtedness would be required, or negotiate a further amendment with its lenders to the Credit Agreement to provide further covenant relief.</w:t>
      </w:r>
    </w:p>
    <w:p>
      <w:pPr>
        <w:spacing w:after="0" w:line="14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Furthermore, the Company has applied for and received wage subsidies, tax credits and other financial support under COVID-19 relief legislation that has been enacted in the countries in which it operates. During 2020, the Company recognized $6.4 million in benefits from the Canada Emergency Wage Subsidy (“CEWS”) program and $0.7 million in benefits from the U.S. CARES Act, as reductions to Selling, General and Administrative Expenses ($6.0 million), Costs and Expenses Applicable to Revenues ($1.0 million) and Research and Development ($0.1 million) in the Consolidated Statements of Operations. The CEWS program has been extended to June 2021. The Company will continue to review and apply for additional subsidies and credits for the remaining terms of these programs, where applicable.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 w:name="page7"/>
    <w:bookmarkEnd w:id="6"/>
    <w:p>
      <w:pPr>
        <w:jc w:val="both"/>
        <w:ind w:firstLine="224"/>
        <w:spacing w:after="0" w:line="269" w:lineRule="auto"/>
        <w:rPr>
          <w:sz w:val="20"/>
          <w:szCs w:val="20"/>
          <w:color w:val="auto"/>
        </w:rPr>
      </w:pPr>
      <w:r>
        <w:rPr>
          <w:rFonts w:ascii="Times New Roman" w:cs="Times New Roman" w:eastAsia="Times New Roman" w:hAnsi="Times New Roman"/>
          <w:sz w:val="17"/>
          <w:szCs w:val="17"/>
          <w:color w:val="auto"/>
        </w:rPr>
        <w:t>In the fourth quarter of 2020, the Company performed its annual goodwill impairment test considering the latest available information and determined that its goodwill was not impaired. As of December 31, 2020, the Company’s total Goodwill was $39.0 million, of which $19.1 million relates to the IMAX Systems reporting unit, $13.5 million relates to the Joint Revenue Sharing Arrangement reporting unit, and $6.4 million relates to the IMAX Maintenance reporting unit. The impairment test was performed on a reporting unit level by comparing each unit’s carrying value, including goodwill, to its fair value. The carrying value of each reporting unit is based on a systematic and rational allocation of certain assets and liabilities. The fair value of each reporting unit is assessed using a discounted cash flow model based on management’s current short-term forecast and estimated long-term projections, against which various sensitivity analyses are performed. The discount rates used in the cash flow model are derived based on the Company’s estimated weighted average cost of capital. These estimates and the likelihood of future changes in these estimates depend on a number of underlying variables and a range of possible outcomes. Actual results may differ materially from management’s estimates, especially due to the uncertainties associated with the COVID-19 pandemic. (See “Critical Accounting Estimates” in Part II, Item 7, “Management’s Discussion and Analysis of Financial Condition and Results of Operations”.)</w:t>
      </w:r>
    </w:p>
    <w:p>
      <w:pPr>
        <w:spacing w:after="0" w:line="152"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In the fourth quarter of 2020, the Company also updated its recoverability tests of the carrying values of the theater system equipment supporting its joint revenue sharing arrangements, which are recorded within Property, Plant and Equipment. In performing its reviews of recoverability, the Company estimated the undiscounted future cash flows expected to result from the use of the assets. The cash flow estimates used in these tests are consistent with management’s estimated long-term projections, against which various sensitivity analyses were performed. These estimates are highly uncertain due to the COVID-19 global pandemic; therefore, management’s estimated cash flows factor in a number of underlying variables and ranges of possible cash flow scenarios. Actual results may differ materially from management’s estimates, especially due to the uncertainties associated with the COVID-19 pandemic. For the year ended December 31, 2020, the Company recorded impairment losses of $0.3 million related to the theater system equipment supporting its joint revenue sharing arrangements. (See Note 3 of Notes to Consolidated Financial Statements in Part II, Item 8.)</w:t>
      </w:r>
    </w:p>
    <w:p>
      <w:pPr>
        <w:spacing w:after="0" w:line="147"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In the third quarter of 2020, the Company assessed the recoverability of its deferred tax assets and recorded a $23.7 million valuation allowance to reduce the value of deferred tax assets. The valuation allowance was recorded in the jurisdictions where management could not reliably forecast that future tax liabilities would arise within the next five years, primarily due to the uncertainties around the long-term impact of the COVID-19 global pandemic. In the fourth quarter of 2020, the Company increased the valuation allowance against its deferred tax assets by $4.9 million due to additional losses recorded in the period. The valuation allowance is expected to reverse when the Company determines it is more likely than not that the deferred tax assets in these jurisdictions will be realized. Despite this valuation allowance, the Company remains entitled to benefit from the tax attributes which currently have a valuation allowance applied to them.</w:t>
      </w:r>
    </w:p>
    <w:p>
      <w:pPr>
        <w:spacing w:after="0" w:line="144"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If business conditions deteriorate further, or should they remain depressed for a more prolonged period of time, management’s estimates of operating results and future cash flows for the IMAX Systems and Joint Revenue Sharing Arrangements reporting units may be insufficient to support the goodwill assigned to them, thus requiring impairment charges. The Company will continue to evaluate the recoverability of goodwill at the reporting unit level on an annual basis and whenever events or changes in circumstances indicate there may be a potential impairment. In addition, estimates related to future expected credit losses and the recoverability of deferred tax assets, as well as the recoverability of joint revenue sharing equipment assets and the realization of variable consideration assets, could also be further impacted by changes in management’s estimates. (see Notes 3, 5 and 12 of Notes to Consolidated Financial Statements in Part II, Item 8).</w:t>
      </w:r>
    </w:p>
    <w:p>
      <w:pPr>
        <w:spacing w:after="0" w:line="158"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(See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 Item 1A, “Management’s Discussion and Analysis of Financial Condition and Results of Operations – Impact of COVID-19 Pandemic” in Part II, Item 7, and Note 2 of Notes to Consolidated Financial Statements in Part II, Item 8.)</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NETWORK</w:t>
      </w:r>
    </w:p>
    <w:p>
      <w:pPr>
        <w:spacing w:after="0" w:line="188"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 believes the IMAX network is one of the most extensive premium networks in the world with 1,650 IMAX Theater Systems operating in 84 countries and territories, including 1,562 commercial multiplex, 12 commercial destination and 76 institutional locations as of December 31, 2020. (See the table below under “IMAX Network and Backlog” in Part II, Item 7, “Management’s Discussion and Analysis of Financial Condition and Results of Operations”, for additional information on the composition of the IMAX network.)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 w:name="page8"/>
    <w:bookmarkEnd w:id="7"/>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currently believes that over time its commercial multiplex network could grow to approximately 3,318 IMAX theaters worldwide from the 1,562 commercial multiplex IMAX theaters operating as of December 31, 2020. The Company believes that the majority of its future growth will come from international markets. As of December 31, 2020, 72.8% of IMAX Theater Systems in operation were located within international markets (defined as all countries other than the United States and Canada), an increase from 71.9% as of December 31, 2019, and approximately 86.0% of the new IMAX Theater Systems in backlog are scheduled to be installed in international markets, compared to 85.7% as of December 31, 2019. Revenues and gross box office derived from international markets continue to exceed revenues and gross box office from the United States and Canada. This was especially true during 2020 as the pace and extent of the reopening of IMAX theaters in Greater China amidst the COVID-19 global pandemic exceeded that of theaters in Domestic (i.e., United States and Canada) and Rest of World markets. (See “Impact of COVID-19 Pandemic” above.)</w:t>
      </w:r>
    </w:p>
    <w:p>
      <w:pPr>
        <w:spacing w:after="0" w:line="160"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Greater China is the Company’s largest market, measured by revenues, with approximately 38% and 31% of overall revenues generated from its Greater China operations in the years ended December 31, 2020 and 2019, respectively. As of December 31, 2020, the Company had 745 theaters operating in Greater China and an additional 238 new theaters (plus 13 upgrades) in backlog that are scheduled to be installed in Greater China by 2028. The Company’s backlog in Greater China represents 47.6% of its total current backlog, including upgrades. The Company’s largest single international partnership is in China with Wanda Film (“Wanda”). Wanda’s total commitment to the Company is for 361 IMAX Theater Systems in Greater China (of which 347 IMAX Theater Systems are under the parties’ joint revenue sharing arrangement). (See “Risk Factors – The Company faces risks in connection with its significant presence in China and the continued expansion of its business there” in Part I, Item 1A.)</w:t>
      </w:r>
    </w:p>
    <w:p>
      <w:pPr>
        <w:spacing w:after="0" w:line="144"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(See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 Item 1A.)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AND SERVICES</w:t>
      </w:r>
    </w:p>
    <w:p>
      <w:pPr>
        <w:spacing w:after="0" w:line="201"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believes it is the world’s largest designer and manufacturer of specialty premium projection and sound system components for large-format theaters around the world, and it is also a significant distributor of large-format films. The Company’s theater systems include specialized IMAX projectors, advanced sound systems and specialty screens.</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principal products and services are as follows:</w:t>
      </w:r>
    </w:p>
    <w:p>
      <w:pPr>
        <w:spacing w:after="0" w:line="224" w:lineRule="exact"/>
        <w:rPr>
          <w:sz w:val="20"/>
          <w:szCs w:val="20"/>
          <w:color w:val="auto"/>
        </w:rPr>
      </w:pPr>
    </w:p>
    <w:p>
      <w:pPr>
        <w:ind w:left="900" w:hanging="448"/>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DMR – The digital remastering of films and other content into IMAX formats for distribution to the IMAX network.</w:t>
      </w:r>
    </w:p>
    <w:p>
      <w:pPr>
        <w:spacing w:after="0" w:line="224"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Theater Systems – The sale or lease of premium IMAX Theater Systems to exhibitor customers.</w:t>
      </w:r>
    </w:p>
    <w:p>
      <w:pPr>
        <w:spacing w:after="0" w:line="237"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Maintenance – The provision of proactive and emergency maintenance services to the IMAX network.</w:t>
      </w:r>
    </w:p>
    <w:p>
      <w:pPr>
        <w:spacing w:after="0" w:line="223" w:lineRule="exact"/>
        <w:rPr>
          <w:rFonts w:ascii="Times New Roman" w:cs="Times New Roman" w:eastAsia="Times New Roman" w:hAnsi="Times New Roman"/>
          <w:sz w:val="18"/>
          <w:szCs w:val="18"/>
          <w:color w:val="auto"/>
        </w:rPr>
      </w:pPr>
    </w:p>
    <w:p>
      <w:pPr>
        <w:ind w:left="900" w:hanging="448"/>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 Business Initiatives – Activities principally related to the </w:t>
      </w:r>
      <w:r>
        <w:rPr>
          <w:rFonts w:ascii="Times New Roman" w:cs="Times New Roman" w:eastAsia="Times New Roman" w:hAnsi="Times New Roman"/>
          <w:sz w:val="18"/>
          <w:szCs w:val="18"/>
          <w:color w:val="212529"/>
        </w:rPr>
        <w:t>exploration of new lines of business and new initiatives outside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Company’s core business </w:t>
      </w:r>
      <w:r>
        <w:rPr>
          <w:rFonts w:ascii="Times New Roman" w:cs="Times New Roman" w:eastAsia="Times New Roman" w:hAnsi="Times New Roman"/>
          <w:sz w:val="18"/>
          <w:szCs w:val="18"/>
          <w:color w:val="000000"/>
        </w:rPr>
        <w:t>that are in the development and/or start-up phases.</w:t>
      </w:r>
    </w:p>
    <w:p>
      <w:pPr>
        <w:spacing w:after="0" w:line="161" w:lineRule="exact"/>
        <w:rPr>
          <w:rFonts w:ascii="Times New Roman" w:cs="Times New Roman" w:eastAsia="Times New Roman" w:hAnsi="Times New Roman"/>
          <w:sz w:val="18"/>
          <w:szCs w:val="18"/>
          <w:color w:val="auto"/>
        </w:rPr>
      </w:pPr>
    </w:p>
    <w:p>
      <w:pPr>
        <w:ind w:left="900" w:hanging="448"/>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The distribution of large-format documentary films, primarily to institutional theaters, the provision of film post-production services, and after-market sales of IMAX projection system parts and 3D glasses.</w:t>
      </w:r>
    </w:p>
    <w:p>
      <w:pPr>
        <w:spacing w:after="0" w:line="121" w:lineRule="exact"/>
        <w:rPr>
          <w:sz w:val="20"/>
          <w:szCs w:val="20"/>
          <w:color w:val="auto"/>
        </w:rPr>
      </w:pPr>
    </w:p>
    <w:p>
      <w:pPr>
        <w:jc w:val="both"/>
        <w:ind w:right="20" w:firstLine="224"/>
        <w:spacing w:after="0" w:line="265" w:lineRule="auto"/>
        <w:rPr>
          <w:sz w:val="20"/>
          <w:szCs w:val="20"/>
          <w:color w:val="auto"/>
        </w:rPr>
      </w:pPr>
      <w:r>
        <w:rPr>
          <w:rFonts w:ascii="Times New Roman" w:cs="Times New Roman" w:eastAsia="Times New Roman" w:hAnsi="Times New Roman"/>
          <w:sz w:val="18"/>
          <w:szCs w:val="18"/>
          <w:color w:val="auto"/>
        </w:rPr>
        <w:t>These product lines do not fully reflect the nature and sources of revenue, or the manner in which management reviews financial information. The Company’s segment information is provided in Part II, Item 7, “Management’s Discussion and Analysis of Financial Condition and Results of Operations” and Note 21 of Notes to the Consolidated Financial Statements in Part II, Item 8.</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DMR</w:t>
      </w:r>
    </w:p>
    <w:p>
      <w:pPr>
        <w:spacing w:after="0" w:line="18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developed IMAX DMR, a proprietary technology that digitally remasters Hollywood films into IMAX formats. IMAX DMR digitally enhances the image resolution of motion picture films for projection on IMAX screens while maintaining or enhancing the visual clarity and sound quality to levels for which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is known. In addition, the original soundtrack of a film to be exhibited in IMAX theaters is remastered for IMAX digital sound systems in connection with the IMAX DMR release of the film. Unlike the soundtracks played in conventional theaters, IMAX remastered soundtracks are uncompressed and full fidelity. IMAX sound systems use proprietary loudspeaker systems and proprietary surround sound configurations that ensure every theater seat is in an optimal listening position.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 w:name="page9"/>
    <w:bookmarkEnd w:id="8"/>
    <w:p>
      <w:pPr>
        <w:ind w:left="240"/>
        <w:spacing w:after="0"/>
        <w:rPr>
          <w:sz w:val="20"/>
          <w:szCs w:val="20"/>
          <w:color w:val="auto"/>
        </w:rPr>
      </w:pPr>
      <w:r>
        <w:rPr>
          <w:rFonts w:ascii="Times New Roman" w:cs="Times New Roman" w:eastAsia="Times New Roman" w:hAnsi="Times New Roman"/>
          <w:sz w:val="18"/>
          <w:szCs w:val="18"/>
          <w:color w:val="auto"/>
        </w:rPr>
        <w:t>The IMAX DMR process involves:</w:t>
      </w:r>
    </w:p>
    <w:p>
      <w:pPr>
        <w:spacing w:after="0" w:line="224" w:lineRule="exact"/>
        <w:rPr>
          <w:sz w:val="20"/>
          <w:szCs w:val="20"/>
          <w:color w:val="auto"/>
        </w:rPr>
      </w:pPr>
    </w:p>
    <w:p>
      <w:pPr>
        <w:ind w:left="900" w:hanging="44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instances, scanning, at the highest possible resolution, each individual frame of the movie and converting it into a digital image;</w:t>
      </w:r>
    </w:p>
    <w:p>
      <w:pPr>
        <w:spacing w:after="0" w:line="22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the image using proprietary image enhancement tools;</w:t>
      </w:r>
    </w:p>
    <w:p>
      <w:pPr>
        <w:spacing w:after="0" w:line="224" w:lineRule="exact"/>
        <w:rPr>
          <w:rFonts w:ascii="Times New Roman" w:cs="Times New Roman" w:eastAsia="Times New Roman" w:hAnsi="Times New Roman"/>
          <w:sz w:val="18"/>
          <w:szCs w:val="18"/>
          <w:color w:val="auto"/>
        </w:rPr>
      </w:pPr>
    </w:p>
    <w:p>
      <w:pPr>
        <w:ind w:left="900" w:right="20" w:hanging="448"/>
        <w:spacing w:after="0" w:line="281"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digital image using techniques such as sharpening, color correction, grain and noise removal and the elimination of unsteadiness and removal of unwanted artifacts;</w:t>
      </w:r>
    </w:p>
    <w:p>
      <w:pPr>
        <w:spacing w:after="0" w:line="16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recording the enhanced digital image into an IMAX digital cinema package (“DCP”) format or onto IMAX 15/70-format film; and</w:t>
      </w:r>
    </w:p>
    <w:p>
      <w:pPr>
        <w:spacing w:after="0" w:line="224"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specially remastering the soundtrack to take full advantage of the unique sound system of IMAX Theater Systems.</w:t>
      </w:r>
    </w:p>
    <w:p>
      <w:pPr>
        <w:spacing w:after="0" w:line="197"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 xml:space="preserve">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taking advantage of the unique dimensions of the IMAX screen by projecting the film in a larger aspect ratio that delivers up to 26% more image onto a movie screen. </w:t>
      </w:r>
      <w:r>
        <w:rPr>
          <w:rFonts w:ascii="Times New Roman" w:cs="Times New Roman" w:eastAsia="Times New Roman" w:hAnsi="Times New Roman"/>
          <w:sz w:val="18"/>
          <w:szCs w:val="18"/>
          <w:i w:val="1"/>
          <w:iCs w:val="1"/>
          <w:color w:val="auto"/>
        </w:rPr>
        <w:t>Avengers: Endgame</w:t>
      </w:r>
      <w:r>
        <w:rPr>
          <w:rFonts w:ascii="Times New Roman" w:cs="Times New Roman" w:eastAsia="Times New Roman" w:hAnsi="Times New Roman"/>
          <w:sz w:val="18"/>
          <w:szCs w:val="18"/>
          <w:color w:val="auto"/>
        </w:rPr>
        <w:t xml:space="preserve">, the highest-grossing film in history, released in April 2019, was shot entirely using IMAX cameras. In 2020, Universal Pictures’ </w:t>
      </w:r>
      <w:r>
        <w:rPr>
          <w:rFonts w:ascii="Times New Roman" w:cs="Times New Roman" w:eastAsia="Times New Roman" w:hAnsi="Times New Roman"/>
          <w:sz w:val="18"/>
          <w:szCs w:val="18"/>
          <w:i w:val="1"/>
          <w:iCs w:val="1"/>
          <w:color w:val="auto"/>
        </w:rPr>
        <w:t>1917</w:t>
      </w:r>
      <w:r>
        <w:rPr>
          <w:rFonts w:ascii="Times New Roman" w:cs="Times New Roman" w:eastAsia="Times New Roman" w:hAnsi="Times New Roman"/>
          <w:sz w:val="18"/>
          <w:szCs w:val="18"/>
          <w:color w:val="auto"/>
        </w:rPr>
        <w:t xml:space="preserve"> was released with select scenes specifically formatted for IMAX screens, Warner Bros. Pictures’ </w:t>
      </w:r>
      <w:r>
        <w:rPr>
          <w:rFonts w:ascii="Times New Roman" w:cs="Times New Roman" w:eastAsia="Times New Roman" w:hAnsi="Times New Roman"/>
          <w:sz w:val="18"/>
          <w:szCs w:val="18"/>
          <w:i w:val="1"/>
          <w:iCs w:val="1"/>
          <w:color w:val="auto"/>
        </w:rPr>
        <w:t>Tenet</w:t>
      </w:r>
      <w:r>
        <w:rPr>
          <w:rFonts w:ascii="Times New Roman" w:cs="Times New Roman" w:eastAsia="Times New Roman" w:hAnsi="Times New Roman"/>
          <w:sz w:val="18"/>
          <w:szCs w:val="18"/>
          <w:color w:val="auto"/>
        </w:rPr>
        <w:t xml:space="preserve"> was filmed with IMAX cameras, and Warner Bros. Pictures’ </w:t>
      </w:r>
      <w:r>
        <w:rPr>
          <w:rFonts w:ascii="Times New Roman" w:cs="Times New Roman" w:eastAsia="Times New Roman" w:hAnsi="Times New Roman"/>
          <w:sz w:val="18"/>
          <w:szCs w:val="18"/>
          <w:i w:val="1"/>
          <w:iCs w:val="1"/>
          <w:color w:val="auto"/>
        </w:rPr>
        <w:t>Wonder Woman 1984</w:t>
      </w:r>
      <w:r>
        <w:rPr>
          <w:rFonts w:ascii="Times New Roman" w:cs="Times New Roman" w:eastAsia="Times New Roman" w:hAnsi="Times New Roman"/>
          <w:sz w:val="18"/>
          <w:szCs w:val="18"/>
          <w:color w:val="auto"/>
        </w:rPr>
        <w:t xml:space="preserve">, released globally in December 2020, was partially shot with IMAX cameras. In addition, Bona Film’s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Rescue</w:t>
      </w:r>
      <w:r>
        <w:rPr>
          <w:rFonts w:ascii="Times New Roman" w:cs="Times New Roman" w:eastAsia="Times New Roman" w:hAnsi="Times New Roman"/>
          <w:sz w:val="18"/>
          <w:szCs w:val="18"/>
          <w:color w:val="auto"/>
        </w:rPr>
        <w:t>, which was released in China in December 2020, has an expanded aspect ratio that is exclusive to IMAX.</w:t>
      </w:r>
    </w:p>
    <w:p>
      <w:pPr>
        <w:spacing w:after="0" w:line="147"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 remains in active negotiations with all major Hollywood studios for additional films to fill out its short and long-term film slate for the IMAX network. However, as a result of the theater closures associated with the COVID-19 global pandemic, Hollywood movie studios have postponed the theatrical release of most films originally scheduled for release in 2020 and early 2021, including many scheduled to be shown in IMAX theaters, while several other films have been released directly or concurrently to streaming platforms. Accordingly, as of the filing of this report, there remains uncertainty around the release dates of certain major films.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Theater Systems</w:t>
      </w:r>
    </w:p>
    <w:p>
      <w:pPr>
        <w:spacing w:after="0" w:line="201"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Company’s primary products are its IMAX Theater Systems, which are either sold or leased to exhibitor customers along with a license for the use of the globally recognized IMAX brand. The Company’s digital projection systems include a projector that offers superior image quality and stability and a digital theater control system; a digital audio system delivering up to 12,000 watts of sound; a screen with a proprietary coating technology, and, if applicable, 3D glasses cleaning equipment. IMAX’s digital projection system also operates without the need for analog film prints. As part of the arrangement to sell or lease its IMAX Theater Systems, the Company provides extensive advice on theater planning and design, and supervision of installation services.</w:t>
      </w:r>
    </w:p>
    <w:p>
      <w:pPr>
        <w:spacing w:after="0" w:line="143"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Company’s digital projection systems provides a premium and differentiated experience to moviegoers that is consistent with what they have come to expect from the IMAX brand, while providing exhibitor customers with the compelling economics and flexibility that digital technology affords.</w:t>
      </w:r>
    </w:p>
    <w:p>
      <w:pPr>
        <w:spacing w:after="0" w:line="121"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terms of each sale or lease arrangement vary according to the configuration of the IMAX Theater System, as well as the cinema and film distribution markets relevant to the geographic location of the customer.</w:t>
      </w:r>
    </w:p>
    <w:p>
      <w:pPr>
        <w:spacing w:after="0" w:line="135"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Revenue from sale or lease of IMAX Theater Systems may be recognized at a different time from when cash is collected from the exhibitor customer. (See “Critical Accounting Policies and Estimates” in Part II, Item 7 and Note 20 of Notes to Consolidated Financial Statements in Part II, Item 8 for further discussion on the Company’s revenue recognition policies.)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 w:name="page10"/>
    <w:bookmarkEnd w:id="9"/>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backlog as of December 31, 2020 and 2019:</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211"/>
        </w:trPr>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4"/>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4"/>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0"/>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6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Borders>
              <w:bottom w:val="single" w:sz="8" w:color="auto"/>
            </w:tcBorders>
            <w:gridSpan w:val="4"/>
          </w:tcPr>
          <w:p>
            <w:pPr>
              <w:jc w:val="center"/>
              <w:ind w:left="41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Borders>
              <w:bottom w:val="single" w:sz="8" w:color="auto"/>
            </w:tcBorders>
            <w:gridSpan w:val="4"/>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Borders>
              <w:bottom w:val="single" w:sz="8" w:color="auto"/>
            </w:tcBorders>
            <w:gridSpan w:val="4"/>
          </w:tcPr>
          <w:p>
            <w:pPr>
              <w:jc w:val="center"/>
              <w:ind w:left="41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195"/>
        </w:trPr>
        <w:tc>
          <w:tcPr>
            <w:tcW w:w="142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New</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New</w:t>
            </w: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8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34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New</w:t>
            </w: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82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New</w:t>
            </w:r>
          </w:p>
        </w:tc>
        <w:tc>
          <w:tcPr>
            <w:tcW w:w="3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r>
      <w:tr>
        <w:trPr>
          <w:trHeight w:val="204"/>
        </w:trPr>
        <w:tc>
          <w:tcPr>
            <w:tcW w:w="2220" w:type="dxa"/>
            <w:vAlign w:val="bottom"/>
            <w:gridSpan w:val="2"/>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Sales and sales-type lease</w:t>
            </w: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34"/>
        </w:trPr>
        <w:tc>
          <w:tcPr>
            <w:tcW w:w="2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arrangements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200,296</w:t>
            </w:r>
          </w:p>
        </w:tc>
        <w:tc>
          <w:tcPr>
            <w:tcW w:w="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13,135</w:t>
            </w:r>
          </w:p>
        </w:tc>
        <w:tc>
          <w:tcPr>
            <w:tcW w:w="3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205,574</w:t>
            </w:r>
          </w:p>
        </w:tc>
        <w:tc>
          <w:tcPr>
            <w:tcW w:w="3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12,874</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11"/>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Hybrid joint revenue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sharing arrangements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5,560</w:t>
            </w: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97,736</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1"/>
        </w:trPr>
        <w:tc>
          <w:tcPr>
            <w:tcW w:w="2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Traditional joint revenue</w:t>
            </w: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34"/>
        </w:trPr>
        <w:tc>
          <w:tcPr>
            <w:tcW w:w="2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sharing arrangements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(2)</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5,500</w:t>
            </w:r>
          </w:p>
        </w:tc>
        <w:tc>
          <w:tcPr>
            <w:tcW w:w="3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91"/>
              </w:rPr>
              <w:t>(2)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w:t>
            </w:r>
          </w:p>
        </w:tc>
        <w:tc>
          <w:tcPr>
            <w:tcW w:w="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w:t>
            </w:r>
          </w:p>
        </w:tc>
        <w:tc>
          <w:tcPr>
            <w:tcW w:w="8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400</w:t>
            </w:r>
          </w:p>
        </w:tc>
        <w:tc>
          <w:tcPr>
            <w:tcW w:w="340" w:type="dxa"/>
            <w:vAlign w:val="bottom"/>
            <w:shd w:val="clear" w:color="auto" w:fill="CFF0FC"/>
          </w:tcPr>
          <w:p>
            <w:pPr>
              <w:jc w:val="center"/>
              <w:ind w:right="84"/>
              <w:spacing w:after="0"/>
              <w:rPr>
                <w:sz w:val="20"/>
                <w:szCs w:val="20"/>
                <w:color w:val="auto"/>
              </w:rPr>
            </w:pPr>
            <w:r>
              <w:rPr>
                <w:rFonts w:ascii="Times New Roman" w:cs="Times New Roman" w:eastAsia="Times New Roman" w:hAnsi="Times New Roman"/>
                <w:sz w:val="15"/>
                <w:szCs w:val="15"/>
                <w:color w:val="auto"/>
              </w:rPr>
              <w:t>(2)</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(2)</w:t>
            </w:r>
          </w:p>
        </w:tc>
      </w:tr>
      <w:tr>
        <w:trPr>
          <w:trHeight w:val="222"/>
        </w:trPr>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300,407</w:t>
            </w: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24,195</w:t>
            </w: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303,710</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24,234</w:t>
            </w:r>
          </w:p>
        </w:tc>
        <w:tc>
          <w:tcPr>
            <w:tcW w:w="6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15"/>
        </w:trPr>
        <w:tc>
          <w:tcPr>
            <w:tcW w:w="142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r>
    </w:tbl>
    <w:p>
      <w:pPr>
        <w:spacing w:after="0" w:line="157" w:lineRule="exact"/>
        <w:rPr>
          <w:sz w:val="20"/>
          <w:szCs w:val="20"/>
          <w:color w:val="auto"/>
        </w:rPr>
      </w:pPr>
    </w:p>
    <w:p>
      <w:pPr>
        <w:ind w:left="380" w:hanging="372"/>
        <w:spacing w:after="0" w:line="281"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 IMAX Theater Systems (2019 ― 47) where the customer has the option to convert from a joint revenue sharing arrangement to a sales arrangement.</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contractual upfront payments. Future contingent payments are not reflected as these are based on negotiated shares of box office results.</w:t>
      </w:r>
    </w:p>
    <w:p>
      <w:pPr>
        <w:spacing w:after="0" w:line="184"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number of IMAX Theater Systems in the backlog reflects the minimum number of commitments under signed contracts. The dollar value fluctuates depending on the number of new arrangements signed from year-to-year, which adds to backlog, and the installation and acceptance of IMAX Theater Systems and the settlement of contracts, both of which reduce backlog. Backlog typically represents the fixed contracted revenue under signed IMAX Theater System sale and lease agreements that the Company believes will be recognized as revenue upon installation and acceptance of the associated system, as well as an estimate of variable consideration in sales arrangements, however it excludes amounts allocated to maintenance and extended warranty revenues. The value of backlog does not include revenue from theaters in which the Company has an equity interest, operating leases and long-term conditional theater commitments. Theaters under joint revenue sharing arrangements do not usually have dollar value backlog, although certain IMAX Theater Systems under joint revenue sharing arrangements provide for contracted upfront payments and therefore carry a backlog value based on those payments. The Company believes that the contractual obligations for IMAX Theater System installations that are listed in backlog are valid and binding commitments.</w:t>
      </w:r>
    </w:p>
    <w:p>
      <w:pPr>
        <w:spacing w:after="0" w:line="162"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From time to time, in the normal course of its business, the Company will have customers who are unable to proceed with an IMAX Theater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 w:name="page11"/>
    <w:bookmarkEnd w:id="10"/>
    <w:p>
      <w:pPr>
        <w:ind w:left="240"/>
        <w:spacing w:after="0"/>
        <w:rPr>
          <w:sz w:val="20"/>
          <w:szCs w:val="20"/>
          <w:color w:val="auto"/>
        </w:rPr>
      </w:pPr>
      <w:r>
        <w:rPr>
          <w:rFonts w:ascii="Times New Roman" w:cs="Times New Roman" w:eastAsia="Times New Roman" w:hAnsi="Times New Roman"/>
          <w:sz w:val="18"/>
          <w:szCs w:val="18"/>
          <w:color w:val="auto"/>
        </w:rPr>
        <w:t>The following table presents the number of IMAX Theater Systems that are open and in backlog, by configuration, as of December 31,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9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4620" w:type="dxa"/>
            <w:vAlign w:val="bottom"/>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Theater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Theater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6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Network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New</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Network</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New</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Upgrade</w:t>
            </w:r>
          </w:p>
        </w:tc>
      </w:tr>
      <w:tr>
        <w:trPr>
          <w:trHeight w:val="173"/>
        </w:trPr>
        <w:tc>
          <w:tcPr>
            <w:tcW w:w="46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Backlog</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Backlog</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Backlog</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Backlog</w:t>
            </w:r>
          </w:p>
        </w:tc>
      </w:tr>
      <w:tr>
        <w:trPr>
          <w:trHeight w:val="222"/>
        </w:trPr>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Flat Screen (2D)</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Dome Screen (2D)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IMAX 3D Dome (3D)</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IMAX 3D GT (3D)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IMAX 3D SR (3D)</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IMAX Digital: Xenon (3D)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16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16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IMAX Digital: GT Laser (3D)</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160" w:type="dxa"/>
            <w:vAlign w:val="bottom"/>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160" w:type="dxa"/>
            <w:vAlign w:val="bottom"/>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IMAX Digital: IMAX with Laser (3D)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16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16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r>
      <w:tr>
        <w:trPr>
          <w:trHeight w:val="222"/>
        </w:trPr>
        <w:tc>
          <w:tcPr>
            <w:tcW w:w="46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IMAX Flat Screen and IMAX Dome Theater Systems</w:t>
      </w:r>
    </w:p>
    <w:p>
      <w:pPr>
        <w:spacing w:after="0" w:line="186"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IMAX flat screen and IMAX dome systems have been installed primarily in institutions such as museums and science centers. Flat screen IMAX theaters were introduced in 1970, while IMAX dome theaters, which are designed for tilted dome screens, were introduced in 1973. There have been several significant proprietary and patented enhancements to these systems since their introduction. As of December 31, 2020, there were 33 IMAX flat screen and IMAX dome theater systems in the IMAX network, as compared to 40 IMAX flat screen and IMAX dome theater systems as of December 31, 2019. With the introduction of digital IMAX Theater Systems, there has been a decrease in the number of IMAX flat screen and IMAX dome theaters in the network. With the introduction of laser-based digital systems, the Company has been able to create a new Laser Dome solution for its institutional customers. As of December 31, 2020, the Company had installed six IMAX with Laser Domes, which are included in the table above.</w:t>
      </w:r>
    </w:p>
    <w:p>
      <w:pPr>
        <w:spacing w:after="0" w:line="1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IMAX 3D GT and IMAX 3D SR Theater Systems</w:t>
      </w:r>
    </w:p>
    <w:p>
      <w:pPr>
        <w:spacing w:after="0" w:line="199"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IMAX 3D theaters utilize a flat screen 3D system, which produces realistic 3D images on an IMAX screen. As of December 31, 2020, there were 14 IMAX 3D GT and IMAX 3D SR Theater Systems in operation compared to 17 IMAX 3D GT and IMAX 3D SR Theater Systems in operation as of December 31, 2019. The decrease in the number of 3D GT and 3D SR Theater Systems is largely attributable to theater closures during the year.</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IMAX Digital: Xenon Theater Systems</w:t>
      </w:r>
    </w:p>
    <w:p>
      <w:pPr>
        <w:spacing w:after="0" w:line="186"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believes that its xenon-based digital projection system delivers high quality imagery compared with other xenon systems. As of December 31, 2020, the Company had 1,377 xenon-based digital theater systems in the network and had an additional 273 xenon-based digital theater systems in its backlog.</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IMAX Digital: Laser Theater Systems</w:t>
      </w:r>
    </w:p>
    <w:p>
      <w:pPr>
        <w:spacing w:after="0" w:line="186"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At the end of 2014, the Company introduced its laser-based digital projection system. As a result of continued research and development aimed at creating a solution that is more affordable for its commercial multiplex partners, the Company rolled out IMAX with Laser in 2018, the Company’s laser projection system designed for IMAX theaters in commercial multiplexes. The Company believes IMAX laser-based digital projectors present greater brightness and clarity, higher contrast, a wider color gamut and deeper blacks, consume less power and last longer than other digital projection technologies, and are capable of illuminating the largest screens in the IMAX network. As of December 31, 2020, the Company had 66 GT laser-based digital systems as compared to 63 as of December 31, 2019 in the IMAX network. As of December 31, 2020, the Company had 160 IMAX with Laser systems as compared to 130 as of December 31, 2019 in the IMAX network.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Maintenance</w:t>
      </w:r>
    </w:p>
    <w:p>
      <w:pPr>
        <w:spacing w:after="0" w:line="201"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For all IMAX theaters, theater owners or operators are also responsible for paying the Company an annual maintenance and extended warranty fee. Under these arrangements, the Company provides proactive and emergency maintenance services to every theater in its network to ensure that each presentation is up to the highest IMAX quality standard. Annual maintenance fees are paid throughout the duration of the term of the theater agreements. (See “Maintenance and Extended Warranty Services” below.)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New Business Initiatives</w:t>
      </w:r>
    </w:p>
    <w:p>
      <w:pPr>
        <w:spacing w:after="0" w:line="201"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 xml:space="preserve">The New Business Initiatives segment includes activities related to the </w:t>
      </w:r>
      <w:r>
        <w:rPr>
          <w:rFonts w:ascii="Times New Roman" w:cs="Times New Roman" w:eastAsia="Times New Roman" w:hAnsi="Times New Roman"/>
          <w:sz w:val="18"/>
          <w:szCs w:val="18"/>
          <w:color w:val="212529"/>
        </w:rPr>
        <w:t>exploration of new lines of business and new initiatives outside of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core business, which seek to leverage its proprietary, innovative technologies, its leadership position in the entertainment technology space and its unique relationship with content creators. Such new business initiatives currently include IMAX Enhanced and Connected Theaters, as discussed below.</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IMAX Enhanced</w:t>
      </w:r>
    </w:p>
    <w:p>
      <w:pPr>
        <w:spacing w:after="0" w:line="186"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 has developed a new home entertainment licensing and certification program called IMAX Enhanced. This initiative was launched along with audio leader DTS (an Xperi subsidiary), capitalizing on the companies’ decades of combined expertise in image and sound science. IMAX Enhanced brings IMAX digitally re-mastered 4K high dynamic range (HDR) content and DTS audio technologies to premier streaming platforms and best-in-class consumer electronics devices worldwide, offering consumers high-fidelity sight and sound experiences for the home.</w:t>
      </w:r>
    </w:p>
    <w:p>
      <w:pPr>
        <w:spacing w:after="0" w:line="154"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To be certified, leading consumer electronics manufacturers spanning 4K/8K televisions, projectors, A/V receivers, loudspeakers, subwoofers and soundbars must meet a carefully prescribed set of audio and video performance standards, set by a certification committee of IMAX and DTS engineers and some of Hollywood’s leading technical specialists.</w:t>
      </w:r>
    </w:p>
    <w:p>
      <w:pPr>
        <w:spacing w:after="0" w:line="136" w:lineRule="exact"/>
        <w:rPr>
          <w:sz w:val="20"/>
          <w:szCs w:val="20"/>
          <w:color w:val="auto"/>
        </w:rPr>
      </w:pPr>
    </w:p>
    <w:p>
      <w:pPr>
        <w:jc w:val="both"/>
        <w:ind w:right="20" w:firstLine="224"/>
        <w:spacing w:after="0" w:line="260" w:lineRule="auto"/>
        <w:rPr>
          <w:sz w:val="20"/>
          <w:szCs w:val="20"/>
          <w:color w:val="auto"/>
        </w:rPr>
      </w:pPr>
      <w:r>
        <w:rPr>
          <w:rFonts w:ascii="Times New Roman" w:cs="Times New Roman" w:eastAsia="Times New Roman" w:hAnsi="Times New Roman"/>
          <w:sz w:val="18"/>
          <w:szCs w:val="18"/>
          <w:color w:val="auto"/>
        </w:rPr>
        <w:t>IMAX Enhanced global device partners include Sony Electronics, Hisense, TCL, Phillips, Sound United among others. By March 2021, IMAX Enhanced will have over six million certified devices in-market. IMAX Enhanced content is now available on six streaming platforms worldwide, with partners that include Sony Pictures Entertainment, Paramount Pictures, Huayi Brothers, Bona Film Group, Tencent Video, iQIYI and FandangoNOW, with more on the way.</w:t>
      </w:r>
    </w:p>
    <w:p>
      <w:pPr>
        <w:spacing w:after="0" w:line="1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Connected Theaters</w:t>
      </w:r>
    </w:p>
    <w:p>
      <w:pPr>
        <w:spacing w:after="0" w:line="226"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 is currently exploring new technologies and forms of content as a way to deepen consumer engagement and brand loyalty, including new technologies to further connect the IMAX network and to facilitate bringing more unique content, including live events, to IMAX theater audiences. The Company believes such additional connectivity can provide more innovative content to the IMAX network and in turn permit the Company to engage audiences in new ways.</w:t>
      </w:r>
    </w:p>
    <w:p>
      <w:pPr>
        <w:spacing w:after="0" w:line="154"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Company continues to believe that the IMAX network serves as a valuable platform to launch and distribute original content, especially during periods between peak and off-peak seasons, known as "shoulder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88"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 xml:space="preserve">Through the Film Distribution segment, the Company licenses film content and distributes large-format documentary films, primarily for its institutional theater partners. The Company receives as its distribution fee either a fixed amount or a fixed percentage of the theater box office receipts and following the Company’s recoupment of its costs the Company typically is entitled to receive an additional percentage of gross revenues as participation revenues. The Company released the IMAX original production, </w:t>
      </w:r>
      <w:r>
        <w:rPr>
          <w:rFonts w:ascii="Times New Roman" w:cs="Times New Roman" w:eastAsia="Times New Roman" w:hAnsi="Times New Roman"/>
          <w:sz w:val="18"/>
          <w:szCs w:val="18"/>
          <w:i w:val="1"/>
          <w:iCs w:val="1"/>
          <w:color w:val="auto"/>
        </w:rPr>
        <w:t>Asteroid Hunters</w:t>
      </w:r>
      <w:r>
        <w:rPr>
          <w:rFonts w:ascii="Times New Roman" w:cs="Times New Roman" w:eastAsia="Times New Roman" w:hAnsi="Times New Roman"/>
          <w:sz w:val="18"/>
          <w:szCs w:val="18"/>
          <w:color w:val="auto"/>
        </w:rPr>
        <w:t>, in October 2020.</w:t>
      </w:r>
    </w:p>
    <w:p>
      <w:pPr>
        <w:spacing w:after="0" w:line="154"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ownership rights to such films may be held by the film sponsors, the film investors and/or the Company. As of December 31, 2020, the Company has distribution rights with respect to 52 such films, which cover subjects such as space, wildlife, music, sports, history and natural wonders.</w:t>
      </w:r>
    </w:p>
    <w:p>
      <w:pPr>
        <w:spacing w:after="0" w:line="121"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Through the Film Post-Production segment, the Company provides film post-production and quality control services for large-format films (whether produced by IMAX or third parties), and digital post-production services.</w:t>
      </w:r>
    </w:p>
    <w:p>
      <w:pPr>
        <w:spacing w:after="0" w:line="121"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 derives a small portion of its revenues from other sources including: one owned and operated IMAX theater in Sacramento, California; a commercial arrangement with one theater resulting in the sharing of profits and losses; the provision of management services to three other theaters; renting its proprietary 2D and 3D large-format film and digital cameras to third-party production companies; and also offering production advice and technical assistance to both documentary and Hollywood filmmakers.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MARKETING AND CUSTOMERS</w:t>
      </w:r>
    </w:p>
    <w:p>
      <w:pPr>
        <w:spacing w:after="0" w:line="201"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markets IMAX Theater Systems through a direct sales force and marketing staff located in offices in Canada, the United States, Greater China, Europe and Asia. In addition, the Company has agreements with consultants, business brokers and real estate professionals to locate potential customers and theater sites for the Company on a commission basis.</w:t>
      </w:r>
    </w:p>
    <w:p>
      <w:pPr>
        <w:spacing w:after="0" w:line="136"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Commercial multiplex theaters are the largest part of the IMAX network, comprising 1,562 IMAX theaters, or 94.7%, of the 1,650 IMAX theaters in the IMAX network as of December 31, 2020. The Company’s institutional customers include science and natural history museums, zoos, aquaria and other educational and cultural centers. The Company also sells or leases IMAX Theater Systems to commercial destinations such as theme parks, private home theaters, tourist destination sites, fairs and expositions. As of December 31, 2020, approximately 72.8% of all open IMAX theaters were in locations outside of the United States and Canada.</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IMAX network by type and geographic location as of December 31,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jc w:val="right"/>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4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jc w:val="right"/>
              <w:ind w:right="34"/>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960" w:type="dxa"/>
            <w:vAlign w:val="bottom"/>
            <w:gridSpan w:val="2"/>
          </w:tcPr>
          <w:p>
            <w:pPr>
              <w:jc w:val="right"/>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8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8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9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040" w:type="dxa"/>
            <w:vAlign w:val="bottom"/>
            <w:gridSpan w:val="3"/>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6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r>
              <w:rPr>
                <w:rFonts w:ascii="Times New Roman" w:cs="Times New Roman" w:eastAsia="Times New Roman" w:hAnsi="Times New Roman"/>
                <w:sz w:val="15"/>
                <w:szCs w:val="15"/>
                <w:color w:val="auto"/>
              </w:rPr>
              <w:t>(1)</w:t>
            </w:r>
          </w:p>
        </w:tc>
        <w:tc>
          <w:tcPr>
            <w:tcW w:w="16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702</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Western Europe</w:t>
            </w:r>
          </w:p>
        </w:tc>
        <w:tc>
          <w:tcPr>
            <w:tcW w:w="16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115</w:t>
            </w:r>
          </w:p>
        </w:tc>
        <w:tc>
          <w:tcPr>
            <w:tcW w:w="9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9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6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123</w:t>
            </w:r>
          </w:p>
        </w:tc>
        <w:tc>
          <w:tcPr>
            <w:tcW w:w="96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119</w:t>
            </w:r>
          </w:p>
        </w:tc>
        <w:tc>
          <w:tcPr>
            <w:tcW w:w="9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Russia &amp; the CIS</w:t>
            </w:r>
          </w:p>
        </w:tc>
        <w:tc>
          <w:tcPr>
            <w:tcW w:w="16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Latin America</w:t>
            </w:r>
            <w:r>
              <w:rPr>
                <w:rFonts w:ascii="Times New Roman" w:cs="Times New Roman" w:eastAsia="Times New Roman" w:hAnsi="Times New Roman"/>
                <w:sz w:val="15"/>
                <w:szCs w:val="15"/>
                <w:color w:val="auto"/>
              </w:rPr>
              <w:t>(2)</w:t>
            </w:r>
          </w:p>
        </w:tc>
        <w:tc>
          <w:tcPr>
            <w:tcW w:w="16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51</w:t>
            </w:r>
          </w:p>
        </w:tc>
        <w:tc>
          <w:tcPr>
            <w:tcW w:w="96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16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w:t>
            </w:r>
          </w:p>
        </w:tc>
        <w:tc>
          <w:tcPr>
            <w:tcW w:w="9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2"/>
        </w:trPr>
        <w:tc>
          <w:tcPr>
            <w:tcW w:w="30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15"/>
                <w:szCs w:val="15"/>
                <w:color w:val="auto"/>
              </w:rPr>
              <w:t>(3)</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1,562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8978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97890" cy="8255"/>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China includes China, Hong Kong, Taiwan and Macau.</w:t>
      </w:r>
    </w:p>
    <w:p>
      <w:pPr>
        <w:spacing w:after="0" w:line="19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includes South America, Central America and Mexico.</w:t>
      </w:r>
    </w:p>
    <w:p>
      <w:pPr>
        <w:spacing w:after="0" w:line="18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changes in the tables above are reported net of the effect of permanently closed theaters.</w:t>
      </w:r>
    </w:p>
    <w:p>
      <w:pPr>
        <w:spacing w:after="0" w:line="184"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(For information on revenue breakdown by geographic area, see Note 21 of Notes to Consolidated Financial Statements in Part II, Item 8. See “Risk Factors – The Company conducts business internationally, which exposes it to uncertainties and risks that could negatively affect its operations, sales and future growth prospects” and “Risk Factors – The Company faces risks in connection with its significant presence in China and the continued expansion of its business there” in Item 1A. The Company’s largest customer, Wanda, as of December 31, 2020, represents 35.1% (2019 ― 33.9%) of the Company’s network of theaters, 19.0% (2019 ― 25.6%) of the Company’s theater system backlog and 16.4% (2019 ― 16.5%) of its revenues.)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 xml:space="preserve">The out-of-home entertainment industry is very competitive, and the Company faces a number of competitive challenges. In recent years, for instance, exhibitors and entertainment technology companies have introduced their own branded, large-screen 3D auditoriums or other proprietary theater systems, some of which include laser-based projectors, and in many cases, have marketed those auditoriums or theater systems as having similar quality or attributes to an IMAX Theater System. The Company believes that all of these alternative formats deliver images and experiences that are inferior to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3" w:name="page14"/>
    <w:bookmarkEnd w:id="13"/>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Company may continue to face competition in the future from companies in the entertainment industry with new technologies and/or substantially greater capital resources to develop and support them. The Company also faces in-home competition from a number of alternative motion picture distribution channels such as subscription streaming services, transactional video-on-demand (both rentals and sales), advertiser-supported video-on-demand, pay-per-view, Blu-ray Disc, and broadcast and cable television. During the COVID-19 pandemic, with theaters closed in many global markets, certain movie studios have released several high-profile films directly or concurrently to streaming platforms rather than exclusively to theaters within the traditional theatrical release window. While there can be no assurances whether or when this practice will end once the effects of the COVID-19 pandemic recede, several Hollywood studios have recently reiterated their commitment to maintaining exclusive theatrical release windows. The Company further competes for the public’s leisure time and disposable income with other forms of entertainment, including gaming, sporting events, concerts, live theater, social media and restaurants.</w:t>
      </w:r>
    </w:p>
    <w:p>
      <w:pPr>
        <w:spacing w:after="0" w:line="164"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believes that its competitive strengths include the value of the IMAX brand name, the premium IMAX consumer experience, the design, quality and historic reliability rate of IMAX Theater Systems, the return on investment of an IMAX Theater System for exhibitors, the number and quality of IMAX films that it distributes, the relationships the Company maintains with prominent Hollywood and international filmmakers (a number of whom desire to film their movies with IMAX cameras) the quality of the sound system components included with an IMAX Theater System, the availability of Hollywood and international event films to IMAX theaters through IMAX DMR technology, consumer loyalty and the level of the Company’s service and maintenance and extended warranty efforts. The Company believes that its laser-based projection system increases further the technological superiority of the consumer experience it delivers. As a result, the Company believes that virtually all of the best performing premium theaters in the world are IMAX theaters.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Exhibitor Consolidation</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Company’s primary customers are commercial multiplex exhibitors. The commercial exhibition industry has undergone significant consolidation, with Wanda’s acquisitions of AMC Entertainment Holdings Inc. (“AMC”) and Hoyts Group in 2012 and 2015, respectively, and AMC’s acquisition of Carmike Cinemas and Odeon &amp; UCI Cinemas Group (“Odeon”), which includes Nordic Cinema Group (“Nordic”), in 2016. In recent years, the industry has continued to consolidate, as evidenced by Cineworld Group’s acquisition of Regal Entertainment Group (“Regal”), the Company’s second largest customer.</w:t>
      </w:r>
    </w:p>
    <w:p>
      <w:pPr>
        <w:spacing w:after="0" w:line="15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 believes that recent exhibitor consolidation has helped facilitate the growth of the IMAX network. The Company has historically enjoyed strong relationships with large commercial exhibitor chains, which have greater capital to purchase, lease or otherwise acquire IMAX Theater Systems. As larger commercial chains such as AMC have purchased smaller chains, those smaller chains have in turn become part of the IMAX network. For instance, following AMC’s acquisition of Odeon and Nordic, the Company and AMC entered into an agreement for 25 new IMAX Theater Systems across the Odeon and Nordic network. The Company believes that continued consolidation could facilitate further signings and other strategic benefits going forward.</w:t>
      </w:r>
    </w:p>
    <w:p>
      <w:pPr>
        <w:spacing w:after="0" w:line="144"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However, exhibitor consolidation has also resulted in individual exhibitor chains constituting a material portion of the Company’s revenue and network. Continued industry consolidation, as well as consolidation in the movie studio industry, may present risks to the Company. (See “Risk Factors – Consolidation among commercial exhibitors and studios reduces the breadth of the Company’s customer base, and could result in a narrower market for the Company’s products and reduced negotiating leverage. A deterioration in the Company’s relationship with key partners could materially, adversely affect the Company’s business, financial condition or results of operation. In addition, an adverse economic impact on a significant customer’s business operations could have a corresponding material adverse effect on the Company.” in Part I, Item 1A.)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IMAX BRAND</w:t>
      </w:r>
    </w:p>
    <w:p>
      <w:pPr>
        <w:spacing w:after="0" w:line="201"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 xml:space="preserve">IMAX is a world leader in entertainment technology. The Company relies on its brand to communicate its leadership and singular goal of creating entertainment experiences that exceed all expectations. Top filmmakers and studios use the IMAX brand to message that a film will connect with audiences in unique and extraordinary ways. In 2020, IMAX launched the “Filmed in IMAX” program, a new partnership with the world's leading camera manufacturers to meet filmmaker demand for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Through the program, IMAX will certify high-end, best-in-class digital cameras with leading brands including ARRI, Panavision, RED Digital Cinema and Sony to work in the IMAX format when paired with its proprietary post-production process.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4" w:name="page15"/>
    <w:bookmarkEnd w:id="14"/>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 xml:space="preserve">The IMAX brand is a promise to deliver what today’s movie audiences crave — a memorable, more emotionally engaging, more thrilling and shareable experience. Consumer research conducted in six countries worldwide by a leading third-party research firm shows that the IMAX brand has near universal awareness, creates a special experience and is one of the most differentiated movie-going brands. On a standardized measure of brand equity, the IMAX brand ranged from two to 10 times more powerful than other entertainment technology brands. The Company believes that its strong brand equity supports consumers’ predisposition to choose IMAX over competing brands and to pay a premium for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now and into the future.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88"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believes that it is one of the world’s leading entertainment technology companies with significant proprietary expertise in digital and film-based projection and sound system component design, engineering and imaging technology, particularly in laser-based technology. The Company rolled out its flagship laser-based projection system at the end of 2014, which is capable of illuminating the largest screens in the Company’s network. This laser-based projection system provides greater brightness and clarity, higher contrast, a wider color gamut and deeper blacks, while consuming less power and lasting longer than existing digital technology, to ensure that the Company continues to provide the highest quality, premier movie going experience available to consumers. In 2018, the Company rolled-out IMAX with Laser, the Company’s next generation laser-based projection system, which is targeted primarily for screens in commercial multiplexes. With most of the laser development completed, the related research and development spending has declined in recent years.</w:t>
      </w:r>
    </w:p>
    <w:p>
      <w:pPr>
        <w:spacing w:after="0" w:line="147"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 plans to continue research and development activity in the future in other areas considered important to its continued commercial success, including further improving the reliability of and costs associated with its projectors; enhancing its image quality; expanding the applicability of its digital technology in both theater and home entertainment; developing IMAX Theater Systems’ capabilities, including through its Connected Theaters initiative; and improving its proprietary DMR process. The Company expects its research and development efforts to center around innovation projects and DMR enhancements in 2021.</w:t>
      </w:r>
    </w:p>
    <w:p>
      <w:pPr>
        <w:spacing w:after="0" w:line="158"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As of December 31, 2020, 45 of the Company’s employees were connected with research and development projects, compared to 52 employees as of December 31, 2019.</w:t>
      </w:r>
    </w:p>
    <w:p>
      <w:pPr>
        <w:spacing w:after="0" w:line="117" w:lineRule="exact"/>
        <w:rPr>
          <w:sz w:val="20"/>
          <w:szCs w:val="20"/>
          <w:color w:val="auto"/>
        </w:rPr>
      </w:pPr>
    </w:p>
    <w:p>
      <w:pPr>
        <w:jc w:val="right"/>
        <w:ind w:right="8320"/>
        <w:spacing w:after="0"/>
        <w:rPr>
          <w:sz w:val="20"/>
          <w:szCs w:val="20"/>
          <w:color w:val="auto"/>
        </w:rPr>
      </w:pPr>
      <w:r>
        <w:rPr>
          <w:rFonts w:ascii="Times New Roman" w:cs="Times New Roman" w:eastAsia="Times New Roman" w:hAnsi="Times New Roman"/>
          <w:sz w:val="17"/>
          <w:szCs w:val="17"/>
          <w:b w:val="1"/>
          <w:bCs w:val="1"/>
          <w:color w:val="auto"/>
        </w:rPr>
        <w:t>MANUFACTURING AND SERVICE</w:t>
      </w:r>
    </w:p>
    <w:p>
      <w:pPr>
        <w:spacing w:after="0" w:line="195" w:lineRule="exact"/>
        <w:rPr>
          <w:sz w:val="20"/>
          <w:szCs w:val="20"/>
          <w:color w:val="auto"/>
        </w:rPr>
      </w:pPr>
    </w:p>
    <w:p>
      <w:pPr>
        <w:jc w:val="right"/>
        <w:ind w:right="8320"/>
        <w:spacing w:after="0"/>
        <w:rPr>
          <w:sz w:val="20"/>
          <w:szCs w:val="20"/>
          <w:color w:val="auto"/>
        </w:rPr>
      </w:pPr>
      <w:r>
        <w:rPr>
          <w:rFonts w:ascii="Times New Roman" w:cs="Times New Roman" w:eastAsia="Times New Roman" w:hAnsi="Times New Roman"/>
          <w:sz w:val="18"/>
          <w:szCs w:val="18"/>
          <w:b w:val="1"/>
          <w:bCs w:val="1"/>
          <w:i w:val="1"/>
          <w:iCs w:val="1"/>
          <w:color w:val="auto"/>
        </w:rPr>
        <w:t>Projector Component Manufacturing</w:t>
      </w:r>
    </w:p>
    <w:p>
      <w:pPr>
        <w:spacing w:after="0" w:line="201"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Company assembles the projector of IMAX Theater Systems at its facility in Mississauga, Ontario, Canada (near Toronto). The Company develops and designs all of the key elements of the proprietary technology involved in this component. Fabrication of a majority of parts and sub-assemblies is subcontracted to a group of carefully pre-qualified third-party suppliers. Manufacture and supply contracts are signed for the delivery of the component on an order-by-order basis. The Company believes its significant suppliers will continue to supply quality products in quantities sufficient to satisfy its needs. The Company inspects all parts and sub-assemblies, completes the final assembly and then subjects the projector to comprehensive testing individually and as a system prior to shipment. Historically, these projectors, including both the Company’s xenon and laser-based projection systems, have had reliability rates based on scheduled shows of approximately 99%.</w:t>
      </w:r>
    </w:p>
    <w:p>
      <w:pPr>
        <w:spacing w:after="0" w:line="1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Sound System Component Manufacturing</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 develops, designs and assembles the key elements of its theater sound system component. The standard IMAX theater sound system component comprises parts from a variety of sources, with approximately 50% of the materials of each sound system attributable to proprietary parts provided under original equipment manufacturers agreements with outside vendors. These proprietary parts include custom loudspeaker enclosures and horns, specialized amplifiers, and signal processing and control equipment. The Company inspects all parts and sub-assemblies, completes the final assembly and then subjects the sound system to comprehensive testing as a system.</w:t>
      </w:r>
    </w:p>
    <w:p>
      <w:pPr>
        <w:spacing w:after="0" w:line="1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Screen and Other Components</w:t>
      </w:r>
    </w:p>
    <w:p>
      <w:pPr>
        <w:spacing w:after="0" w:line="18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purchases its screen component and glasses cleaning equipment from third parties. The standard screen system component is comprised of a projection screen manufactured to IMAX specifications and a frame to hang the projection screen. The proprietary glasses cleaning machine is a stand-alone unit that is connected to the theater’s water and electrical supply to automate the cleaning of 3D glasses.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5" w:name="page16"/>
    <w:bookmarkEnd w:id="15"/>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Maintenance and Extended Warranty Services</w:t>
      </w:r>
    </w:p>
    <w:p>
      <w:pPr>
        <w:spacing w:after="0" w:line="201"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also provides ongoing maintenance and extended warranty services to IMAX Theater Systems. These arrangements are usually for a separate fee, although the Company often includes free service in the initial year of an arrangement. The maintenance and extended warranty arrangements include service, maintenance and replacement parts for IMAX Theater Systems.</w:t>
      </w:r>
    </w:p>
    <w:p>
      <w:pPr>
        <w:spacing w:after="0" w:line="136"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To support the IMAX network, the Company has personnel stationed in major markets throughout the world who provide periodic and emergency maintenance and extended warranty services on existing IMAX Theater Systems. The Company provides various levels of maintenance and warranty services, which are priced accordingly. Under full-service programs, Company personnel typically visit each theater every six months to provide preventative maintenance, cleaning and inspection services and emergency visits to resolve problems and issues with the theater system. Under some arrangements, customers can elect to participate in a service partnership program whereby the Company trains a customer’s technician to carry out certain aspects of maintenance. Under such shared maintenance arrangements, the Company participates in certain of the customer’s maintenance checks each year, provides a specified number of emergency visits and provides spare parts, as necessary. For both xenon and laser-based digital systems, the Company provides pre-emptive maintenance, remote system monitoring and a network operations center that provides continuous access to product experts.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201"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Company’s inventions cover various aspects of its proprietary technology and many of these inventions are protected by Letters of Patent or applications filed throughout the world, most significantly in the United States, Canada, China, Belgium, Japan, France, Germany and the United Kingdom. The subject matter covered by these patents, applications and other licenses encompasses theater design and geometry, electronic circuitry and mechanisms employed in projectors and projection equipment (including 3D projection equipment), a method for synchronizing digital data, a method of generating stereoscopic (3D) imaging data from a monoscope (2D) source, a process for digitally re-mastering 35mm films into large-format, a method for increasing the dynamic range and contrast of projectors, a method for visibly seaming or superimposing images from multiple projectors and other inventions relating to digital projectors and laser projection technology. The Company has the exclusive license rights from The Eastman Kodak Company (“Kodak”) to a portfolio of more than 50 patent families covering laser projection technology as well as certain exclusive rights to a broad range of Kodak patents in the field of digital cinema. The Company has been and will continue to be diligent in the protection of its proprietary interests.</w:t>
      </w:r>
    </w:p>
    <w:p>
      <w:pPr>
        <w:spacing w:after="0" w:line="151"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As of December 31, 2020, the Company holds 110 patents, has 15 patents pending in the United States and has corresponding patents or filed applications in many countries throughout the world. While the Company considers its patents to be important to the overall conduct of its business, it does not consider any particular patent essential to its operations. Certain of the Company’s patents for improvements to the IMAX projection system components expire between 2021 and 2038.</w:t>
      </w:r>
    </w:p>
    <w:p>
      <w:pPr>
        <w:spacing w:after="0" w:line="140"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 owns or otherwise has rights to trademarks and trade names used in conjunction with the sale of its products, systems and services. The following trademarks are considered significant in terms of the current and contemplated operations of the Company: IMAX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IMAX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Dome, IMAX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3D, IMAX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3D Dome, Experience It In IMAX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An</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3D Experience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IMAX DMR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DMR®, IMAX nXos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Films To The Fullest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These trademarks are widely protected by registration or common law throughout the world.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8"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 is a globally diverse brand with the mission to connect the world through extraordinary experiences that inspire us to reimagine what’s possible, together. The Company has the power to inspire, ignite and involve its teams, customers and partners across the 1,650 IMAX Theater Systems in its network to transcend the ordinary. However, the Company understands that these experiences are only made possible through its employees’ diverse range of unique abilities and perspectives and its ability to attract, retain and engage a talented, inclusive and respected workforce.</w:t>
      </w:r>
    </w:p>
    <w:p>
      <w:pPr>
        <w:spacing w:after="0" w:line="1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2020, the Company had 622 full-time employees, of whom 142 employees were based outside of North America.</w:t>
      </w:r>
    </w:p>
    <w:p>
      <w:pPr>
        <w:spacing w:after="0" w:line="1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Total Rewards</w:t>
      </w:r>
    </w:p>
    <w:p>
      <w:pPr>
        <w:spacing w:after="0" w:line="188" w:lineRule="exact"/>
        <w:rPr>
          <w:sz w:val="20"/>
          <w:szCs w:val="20"/>
          <w:color w:val="auto"/>
        </w:rPr>
      </w:pPr>
    </w:p>
    <w:p>
      <w:pPr>
        <w:jc w:val="both"/>
        <w:ind w:right="20" w:firstLine="224"/>
        <w:spacing w:after="0" w:line="265" w:lineRule="auto"/>
        <w:rPr>
          <w:sz w:val="20"/>
          <w:szCs w:val="20"/>
          <w:color w:val="auto"/>
        </w:rPr>
      </w:pPr>
      <w:r>
        <w:rPr>
          <w:rFonts w:ascii="Times New Roman" w:cs="Times New Roman" w:eastAsia="Times New Roman" w:hAnsi="Times New Roman"/>
          <w:sz w:val="18"/>
          <w:szCs w:val="18"/>
          <w:color w:val="auto"/>
        </w:rPr>
        <w:t>The Company continues to have a total rewards mindset that encompasses all that is provided to its employees in the form of financial and nonfinancial compensation, benefits, well-being, and growth opportunities. The goal of these total rewards programs is to provide employees with market competitive offerings, opportunities and experiences that evolve over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6" w:name="page17"/>
    <w:bookmarkEnd w:id="16"/>
    <w:p>
      <w:pPr>
        <w:ind w:firstLine="224"/>
        <w:spacing w:after="0" w:line="281" w:lineRule="auto"/>
        <w:rPr>
          <w:sz w:val="20"/>
          <w:szCs w:val="20"/>
          <w:color w:val="auto"/>
        </w:rPr>
      </w:pPr>
      <w:r>
        <w:rPr>
          <w:rFonts w:ascii="Times New Roman" w:cs="Times New Roman" w:eastAsia="Times New Roman" w:hAnsi="Times New Roman"/>
          <w:sz w:val="18"/>
          <w:szCs w:val="18"/>
          <w:color w:val="auto"/>
        </w:rPr>
        <w:t>As the Company continues to evolve as an organization, it continues to modernize its total rewards programs to deliver and drive a better employee experience and adequately reflect a diverse, multigenerational and talented workforce.</w:t>
      </w:r>
    </w:p>
    <w:p>
      <w:pPr>
        <w:spacing w:after="0" w:line="135" w:lineRule="exact"/>
        <w:rPr>
          <w:sz w:val="20"/>
          <w:szCs w:val="20"/>
          <w:color w:val="auto"/>
        </w:rPr>
      </w:pPr>
    </w:p>
    <w:p>
      <w:pPr>
        <w:ind w:firstLine="224"/>
        <w:spacing w:after="0" w:line="281" w:lineRule="auto"/>
        <w:rPr>
          <w:sz w:val="20"/>
          <w:szCs w:val="20"/>
          <w:color w:val="auto"/>
        </w:rPr>
      </w:pPr>
      <w:r>
        <w:rPr>
          <w:rFonts w:ascii="Times New Roman" w:cs="Times New Roman" w:eastAsia="Times New Roman" w:hAnsi="Times New Roman"/>
          <w:sz w:val="18"/>
          <w:szCs w:val="18"/>
          <w:color w:val="auto"/>
        </w:rPr>
        <w:t>The structure of the Company’s total rewards programs balances base compensation, incentive compensation for both short-term and long-term performance and a focus on total well-being. In addition:</w:t>
      </w:r>
    </w:p>
    <w:p>
      <w:pPr>
        <w:spacing w:after="0" w:line="121" w:lineRule="exact"/>
        <w:rPr>
          <w:sz w:val="20"/>
          <w:szCs w:val="20"/>
          <w:color w:val="auto"/>
        </w:rPr>
      </w:pPr>
    </w:p>
    <w:p>
      <w:pPr>
        <w:jc w:val="both"/>
        <w:ind w:left="900" w:hanging="448"/>
        <w:spacing w:after="0" w:line="257"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comprehensive benefit program is a valuable piece of the Company’s total rewards package. All active, full-time employees are eligible for the benefit program, which includes medical, dental and vision coverage for employees and their families; provides income protection should employees become disabled and/or unable to work; and offers life and accidental death and dismemberment insurance. The Company provides parental leaves to all new parents for birth, adoption, or foster placement. The Company also maintains additional benefit programs to support the financial, mental, and physical well-being of its employees.</w:t>
      </w:r>
    </w:p>
    <w:p>
      <w:pPr>
        <w:spacing w:after="0" w:line="144" w:lineRule="exact"/>
        <w:rPr>
          <w:rFonts w:ascii="Times New Roman" w:cs="Times New Roman" w:eastAsia="Times New Roman" w:hAnsi="Times New Roman"/>
          <w:sz w:val="18"/>
          <w:szCs w:val="18"/>
          <w:color w:val="auto"/>
        </w:rPr>
      </w:pPr>
    </w:p>
    <w:p>
      <w:pPr>
        <w:jc w:val="both"/>
        <w:ind w:left="900" w:hanging="448"/>
        <w:spacing w:after="0" w:line="26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employee salaries and wages are competitive and consistent with employee positions, skill levels, experience, knowledge and geographic location. Job function relative to salaries and wages are evaluated and benchmarked annually. By providing long-term equity-based incentive compensation, the Company aligns the interests of its employees with its shareholders.</w:t>
      </w:r>
    </w:p>
    <w:p>
      <w:pPr>
        <w:spacing w:after="0" w:line="135" w:lineRule="exact"/>
        <w:rPr>
          <w:rFonts w:ascii="Times New Roman" w:cs="Times New Roman" w:eastAsia="Times New Roman" w:hAnsi="Times New Roman"/>
          <w:sz w:val="18"/>
          <w:szCs w:val="18"/>
          <w:color w:val="auto"/>
        </w:rPr>
      </w:pPr>
    </w:p>
    <w:p>
      <w:pPr>
        <w:jc w:val="both"/>
        <w:ind w:left="900" w:hanging="448"/>
        <w:spacing w:after="0" w:line="26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partners with multiple external industry experts around compensation and benefits to support and independently evaluate its total rewards programs. The Company receives advice from such experts relating to global benefits offerings and employee compensation to ensure alignment with its peers within the industry.</w:t>
      </w:r>
    </w:p>
    <w:p>
      <w:pPr>
        <w:spacing w:after="0" w:line="1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188"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Company’s culture is defined by its core values of Inspire, Ignite, and Involve and the Company is committed to Diversity and Inclusion (“D&amp;I”), which the Company views as the intersection of differences sparking exploration, creativity, innovation and collaboration. The Company’s focus with respect to D&amp;I is to attract, retain, and engage a talented, inclusive and respected workforce. The Company has assembled a D&amp;I council of employees across levels, tenure and demographic background to assist the Company in executing the four key pillars of its global D&amp;I strategy:</w:t>
      </w:r>
    </w:p>
    <w:p>
      <w:pPr>
        <w:spacing w:after="0" w:line="154" w:lineRule="exact"/>
        <w:rPr>
          <w:sz w:val="20"/>
          <w:szCs w:val="20"/>
          <w:color w:val="auto"/>
        </w:rPr>
      </w:pPr>
    </w:p>
    <w:p>
      <w:pPr>
        <w:ind w:left="900" w:hanging="448"/>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awareness and educate those around the Company on issues that are important to its people and its audiences.</w:t>
      </w:r>
    </w:p>
    <w:p>
      <w:pPr>
        <w:spacing w:after="0" w:line="183" w:lineRule="exact"/>
        <w:rPr>
          <w:rFonts w:ascii="Times New Roman" w:cs="Times New Roman" w:eastAsia="Times New Roman" w:hAnsi="Times New Roman"/>
          <w:sz w:val="18"/>
          <w:szCs w:val="18"/>
          <w:color w:val="auto"/>
        </w:rPr>
      </w:pPr>
    </w:p>
    <w:p>
      <w:pPr>
        <w:ind w:left="900" w:hanging="448"/>
        <w:spacing w:after="0" w:line="281"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 the Company’s people and leadership to be champions of diversity, equity and inclusion by rewarding positive behaviors and encouraging frequent feedback and input.</w:t>
      </w:r>
    </w:p>
    <w:p>
      <w:pPr>
        <w:spacing w:after="0" w:line="12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and connect using inclusive and concise messages.</w:t>
      </w:r>
    </w:p>
    <w:p>
      <w:pPr>
        <w:spacing w:after="0" w:line="183" w:lineRule="exact"/>
        <w:rPr>
          <w:rFonts w:ascii="Times New Roman" w:cs="Times New Roman" w:eastAsia="Times New Roman" w:hAnsi="Times New Roman"/>
          <w:sz w:val="18"/>
          <w:szCs w:val="18"/>
          <w:color w:val="auto"/>
        </w:rPr>
      </w:pPr>
    </w:p>
    <w:p>
      <w:pPr>
        <w:ind w:left="900" w:right="20" w:hanging="448"/>
        <w:spacing w:after="0" w:line="281"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equal opportunity and diversity of people is non-negotiable in how the Company attracts, selects, supports, develops and rewards its people, and in whom IMAX chooses to partner with.</w:t>
      </w:r>
    </w:p>
    <w:p>
      <w:pPr>
        <w:spacing w:after="0" w:line="1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Employee Health and Safety</w:t>
      </w:r>
    </w:p>
    <w:p>
      <w:pPr>
        <w:spacing w:after="0" w:line="18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Recognizing the various employee heath and safety risks associated with the delivery of the world’s most immersive movie-going experience, the Company has implemented a global program for workplace safety that ensures it has the necessary controls in place to strive to keep its employees and visitors safe.</w:t>
      </w:r>
    </w:p>
    <w:p>
      <w:pPr>
        <w:spacing w:after="0" w:line="136"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Employee heath and safety at the Company is a shared responsibility that requires continuous effort. Risks to the health and safety of the Company’s employees are present in day-to-day office work, building renovation, manufacturing, logistics, training, testing, research and development, and during the designing, installation and service of the Company’s theaters around the world. Every employee at each IMAX location, workplace, business unit and department is responsible for participating in workplace safety planning activities and managers are responsible for employee health and safety program implementation for their business function. This effort is supported by a cross-functional Heath and Safety team dedicated to employee health and safety and business continuity.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7" w:name="page18"/>
    <w:bookmarkEnd w:id="17"/>
    <w:p>
      <w:pPr>
        <w:ind w:left="240"/>
        <w:spacing w:after="0"/>
        <w:rPr>
          <w:sz w:val="20"/>
          <w:szCs w:val="20"/>
          <w:color w:val="auto"/>
        </w:rPr>
      </w:pPr>
      <w:r>
        <w:rPr>
          <w:rFonts w:ascii="Times New Roman" w:cs="Times New Roman" w:eastAsia="Times New Roman" w:hAnsi="Times New Roman"/>
          <w:sz w:val="18"/>
          <w:szCs w:val="18"/>
          <w:color w:val="auto"/>
        </w:rPr>
        <w:t>This relentless focus and commitment to the health and safety of the Company’s employees was never more evident than in the Company’s approach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Specifically, the Company:</w:t>
      </w:r>
    </w:p>
    <w:p>
      <w:pPr>
        <w:spacing w:after="0" w:line="179" w:lineRule="exact"/>
        <w:rPr>
          <w:sz w:val="20"/>
          <w:szCs w:val="20"/>
          <w:color w:val="auto"/>
        </w:rPr>
      </w:pPr>
    </w:p>
    <w:p>
      <w:pPr>
        <w:ind w:left="900" w:hanging="448"/>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Instituted a cross-functional Pandemic Response team to support decision making and implementation of COVID-19 response programs.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a quick pivot to a virtual workplace and scheduling flexibility to meet competing personal demands.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 illness reporting process to encourage those who were ill to stay home and focus on their health.</w:t>
      </w:r>
    </w:p>
    <w:p>
      <w:pPr>
        <w:spacing w:after="0" w:line="183" w:lineRule="exact"/>
        <w:rPr>
          <w:rFonts w:ascii="Times New Roman" w:cs="Times New Roman" w:eastAsia="Times New Roman" w:hAnsi="Times New Roman"/>
          <w:sz w:val="18"/>
          <w:szCs w:val="18"/>
          <w:color w:val="auto"/>
        </w:rPr>
      </w:pPr>
    </w:p>
    <w:p>
      <w:pPr>
        <w:ind w:left="900" w:hanging="448"/>
        <w:spacing w:after="0" w:line="281"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communication with the introduction of a dedicated resource page on its intranet for information related to the understanding of COVID-19, local resources, and access to mental well-being support.</w:t>
      </w:r>
    </w:p>
    <w:p>
      <w:pPr>
        <w:spacing w:after="0" w:line="12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work locations that remained open, the Company:</w:t>
      </w:r>
    </w:p>
    <w:p>
      <w:pPr>
        <w:spacing w:after="0" w:line="103" w:lineRule="exact"/>
        <w:rPr>
          <w:sz w:val="20"/>
          <w:szCs w:val="20"/>
          <w:color w:val="auto"/>
        </w:rPr>
      </w:pPr>
    </w:p>
    <w:p>
      <w:pPr>
        <w:ind w:left="1720" w:hanging="365"/>
        <w:spacing w:after="0"/>
        <w:tabs>
          <w:tab w:leader="none" w:pos="1720" w:val="left"/>
        </w:tabs>
        <w:numPr>
          <w:ilvl w:val="0"/>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Required training before entering its office locations;</w:t>
      </w:r>
    </w:p>
    <w:p>
      <w:pPr>
        <w:spacing w:after="0" w:line="208" w:lineRule="exact"/>
        <w:rPr>
          <w:rFonts w:ascii="Courier New" w:cs="Courier New" w:eastAsia="Courier New" w:hAnsi="Courier New"/>
          <w:sz w:val="18"/>
          <w:szCs w:val="18"/>
          <w:color w:val="auto"/>
        </w:rPr>
      </w:pPr>
    </w:p>
    <w:p>
      <w:pPr>
        <w:ind w:left="1720" w:hanging="365"/>
        <w:spacing w:after="0"/>
        <w:tabs>
          <w:tab w:leader="none" w:pos="1720" w:val="left"/>
        </w:tabs>
        <w:numPr>
          <w:ilvl w:val="0"/>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Increased cleaning protocol;</w:t>
      </w:r>
    </w:p>
    <w:p>
      <w:pPr>
        <w:spacing w:after="0" w:line="208" w:lineRule="exact"/>
        <w:rPr>
          <w:rFonts w:ascii="Courier New" w:cs="Courier New" w:eastAsia="Courier New" w:hAnsi="Courier New"/>
          <w:sz w:val="18"/>
          <w:szCs w:val="18"/>
          <w:color w:val="auto"/>
        </w:rPr>
      </w:pPr>
    </w:p>
    <w:p>
      <w:pPr>
        <w:ind w:left="1720" w:hanging="365"/>
        <w:spacing w:after="0"/>
        <w:tabs>
          <w:tab w:leader="none" w:pos="1720" w:val="left"/>
        </w:tabs>
        <w:numPr>
          <w:ilvl w:val="0"/>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Upgraded air filtration and ventilation systems;</w:t>
      </w:r>
    </w:p>
    <w:p>
      <w:pPr>
        <w:spacing w:after="0" w:line="208" w:lineRule="exact"/>
        <w:rPr>
          <w:rFonts w:ascii="Courier New" w:cs="Courier New" w:eastAsia="Courier New" w:hAnsi="Courier New"/>
          <w:sz w:val="18"/>
          <w:szCs w:val="18"/>
          <w:color w:val="auto"/>
        </w:rPr>
      </w:pPr>
    </w:p>
    <w:p>
      <w:pPr>
        <w:ind w:left="1720" w:hanging="365"/>
        <w:spacing w:after="0"/>
        <w:tabs>
          <w:tab w:leader="none" w:pos="1720" w:val="left"/>
        </w:tabs>
        <w:numPr>
          <w:ilvl w:val="0"/>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Provided access to personal protective equipment;</w:t>
      </w:r>
    </w:p>
    <w:p>
      <w:pPr>
        <w:spacing w:after="0" w:line="208" w:lineRule="exact"/>
        <w:rPr>
          <w:rFonts w:ascii="Courier New" w:cs="Courier New" w:eastAsia="Courier New" w:hAnsi="Courier New"/>
          <w:sz w:val="18"/>
          <w:szCs w:val="18"/>
          <w:color w:val="auto"/>
        </w:rPr>
      </w:pPr>
    </w:p>
    <w:p>
      <w:pPr>
        <w:ind w:left="1720" w:hanging="365"/>
        <w:spacing w:after="0"/>
        <w:tabs>
          <w:tab w:leader="none" w:pos="1720" w:val="left"/>
        </w:tabs>
        <w:numPr>
          <w:ilvl w:val="0"/>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Mandated daily health screenings;</w:t>
      </w:r>
    </w:p>
    <w:p>
      <w:pPr>
        <w:spacing w:after="0" w:line="208" w:lineRule="exact"/>
        <w:rPr>
          <w:rFonts w:ascii="Courier New" w:cs="Courier New" w:eastAsia="Courier New" w:hAnsi="Courier New"/>
          <w:sz w:val="18"/>
          <w:szCs w:val="18"/>
          <w:color w:val="auto"/>
        </w:rPr>
      </w:pPr>
    </w:p>
    <w:p>
      <w:pPr>
        <w:ind w:left="1720" w:hanging="365"/>
        <w:spacing w:after="0"/>
        <w:tabs>
          <w:tab w:leader="none" w:pos="1720" w:val="left"/>
        </w:tabs>
        <w:numPr>
          <w:ilvl w:val="0"/>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Mandated masks for those entering the facility;</w:t>
      </w:r>
    </w:p>
    <w:p>
      <w:pPr>
        <w:spacing w:after="0" w:line="208" w:lineRule="exact"/>
        <w:rPr>
          <w:rFonts w:ascii="Courier New" w:cs="Courier New" w:eastAsia="Courier New" w:hAnsi="Courier New"/>
          <w:sz w:val="18"/>
          <w:szCs w:val="18"/>
          <w:color w:val="auto"/>
        </w:rPr>
      </w:pPr>
    </w:p>
    <w:p>
      <w:pPr>
        <w:ind w:left="1720" w:hanging="365"/>
        <w:spacing w:after="0"/>
        <w:tabs>
          <w:tab w:leader="none" w:pos="1720" w:val="left"/>
        </w:tabs>
        <w:numPr>
          <w:ilvl w:val="0"/>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Required social distancing and implemented flow of traffic requirements in the building; and</w:t>
      </w:r>
    </w:p>
    <w:p>
      <w:pPr>
        <w:spacing w:after="0" w:line="208" w:lineRule="exact"/>
        <w:rPr>
          <w:rFonts w:ascii="Courier New" w:cs="Courier New" w:eastAsia="Courier New" w:hAnsi="Courier New"/>
          <w:sz w:val="18"/>
          <w:szCs w:val="18"/>
          <w:color w:val="auto"/>
        </w:rPr>
      </w:pPr>
    </w:p>
    <w:p>
      <w:pPr>
        <w:ind w:left="1720" w:hanging="365"/>
        <w:spacing w:after="0"/>
        <w:tabs>
          <w:tab w:leader="none" w:pos="1720" w:val="left"/>
        </w:tabs>
        <w:numPr>
          <w:ilvl w:val="0"/>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Modified workspaces to allow for social distancing and plexiglass protections where necessary.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 makes available, free of charge, its Annual Reports on Form 10-K, Quarterly Reports on Form 10-Q and Current Reports on Form 8-K, and any amendments to such reports, as soon as reasonably practicable after such filings have been made with the United States Securities and Exchange Commission (the “SEC”). Reports may be obtained free of charge through the SEC’s website at www.sec.gov and through the Company’s website at www.imax.com or by calling the Company’s Investor Relations Department at 212-821-0100. No information included on the Company's website shall be deemed included or otherwise incorporated into this Form 10-K, except where expressly indicated.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01"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Before you make an investment decision with respect to the Company’s common stock, you should carefully consider all of the information included in this Form 10-K and the Company’s subsequent periodic filings with the SEC. In particular, you should carefully consider the risk factors described below and the risks and uncertainties related to "Forward Looking Statements," any of which could have a material adverse effect on the Company’s business, results of operations, financial condition and the actual outcome of matters as to which forward looking statements are made in this annual report. The following risk factors, which are not ranked in any particular order, should be read in conjunction with the balance of this annual report, including the Consolidated Financial Statements and related notes. The risks described below are not the only ones the Company faces. Additional risks that the Company deems immaterial or that are currently unknown to the Company may also impair its business or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 AND OPERATIONS</w:t>
      </w:r>
    </w:p>
    <w:p>
      <w:pPr>
        <w:spacing w:after="0" w:line="184" w:lineRule="exact"/>
        <w:rPr>
          <w:sz w:val="20"/>
          <w:szCs w:val="20"/>
          <w:color w:val="auto"/>
        </w:rPr>
      </w:pPr>
    </w:p>
    <w:p>
      <w:pPr>
        <w:jc w:val="both"/>
        <w:ind w:firstLine="255"/>
        <w:spacing w:after="0" w:line="285" w:lineRule="auto"/>
        <w:rPr>
          <w:sz w:val="20"/>
          <w:szCs w:val="20"/>
          <w:color w:val="auto"/>
        </w:rPr>
      </w:pPr>
      <w:r>
        <w:rPr>
          <w:rFonts w:ascii="Times New Roman" w:cs="Times New Roman" w:eastAsia="Times New Roman" w:hAnsi="Times New Roman"/>
          <w:sz w:val="18"/>
          <w:szCs w:val="18"/>
          <w:b w:val="1"/>
          <w:bCs w:val="1"/>
          <w:i w:val="1"/>
          <w:iCs w:val="1"/>
          <w:color w:val="212529"/>
        </w:rPr>
        <w:t>The Company has experienced a significant decrease in its revenues, earnings, and cash flows due to the COVID-19 global pandemic and its business, financial condition and results of operations may continue to be significantly harmed in future reporting periods.</w:t>
      </w:r>
    </w:p>
    <w:p>
      <w:pPr>
        <w:spacing w:after="0" w:line="159" w:lineRule="exact"/>
        <w:rPr>
          <w:sz w:val="20"/>
          <w:szCs w:val="20"/>
          <w:color w:val="auto"/>
        </w:rPr>
      </w:pPr>
    </w:p>
    <w:p>
      <w:pPr>
        <w:jc w:val="both"/>
        <w:ind w:firstLine="255"/>
        <w:spacing w:after="0" w:line="252" w:lineRule="auto"/>
        <w:rPr>
          <w:sz w:val="20"/>
          <w:szCs w:val="20"/>
          <w:color w:val="auto"/>
        </w:rPr>
      </w:pPr>
      <w:r>
        <w:rPr>
          <w:rFonts w:ascii="Times New Roman" w:cs="Times New Roman" w:eastAsia="Times New Roman" w:hAnsi="Times New Roman"/>
          <w:sz w:val="18"/>
          <w:szCs w:val="18"/>
          <w:color w:val="212529"/>
        </w:rPr>
        <w:t xml:space="preserve">In late January 2020, in response to the public health risks associated with COVID-19, the Chinese government directed exhibitors in China to temporarily close more than 70,000 movie theaters, including all of the approximately 700 IMAX theaters in mainland China. On March 11, 2020, due to the worsening public health crisis associated with the novel coronavirus, COVID-19 was characterized as a pandemic by the World Health Organization, and in the following weeks, local, state and national governments instituted stay-at-home orders and restrictions on large public gatherings which caused movie theaters in countries around the world to temporarily close, including substantially all of the IMAX theaters in those countries. As a result of the theater closures, movie studios postponed the theatrical release of most films </w:t>
      </w:r>
      <w:r>
        <w:rPr>
          <w:rFonts w:ascii="Times New Roman" w:cs="Times New Roman" w:eastAsia="Times New Roman" w:hAnsi="Times New Roman"/>
          <w:sz w:val="18"/>
          <w:szCs w:val="18"/>
          <w:color w:val="000000"/>
        </w:rPr>
        <w:t>originally scheduled for release in 2020 and early 2021</w:t>
      </w:r>
      <w:r>
        <w:rPr>
          <w:rFonts w:ascii="Times New Roman" w:cs="Times New Roman" w:eastAsia="Times New Roman" w:hAnsi="Times New Roman"/>
          <w:sz w:val="18"/>
          <w:szCs w:val="18"/>
          <w:color w:val="212529"/>
        </w:rPr>
        <w:t>, including many scheduled to be shown in IMAX theaters</w:t>
      </w:r>
      <w:r>
        <w:rPr>
          <w:rFonts w:ascii="Times New Roman" w:cs="Times New Roman" w:eastAsia="Times New Roman" w:hAnsi="Times New Roman"/>
          <w:sz w:val="18"/>
          <w:szCs w:val="18"/>
          <w:color w:val="000000"/>
        </w:rPr>
        <w:t>, while several other films were released directly or concurrently to streaming platforms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More recently, stay-at-home orders have been lifted in many countries and movie theaters throughout the IMAX network gradually reopened in the third quarter of 2020 with reduced capacities, physical distancing requirements, and other safety measures. As of December 31, 2020, 71% of the theaters in the IMAX commercial multiplex network were open, spanning 41 countries. This included 44% of the theaters in Domestic (i.e., United States and Canada) locations, 97% of the theaters in Greater China and 53% of the theaters in Rest of World markets. However, ticket sales have been significantly lower than normal levels in theaters outside of Asia as Hollywood movie studios have further delayed the theatrical release date for a number of films. As a result, certain theater chains have remained closed or have reduced their operating hours. In addition, theaters in major markets remain temporarily closed.</w:t>
      </w:r>
    </w:p>
    <w:p>
      <w:pPr>
        <w:spacing w:after="0" w:line="192" w:lineRule="exact"/>
        <w:rPr>
          <w:sz w:val="20"/>
          <w:szCs w:val="20"/>
          <w:color w:val="auto"/>
        </w:rPr>
      </w:pPr>
    </w:p>
    <w:p>
      <w:pPr>
        <w:jc w:val="both"/>
        <w:ind w:firstLine="255"/>
        <w:spacing w:after="0" w:line="252" w:lineRule="auto"/>
        <w:rPr>
          <w:sz w:val="20"/>
          <w:szCs w:val="20"/>
          <w:color w:val="auto"/>
        </w:rPr>
      </w:pPr>
      <w:r>
        <w:rPr>
          <w:rFonts w:ascii="Times New Roman" w:cs="Times New Roman" w:eastAsia="Times New Roman" w:hAnsi="Times New Roman"/>
          <w:sz w:val="18"/>
          <w:szCs w:val="18"/>
          <w:color w:val="212529"/>
        </w:rPr>
        <w:t>The repercussions of the COVID-19 global pandemic resulted in a significant decrease in the Company’s revenues, earnings, and operating cash flows in 2020 due to a decline in the box office related revenues from its joint revenue sharing arrangements and digital remastering services, delays in the installation of certain theater systems and the suspension of maintenance services for theaters that were closed. While there continues to be a lack of new films released by movie studios and a significant number of theaters in the IMAX network are closed, the Company is experiencing a significant decline in earnings and operating cash flows as it is generating significantly lower than normal levels of GBO-based revenue from its joint revenue sharing arrangements and digital remastering services, it is unable to provide normal maintenance services to any of the theaters that remain closed, and while some installation activity is continuing, certain theater system installations have, and may continue to be delayed. Moreover, given the uncertainty around when movie-going will return to historical levels, there is no guarantee that the impacts of the COVID-19 global pandemic on the Company will end even after some or all theaters are reopened. In addition, the global economic impact of COVID-19 has resulted in record levels of unemployment in certain countries, which has led to, and may continue to result in, lower consumer spending. The timing and extent of a recovery of consumer behavior and willingness to spend discretionary income on movie-going may delay the Company’s ability to generate significant GBO-based revenue until consumer behavior normalizes and consumer spending recovers.</w:t>
      </w:r>
    </w:p>
    <w:p>
      <w:pPr>
        <w:spacing w:after="0" w:line="166"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In response to uncertainties associated with the COVID-19 global pandemic, the Company has taken and is continuing to take significant steps to preserve cash by eliminating non-essential costs, placing certain employees on a temporary furlough, reducing the working hours of other employees and reducing all non-essential capital expenditures to minimum levels. The Company has also implemented an active cash management process, which, among other things, requires senior management approval of all outgoing payments. In addition, in the first quarter of 2020, the Company drew down $280.0 million in remaining available borrowing capacity under its credit facility, which was then amended in June 2020 to, among other things, suspend the Senior Secured Net Leverage Ratio financial covenant in the underlying credit agreement through the first quarter of 2021 and substitute quarterly EBITDA from the third and fourth quarters of 2019 in lieu of the EBITDA for the corresponding quarters of 2020 to meet the original Senior Secured Net Leverage Ratio financial covenant.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9" w:name="page20"/>
    <w:bookmarkEnd w:id="19"/>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As of December 31, 2020, the Company was in compliance with all of its requirements under the Credit Agreement, as amended. The Company’s continued compliance with the requirements of the Credit Agreement will depend on the Company’s ability to generate sufficient EBITDA to ensure compliance with the Senior Secured Net Leverage Ratio covenant throughout the next twelve months, which is dependent on the timing of when theaters in the IMAX network resume normal operations. The risk of breaching this covenant within the next twelve months increases significantly as the ongoing COVID-19 pandemic continues to adversely impact the Company’s ability to generate EBITDA. A violation of this covenant would represent an event of default under the terms of the Credit Agreement, allowing lenders to declare the principal and interest on all outstanding Credit Facility indebtedness due or payable immediately. If a breach of the Senior Secured Net Leverage Ratio covenant were to occur, however, management believes the Company would be able to either reduce a sufficient portion of the drawn amount on the Credit Facility with existing cash balances to achieve compliance, obtain additional sources of liquidity prior to the time when the repayment of its outstanding Credit Facility indebtedness would be required, or negotiate a further amendment with its lenders to the Credit Agreement to provide further covenant relief.</w:t>
      </w:r>
    </w:p>
    <w:p>
      <w:pPr>
        <w:spacing w:after="0" w:line="162"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Company has applied for wage subsidies, tax credits and other financial support under COVID-19 relief legislation that has been enacted in the countries in which it operates. There can, however, be no guarantees that the steps the Company has taken and continues to take to preserve cash and manage its expenditures will result in the cost savings the Company anticipates. There can also be no guarantees that any wage subsidies, tax credits and other financial support or any other governmental benefits and support for which the Company is eligible will materialize in the amounts expected. The Company cannot predict the manner in which such benefits will be allocated or administered, and the Company cannot guarantee that it will be able to access such benefits in a timely manner or at all. Certain of the benefits the Company seeks to access or may apply for in the future have not previously been administered on the present scale or at all. Any benefits the Company expects to receive, or may apply for in the future, may not be at the same levels as currently estimated, may impose additional conditions and restrictions on the Company’s operations or may otherwise provide less relief than currently contemplated. There can be no guarantees that the Company will receive any additional material financial support through these or other programs that may be created, expanded, or implemented by governments in the countries in which the Company operates.</w:t>
      </w:r>
    </w:p>
    <w:p>
      <w:pPr>
        <w:spacing w:after="0" w:line="188" w:lineRule="exact"/>
        <w:rPr>
          <w:sz w:val="20"/>
          <w:szCs w:val="20"/>
          <w:color w:val="auto"/>
        </w:rPr>
      </w:pPr>
    </w:p>
    <w:p>
      <w:pPr>
        <w:jc w:val="both"/>
        <w:ind w:firstLine="255"/>
        <w:spacing w:after="0" w:line="252" w:lineRule="auto"/>
        <w:rPr>
          <w:sz w:val="20"/>
          <w:szCs w:val="20"/>
          <w:color w:val="auto"/>
        </w:rPr>
      </w:pPr>
      <w:r>
        <w:rPr>
          <w:rFonts w:ascii="Times New Roman" w:cs="Times New Roman" w:eastAsia="Times New Roman" w:hAnsi="Times New Roman"/>
          <w:sz w:val="18"/>
          <w:szCs w:val="18"/>
          <w:color w:val="212529"/>
        </w:rPr>
        <w:t xml:space="preserve">In addition, the Company has experienced and is likely to continue to experience delays in collecting payments due under existing theater sale or lease arrangements from its exhibitor partners who are facing financial difficulties as a result of the theater closures. Certain of the Company’s </w:t>
      </w:r>
      <w:r>
        <w:rPr>
          <w:rFonts w:ascii="Times New Roman" w:cs="Times New Roman" w:eastAsia="Times New Roman" w:hAnsi="Times New Roman"/>
          <w:sz w:val="18"/>
          <w:szCs w:val="18"/>
          <w:color w:val="000000"/>
        </w:rPr>
        <w:t>exhibitor partners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that had reopened theaters have temporarily suspended operations of their theater network in certain jurisdictions and other exhibitor partners have reduced their theaters’ operating hours, which may exacerbate existing financial difficulties. Other exhibitor partners in the future may make similar decisions to close all or part of their global theater networks or to reduce their operating hours if the COVID-19 pandemic continues and Hollywood movie studios continue to delay the release of new films, or for other reasons, which would further increase the risks associated with payments under existing agreements with the Company. </w:t>
      </w:r>
      <w:r>
        <w:rPr>
          <w:rFonts w:ascii="Times New Roman" w:cs="Times New Roman" w:eastAsia="Times New Roman" w:hAnsi="Times New Roman"/>
          <w:sz w:val="18"/>
          <w:szCs w:val="18"/>
          <w:color w:val="212529"/>
        </w:rPr>
        <w:t>The ability of such partners to make payments cannot be guaranteed and is subject to changing economic circumstances. Such theater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closures and other challenges in the theatrical industry may force some of the Company’s exhibitor partners into bankruptcy proceedings. In such cases, local laws governing restructurings would apply, and there can be no guarantees of the Company’s success in obtaining complete or partial payments owed to it by the applicable exhibitor partners. Further, the Company has had to delay movie theater installations from backlog and may be required to further delay or cancel such installations in the future. As a result, the Company’s future revenues and cash flows may be adversely affected.</w:t>
      </w:r>
    </w:p>
    <w:p>
      <w:pPr>
        <w:spacing w:after="0" w:line="195" w:lineRule="exact"/>
        <w:rPr>
          <w:sz w:val="20"/>
          <w:szCs w:val="20"/>
          <w:color w:val="auto"/>
        </w:rPr>
      </w:pPr>
    </w:p>
    <w:p>
      <w:pPr>
        <w:jc w:val="both"/>
        <w:ind w:firstLine="255"/>
        <w:spacing w:after="0" w:line="252" w:lineRule="auto"/>
        <w:rPr>
          <w:sz w:val="20"/>
          <w:szCs w:val="20"/>
          <w:color w:val="auto"/>
        </w:rPr>
      </w:pPr>
      <w:r>
        <w:rPr>
          <w:rFonts w:ascii="Times New Roman" w:cs="Times New Roman" w:eastAsia="Times New Roman" w:hAnsi="Times New Roman"/>
          <w:sz w:val="18"/>
          <w:szCs w:val="18"/>
          <w:color w:val="212529"/>
        </w:rPr>
        <w:t xml:space="preserve">Given the dynamic nature of the circumstances, while the Company has been negatively impacted as of the date of filing of this report, it is difficult to predict the full extent of such adverse impact of the COVID-19 global pandemic on the Company’s financial condition, liquidity, business and results of operations in future reporting periods. The extent and duration of such impact on the Company will depend on future developments, including, but not limited to, the timing of reopening of movie theaters worldwide and their return to historical levels of attendance, the timing of when new films are released, consumer behavior and general economic conditions, the solvency of the Company’s exhibitor partners, their ability to make timely payments and any potential construction or installation delays involving our exhibitor partners. Such events are highly uncertain and cannot be accurately forecast. Moreover, there can be no guarantees that the Company’s liquidity needs will not increase materially over the course of this pandemic. In addition, liquidity needs as well as other changes to the Company’s business and operations may impact the Company’s ability to maintain compliance with certain covenants under the amended Credit Agreement. The Company may also be subject to impairment losses based on long-term estimated projections. </w:t>
      </w:r>
      <w:r>
        <w:rPr>
          <w:rFonts w:ascii="Times New Roman" w:cs="Times New Roman" w:eastAsia="Times New Roman" w:hAnsi="Times New Roman"/>
          <w:sz w:val="18"/>
          <w:szCs w:val="18"/>
          <w:color w:val="000000"/>
        </w:rPr>
        <w:t>These estimates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and the likelihood of future changes in these estimates depend on a number of underlying variables and a range of possible outcomes. Actual results may differ materially from management’s estimates, especially due to the uncertainties associated with the COVID-19 pandemic. </w:t>
      </w:r>
      <w:r>
        <w:rPr>
          <w:rFonts w:ascii="Times New Roman" w:cs="Times New Roman" w:eastAsia="Times New Roman" w:hAnsi="Times New Roman"/>
          <w:sz w:val="18"/>
          <w:szCs w:val="18"/>
          <w:color w:val="212529"/>
        </w:rPr>
        <w:t>If business conditions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deteriorate further, or should they remain depressed for a more prolonged period of time, management’s estimates of operating results and future cash flows for reporting units may be insufficient to support the goodwill assigned to them, thus requiring impairment charges. Estimates related to future expected credit losses and deferred tax assets, as well as the recoverability of joint revenue sharing equipment and the realization of variable consideration assets, could also be materially impacted by changes in estimates in the future.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0" w:name="page21"/>
    <w:bookmarkEnd w:id="20"/>
    <w:p>
      <w:pPr>
        <w:jc w:val="both"/>
        <w:ind w:firstLine="255"/>
        <w:spacing w:after="0" w:line="255" w:lineRule="auto"/>
        <w:rPr>
          <w:sz w:val="20"/>
          <w:szCs w:val="20"/>
          <w:color w:val="auto"/>
        </w:rPr>
      </w:pPr>
      <w:r>
        <w:rPr>
          <w:rFonts w:ascii="Times New Roman" w:cs="Times New Roman" w:eastAsia="Times New Roman" w:hAnsi="Times New Roman"/>
          <w:sz w:val="18"/>
          <w:szCs w:val="18"/>
          <w:color w:val="212529"/>
        </w:rPr>
        <w:t>The COVID-19 pandemic and public health measures implemented to contain it may also have the effect of heightening many of the other risks described in this Form 10-K, including, but not limited to, risks relating to harm to our key personnel, diverting management’s resources and time to addressing the impacts of COVID-19, which may negatively affect the Company’s ability to implement its business plan and pursue certain opportunities, potential impairments, the effectiveness of our internal control of financial reporting, cybersecurity and data privacy risks due to employees working from home, and risks of increased indebtedness due to the full draw down of the Credit Facility, including the Company’s ability to seek waivers of covenants or to refinance such borrowings, among others. The longer the COVID-19 pandemic and associated protective measures persist, the more severe the extent of the adverse impact of the pandemic on the Company is likely to be.</w:t>
      </w:r>
    </w:p>
    <w:p>
      <w:pPr>
        <w:spacing w:after="0" w:line="154" w:lineRule="exact"/>
        <w:rPr>
          <w:sz w:val="20"/>
          <w:szCs w:val="20"/>
          <w:color w:val="auto"/>
        </w:rPr>
      </w:pPr>
    </w:p>
    <w:p>
      <w:pPr>
        <w:jc w:val="both"/>
        <w:ind w:firstLine="22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General political, social and economic conditions can affect the Company’s business by reducing both revenues generated from existing IMAX Theater Systems and the demand for new IMAX Theater Systems.</w:t>
      </w:r>
    </w:p>
    <w:p>
      <w:pPr>
        <w:spacing w:after="0" w:line="11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Company’s success depends in part on general political, social and economic conditions and the willingness of consumers to purchase tickets to IMAX movies. If movie-going becomes less popular globally, the Company’s business could be adversely affected, especially if such a decline occurs in Greater China. In addition, the Company’s operations could be adversely affected if consumers' discretionary income falls as a result of an economic downturn. In recent years, the majority of the Company’s revenue has been directly derived from the box office revenues of its films. Accordingly, a decline in attendance at commercial IMAX theaters could materially and adversely affect several sources of key revenue streams for the Company.</w:t>
      </w:r>
    </w:p>
    <w:p>
      <w:pPr>
        <w:spacing w:after="0" w:line="144"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also depends on the sale and lease of IMAX Theater Systems to commercial movie exhibitors to generate revenue. Commercial movie exhibitors generate revenues from consumer attendance at their theaters, which depends on the willingness of consumers to visit movie theaters and spend discretionary income at movie theaters. In the event of declining box office and concession revenues, commercial exhibitors may be less willing to invest capital in new IMAX theaters. In addition, a significant portion of theaters in the Company’s backlog are expected to be installed in newly built multiplexes. An economic downturn could impact developers’ ability to secure financing and complete the buildout of these locations, thereby negatively impacting the Company’s ability to grow its theater network.</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the IMAX network is directly related to the availability and success of IMAX DMR films, for which there can be no guarantee.</w:t>
      </w:r>
    </w:p>
    <w:p>
      <w:pPr>
        <w:spacing w:after="0" w:line="188"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An important factor affecting the growth and success of the IMAX network is the availability and strategic selection of films for IMAX theaters and the box office performance of such films. The Company itself produces only a small number of such films and, as a result, the Company relies principally on films produced by third-party filmmakers and studios, including both Hollywood and local language features converted into the Company’s large format using IMAX DMR technology. In 2020, 31 IMAX DMR films were released by studios to the worldwide IMAX network. There is no guarantee that filmmakers and studios will continue to release films to the IMAX network, or that the films selected for release to the IMAX network will be commercially successful. The Company is directly impacted by the commercial success and box office results of the films released to the IMAX network through its joint revenue sharing arrangements, as well as through the percentage of the box office receipts the Company receives from the studios releasing IMAX DMR films, and the Company’s continued ability to secure films, find suitable partners for joint revenue share arrangements and to sell IMAX Theater Systems. The commercial success of films released to IMAX theaters depends on a number of factors outside of the Company’s control, including whether the film receives critical acclaim, the timing of its release, the success of the marketing efforts of the studio releasing the film, consumer preferences and trends in cinema attendance. Moreover, films can be subject to delays in production or changes in release schedule, which can negatively impact the number, timing and quality of IMAX DMR and IMAX original films released to the IMAX network.</w:t>
      </w:r>
    </w:p>
    <w:p>
      <w:pPr>
        <w:spacing w:after="0" w:line="153"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In addition, as the Company’s international network has expanded, the Company has signed deals with studios in other countries to convert their films to the Company’s large format and release them to IMAX theaters. The Company may be unable to select films which will be successful in international markets or may be unsuccessful in selecting the right mix of Hollywood and local DMR films for a particular country or region, notably Greater China, the Company’s largest market. Also, conflicts in international release schedules may make it difficult to release every IMAX film in certain markets.</w:t>
      </w:r>
    </w:p>
    <w:p>
      <w:pPr>
        <w:spacing w:after="0" w:line="154"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depends principally on commercial movie exhibitors to purchase or lease IMAX Theater Systems, to supply box office revenue under joint revenue sharing arrangements and under its sales and sales-type lease agreements and to supply venues in which to exhibit IMAX DMR films. The Company can make no assurances that exhibitors will continue to do any of these things.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1" w:name="page22"/>
    <w:bookmarkEnd w:id="21"/>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 is unable to predict the pace at which exhibitors will purchase or lease IMAX Theater Systems or enter into joint revenue sharing arrangements with the Company, or whether any of the Company’s existing exhibitor customers will continue to do any of the foregoing. If exhibitors choose to reduce their levels of expansion, negotiate less favorable economic terms, or decide not to enter into transactions with the Company, the Company’s revenues would not increase at an anticipated rate and motion picture studios may be less willing to convert their films into the Company’s format for exhibition in commercial IMAX theaters. As a result, the Company’s future revenues and cash flows could be adversely affected.</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Company relies on its key personnel, and the loss of one or more of those personnel could harm its ability to carry out its business strategy.</w:t>
      </w:r>
    </w:p>
    <w:p>
      <w:pPr>
        <w:spacing w:after="0" w:line="18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Company’s operations and prospects depend in large part on the performance and continued service of its senior management team. The Company may not find qualified replacements for any of these individuals if their services are no longer available. The loss of the services of one or more members of the Company’s senior management team could adversely affect its ability to effectively pursue its business strategy.</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Company is undertaking new lines of business and these new business initiatives may not be successful.</w:t>
      </w:r>
    </w:p>
    <w:p>
      <w:pPr>
        <w:spacing w:after="0" w:line="201"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Company is undertaking new lines of business. These initiatives represent new areas of growth for the Company and could include the offering of new products and services that may not be accepted by the market. The Company has recently explored initiatives in the fields of original content and in-home entertainment technology, both of which are intensely competitive businesses and which are dependent on consumer demand, over which the Company has no control. The Company is also exploring new technologies to connect the IMAX network to facilitate bringing more unique content, including broadcasts of live events, to IMAX theater audiences. If any new business in which the Company invests or attempts to develop does not progress as planned, the Company may be adversely affected by investment expenses that have not led to the anticipated results, by write-downs of its equity investments, by the distraction of management from its core business or by damage to its brand or reputation.</w:t>
      </w:r>
    </w:p>
    <w:p>
      <w:pPr>
        <w:spacing w:after="0" w:line="144"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In addition, these initiatives may involve the formation of joint ventures and business alliances. While the Company seeks to employ the optimal structure for each such business alliance, the alliance may require a high level of cooperation with and reliance on the Company’s partners and there is a possibility that the Company may have disagreements with a relevant partner with respect to financing, technological management, product development, management strategies or otherwise. Any such disagreement may cause the joint venture or business alliance to be terminated.</w:t>
      </w:r>
    </w:p>
    <w:p>
      <w:pPr>
        <w:spacing w:after="0" w:line="136" w:lineRule="exact"/>
        <w:rPr>
          <w:sz w:val="20"/>
          <w:szCs w:val="20"/>
          <w:color w:val="auto"/>
        </w:rPr>
      </w:pPr>
    </w:p>
    <w:p>
      <w:pPr>
        <w:jc w:val="both"/>
        <w:ind w:firstLine="22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Company may not realize cost savings or other benefits from any of its restructuring initiatives and the failure to do so may have an adverse impact on its business, financial condition, or results of operations.</w:t>
      </w:r>
    </w:p>
    <w:p>
      <w:pPr>
        <w:spacing w:after="0" w:line="132"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In connection with the ongoing analysis and evaluation of its business operations, the Company has implemented, and may from time to time implement, initiatives that it believes will position the Company for future success and long-term sustainable growth, including the elimination of certain business ventures, consolidation of properties, staff reductions and the realignment of resources. Although the Company expects its restructuring initiatives to result in cost savings aimed at increasing efficiency, profitability, operating leverage and free cash flow, there can be no assurances that these benefits will be realized to the extent projected. Some of these initiatives may also result in unintended consequences, such as additional employee attrition, business disruptions and distraction of management. If the Company does not achieve projected savings as a result of these initiatives or incurs higher than expected or unanticipated costs in implementing these initiatives, its business, financial condition, or results of operations could be adversely impacted.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2" w:name="page23"/>
    <w:bookmarkEnd w:id="22"/>
    <w:p>
      <w:pPr>
        <w:jc w:val="both"/>
        <w:ind w:firstLine="224"/>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The Company faces cyber-security and similar risks, which could result in the disclosure, theft, or loss of confidential or other proprietary information, including intellectual property, damage to the Company’s brand and reputation, legal exposure and financial losses. The Company must also comply with a variety of data privacy regulations and failure to comply with such regulations may affect the Company’s financial performance.</w:t>
      </w:r>
    </w:p>
    <w:p>
      <w:pPr>
        <w:spacing w:after="0" w:line="148" w:lineRule="exact"/>
        <w:rPr>
          <w:sz w:val="20"/>
          <w:szCs w:val="20"/>
          <w:color w:val="auto"/>
        </w:rPr>
      </w:pPr>
    </w:p>
    <w:p>
      <w:pPr>
        <w:jc w:val="both"/>
        <w:ind w:firstLine="224"/>
        <w:spacing w:after="0" w:line="251" w:lineRule="auto"/>
        <w:rPr>
          <w:sz w:val="20"/>
          <w:szCs w:val="20"/>
          <w:color w:val="auto"/>
        </w:rPr>
      </w:pPr>
      <w:r>
        <w:rPr>
          <w:rFonts w:ascii="Times New Roman" w:cs="Times New Roman" w:eastAsia="Times New Roman" w:hAnsi="Times New Roman"/>
          <w:sz w:val="18"/>
          <w:szCs w:val="18"/>
          <w:color w:val="auto"/>
        </w:rPr>
        <w:t>The nature of the Company’s business involves access to and storage of confidential and proprietary content and other information, including its own intellectual property and the intellectual property of certain movie studios or partners it may work with, as well as certain information regarding the Company’s customers, employees, licensees, and suppliers. Although the Company maintains robust procedures, internal policies and technological security measures to safeguard such content and information, as well as a cyber-security insurance policy, the Company’s information technology systems could be penetrated by internal or external parties intent on extracting information, corrupting information, stealing intellectual property or trade secrets, or disrupting business processes. Information security risks have increased in recent years because of the proliferation of new technologies and the increased sophistication and activities of perpetrators of cyber-attacks. The Company’s information technology infrastructure may be vulnerable to such attacks, including through the use of malware, software bugs, computer viruses, ransomware, social engineering, and denial of service. It is possible that such attacks could compromise the Company’s security measures or the security measures of parties with whom the Company does business, and thereby could result in obtaining the confidential or proprietary information of the Company or its customers, employees, licensees, and suppliers. Because the techniques that may be used to circumvent the Company’s safeguards change frequently and may be difficult to detect, the Company may be unable to anticipate any new techniques or implement sufficient preventive security measures. The Company seeks to monitor such attempts and incidents and to prevent their recurrence through modifications to the Company’s internal procedures and information technology infrastructure, but in some cases preventive action might not be successful. Moreover, the development and maintenance of these security measures may be costly and will require ongoing updates as technologies evolve and techniques to overcome the Company’s security measures become more sophisticated. Any such breach or unauthorized access could result in a disruption of the Company’s operations, the theft, unauthorized use or publication of the Company’s intellectual property, other proprietary information or the personal information of customers, employees, licensees or suppliers, a reduction of the revenues the Company is able to generate from its operations, damage to the Company’s brand and reputation, a loss of confidence in the security of the Company’s business and products, and significant legal and financial exposure, each of which could potentially have an adverse effect on the Company’s business.</w:t>
      </w:r>
    </w:p>
    <w:p>
      <w:pPr>
        <w:spacing w:after="0" w:line="156"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In addition, a variety of laws and regulations at the international, national, and state level govern the Company’s collection, use, protection and processing of personal data. These laws, including the General Data Protection Regulation and the California Consumer Privacy Act, are constantly evolving and may result in increasing regulatory oversight and public scrutiny in the future. The Company’s actual or perceived failure to comply with such regulations could result in fines, investigations, enforcement actions, penalties, sanctions, claims for damages by affected individuals, and damage to the Company’s reputation, among other negative consequences, any of which could have a material adverse effect on its financial performance.</w:t>
      </w:r>
    </w:p>
    <w:p>
      <w:pPr>
        <w:spacing w:after="0" w:line="140" w:lineRule="exact"/>
        <w:rPr>
          <w:sz w:val="20"/>
          <w:szCs w:val="20"/>
          <w:color w:val="auto"/>
        </w:rPr>
      </w:pPr>
    </w:p>
    <w:p>
      <w:pPr>
        <w:jc w:val="both"/>
        <w:ind w:firstLine="22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credit agreement governing the Company’s senior secured credit facility contains significant restrictions that limit its operating and financial flexibility.</w:t>
      </w:r>
    </w:p>
    <w:p>
      <w:pPr>
        <w:spacing w:after="0" w:line="132"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credit agreement governing the Company’s senior secured credit facility contains certain restrictive covenants that, among other things, limit its ability to:</w:t>
      </w:r>
    </w:p>
    <w:p>
      <w:pPr>
        <w:spacing w:after="0" w:line="121" w:lineRule="exact"/>
        <w:rPr>
          <w:sz w:val="20"/>
          <w:szCs w:val="20"/>
          <w:color w:val="auto"/>
        </w:rPr>
      </w:pPr>
    </w:p>
    <w:p>
      <w:pPr>
        <w:ind w:left="900" w:hanging="44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distributions;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stock;</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stock of subsidiaries;</w:t>
      </w:r>
    </w:p>
    <w:p>
      <w:pPr>
        <w:spacing w:after="0" w:line="183" w:lineRule="exact"/>
        <w:rPr>
          <w:rFonts w:ascii="Times New Roman" w:cs="Times New Roman" w:eastAsia="Times New Roman" w:hAnsi="Times New Roman"/>
          <w:sz w:val="18"/>
          <w:szCs w:val="18"/>
          <w:color w:val="auto"/>
        </w:rPr>
      </w:pPr>
    </w:p>
    <w:p>
      <w:pPr>
        <w:ind w:left="5540" w:right="4480" w:hanging="5088"/>
        <w:spacing w:after="0" w:line="531" w:lineRule="auto"/>
        <w:tabs>
          <w:tab w:leader="none" w:pos="9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dividend or other payment restrictions affecting restricted subsidiaries; and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23" w:name="page24"/>
    <w:bookmarkEnd w:id="23"/>
    <w:p>
      <w:pPr>
        <w:ind w:left="900" w:hanging="44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amalgamate, or sell all or substantially all of its assets to another person.</w:t>
      </w:r>
    </w:p>
    <w:p>
      <w:pPr>
        <w:spacing w:after="0" w:line="184"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These restrictive covenants impose operating and financial restrictions on the Company that limit the Company’s ability to engage in acts that may be in the Company’s long-term best interests.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INTERNATIONAL OPERATIONS</w:t>
      </w:r>
    </w:p>
    <w:p>
      <w:pPr>
        <w:spacing w:after="0" w:line="184" w:lineRule="exact"/>
        <w:rPr>
          <w:sz w:val="20"/>
          <w:szCs w:val="20"/>
          <w:color w:val="auto"/>
        </w:rPr>
      </w:pPr>
    </w:p>
    <w:p>
      <w:pPr>
        <w:jc w:val="both"/>
        <w:ind w:firstLine="22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Company conducts business internationally, which exposes it to uncertainties and risks that could negatively affect its operations, sales, and future growth prospects.</w:t>
      </w:r>
    </w:p>
    <w:p>
      <w:pPr>
        <w:spacing w:after="0" w:line="11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A significant portion of the Company’s revenues and gross box office are generated by customers located outside the United States and Canada. Approximately 77%, 66% and 66% of the Company’s revenues were derived outside of the United States and Canada in 2020, 2019 and 2018, respectively. As of December 31, 2020, approximately 74.8% of IMAX Theater Systems in backlog are scheduled to be installed in international markets. The Company’s network spanned 84 different countries as of December 31, 2020, and the Company expects its international operations to continue to account for an increasingly significant portion of its future revenues. There are a number of risks associated with operating in international markets that could negatively affect the Company’s operations, sales and future growth prospects. These risks include:</w:t>
      </w:r>
    </w:p>
    <w:p>
      <w:pPr>
        <w:spacing w:after="0" w:line="157" w:lineRule="exact"/>
        <w:rPr>
          <w:sz w:val="20"/>
          <w:szCs w:val="20"/>
          <w:color w:val="auto"/>
        </w:rPr>
      </w:pPr>
    </w:p>
    <w:p>
      <w:pPr>
        <w:ind w:left="900" w:hanging="44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restrictions on access to markets, both for IMAX Theater Systems and films;</w:t>
      </w:r>
    </w:p>
    <w:p>
      <w:pPr>
        <w:spacing w:after="0" w:line="183" w:lineRule="exact"/>
        <w:rPr>
          <w:rFonts w:ascii="Times New Roman" w:cs="Times New Roman" w:eastAsia="Times New Roman" w:hAnsi="Times New Roman"/>
          <w:sz w:val="18"/>
          <w:szCs w:val="18"/>
          <w:color w:val="auto"/>
        </w:rPr>
      </w:pPr>
    </w:p>
    <w:p>
      <w:pPr>
        <w:ind w:left="900" w:right="20" w:hanging="448"/>
        <w:spacing w:after="0" w:line="281"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or burdensome foreign laws or regulatory requirements or unexpected changes to those laws or requirements, including censorship of content that may restrict what films the Company’s theaters can present;</w:t>
      </w:r>
    </w:p>
    <w:p>
      <w:pPr>
        <w:spacing w:after="0" w:line="12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various foreign currencies versus the U.S. Dollar and potential currency devaluations;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tariffs, trade protection measures, import or export licensing requirements, trade embargoes, sanctions, and other trade barriers;</w:t>
      </w:r>
    </w:p>
    <w:p>
      <w:pPr>
        <w:spacing w:after="0" w:line="183" w:lineRule="exact"/>
        <w:rPr>
          <w:rFonts w:ascii="Times New Roman" w:cs="Times New Roman" w:eastAsia="Times New Roman" w:hAnsi="Times New Roman"/>
          <w:sz w:val="18"/>
          <w:szCs w:val="18"/>
          <w:color w:val="auto"/>
        </w:rPr>
      </w:pPr>
    </w:p>
    <w:p>
      <w:pPr>
        <w:ind w:left="900" w:hanging="448"/>
        <w:spacing w:after="0" w:line="281"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competitively priced key commodities, raw materials and component parts from various international sources that are needed to manufacture quality products on a timely basis;</w:t>
      </w:r>
    </w:p>
    <w:p>
      <w:pPr>
        <w:spacing w:after="0" w:line="12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foreign exchange controls in foreign jurisdictions;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foreign distributors and their sales channels;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local partners, including in connection with joint revenue sharing arrangements;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complete installations of or collect full payment on installations of IMAX Theater Systems;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practices that can present challenges to compliance with applicable anti-corruption and bribery laws;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establishing market-appropriate pricing;</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accurate and/or less reliable box office reporting;</w:t>
      </w:r>
    </w:p>
    <w:p>
      <w:pPr>
        <w:spacing w:after="0" w:line="183" w:lineRule="exact"/>
        <w:rPr>
          <w:rFonts w:ascii="Times New Roman" w:cs="Times New Roman" w:eastAsia="Times New Roman" w:hAnsi="Times New Roman"/>
          <w:sz w:val="18"/>
          <w:szCs w:val="18"/>
          <w:color w:val="auto"/>
        </w:rPr>
      </w:pPr>
    </w:p>
    <w:p>
      <w:pPr>
        <w:ind w:left="900" w:right="20" w:hanging="448"/>
        <w:spacing w:after="0" w:line="281"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foreign government monetary and/or tax policies, and/or difficulties in repatriating cash from foreign jurisdictions (including with respect to China, where approval of the State Administration of Foreign Exchange is required);</w:t>
      </w:r>
    </w:p>
    <w:p>
      <w:pPr>
        <w:spacing w:after="0" w:line="12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recognition of intellectual property rights;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contractual rights;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900" w:hanging="44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provide performance bonds and letters of credit to international customers to secure system component deliveries;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the IMAX brand from operating in countries with records of controversial government action, including human rights abuses; and</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w:t>
      </w:r>
    </w:p>
    <w:p>
      <w:pPr>
        <w:spacing w:after="0" w:line="184"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In addition, changes in United States or Canadian foreign policy can present additional risks or uncertainties as the Company continues to expand its international operations. Opening and operating theaters in markets that have experienced geopolitical or sociopolitical unrest or controversy, including through partnerships with local entities, exposes the Company to the risks listed above as well as additional risks of operating in a volatile region. Such risks may negatively impact the Company’s business operations in such regions and may also harm the Company’s brand. Moreover, a deterioration of the diplomatic relations between the United States or Canada and a given country may impede the Company’s ability to operate theaters in such countries and have a negative impact on the Company’s financial condition and future growth prospects.</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risks in connection with its significant presence in China and the continued expansion of its business there.</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Greater China is the Company’s largest market by revenue, with approximately 38% of overall revenues generated from its Greater China operations in 2020. As of December 31, 2020, the Company had 745 theaters operating in Greater China with an additional 251 theaters in backlog, which represent 47.6% of the Company’s current backlog and which are scheduled to be installed in Greater China by 2028. Of the IMAX Systems currently scheduled to be installed in Greater China, 65.3% are under joint revenue sharing arrangements, which further increases the Company’s ongoing exposure to box office performance in this market.</w:t>
      </w:r>
    </w:p>
    <w:p>
      <w:pPr>
        <w:spacing w:after="0" w:line="144"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China market faces a number of risks, including changes in laws and regulations, currency fluctuations, increased competition and changes in economic conditions, including the risk of an economic downturn or recession, trade embargoes, restrictions or other barriers, as well as other conditions that may impact the Company’s exhibitor and studio partners, and consumer spending. Adverse developments in any of these areas could impact the Company’s future revenues and cash flows and could cause the Company to fail to achieve anticipated growth.</w:t>
      </w:r>
    </w:p>
    <w:p>
      <w:pPr>
        <w:spacing w:after="0" w:line="154"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Moreover, certain risks and uncertainties of doing business in China are solely within the control of the Chinese government, and Chinese law regulates both the scope of the Company’s continued expansion in China and the business conducted by it within China. For instance, the Chinese government regulates the number, timing, and terms of Hollywood films released to the China market. The Company cannot provide assurance that the Chinese government will continue to permit the release of IMAX films in China or that the timing or number of IMAX releases will be favorable to the Company. There are also uncertainties regarding the interpretation and application of laws and regulations and the enforceability of intellectual property and contract rights in China. If the Company were unable to navigate China’s regulatory environment, or if the Company were unable to enforce its intellectual property or contract rights in China, the Company’s business could be adversely impacted.</w:t>
      </w:r>
    </w:p>
    <w:p>
      <w:pPr>
        <w:spacing w:after="0" w:line="1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experience adverse effects due to exchange rate fluctuations.</w:t>
      </w:r>
    </w:p>
    <w:p>
      <w:pPr>
        <w:spacing w:after="0" w:line="188"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A substantial portion of the Company’s revenues are denominated in U.S. Dollars, while a substantial portion of its expenses are denominated in Canadian Dollars. The Company also generates revenues in Chinese Yuan Renminbi, Euros and Japanese Yen. While the Company periodically enters into forward contracts to hedge its exposure to exchange rate fluctuations between the U.S. and the Canadian Dollar, the Company may not be successful in reducing its exposure to these fluctuations. The use of derivative contracts is intended to mitigate or reduce transactional level volatility in the results of foreign operations, but does not completely eliminate volatility. Even in jurisdictions in which the Company does not accept local currency or requires minimum payments in U.S. Dollars, significant local currency issues may impact the profitability of the Company’s arrangements for the Company’s customers, which ultimately affect the Company’s ability to negotiate cost-effective arrangements and, therefore, the Company’s results of operations. In addition, because IMAX films generate box office in 84 different countries, unfavorable exchange rates between applicable local currencies and the U.S. Dollar could affect the Company’s reported gross box office and revenues, further impacting the Company’s results of operations.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RISK RELATED TO THE COMPANY’S INDUSTRY</w:t>
      </w:r>
    </w:p>
    <w:p>
      <w:pPr>
        <w:spacing w:after="0" w:line="19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Consolidation among commercial exhibitors and studios reduces the breadth of the Company’s customer base, and could result in a narrower market for the Company’s products and reduced negotiating leverage. A deterioration in the Company’s relationship with key partners could materially, adversely affect the Company’s business, financial condition or results of operation. In addition, an adverse economic impact on a significant customer’s business operations could have a corresponding material adverse effect on the Company.</w:t>
      </w:r>
    </w:p>
    <w:p>
      <w:pPr>
        <w:spacing w:after="0" w:line="141"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The Company’s primary customers are commercial multiplex exhibitors. The commercial exhibition industry has undergone significant consolidation, with Wanda’s acquisitions of AMC and Hoyts Group in 2012 and 2015, respectively, and AMC’s acquisition of Carmike Cinemas and Odeon &amp; UCI Cinemas Group, which includes Nordic Cinema Group, in 2016. In recent years, the industry has continued to consolidate, as evidenced by Cineworld Group’s acquisition of Regal Entertainment Group in 2018. Exhibitor concentration has resulted in certain exhibitor chains constituting a material portion of the Company’s network and revenue. For instance, Wanda and AMC continue to be the Company’s largest exhibitor customer, representing approximately, 16.4%, 16.5% and 17.1% of the Company’s total revenues in 2020, 2019 and 2018, respectively. Wanda’s current commitment to the Company stands at 361 IMAX Theater Systems, and Wanda and AMC together represented approximately 35.1% of the commercial network and 19.0% of the Company’s backlog as of December 31, 2020. The share of the Company’s revenue that is generated by Wanda and AMC is expected to continue to grow as the number of Wanda theater systems currently in backlog are opened. No assurance can be given that significant customers such as Wanda and/or AMC will continue to purchase IMAX Theater Systems and/or enter into joint revenue sharing arrangements with the Company and if so, whether contractual terms will be affected. If the Company does business with either Wanda and/or AMC or other large exhibitor chains less frequently or on less favorable terms than currently, the Company’s business, financial condition or results of operations may be adversely affected. In addition, an adverse economic impact on a significant customer’s business operations could have a corresponding material adverse effect on the Company.</w:t>
      </w:r>
    </w:p>
    <w:p>
      <w:pPr>
        <w:spacing w:after="0" w:line="151" w:lineRule="exact"/>
        <w:rPr>
          <w:sz w:val="20"/>
          <w:szCs w:val="20"/>
          <w:color w:val="auto"/>
        </w:rPr>
      </w:pPr>
    </w:p>
    <w:p>
      <w:pPr>
        <w:jc w:val="both"/>
        <w:ind w:right="20" w:firstLine="224"/>
        <w:spacing w:after="0" w:line="260" w:lineRule="auto"/>
        <w:rPr>
          <w:sz w:val="20"/>
          <w:szCs w:val="20"/>
          <w:color w:val="auto"/>
        </w:rPr>
      </w:pPr>
      <w:r>
        <w:rPr>
          <w:rFonts w:ascii="Times New Roman" w:cs="Times New Roman" w:eastAsia="Times New Roman" w:hAnsi="Times New Roman"/>
          <w:sz w:val="18"/>
          <w:szCs w:val="18"/>
          <w:color w:val="auto"/>
        </w:rPr>
        <w:t>The Company also receives revenues from studios releasing IMAX DMR films. Hollywood studios have also experienced consolidation, as evidenced by the Walt Disney Company’s acquisition of certain studio assets from Twenty First Century Fox in 2019. Studio consolidation could result in individual studios comprising a greater percentage of the Company’s film slate and overall DMR revenue, and could expose the Company to the same risks described above in connection with exhibitor consolidation.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COMPETITVE ENVIRONMENT</w:t>
      </w:r>
    </w:p>
    <w:p>
      <w:pPr>
        <w:spacing w:after="0" w:line="184" w:lineRule="exact"/>
        <w:rPr>
          <w:sz w:val="20"/>
          <w:szCs w:val="20"/>
          <w:color w:val="auto"/>
        </w:rPr>
      </w:pPr>
    </w:p>
    <w:p>
      <w:pPr>
        <w:jc w:val="both"/>
        <w:ind w:firstLine="22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Failure to respond adequately or in a timely fashion to changes and advancements in digital technology could negatively affect the Company’s business.</w:t>
      </w:r>
    </w:p>
    <w:p>
      <w:pPr>
        <w:spacing w:after="0" w:line="118"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There have been a number of advancements in the digital cinema field in recent years. In order to keep pace with these changes and in order to continue to provide an experience that is premium to and differentiated from conventional cinema experiences, the Company has made, and expects to continue to make, significant investments in digital technology in the form of research and development and the acquisition of third party intellectual property and/or proprietary technology. In recent years, the Company has made significant investments in laser technology as part of the development of its next-generation laser-based digital projection system, which it began rolling out to the largest theaters in the IMAX network at the end of 2014. The Company continued research and development throughout 2018 to support the further development and roll-out of IMAX with Laser projection system, which is targeted primarily for screens in commercial multiplexes. The process of developing new technologies is inherently uncertain and subject to certain factors that are outside of the Company’s control, including reliance on third party partners and suppliers, and the Company can provide no assurance its investments will result in commercially viable advancements to the Company’s existing products or in commercially successful new products, or that any such advancements or products will improve upon existing technology or will be developed within the timeframe expected.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26" w:name="page27"/>
    <w:bookmarkEnd w:id="26"/>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introduction of new, competing products and technologies could harm the Company’s business.</w:t>
      </w:r>
    </w:p>
    <w:p>
      <w:pPr>
        <w:spacing w:after="0" w:line="201"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out-of-home entertainment industry is very competitive, and the Company faces a number of competitive challenges. According to the National Association of Theater Owners, as of December 31, 2020, there were approximately 43,800 conventional-sized screens in North American multiplexes. The Company faces competition both in the form of technological advances in in-home entertainment as well as those within the theater-going experience. In recent years, for instance, exhibitors and entertainment technology companies have introduced their own branded, large-screen 3D auditoriums or other proprietary theater systems, and in many cases have marketed those auditoriums or theater systems as having similar quality or attributes as an IMAX Theater System. The Company may continue to face competition in the future from companies in the entertainment industry with new technologies and/or substantially greater capital resources to develop and support them. If the Company is unable to continue to deliver a premium movie-going experience, or if other technologies surpass those of the Company, the Company may be unable to continue to produce theater systems which are premium to, or differentiated from, other theater systems.</w:t>
      </w:r>
    </w:p>
    <w:p>
      <w:pPr>
        <w:spacing w:after="0" w:line="151"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As noted above, the Company faces in-home competition from a number of alternative motion picture distribution channels such as home video, pay-per-view, streaming services, video-on-demand, Blu-ray Disc, Internet and syndicated and broadcast television. In addition, as a result of the COVID-19 pandemic and related movie theater closures, in 2020, a number films were released directly to streaming services, at the same time as being released in theaters or instead of being released in theaters, and there can be no assurance that this practice will end once movie theaters reopen. Should this practice continue, in-home competition with streaming services will further intensify. The Company further competes for the public’s leisure time and disposable income with other forms of entertainment, including gaming, sporting events, concerts, live theater, social media, and restaurants.</w:t>
      </w:r>
    </w:p>
    <w:p>
      <w:pPr>
        <w:spacing w:after="0" w:line="143"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If the Company is unable to continue to produce a differentiated theater experience, consumers may be unwilling to pay the price premiums associated with the cost of IMAX theater tickets and box office performance of IMAX films may decline. Declining box-office performance of IMAX films could materially and adversely harm the Company’s business and prospects.</w:t>
      </w:r>
    </w:p>
    <w:p>
      <w:pPr>
        <w:spacing w:after="0" w:line="145" w:lineRule="exact"/>
        <w:rPr>
          <w:sz w:val="20"/>
          <w:szCs w:val="20"/>
          <w:color w:val="auto"/>
        </w:rPr>
      </w:pPr>
    </w:p>
    <w:p>
      <w:pPr>
        <w:jc w:val="both"/>
        <w:ind w:right="20" w:firstLine="22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Company may not be able to adequately protect its intellectual property, and competitors could misappropriate its technology or brand, which could weaken its competitive position.</w:t>
      </w:r>
    </w:p>
    <w:p>
      <w:pPr>
        <w:spacing w:after="0" w:line="118"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Company depends on its proprietary knowledge regarding IMAX and digital and film technology. The Company relies principally upon a combination of copyright, trademark, patent and trade secret laws, restrictions on disclosures and contractual provisions to protect its proprietary and intellectual property rights. These laws and procedures may not be adequate to prevent unauthorized parties from attempting to copy or otherwise obtain the Company’s processes and technology or deter others from developing similar processes or technology, which could weaken the Company’s competitive position and require the Company to incur costs to secure enforcement of its intellectual property rights. The protection provided to the Company’s proprietary technology by the laws of foreign jurisdictions may not protect it as fully as the laws of Canada or the United States. The lack of protection afforded to intellectual property rights in certain international jurisdictions may be increasingly problematic given the extent to which future growth of the Company is anticipated to come from foreign jurisdictions. Finally, some of the underlying technologies of the Company’s products and system components are not covered by patents or patent applications.</w:t>
      </w:r>
    </w:p>
    <w:p>
      <w:pPr>
        <w:spacing w:after="0" w:line="151"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owns patents issued and patent applications pending, including those covering its digital projector, digital conversion technology and laser illumination technology. The Company’s patents are filed in the United States, often with corresponding patents or filed applications in other jurisdictions, such as Canada, China, Belgium, Japan, France, Germany, and the United Kingdom. The patent applications pending may not be issued or the patents may not provide the Company with any competitive advantage. The patent applications may also be challenged by third parties. Several of the Company’s issued patents for improvements to IMAX projection system components expire between 2021 and 2038. Any claims or litigation initiated by the Company to protect its proprietary technology could be time consuming, costly and divert the attention of its technical and management resources.</w:t>
      </w:r>
    </w:p>
    <w:p>
      <w:pPr>
        <w:spacing w:after="0" w:line="157"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IMAX brand stands for the highest quality and most immersive motion picture entertainment. Protecting the IMAX brand is a critical element in maintaining the Company’s relationships with studios and its exhibitor clients. Though the Company relies on a combination of trademark and copyright law as well as its contractual provisions to protect the IMAX brand, those protections may not be adequate to prevent erosion of the brand over time, particularly in foreign jurisdictions. Erosion of the brand could threaten the demand for the Company’s products and services and impair its ability to grow future revenue streams.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REVENUES, EARNINGS, AND FINANCIAL POSITION</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Company’s operating results and cash flow can vary substantially from period to period and could increase the volatility of its share price.</w:t>
      </w:r>
    </w:p>
    <w:p>
      <w:pPr>
        <w:spacing w:after="0" w:line="188" w:lineRule="exact"/>
        <w:rPr>
          <w:sz w:val="20"/>
          <w:szCs w:val="20"/>
          <w:color w:val="auto"/>
        </w:rPr>
      </w:pPr>
    </w:p>
    <w:p>
      <w:pPr>
        <w:jc w:val="both"/>
        <w:ind w:right="20" w:firstLine="224"/>
        <w:spacing w:after="0" w:line="265" w:lineRule="auto"/>
        <w:rPr>
          <w:sz w:val="20"/>
          <w:szCs w:val="20"/>
          <w:color w:val="auto"/>
        </w:rPr>
      </w:pPr>
      <w:r>
        <w:rPr>
          <w:rFonts w:ascii="Times New Roman" w:cs="Times New Roman" w:eastAsia="Times New Roman" w:hAnsi="Times New Roman"/>
          <w:sz w:val="18"/>
          <w:szCs w:val="18"/>
          <w:color w:val="auto"/>
        </w:rPr>
        <w:t>The Company’s operating results and cash flow can fluctuate substantially from period to period. In particular, fluctuations in IMAX Theater System installations and GBO performance of IMAX DMR content can materially affect operating results. Factors that have affected the Company’s operating results and cash flow in the past, and are likely to affect its operating results and cash flow in the future, include, among other things:</w:t>
      </w:r>
    </w:p>
    <w:p>
      <w:pPr>
        <w:spacing w:after="0" w:line="136" w:lineRule="exact"/>
        <w:rPr>
          <w:sz w:val="20"/>
          <w:szCs w:val="20"/>
          <w:color w:val="auto"/>
        </w:rPr>
      </w:pPr>
    </w:p>
    <w:p>
      <w:pPr>
        <w:ind w:left="900" w:right="20" w:hanging="448"/>
        <w:spacing w:after="0" w:line="281"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signing and installation of new IMAX Theater Systems (particularly for installations in newly-built multiplexes, which can result in delays that are beyond the Company’s control);</w:t>
      </w:r>
    </w:p>
    <w:p>
      <w:pPr>
        <w:spacing w:after="0" w:line="12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commercial success of films distributed to the Company’s theater network;</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and acceptance of, its products and services;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revenue of sales and sales-type leases;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leases as sales-type versus operating leases;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orders received and that can be filled in the quarter;</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its sales backlog;</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signing of film distribution agreements;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of IMAX theaters operated by the Company’s customers;</w:t>
      </w:r>
    </w:p>
    <w:p>
      <w:pPr>
        <w:spacing w:after="0" w:line="183"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faced by customers, particularly customers in the commercial exhibition industry;</w:t>
      </w:r>
    </w:p>
    <w:p>
      <w:pPr>
        <w:spacing w:after="0" w:line="183" w:lineRule="exact"/>
        <w:rPr>
          <w:rFonts w:ascii="Times New Roman" w:cs="Times New Roman" w:eastAsia="Times New Roman" w:hAnsi="Times New Roman"/>
          <w:sz w:val="18"/>
          <w:szCs w:val="18"/>
          <w:color w:val="auto"/>
        </w:rPr>
      </w:pPr>
    </w:p>
    <w:p>
      <w:pPr>
        <w:ind w:left="900" w:hanging="448"/>
        <w:spacing w:after="0" w:line="281"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and timing of spending in relation to the Company’s research and development efforts and related investments as well as new business initiatives; and</w:t>
      </w:r>
    </w:p>
    <w:p>
      <w:pPr>
        <w:spacing w:after="0" w:line="12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timing of joint revenue sharing arrangement installations, related capital expenditures and timing of related cash receipts.</w:t>
      </w:r>
    </w:p>
    <w:p>
      <w:pPr>
        <w:spacing w:after="0" w:line="184"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Most of the Company’s operating expenses are fixed in the short term. The Company may be unable to rapidly adjust its spending to compensate for any unexpected shortfall in sales, joint revenue sharing arrangements revenue or IMAX DMR revenue, which would harm operating results for a particular period, although the results of any particular period are not necessarily indicative of the Company’s results for any other period.</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Company’s theater system revenue can vary significantly from its cash flows under IMAX Theater System sales or lease agreements.</w:t>
      </w:r>
    </w:p>
    <w:p>
      <w:pPr>
        <w:spacing w:after="0" w:line="18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Company’s theater system revenue can vary significantly from the associated cash flows. The Company often provides financing to customers for IMAX Theater Systems on a long-term basis through long-term sale or lease arrangements. The terms of leases or notes receivable are typically 10 to 12 years. The sale and lease-type agreements for IMAX Theater Systems typically provide for three major sources of cash flow:</w:t>
      </w:r>
    </w:p>
    <w:p>
      <w:pPr>
        <w:spacing w:after="0" w:line="176" w:lineRule="exact"/>
        <w:rPr>
          <w:sz w:val="20"/>
          <w:szCs w:val="20"/>
          <w:color w:val="auto"/>
        </w:rPr>
      </w:pPr>
    </w:p>
    <w:p>
      <w:pPr>
        <w:ind w:left="900" w:hanging="448"/>
        <w:spacing w:after="0" w:line="281"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fees, which are paid in installments generally commencing upon the signing of the agreement until installation of the IMAX Theater Systems;</w:t>
      </w:r>
    </w:p>
    <w:p>
      <w:pPr>
        <w:spacing w:after="0" w:line="161" w:lineRule="exact"/>
        <w:rPr>
          <w:rFonts w:ascii="Times New Roman" w:cs="Times New Roman" w:eastAsia="Times New Roman" w:hAnsi="Times New Roman"/>
          <w:sz w:val="18"/>
          <w:szCs w:val="18"/>
          <w:color w:val="auto"/>
        </w:rPr>
      </w:pPr>
    </w:p>
    <w:p>
      <w:pPr>
        <w:ind w:left="900" w:right="20" w:hanging="448"/>
        <w:spacing w:after="0" w:line="281"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fees, which are paid monthly after all IMAX Theater Systems have been installed and are generally equal to the greater of a fixed minimum amount per annum and a percentage of box office receipts; and</w:t>
      </w:r>
    </w:p>
    <w:p>
      <w:pPr>
        <w:spacing w:after="0" w:line="16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annual maintenance and extended warranty fees, which are generally payable commencing in the second year of theater operations.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28" w:name="page29"/>
    <w:bookmarkEnd w:id="28"/>
    <w:p>
      <w:pPr>
        <w:ind w:left="240"/>
        <w:spacing w:after="0"/>
        <w:rPr>
          <w:sz w:val="20"/>
          <w:szCs w:val="20"/>
          <w:color w:val="auto"/>
        </w:rPr>
      </w:pPr>
      <w:r>
        <w:rPr>
          <w:rFonts w:ascii="Times New Roman" w:cs="Times New Roman" w:eastAsia="Times New Roman" w:hAnsi="Times New Roman"/>
          <w:sz w:val="18"/>
          <w:szCs w:val="18"/>
          <w:color w:val="auto"/>
        </w:rPr>
        <w:t>Initial fees generally make up the vast majority of cash received under IMAX Theater System sales or lease agreements for a theater arrangement.</w:t>
      </w:r>
    </w:p>
    <w:p>
      <w:pPr>
        <w:spacing w:after="0" w:line="197"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For sales and sales-type leases, the revenue recorded is generally equal to the sum of initial fees and the present value of any future initial payments, fixed minimum ongoing payments and sales arrangements also include an estimate of future variable consideration due under the agreement. Cash received from initial fees in advance of meeting the revenue recognition criteria for the IMAX Theater Systems is recorded as deferred revenue.</w:t>
      </w:r>
    </w:p>
    <w:p>
      <w:pPr>
        <w:spacing w:after="0" w:line="136"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Leases that do not transfer substantially all of the benefits and risks of ownership to the customer are classified as operating leases. For these leases, initial fees and fixed minimum ongoing payments are recognized as revenue on a straight-line basis over the lease term. Contingent payments in excess of fixed minimum ongoing payments are recognized as revenue when reported by theater operators, provided collectibility is reasonably assured.</w:t>
      </w:r>
    </w:p>
    <w:p>
      <w:pPr>
        <w:spacing w:after="0" w:line="136"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As a result of the above, the revenue set forth in the Company’s Consolidated Financial Statements does not necessarily correlate with the Company’s cash flow or cash position. Revenues include the present value of future contracted cash payments and there is no guarantee that the Company will receive such payments under its lease and sale agreements if its customers default on their payment obligations.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not convert all of its backlog into revenue and cash flows.</w:t>
      </w:r>
    </w:p>
    <w:p>
      <w:pPr>
        <w:spacing w:after="0" w:line="188"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At December 31, 2020, the Company’s backlog included 527 IMAX Theater Systems, consisting of 185 IMAX Theater Systems under sales or lease arrangements and 342 IMAX Theater Systems under joint revenue sharing arrangements. The Company lists signed contracts for IMAX Theater Systems for which revenue has not been recognized as backlog prior to the time of revenue recognition. The total value of the backlog represents all signed IMAX Theater System sale or lease agreements that are expected to be recognized as revenue in the future and includes initial fees along with the estimated present value of contractual ongoing fees due over the term, and a variable consideration estimate for the IMAX Theater Systems under sales arrangements, but it excludes amounts allocated to maintenance and extended warranty revenues. Notwithstanding the legal obligation to do so, some of the Company’s customers with which it has signed contracts may not accept delivery of IMAX Theater Systems that are included in the Company’s backlog. An economic downturn may exacerbate the risk of customers not accepting delivery of IMAX Theater Systems, especially in places such as Greater China that represent a large portion of the Company’s backlog. Any reduction in backlog could adversely affect the Company’s future revenues and cash flows. In addition, customers with theater system obligations in backlog sometimes request that the Company agree to modify or reduce such obligations, which the Company has agreed to do in the past under certain circumstances. Customer-requested delays in the installation of IMAX Theater Systems in backlog remain a recurring and unpredictable part of the Company’s business.</w:t>
      </w:r>
    </w:p>
    <w:p>
      <w:pPr>
        <w:spacing w:after="0" w:line="149" w:lineRule="exact"/>
        <w:rPr>
          <w:sz w:val="20"/>
          <w:szCs w:val="20"/>
          <w:color w:val="auto"/>
        </w:rPr>
      </w:pPr>
    </w:p>
    <w:p>
      <w:pPr>
        <w:jc w:val="both"/>
        <w:ind w:firstLine="22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Company’s revenues from existing customers are derived in part from financial reporting provided by its customers, which may be inaccurate or incomplete, resulting in lost or delayed revenues.</w:t>
      </w:r>
    </w:p>
    <w:p>
      <w:pPr>
        <w:spacing w:after="0" w:line="132"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Company’s revenue under its joint revenue sharing arrangements, a portion of the Company’s payments under lease or sales arrangements and its film distribution fees are based upon financial reporting provided by its customers. If such reporting is inaccurate, incomplete, or withheld, the Company’s ability to receive the appropriate payments it is owed in a timely fashion may be impaired. The Company’s contractual ability to audit IMAX theaters may not rectify payments lost or delayed as a result of customers not fulfilling their contractual obligations with respect to financial reporting.</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There is collection risk associated with payments to be received over the terms of the Company’s theater system agreements.</w:t>
      </w:r>
    </w:p>
    <w:p>
      <w:pPr>
        <w:spacing w:after="0" w:line="18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is dependent in part on the viability of its exhibitors for collections under long-term leases, sales financing agreements and joint revenue sharing arrangements. Exhibitors or other operators may experience financial difficulties that could cause them to be unable to fulfill their contractual payment obligations to the Company. As a result, the Company’s future revenues and cash flows could be adversely affected.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9" w:name="page30"/>
    <w:bookmarkEnd w:id="29"/>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subject to further impairment losses on its film assets if such assets do not meet management’s estimates of total revenues.</w:t>
      </w:r>
    </w:p>
    <w:p>
      <w:pPr>
        <w:spacing w:after="0" w:line="201"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amortizes its film assets, including IMAX DMR costs capitalized using the individual film forecast method, whereby the costs of film assets are amortized and participation costs are accrued for each film in the ratio of revenues earned in the current period to management’s estimate of total revenues ultimately expected to be received for that title. Management regularly reviews, and revises when necessary, its estimates of ultimate revenues on a title-by-title basis, which may result in a change in the rate of amortization of the film assets and write-downs or impairments of film assets. Results of operations in future years include the amortization of the Company’s film assets and may be significantly affected by periodic adjustments in amortization rates.</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subject to impairment losses on its inventories if they become obsolete.</w:t>
      </w:r>
    </w:p>
    <w:p>
      <w:pPr>
        <w:spacing w:after="0" w:line="18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records write-downs for excess and obsolete inventory based upon current estimates of future events and conditions, including the anticipated installation dates for the current backlog of theater system contracts, technological developments, signings in negotiation and anticipated market acceptance of the Company’s current and pending IMAX Theater Systems.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If the Company’s goodwill or long-lived assets become impaired, the Company may be required to record a significant charge to earnings.</w:t>
      </w:r>
    </w:p>
    <w:p>
      <w:pPr>
        <w:spacing w:after="0" w:line="18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Under United States Generally Accepted Accounting Principles (“U.S. GAAP”), the Company reviews its long-lived assets for impairment when events or changes in circumstances indicate the carrying value may not be recoverable. Goodwill is required to be qualitatively assessed at least annually and when events or changes in circumstances arise or can be quantitatively tested for impairment. Factors that may be considered a change in circumstances include (but are not limited to) a decline in stock price and market capitalization, declines in future cash flows, and slower growth rates in the Company’s industry. The Company may be required to record a significant charge to earnings in its financial statements during the period in which any impairment of its goodwill or long-lived assets is determined.</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and changes in management’s estimates may affect the Company’s reported earnings and operating income.</w:t>
      </w:r>
    </w:p>
    <w:p>
      <w:pPr>
        <w:spacing w:after="0" w:line="201"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U.S. GAAP and accompanying accounting pronouncements are highly complex and involve many subjective judgments. Changes in these rules, their interpretation, management’s estimates, or changes in the Company’s products or business could significantly change its reported future earnings and operating income and could add significant volatility to those measures, without a comparable underlying change in cash flow from operations. (See “Critical Accounting Policies and Estimates” in Item 7.)</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COMMON STOCK</w:t>
      </w:r>
    </w:p>
    <w:p>
      <w:pPr>
        <w:spacing w:after="0" w:line="184" w:lineRule="exact"/>
        <w:rPr>
          <w:sz w:val="20"/>
          <w:szCs w:val="20"/>
          <w:color w:val="auto"/>
        </w:rPr>
      </w:pPr>
    </w:p>
    <w:p>
      <w:pPr>
        <w:jc w:val="both"/>
        <w:ind w:firstLine="22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Company’s stock price has historically been volatile and declines in market price, including as a result of a market downturn, may negatively affect its ability to raise capital, issue debt, secure customer business and retain employees.</w:t>
      </w:r>
    </w:p>
    <w:p>
      <w:pPr>
        <w:spacing w:after="0" w:line="132"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 is listed on the New York Stock Exchange (“NYSE”) and its publicly traded shares have in the past experienced, and may continue to experience, significant price and volume fluctuations. This market volatility could reduce the market price of its common stock, regardless of the Company’s operating performance. A decline in the capital markets generally, or an adjustment in the market price or trading volumes of the Company’s publicly traded securities, may negatively affect its ability to raise capital, issue debt, secure customer business or retain employees. These factors, as well as general economic and geopolitical conditions, may have a material adverse effect on the market price of the Company’s publicly traded securities.</w:t>
      </w:r>
    </w:p>
    <w:p>
      <w:pPr>
        <w:spacing w:after="0" w:line="1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Because the Company is incorporated in Canada, it may be difficult for plaintiffs to enforce against the Company liabilities based solely upon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securities laws.</w:t>
      </w:r>
    </w:p>
    <w:p>
      <w:pPr>
        <w:spacing w:after="0" w:line="165"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 is incorporated under the federal laws of Canada, some of its directors and officers are residents of Canada and a substantial portion of its assets and the assets of such directors and officers are located outside the United States. As a result, it may be difficult for U.S. plaintiffs to effect service within the United States upon those directors or officers who are not residents of the United States, or to obtain or enforce against them or the Company judgments of United States courts predicated solely upon civil liability under the U.S. federal securities laws. In addition, it may be difficult for plaintiffs to bring an original action outside of the United States against the Company to enforce liabilities based solely on U.S. federal securities 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88" w:lineRule="exact"/>
        <w:rPr>
          <w:sz w:val="20"/>
          <w:szCs w:val="20"/>
          <w:color w:val="auto"/>
        </w:rPr>
      </w:pPr>
    </w:p>
    <w:p>
      <w:pPr>
        <w:ind w:firstLine="224"/>
        <w:spacing w:after="0" w:line="281" w:lineRule="auto"/>
        <w:rPr>
          <w:sz w:val="20"/>
          <w:szCs w:val="20"/>
          <w:color w:val="auto"/>
        </w:rPr>
      </w:pPr>
      <w:r>
        <w:rPr>
          <w:rFonts w:ascii="Times New Roman" w:cs="Times New Roman" w:eastAsia="Times New Roman" w:hAnsi="Times New Roman"/>
          <w:sz w:val="18"/>
          <w:szCs w:val="18"/>
          <w:color w:val="auto"/>
        </w:rPr>
        <w:t>The Company’s principal executive offices are located in Mississauga, Ontario, Canada, New York, New York, and Playa Vista, California. The Company’s principal facilities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Mississauga, Ontario</w:t>
            </w:r>
            <w:r>
              <w:rPr>
                <w:rFonts w:ascii="Times New Roman" w:cs="Times New Roman" w:eastAsia="Times New Roman" w:hAnsi="Times New Roman"/>
                <w:sz w:val="15"/>
                <w:szCs w:val="15"/>
                <w:color w:val="auto"/>
              </w:rPr>
              <w:t>(1)</w:t>
            </w:r>
          </w:p>
        </w:tc>
        <w:tc>
          <w:tcPr>
            <w:tcW w:w="6360" w:type="dxa"/>
            <w:vAlign w:val="bottom"/>
            <w:gridSpan w:val="2"/>
          </w:tcPr>
          <w:p>
            <w:pPr>
              <w:ind w:left="2780"/>
              <w:spacing w:after="0"/>
              <w:rPr>
                <w:sz w:val="20"/>
                <w:szCs w:val="20"/>
                <w:color w:val="auto"/>
              </w:rPr>
            </w:pPr>
            <w:r>
              <w:rPr>
                <w:rFonts w:ascii="Times New Roman" w:cs="Times New Roman" w:eastAsia="Times New Roman" w:hAnsi="Times New Roman"/>
                <w:sz w:val="14"/>
                <w:szCs w:val="14"/>
                <w:b w:val="1"/>
                <w:bCs w:val="1"/>
                <w:color w:val="auto"/>
              </w:rPr>
              <w:t>Operation</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Own/Lease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18"/>
        </w:trPr>
        <w:tc>
          <w:tcPr>
            <w:tcW w:w="2880" w:type="dxa"/>
            <w:vAlign w:val="bottom"/>
            <w:vMerge w:val="continue"/>
          </w:tcPr>
          <w:p>
            <w:pPr>
              <w:spacing w:after="0"/>
              <w:rPr>
                <w:sz w:val="18"/>
                <w:szCs w:val="18"/>
                <w:color w:val="auto"/>
              </w:rPr>
            </w:pPr>
          </w:p>
        </w:tc>
        <w:tc>
          <w:tcPr>
            <w:tcW w:w="6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Headquarters, Administrative, Assembly and Research and</w:t>
            </w: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6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Development</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Playa Vista, California</w:t>
            </w:r>
          </w:p>
        </w:tc>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Marketing, Film Production and Post-Production</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w:t>
            </w:r>
          </w:p>
        </w:tc>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Tokyo, Japan</w:t>
            </w:r>
          </w:p>
        </w:tc>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Marketing and Maintenance</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Shanghai, China</w:t>
            </w:r>
          </w:p>
        </w:tc>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Marketing, Maintenance and Administrative</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Dublin, Ireland</w:t>
            </w:r>
          </w:p>
        </w:tc>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Marketing, Administrative and Research and</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6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Development</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Moscow, Russia</w:t>
            </w:r>
          </w:p>
        </w:tc>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London, United Kingdom</w:t>
            </w:r>
          </w:p>
        </w:tc>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239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50" w:lineRule="exact"/>
        <w:rPr>
          <w:sz w:val="20"/>
          <w:szCs w:val="20"/>
          <w:color w:val="auto"/>
        </w:rPr>
      </w:pPr>
    </w:p>
    <w:p>
      <w:pPr>
        <w:ind w:left="380" w:hanging="372"/>
        <w:spacing w:after="0" w:line="281"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is subject to a charge in favor of Wells Fargo Bank in connection with a secured term and revolving credit facility (see Note 14 of Notes to Consolidated Financial Statements in Part II, Item 8).</w:t>
      </w:r>
    </w:p>
    <w:p>
      <w:pPr>
        <w:spacing w:after="0" w:line="135" w:lineRule="exact"/>
        <w:rPr>
          <w:sz w:val="20"/>
          <w:szCs w:val="20"/>
          <w:color w:val="auto"/>
        </w:rPr>
      </w:pPr>
    </w:p>
    <w:p>
      <w:pPr>
        <w:ind w:right="740" w:firstLine="224"/>
        <w:spacing w:after="0" w:line="460" w:lineRule="auto"/>
        <w:rPr>
          <w:sz w:val="20"/>
          <w:szCs w:val="20"/>
          <w:color w:val="auto"/>
        </w:rPr>
      </w:pPr>
      <w:r>
        <w:rPr>
          <w:rFonts w:ascii="Times New Roman" w:cs="Times New Roman" w:eastAsia="Times New Roman" w:hAnsi="Times New Roman"/>
          <w:sz w:val="18"/>
          <w:szCs w:val="18"/>
          <w:color w:val="auto"/>
        </w:rPr>
        <w:t xml:space="preserve">The Company believes that its existing facilities and equipment are in good operating condition and are suitable for the conduct of its business. </w:t>
      </w: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Note 16 of Notes to Consolidated Financial Statements in Part II, Item 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31" w:name="page32"/>
    <w:bookmarkEnd w:id="31"/>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common shares are traded on the NYSE under the symbol “IMAX”.</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January 31, 2021, the Company had approximately 223 registered holders of record of its common shares.</w:t>
      </w:r>
    </w:p>
    <w:p>
      <w:pPr>
        <w:spacing w:after="0" w:line="184"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Over the last two years, the Company has not paid, nor does the Company have any current plans to pay, cash dividends on its common shares. The payment of dividends by the Company is subject to certain restrictions under the terms of the Company’s indebtedness (see Note 14 of Notes to Consolidated Financial Statements in Part II, Item 8 and “Liquidity and Capital Resources” in Part II, Item 7). The payment of any future dividends will be determined by the Board of Directors in light of conditions then existing, including the Company’s financial condition and requirements, future prospects, restrictions in financing agreements, business conditions and other factors deemed relevant by the Board of Directors.</w:t>
      </w:r>
    </w:p>
    <w:p>
      <w:pPr>
        <w:spacing w:after="0" w:line="15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In 2020, the Company expanded its share-based compensation program to include the issuance of performance share units (“PSUs”). Performance share units vest only if certain profitability and market targets are achieved at the end of a three-year performance period. The amount of compensation expense recognized for such performance-based share awards is dependent upon an assessment of the likelihood of achieving these defined future profitability or market targets at the end of the performance period. These assessments could result in a change to the number of PSUs that will ultimately vest as compared to the units granted.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Company’s Equity Compensation Plan as of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jc w:val="center"/>
              <w:ind w:right="23"/>
              <w:spacing w:after="0" w:line="148"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200" w:type="dxa"/>
            <w:vAlign w:val="bottom"/>
          </w:tcPr>
          <w:p>
            <w:pPr>
              <w:spacing w:after="0"/>
              <w:rPr>
                <w:sz w:val="12"/>
                <w:szCs w:val="12"/>
                <w:color w:val="auto"/>
              </w:rPr>
            </w:pPr>
          </w:p>
        </w:tc>
        <w:tc>
          <w:tcPr>
            <w:tcW w:w="19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960" w:type="dxa"/>
            <w:vAlign w:val="bottom"/>
          </w:tcPr>
          <w:p>
            <w:pPr>
              <w:jc w:val="center"/>
              <w:ind w:right="43"/>
              <w:spacing w:after="0" w:line="148"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960" w:type="dxa"/>
            <w:vAlign w:val="bottom"/>
          </w:tcPr>
          <w:p>
            <w:pPr>
              <w:jc w:val="center"/>
              <w:ind w:right="23"/>
              <w:spacing w:after="0" w:line="148"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10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200" w:type="dxa"/>
            <w:vAlign w:val="bottom"/>
          </w:tcPr>
          <w:p>
            <w:pPr>
              <w:spacing w:after="0"/>
              <w:rPr>
                <w:sz w:val="12"/>
                <w:szCs w:val="12"/>
                <w:color w:val="auto"/>
              </w:rPr>
            </w:pPr>
          </w:p>
        </w:tc>
        <w:tc>
          <w:tcPr>
            <w:tcW w:w="1980" w:type="dxa"/>
            <w:vAlign w:val="bottom"/>
            <w:gridSpan w:val="2"/>
          </w:tcPr>
          <w:p>
            <w:pPr>
              <w:jc w:val="center"/>
              <w:ind w:right="480"/>
              <w:spacing w:after="0" w:line="148"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960" w:type="dxa"/>
            <w:vAlign w:val="bottom"/>
          </w:tcPr>
          <w:p>
            <w:pPr>
              <w:jc w:val="center"/>
              <w:ind w:right="43"/>
              <w:spacing w:after="0" w:line="148"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100" w:type="dxa"/>
            <w:vAlign w:val="bottom"/>
            <w:gridSpan w:val="2"/>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200" w:type="dxa"/>
            <w:vAlign w:val="bottom"/>
          </w:tcPr>
          <w:p>
            <w:pPr>
              <w:spacing w:after="0"/>
              <w:rPr>
                <w:sz w:val="12"/>
                <w:szCs w:val="12"/>
                <w:color w:val="auto"/>
              </w:rPr>
            </w:pPr>
          </w:p>
        </w:tc>
        <w:tc>
          <w:tcPr>
            <w:tcW w:w="1980" w:type="dxa"/>
            <w:vAlign w:val="bottom"/>
            <w:gridSpan w:val="2"/>
          </w:tcPr>
          <w:p>
            <w:pPr>
              <w:jc w:val="center"/>
              <w:ind w:right="460"/>
              <w:spacing w:after="0" w:line="148"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960" w:type="dxa"/>
            <w:vAlign w:val="bottom"/>
          </w:tcPr>
          <w:p>
            <w:pPr>
              <w:jc w:val="center"/>
              <w:ind w:right="43"/>
              <w:spacing w:after="0" w:line="148"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00" w:type="dxa"/>
            <w:vAlign w:val="bottom"/>
          </w:tcPr>
          <w:p>
            <w:pPr>
              <w:spacing w:after="0"/>
              <w:rPr>
                <w:sz w:val="14"/>
                <w:szCs w:val="14"/>
                <w:color w:val="auto"/>
              </w:rPr>
            </w:pPr>
          </w:p>
        </w:tc>
        <w:tc>
          <w:tcPr>
            <w:tcW w:w="19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9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59"/>
        </w:trPr>
        <w:tc>
          <w:tcPr>
            <w:tcW w:w="500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Plan Category</w:t>
            </w:r>
          </w:p>
        </w:tc>
        <w:tc>
          <w:tcPr>
            <w:tcW w:w="210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(a)</w:t>
            </w:r>
          </w:p>
        </w:tc>
        <w:tc>
          <w:tcPr>
            <w:tcW w:w="200" w:type="dxa"/>
            <w:vAlign w:val="bottom"/>
          </w:tcPr>
          <w:p>
            <w:pPr>
              <w:spacing w:after="0"/>
              <w:rPr>
                <w:sz w:val="13"/>
                <w:szCs w:val="13"/>
                <w:color w:val="auto"/>
              </w:rPr>
            </w:pPr>
          </w:p>
        </w:tc>
        <w:tc>
          <w:tcPr>
            <w:tcW w:w="1980" w:type="dxa"/>
            <w:vAlign w:val="bottom"/>
            <w:gridSpan w:val="2"/>
          </w:tcPr>
          <w:p>
            <w:pPr>
              <w:jc w:val="center"/>
              <w:ind w:right="480"/>
              <w:spacing w:after="0" w:line="159" w:lineRule="exact"/>
              <w:rPr>
                <w:sz w:val="20"/>
                <w:szCs w:val="20"/>
                <w:color w:val="auto"/>
              </w:rPr>
            </w:pPr>
            <w:r>
              <w:rPr>
                <w:rFonts w:ascii="Times New Roman" w:cs="Times New Roman" w:eastAsia="Times New Roman" w:hAnsi="Times New Roman"/>
                <w:sz w:val="14"/>
                <w:szCs w:val="14"/>
                <w:b w:val="1"/>
                <w:bCs w:val="1"/>
                <w:color w:val="auto"/>
              </w:rPr>
              <w:t>(b)</w:t>
            </w:r>
          </w:p>
        </w:tc>
        <w:tc>
          <w:tcPr>
            <w:tcW w:w="1960" w:type="dxa"/>
            <w:vAlign w:val="bottom"/>
          </w:tcPr>
          <w:p>
            <w:pPr>
              <w:jc w:val="center"/>
              <w:ind w:right="43"/>
              <w:spacing w:after="0" w:line="159"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0"/>
        </w:trPr>
        <w:tc>
          <w:tcPr>
            <w:tcW w:w="880" w:type="dxa"/>
            <w:vAlign w:val="bottom"/>
            <w:tcBorders>
              <w:bottom w:val="single" w:sz="8" w:color="CFF0FC"/>
            </w:tcBorders>
            <w:shd w:val="clear" w:color="auto" w:fill="000000"/>
          </w:tcPr>
          <w:p>
            <w:pPr>
              <w:spacing w:after="0" w:line="20" w:lineRule="exact"/>
              <w:rPr>
                <w:sz w:val="1"/>
                <w:szCs w:val="1"/>
                <w:color w:val="auto"/>
              </w:rPr>
            </w:pPr>
          </w:p>
        </w:tc>
        <w:tc>
          <w:tcPr>
            <w:tcW w:w="4120" w:type="dxa"/>
            <w:vAlign w:val="bottom"/>
            <w:tcBorders>
              <w:bottom w:val="single" w:sz="8" w:color="CFF0FC"/>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6,819,644</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19.23</w:t>
            </w:r>
          </w:p>
        </w:tc>
        <w:tc>
          <w:tcPr>
            <w:tcW w:w="160" w:type="dxa"/>
            <w:vAlign w:val="bottom"/>
            <w:shd w:val="clear" w:color="auto" w:fill="CFF0FC"/>
          </w:tcPr>
          <w:p>
            <w:pPr>
              <w:spacing w:after="0"/>
              <w:rPr>
                <w:sz w:val="18"/>
                <w:szCs w:val="18"/>
                <w:color w:val="auto"/>
              </w:rPr>
            </w:pPr>
          </w:p>
        </w:tc>
        <w:tc>
          <w:tcPr>
            <w:tcW w:w="19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7,436,333</w:t>
            </w:r>
          </w:p>
        </w:tc>
        <w:tc>
          <w:tcPr>
            <w:tcW w:w="0" w:type="dxa"/>
            <w:vAlign w:val="bottom"/>
          </w:tcPr>
          <w:p>
            <w:pPr>
              <w:spacing w:after="0"/>
              <w:rPr>
                <w:sz w:val="1"/>
                <w:szCs w:val="1"/>
                <w:color w:val="auto"/>
              </w:rPr>
            </w:pPr>
          </w:p>
        </w:tc>
      </w:tr>
      <w:tr>
        <w:trPr>
          <w:trHeight w:val="211"/>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holders</w:t>
            </w:r>
          </w:p>
        </w:tc>
        <w:tc>
          <w:tcPr>
            <w:tcW w:w="2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nil</w:t>
            </w:r>
          </w:p>
        </w:tc>
        <w:tc>
          <w:tcPr>
            <w:tcW w:w="200" w:type="dxa"/>
            <w:vAlign w:val="bottom"/>
          </w:tcPr>
          <w:p>
            <w:pPr>
              <w:spacing w:after="0"/>
              <w:rPr>
                <w:sz w:val="20"/>
                <w:szCs w:val="20"/>
                <w:color w:val="auto"/>
              </w:rPr>
            </w:pPr>
          </w:p>
        </w:tc>
        <w:tc>
          <w:tcPr>
            <w:tcW w:w="1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nil</w:t>
            </w:r>
          </w:p>
        </w:tc>
        <w:tc>
          <w:tcPr>
            <w:tcW w:w="196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22"/>
        </w:trPr>
        <w:tc>
          <w:tcPr>
            <w:tcW w:w="50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6,819,644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19.23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96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7,436,333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940" w:type="dxa"/>
            <w:vAlign w:val="bottom"/>
          </w:tcPr>
          <w:p>
            <w:pPr>
              <w:jc w:val="right"/>
              <w:ind w:right="114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9"/>
                <w:szCs w:val="9"/>
                <w:color w:val="auto"/>
              </w:rPr>
            </w:pPr>
          </w:p>
        </w:tc>
        <w:tc>
          <w:tcPr>
            <w:tcW w:w="412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following graph compares the total cumulative shareholder return for $100 invested on December 31, 2013 (assuming that all dividends were reinvested) in common shares of the Company against the cumulative total return of the NYSE Composite Index, the S&amp;P/TSX Composite Index and the IMAX Peer Group to the end of the most recently completed fiscal year. The IMAX Peer Group consists of Ambarella, Inc., Avid Technologies, Inc., Cinemark Holdings, Inc., Cineplex Inc., Dolby Laboratories, Inc., Glu Mobile Inc., Harmonic Inc., Lions Gate Entertainment Corp., The Marcus Corporation, TiVo Corporation, World Wrestling Entertainment, Inc., and Zynga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111760</wp:posOffset>
            </wp:positionV>
            <wp:extent cx="5849620" cy="43357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9620" cy="4335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8"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In 2017, the Company’s Board of Directors approved a new $200.0 million share repurchase program for shares of the Company’s common stock that would have expired on June 30, 2020. In June 2020, the Board of Directors approved a 12-month extension of this program which will now expire on June 30, 2021. The repurchases may be made either in the open market or through private transactions, subject to market conditions, applicable legal requirements and other relevant factors. The Company has no obligation to repurchase shares and the share repurchase program may be suspended or discontinued by the Company at any time. During the three months ended December 31, 2020, the Company did not repurchase any shares under this program. In 2020, the Company repurchased 2,484,123 (2019 ― 134,384) common shares at an average price of $14.72 per share (2019 ― $19.76 per share), excluding commissions. As of December 31, 2020, the Company has $89.4 million available under its approved repurchase program.</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In 2019, IMAX China announced that its shareholders granted its Board of Directors a general mandate authorizing the Board, subject to applicable laws, to repurchase shares of IMAX China in an amount not to exceed 10% of the total number of issued shares of IMAX China as of June 6, 2019 (35,605,560 shares). This program expired on the date of the 2020 Annual General Meeting of IMAX China on June 11, 2020. During the 2020 Annual General Meeting, shareholders approved the repurchase of shares of IMAX China not to exceed 10% of the total number of issued shares as of June 11, 2020 (34,848,398 shares). This program will be valid until the 2021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months ended December 31, 2020, IMAX China did not repurchase any shares under this program. In 2020, IMAX China repurchased 906,400 (2019 ― 8,051,500) common shares at an average price of HKD $13.13 per share (U.S. $1.69 per share) (2019 ― HKD $18.63 per share; U.S. $2.38 per share).</w:t>
      </w:r>
    </w:p>
    <w:p>
      <w:pPr>
        <w:spacing w:after="0" w:line="151"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total number of shares purchased during the year ended December 31, 2020, under both the Company and IMAX China’s repurchase plans, does not include any shares purchased in the administration of employee share-based compensation plans.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INCOME TAX CONSIDERATIONS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following discussion is a general summary of the material U.S. federal income tax consequences of the ownership and disposition of the common shares by a holder of common shares that is an individual resident of the United States, a United States corporation, or an estate or trust the income of which is subject to U.S. federal income taxation regardless of its source (a “U.S. Holder”). This discussion does not address all aspects of U.S. federal income taxation that may be relevant to investors subject to special treatment under U.S. federal income tax law (including, for example, owners of 10.0% or more of the voting shares or value of the Company).</w:t>
      </w:r>
    </w:p>
    <w:p>
      <w:pPr>
        <w:spacing w:after="0" w:line="1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Shares</w:t>
      </w:r>
    </w:p>
    <w:p>
      <w:pPr>
        <w:spacing w:after="0" w:line="201"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In general, distributions (without reduction for Canadian withholding taxes) paid by the Company with respect to the common shares will be taxed to a U.S. Holder as foreign-source dividend income to the extent that such distributions do not exceed the current and accumulated earnings and profits of the Company (as determined for U.S. federal income tax purposes). Subject to certain limitations, under current law dividends paid to non-corporate U.S. Holders may be eligible for a reduced rate of taxation as long as the Company is considered to be a “qualified foreign corporation”. A qualified foreign corporation includes a foreign corporation that is eligible for the benefits of an income tax treaty with the United States or a foreign corporation, the stock of which is regularly tradable on an established securities market in the United States. The amount of a distribution that exceeds the current and accumulated earnings and profits of the Company will be treated first as a non-taxable return of capital to the extent of the U.S. Holder’s tax basis in the common shares and thereafter as taxable capital gain. Corporate holders generally will not be allowed a deduction for dividends received in respect of distributions on common shares. Subject to the limitations set forth in the U.S. Internal Revenue Code of 1986, as amended, as modified by the U.S.-Canada Income Tax Treaty, U.S. Holders may elect to claim a foreign tax credit against their U.S. federal income tax liability for Canadian income tax withheld from dividends. Alternatively, U.S. Holders may claim a deduction for such amounts of Canadian tax withheld.</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Common Shares</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Upon the sale or other disposition of common shares, a U.S. Holder generally will recognize capital gain or loss equal to the difference between the amount realized on the sale or other disposition and such holder’s tax basis in the common shares. Gain or loss upon the sale or other disposition of the common shares will be long-term if, at the time of the sale or other disposition, the common shares have been held for more than one year. Long-term capital gains of non-corporate U.S. Holders may be eligible for a reduced rate of taxation. The deduction of capital losses is subject to limitations for U.S. federal income tax purposes. A U.S. Holder’s gain or loss will generally be treated as U.S.-source income or loss for foreign tax credit purposes.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Canadian Federal Income Tax Considerations</w:t>
      </w:r>
    </w:p>
    <w:p>
      <w:pPr>
        <w:spacing w:after="0" w:line="186"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 xml:space="preserve">This summary is applicable to a holder or prospective purchaser of common shares who, for the purposes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any applicable treaty and at all relevant times, is not (and is not deemed to be) resident in Canada, does not (and is not deemed to) use or hold the common shares in, or in the course of, carrying on a business in Canada, and is not an insurer that carries on an insurance business in Canada and elsewhere.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 xml:space="preserve">This summary is based on the current provisions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the regulations thereunder, all specific proposals to amend such Act and regulations publicly announced by or on behalf of the Minister of Finance (Canada) prior to the date hereof and the Company’s understanding of the administrative policies and assessing practices published in writing by the Canada Revenue Agency prior to the date hereof. This summary does not otherwise take into account any change in law or administrative policy or assessing practice, whether by judicial, governmental, legislative or administrative decision or action, nor does it take into account other federal or provincial, territorial or foreign tax consequences, which may vary from the Canadian federal income tax considerations described herein.</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Dividends on Common Shares</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Canadian withholding tax at a rate of 25.0% (subject to reduction under the provisions of any applicable tax treaty) will be payable on dividends (or amounts paid or credited on account or in lieu of payment of, or in satisfaction of, dividends) paid or credited to a holder of common shares. Under the Canada - U.S. Income Tax Convention (1980), as amended (the “Canada - U.S. Income Tax Treaty”), the withholding tax rate is reduced to 15.0% for a holder who is entitled to the benefits of the Canada - U.S. Income Tax Treaty and who is the beneficial owner of the dividends (or to 5.0% if the holder is a company that owns at least 10.0% of the common shares).</w:t>
      </w:r>
    </w:p>
    <w:p>
      <w:pPr>
        <w:spacing w:after="0" w:line="1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Capital Gains and Losses</w:t>
      </w:r>
    </w:p>
    <w:p>
      <w:pPr>
        <w:spacing w:after="0" w:line="201"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 xml:space="preserve">Subject to the provisions of any relevant tax treaty, capital gains realized by a holder on the disposition or deemed disposition of common shares held as capital property will not be subject to Canadian tax unless the common shares are taxable Canadian property (as defined in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in which case the capital gains will be subject to Canadian tax at rates which will approximate those payable by a Canadian resident. Common shares generally will not be taxable Canadian property to a holder provided that, at the time of the disposition or deemed disposition, the common shares are listed on a designated stock exchange (which currently includes the NYSE) unless at any time within the 60 month period immediately preceding such time (a) any combination of (i) such holder, (ii) persons with whom such holder did not deal at arm’s length or (iii) a partnership in which such holder or any such persons holds a membership interest either directly or indirectly through one or more partnerships, owned 25.0% or more of the issued shares of any class or series of shares of the Company and (b) more than 50% of the fair market value of the common shares was derived directly or indirectly from one or any combination of (i) real or immovable property situated in Canada, (ii) Canadian resource properties, (iii) timber resource properties, and (iv) options in respect of, or interests in, or for civil law rights in, property described in any of paragraphs (i) to (iii), whether or not the property exists. In certain circumstances set out in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the common shares may be deemed to be taxable Canadian property. Under the Canada - U.S. Income Tax Treaty, a holder who is entitled to the benefits of the Canada - U.S. Income Tax Treaty and to whom the common shares are taxable, Canadian property will not be subject to Canadian tax on the disposition or deemed disposition of the common shares unless at the time of disposition or deemed disposition, the value of the common shares is derived principally from real property situated in Canada.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Reserved.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5" w:name="page36"/>
    <w:bookmarkEnd w:id="35"/>
    <w:p>
      <w:pPr>
        <w:ind w:right="3940"/>
        <w:spacing w:after="0" w:line="463"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IMAX is one of the world’s leading entertainment technology companies, specializing in technological innovations powering the presentation of some of today’s most immersive entertainment experiences. Through its proprietary software, theater architecture, patented intellectual property and specialized equipment, IMAX offers a unique end-to-end cinematic solution to create the highest quality, most immersive motion picture and other entertainment event experiences for which the IMAX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brand has become known globally. Top filmmakers and movie studios utilize the cutting-edge visual and sound technology of IMAX to connect with audiences in innovative ways, and, as a result, IMAX’s network is among the most important and successful distribution platforms for major films and other events around the world.</w:t>
      </w:r>
    </w:p>
    <w:p>
      <w:pPr>
        <w:spacing w:after="0" w:line="143"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leverages its innovative technology and engineering in all aspects of its core business, which principally consists of the digital remastering of films and other presentations into the IMAX format (“IMAX DMR”) and the sale or lease of premium IMAX theater systems (“IMAX Theater Systems”).</w:t>
      </w:r>
    </w:p>
    <w:p>
      <w:pPr>
        <w:spacing w:after="0" w:line="136"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IMAX Theater Systems are based on proprietary and patented image, audio and other technology developed over the course of the Company’s 53-year history. The Company’s customers are theater exhibitors that operate commercial theaters (particularly multiplexes), museums, science centers, or destination entertainment sites. The Company generally does not own the theaters in the IMAX network, but sells or leases the IMAX Theater System along with a license to use its trademarks.</w:t>
      </w:r>
    </w:p>
    <w:p>
      <w:pPr>
        <w:spacing w:after="0" w:line="154"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As of December 31, 2020, there were 1,650 IMAX Theater Systems operating in 84 countries and territories, including 1,562 commercial multiplexes, 12 commercial destinations, and 76 institutional locations. This compares to 1,624 IMAX Theater Systems operating in 81 countries and territories as of December 31, 2019 including 1,529 commercial multiplexes, 14 commercial destinations, and 81 institutional locations. (See the table below under “IMAX Network and Backlog” for additional information on the composition of the IMAX network.)</w:t>
      </w:r>
    </w:p>
    <w:p>
      <w:pPr>
        <w:spacing w:after="0" w:line="1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IMAX Theater System provides the Company’s exhibitor customers with a combination of the following benefits:</w:t>
      </w:r>
    </w:p>
    <w:p>
      <w:pPr>
        <w:spacing w:after="0" w:line="184" w:lineRule="exact"/>
        <w:rPr>
          <w:sz w:val="20"/>
          <w:szCs w:val="20"/>
          <w:color w:val="auto"/>
        </w:rPr>
      </w:pPr>
    </w:p>
    <w:p>
      <w:pPr>
        <w:ind w:left="580" w:right="20" w:hanging="357"/>
        <w:spacing w:after="0" w:line="281" w:lineRule="auto"/>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exhibit content that has undergone the IMAX DMR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conversion process, which results in higher image and sound fidelity than conventional cinema experiences;</w:t>
      </w:r>
    </w:p>
    <w:p>
      <w:pPr>
        <w:spacing w:after="0" w:line="161" w:lineRule="exact"/>
        <w:rPr>
          <w:rFonts w:ascii="Times New Roman" w:cs="Times New Roman" w:eastAsia="Times New Roman" w:hAnsi="Times New Roman"/>
          <w:sz w:val="18"/>
          <w:szCs w:val="18"/>
          <w:color w:val="auto"/>
        </w:rPr>
      </w:pPr>
    </w:p>
    <w:p>
      <w:pPr>
        <w:ind w:left="580" w:hanging="357"/>
        <w:spacing w:after="0" w:line="281" w:lineRule="auto"/>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high-resolution projectors with specialized equipment and automated theater control systems, which generate significantly more contrast and brightness than conventional theater systems;</w:t>
      </w:r>
    </w:p>
    <w:p>
      <w:pPr>
        <w:spacing w:after="0" w:line="161" w:lineRule="exact"/>
        <w:rPr>
          <w:rFonts w:ascii="Times New Roman" w:cs="Times New Roman" w:eastAsia="Times New Roman" w:hAnsi="Times New Roman"/>
          <w:sz w:val="18"/>
          <w:szCs w:val="18"/>
          <w:color w:val="auto"/>
        </w:rPr>
      </w:pPr>
    </w:p>
    <w:p>
      <w:pPr>
        <w:ind w:left="580" w:hanging="357"/>
        <w:spacing w:after="0" w:line="281" w:lineRule="auto"/>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screens and proprietary theater geometry, which result in a substantially larger field of view so that the screen extends to the edge of a viewer’s peripheral vision and creates more realistic images;</w:t>
      </w:r>
    </w:p>
    <w:p>
      <w:pPr>
        <w:spacing w:after="0" w:line="161" w:lineRule="exact"/>
        <w:rPr>
          <w:rFonts w:ascii="Times New Roman" w:cs="Times New Roman" w:eastAsia="Times New Roman" w:hAnsi="Times New Roman"/>
          <w:sz w:val="18"/>
          <w:szCs w:val="18"/>
          <w:color w:val="auto"/>
        </w:rPr>
      </w:pPr>
    </w:p>
    <w:p>
      <w:pPr>
        <w:ind w:left="580" w:hanging="357"/>
        <w:spacing w:after="0" w:line="281" w:lineRule="auto"/>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sound system components, which deliver more expansive sound imagery and pinpointed origination of sound to any specific spot in an IMAX theater;</w:t>
      </w:r>
    </w:p>
    <w:p>
      <w:pPr>
        <w:spacing w:after="0" w:line="161" w:lineRule="exact"/>
        <w:rPr>
          <w:rFonts w:ascii="Times New Roman" w:cs="Times New Roman" w:eastAsia="Times New Roman" w:hAnsi="Times New Roman"/>
          <w:sz w:val="18"/>
          <w:szCs w:val="18"/>
          <w:color w:val="auto"/>
        </w:rPr>
      </w:pPr>
    </w:p>
    <w:p>
      <w:pPr>
        <w:ind w:left="580" w:hanging="357"/>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theater acoustics, which result in a four-fold reduction in background noise; and</w:t>
      </w:r>
    </w:p>
    <w:p>
      <w:pPr>
        <w:spacing w:after="0" w:line="223" w:lineRule="exact"/>
        <w:rPr>
          <w:rFonts w:ascii="Times New Roman" w:cs="Times New Roman" w:eastAsia="Times New Roman" w:hAnsi="Times New Roman"/>
          <w:sz w:val="18"/>
          <w:szCs w:val="18"/>
          <w:color w:val="auto"/>
        </w:rPr>
      </w:pPr>
    </w:p>
    <w:p>
      <w:pPr>
        <w:ind w:left="580" w:hanging="357"/>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to the globally recognized IMAX brand.</w:t>
      </w:r>
    </w:p>
    <w:p>
      <w:pPr>
        <w:spacing w:after="0" w:line="184"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addition, certain movies shown in IMAX theaters are filmed using proprietary IMAX film and IMAX certified digital cameras, which offer filmmakers customized guidance and a workflow process to provide further enhanced and differentiated image quality and a film aspect ratio that delivers up to 26% more image onto a movie screen.</w:t>
      </w:r>
    </w:p>
    <w:p>
      <w:pPr>
        <w:spacing w:after="0" w:line="149"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Together these components cause audiences in IMAX theaters to feel as if they are a part of the on-screen action, creating a more intense, immersive and exciting experience than a traditional theater.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 xml:space="preserve">As a result of the engineering and scientific achievements that are a hallmark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exhibitor customers typically charge a premium for IMAX DMR films over films exhibited in their other auditoriums. The premium pricing, combined with the higher attendance levels associated with IMAX DMR films, generates incremental box office for the Company’s exhibitor customers and for the movie studios releasing their films to the IMAX network. The incremental box office generated by IMAX DMR films has helped establish IMAX as a key premium distribution and marketing platform for Hollywood blockbuster films.</w:t>
      </w:r>
    </w:p>
    <w:p>
      <w:pPr>
        <w:spacing w:after="0" w:line="155"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As one of the world’s leaders in entertainment technology, the Company strives to remain at the forefront of advancements in cinema technology. In 2018, the Company introduced IMAX with Laser, a laser projection system designed for IMAX theaters in commercial multiplexes, which represents a further evolution of IMAX’s proprietary technology. The Company believes that IMAX with Laser delivers increased resolution, sharper and brighter images, deeper contrast as well as the widest range of colors available to filmmakers today. The Company further believes that IMAX with Laser is helping facilitate the next major lease renewal and upgrade cycle for the global IMAX network.</w:t>
      </w:r>
    </w:p>
    <w:p>
      <w:pPr>
        <w:spacing w:after="0" w:line="144"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is also experimenting with new technologies and new content as a way to deepen consumer engagement and brand loyalty, which includes curating unique, differentiated alternative content to be exhibited in IMAX theaters, particularly during those periods when Hollywood blockbuster film content is not available.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PANDEMIC</w:t>
      </w:r>
    </w:p>
    <w:p>
      <w:pPr>
        <w:spacing w:after="0" w:line="201" w:lineRule="exact"/>
        <w:rPr>
          <w:sz w:val="20"/>
          <w:szCs w:val="20"/>
          <w:color w:val="auto"/>
        </w:rPr>
      </w:pPr>
    </w:p>
    <w:p>
      <w:pPr>
        <w:jc w:val="both"/>
        <w:ind w:firstLine="224"/>
        <w:spacing w:after="0" w:line="251" w:lineRule="auto"/>
        <w:rPr>
          <w:sz w:val="20"/>
          <w:szCs w:val="20"/>
          <w:color w:val="auto"/>
        </w:rPr>
      </w:pPr>
      <w:r>
        <w:rPr>
          <w:rFonts w:ascii="Times New Roman" w:cs="Times New Roman" w:eastAsia="Times New Roman" w:hAnsi="Times New Roman"/>
          <w:sz w:val="18"/>
          <w:szCs w:val="18"/>
          <w:color w:val="auto"/>
        </w:rPr>
        <w:t>In late January 2020, in response to the public health risks associated with COVID-19, the Chinese government directed exhibitors in China to temporarily close more than 70,000 movie theaters, including all of the approximately 700 IMAX theaters in mainland China. On March 11, 2020, due to the worsening public health crisis associated with the novel coronavirus, COVID-19 was characterized as a pandemic by the World Health Organization, and in the following weeks, local, state and national governments instituted stay-at-home orders and restrictions on large public gatherings which caused movie theaters in countries around the world to temporarily close, including substantially all of the IMAX theaters in those countries. As a result of the theater closures, movie studios postponed the theatrical release of most films originally scheduled for release in 2020 and early 2021, including many scheduled to be shown in IMAX theaters, while several other films were released directly or concurrently to streaming platforms. More recently, stay-at-home orders have been lifted in many countries and movie theaters throughout the IMAX network gradually reopened in the third quarter of 2020 with reduced capacities, physical distancing requirements, and other safety measures. As of December 31, 2020, 71% of the theaters in the IMAX commercial multiplex network were open, spanning 41 countries. This included 44% of the theaters in Domestic (i.e., United States and Canada) locations, 97% of the theaters in Greater China and 53% of the theaters in Rest of World markets. In many parts of Asia, audiences have returned to theaters, particularly IMAX theaters, in numbers consistent with pre-pandemic attendance levels despite the continued delay of Hollywood theatrical releases, which typically account for 70% of box office ticket sales in those regions. Management believes this indicates that moviegoers are eager to return to cinemas where and when theaters are open and moviegoers feel safe. However, ticket sales have been significantly lower than normal levels in theaters outside of Asia as Hollywood movie studios have further delayed the theatrical release dates for a number of films. As a result, certain theater chains have remained closed or have reduced their operating hours. In addition, theaters in major markets remain temporarily closed.</w:t>
      </w:r>
    </w:p>
    <w:p>
      <w:pPr>
        <w:spacing w:after="0" w:line="159"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The repercussions of the COVID-19 global pandemic resulted in a significant decrease in the Company’s revenues, earnings and operating cash flows in 2020 as gross box office (“GBO”) results from the Company’s theater customers declined significantly, the installation of certain theater systems was delayed, and maintenance services were generally suspended for theaters that were closed. While there continues to be a lack of new films released by movie studios and a significant number of theaters in the IMAX network are closed, the Company is experiencing a significant decline in earnings and operating cash flows as it is generating significantly lower than normal levels of GBO-based revenue from its joint revenue sharing arrangements and digital remastering services, it is unable to provide normal maintenance services to any of the theaters that remain closed, and while some installation activity is continuing, certain theater system installations have, and may continue to be delayed. In addition, the Company has experienced and is likely to continue to experience delays in collecting payments due under existing theater sale or lease arrangements from its exhibitor customers who are facing financial difficulties as a result of the theater closures. In response, the Company has provided temporary relief to exhibitor customers by waiving or reducing maintenance fees during periods when theaters are closed or operating with reduced capacities and, in certain situations, by providing extended payment terms on annual minimum payment obligations in exchange for a corresponding or longer extension of the term of the underlying sale or lease arrangement. In 2020, the Company increased its provision for current expected credit losses by $18.6 million, in part reflecting a reduction in the credit quality of its theater related accounts receivable, financing receivables and variable consideration receivables, which management believes is primarily related to the COVID-19 pandemic and adequately addresses the risk of not collecting these receivables in full.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7" w:name="page38"/>
    <w:bookmarkEnd w:id="37"/>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 xml:space="preserve">Management is encouraged by recent box office results in markets like China, Japan and South Korea where the virus is under control and audiences have demonstrated a willingness to return to cinema. However, the Company may </w:t>
      </w:r>
      <w:r>
        <w:rPr>
          <w:rFonts w:ascii="Times New Roman" w:cs="Times New Roman" w:eastAsia="Times New Roman" w:hAnsi="Times New Roman"/>
          <w:sz w:val="18"/>
          <w:szCs w:val="18"/>
          <w:color w:val="212529"/>
        </w:rPr>
        <w:t>continue to be significantly impacted by the COVID-19 global pandemic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even after a significant portion or all theaters are reopened. The global economic impact of COVID-19 has led to record levels of unemployment in certain countries, which has led to, and may continue to result in lower consumer spending. The timing and extent of a recovery of consumer behavior and willingness to spend discretionary income on movie-going may delay the Company’s ability to generate significant GBO-based revenue until consumer behavior normalizes and consumer spending recovers.</w:t>
      </w:r>
    </w:p>
    <w:p>
      <w:pPr>
        <w:spacing w:after="0" w:line="157"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response to uncertainties associated with the COVID-19 global pandemic, the Company has taken and is continuing to take significant steps to preserve cash by eliminating non-essential costs, placing certain employees on a temporary furlough, reducing the working hours of other employees and reducing all non-essential capital expenditures to minimum levels.</w:t>
      </w:r>
    </w:p>
    <w:p>
      <w:pPr>
        <w:spacing w:after="0" w:line="136"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has also implemented an active cash management process, which, among other things, requires senior management approval of all outgoing payments. In addition, in the first quarter of 2020, the Company drew down $280.0 million in remaining available borrowing capacity under the Credit Facility provided by its Credit Agreement with Wells Fargo Bank, National Association (both as defined in “Liquidity and Capital Resources”), which was then amended in June 2020 to, among other things, suspend the Senior Secured Net Leverage Ratio financial covenant in the Credit Agreement through the first quarter of 2021 and substitute quarterly EBITDA from the third and fourth quarters of 2019 in lieu of the EBITDA for the corresponding quarters of 2020 to meet the original Senior Secured Net Leverage Ratio financial covenant.</w:t>
      </w:r>
    </w:p>
    <w:p>
      <w:pPr>
        <w:spacing w:after="0" w:line="143"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As of December 31, 2020, the Company was in compliance with all of its requirements under the Credit Agreement, as amended. The Company’s continued compliance with the requirements of the Credit Agreement will depend on the Company’s ability to generate sufficient EBITDA to ensure compliance with the Senior Secured Net Leverage Ratio covenant throughout the next twelve months, which is dependent on the timing of when theaters in the IMAX network resume normal operations. The risk of breaching this covenant within the next twelve months increases significantly as the ongoing COVID-19 pandemic continues to adversely impact the Company’s ability to generate EBITDA. A violation of this covenant would represent an event of default under the terms of the Credit Agreement, allowing lenders to declare the principal and interest on all outstanding Credit Facility indebtedness due or payable immediately. If a breach of the Senior Secured Net Leverage Ratio covenant were to occur, however, management believes the Company would be able to either reduce a sufficient portion of the drawn amount on the Credit Facility with existing cash balances to achieve compliance, obtain additional sources of liquidity prior to the time when the repayment of its outstanding Credit Facility indebtedness would be required, or negotiate a further amendment with its lenders to the Credit Agreement to provide further covenant relief.</w:t>
      </w:r>
    </w:p>
    <w:p>
      <w:pPr>
        <w:spacing w:after="0" w:line="162"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has applied for and received wage subsidies, tax credits and other financial support under COVID-19 relief legislation that has been enacted in the countries in which it operates. During 2020, the Company recognized $6.4 million in benefits from the Canada Emergency Wage Subsidy (“CEWS”) program and $0.7 million in benefits from the U.S. CARES Act, as reductions to Selling, General and Administrative Expenses ($6.0 million), Costs and Expenses Applicable to Revenues ($1.0 million) and Research and Development ($0.1 million) in the Consolidated Statements of Operations. The CEWS program has been extended to June 2021. The Company will continue to review and apply for additional subsidies and credits for the remaining terms of these programs, where applicable.</w:t>
      </w:r>
    </w:p>
    <w:p>
      <w:pPr>
        <w:spacing w:after="0" w:line="143" w:lineRule="exact"/>
        <w:rPr>
          <w:sz w:val="20"/>
          <w:szCs w:val="20"/>
          <w:color w:val="auto"/>
        </w:rPr>
      </w:pPr>
    </w:p>
    <w:p>
      <w:pPr>
        <w:jc w:val="both"/>
        <w:ind w:firstLine="224"/>
        <w:spacing w:after="0" w:line="270" w:lineRule="auto"/>
        <w:rPr>
          <w:sz w:val="20"/>
          <w:szCs w:val="20"/>
          <w:color w:val="auto"/>
        </w:rPr>
      </w:pPr>
      <w:r>
        <w:rPr>
          <w:rFonts w:ascii="Times New Roman" w:cs="Times New Roman" w:eastAsia="Times New Roman" w:hAnsi="Times New Roman"/>
          <w:sz w:val="17"/>
          <w:szCs w:val="17"/>
          <w:color w:val="auto"/>
        </w:rPr>
        <w:t>In the fourth quarter of 2020, the Company performed its annual goodwill impairment test considering the latest available information and determined that its goodwill was not impaired. As of December 31, 2020, the Company’s total Goodwill was $39.0 million, of which $19.1 million relates to the IMAX Systems reporting unit, $13.5 million relates to the Joint Revenue Sharing Arrangement reporting unit, and $6.4 million relates to the IMAX Maintenance reporting unit. The impairment test was performed on a reporting unit level by comparing each unit’s carrying value, including goodwill, to its fair value. The carrying value of each reporting unit is based on a systematic and rational allocation of certain assets and liabilities. The fair value of each reporting unit is assessed using a discounted cash flow model based on management’s current short-term forecast and estimated long-term projections, against which various sensitivity analyses are performed. The discount rates used in the cash flow model are derived based on the Company’s estimated weighted average cost of capital. These estimates and the likelihood of future changes in these estimates depend on a number of underlying variables and a range of possible outcomes. Actual results may materially differ from management’s estimates, especially due to the uncertainties associated with the COVID-19 pandemic.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8" w:name="page39"/>
    <w:bookmarkEnd w:id="38"/>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In the fourth quarter of 2020, the Company also updated its recoverability tests of the carrying values of the theater system equipment supporting its joint revenue sharing arrangements, which are recorded within Property, Plant and Equipment. In performing its reviews of recoverability, the Company estimated the undiscounted future cash flows expected to result from the use of the assets. The cash flow estimates used in these tests are consistent with management’s estimated long-term projections, against which various sensitivity analyses were performed. These estimates are highly uncertain due to the COVID-19 global pandemic; therefore, management’s estimated cash flows factor in a number of underlying variables and ranges of possible cash flow scenarios. Actual results may materially differ from management’s estimates, especially due to the uncertainties associated with the COVID-19 pandemic. For the year ended December 31, 2020, the Company recorded impairment losses of $0.3 million related to the theater system equipment supporting its joint revenue sharing arrangements. (See Note 3 of Notes to Consolidated Financial Statements in Part II, Item 8.)</w:t>
      </w:r>
    </w:p>
    <w:p>
      <w:pPr>
        <w:spacing w:after="0" w:line="160"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In the third quarter of 2020, the Company assessed the recoverability of its deferred tax assets and recorded a $23.7 million valuation allowance to reduce the value of deferred tax assets. The valuation allowance was recorded in the jurisdictions where management could not reliably forecast that future tax liabilities would arise within the next five years, primarily due to the uncertainties around the long-term impact of the COVID-19 global pandemic. In the fourth quarter of 2020, the Company increased the valuation allowance against its deferred tax assets by $4.9 million due to additional losses recorded in the period. The valuation allowance is expected to reverse when the Company determines it is more likely than not that the deferred tax assets in these jurisdictions will be realized. Despite this valuation allowance, the Company remains entitled to benefit from the tax attributes which currently have a valuation allowance applied to them.</w:t>
      </w:r>
    </w:p>
    <w:p>
      <w:pPr>
        <w:spacing w:after="0" w:line="144"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If business conditions deteriorate further, or should they remain depressed for a more prolonged period of time, management’s estimates of operating results and future cash flows for the IMAX Systems and Joint Revenue Sharing Arrangements reporting units may be insufficient to support the goodwill assigned to them, thus requiring impairment charges. The Company will continue to evaluate the recoverability of goodwill at the reporting unit level on an annual basis and whenever events or changes in circumstances indicate there may be a potential impairment. In addition, estimates related to future expected credit losses and the recoverability of deferred tax assets, as well as the recoverability of joint revenue sharing equipment assets and the realization of variable consideration assets, could also be further impacted by changes in management’s estimates. (see Notes 3, 5 and 12 of Notes to Consolidated Financial Statements in Part II, Item 8).</w:t>
      </w:r>
    </w:p>
    <w:p>
      <w:pPr>
        <w:spacing w:after="0" w:line="144"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(See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 Item 1A, “Management’s Discussion and Analysis of Financial Condition and Results of Operations – Impact of COVID-19 Pandemic” and Note 2 of Notes to Consolidated Financial Statements in Part II, Item 8.)</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For the purposes of MD&amp;A the Company has organized its reportable segments into the following four categories: (i) IMAX Technology Network; (ii) IMAX Technology Sales and Maintenance; (iii) New Business Initiatives; and (iv) Film Distribution and Post-Production. Within these four categories are the Company’s following reportable segments: (i) IMAX DMR; (ii) Joint Revenue Sharing Arrangements; (iii) IMAX Systems; (iv) IMAX Maintenance;</w:t>
      </w:r>
    </w:p>
    <w:p>
      <w:pPr>
        <w:jc w:val="both"/>
        <w:ind w:firstLine="8"/>
        <w:spacing w:after="0" w:line="254"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Theater Business; (vi) New Business Initiatives; (vii) Film Distribution; and (viii) Film Post-Production. In the first quarter of 2020, the Company updated certain financial statement line descriptions (with no change to the classification of amounts) within Revenues and Costs and Expenses Applicable to Revenues in its Consolidated Statements of Operations to better describe the nature of its revenue-generating activities and related costs.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Technology Network</w:t>
      </w:r>
    </w:p>
    <w:p>
      <w:pPr>
        <w:spacing w:after="0" w:line="201"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The IMAX Technology Network category earns revenue based on contingent box office receipts and includes the IMAX DMR segment and contingent rent from the Joint Revenue Sharing Arrangement (“JRSA”) segment, as described in more detail below.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DMR</w:t>
      </w:r>
    </w:p>
    <w:p>
      <w:pPr>
        <w:spacing w:after="0" w:line="186"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 has developed IMAX DMR, a proprietary technology that digitally remasters Hollywood films into IMAX formats. In a typical IMAX DMR film arrangement, the Company receives a percentage of the box office receipts from a movie studio in exchange for converting a commercial film into IMAX DMR format and distributing it through the IMAX network. In recent years, the percentage of gross box office receipts earned in IMAX DMR arrangements has averaged approximately 12.5%, except for within Greater China, where the Company receives a lower percentage of net box office receipts for certain Hollywood films.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9" w:name="page40"/>
    <w:bookmarkEnd w:id="39"/>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 xml:space="preserve">IMAX DMR digitally enhances the image resolution of motion picture films for projection on IMAX screens while maintaining or enhancing the visual clarity and sound quality to levels for which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is known. In addition, the original soundtrack of a film to be exhibited in IMAX theaters is remastered for IMAX digital sound systems in connection with the IMAX DMR release of the film. Unlike the soundtracks played in conventional theaters, IMAX remastered soundtracks are uncompressed and full fidelity. IMAX sound systems use proprietary loudspeaker systems and proprietary surround sound configurations that ensure every theater seat is in an optimal listening position.</w:t>
      </w:r>
    </w:p>
    <w:p>
      <w:pPr>
        <w:spacing w:after="0" w:line="158"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 xml:space="preserve">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taking advantage of the unique dimensions of the IMAX screen by projecting the film in a larger aspect ratio that delivers up to 26% more image onto a movie screen. </w:t>
      </w:r>
      <w:r>
        <w:rPr>
          <w:rFonts w:ascii="Times New Roman" w:cs="Times New Roman" w:eastAsia="Times New Roman" w:hAnsi="Times New Roman"/>
          <w:sz w:val="18"/>
          <w:szCs w:val="18"/>
          <w:i w:val="1"/>
          <w:iCs w:val="1"/>
          <w:color w:val="auto"/>
        </w:rPr>
        <w:t>Avengers: Endgame</w:t>
      </w:r>
      <w:r>
        <w:rPr>
          <w:rFonts w:ascii="Times New Roman" w:cs="Times New Roman" w:eastAsia="Times New Roman" w:hAnsi="Times New Roman"/>
          <w:sz w:val="18"/>
          <w:szCs w:val="18"/>
          <w:color w:val="auto"/>
        </w:rPr>
        <w:t xml:space="preserve">, the highest-grossing film in history, released in April 2019, was shot entirely using IMAX cameras. In 2020, Universal Pictures’ </w:t>
      </w:r>
      <w:r>
        <w:rPr>
          <w:rFonts w:ascii="Times New Roman" w:cs="Times New Roman" w:eastAsia="Times New Roman" w:hAnsi="Times New Roman"/>
          <w:sz w:val="18"/>
          <w:szCs w:val="18"/>
          <w:i w:val="1"/>
          <w:iCs w:val="1"/>
          <w:color w:val="auto"/>
        </w:rPr>
        <w:t>1917</w:t>
      </w:r>
      <w:r>
        <w:rPr>
          <w:rFonts w:ascii="Times New Roman" w:cs="Times New Roman" w:eastAsia="Times New Roman" w:hAnsi="Times New Roman"/>
          <w:sz w:val="18"/>
          <w:szCs w:val="18"/>
          <w:color w:val="auto"/>
        </w:rPr>
        <w:t xml:space="preserve"> was released with select scenes specifically formatted for IMAX screens, Warner Bros. Pictures’ </w:t>
      </w:r>
      <w:r>
        <w:rPr>
          <w:rFonts w:ascii="Times New Roman" w:cs="Times New Roman" w:eastAsia="Times New Roman" w:hAnsi="Times New Roman"/>
          <w:sz w:val="18"/>
          <w:szCs w:val="18"/>
          <w:i w:val="1"/>
          <w:iCs w:val="1"/>
          <w:color w:val="auto"/>
        </w:rPr>
        <w:t>Tenet</w:t>
      </w:r>
      <w:r>
        <w:rPr>
          <w:rFonts w:ascii="Times New Roman" w:cs="Times New Roman" w:eastAsia="Times New Roman" w:hAnsi="Times New Roman"/>
          <w:sz w:val="18"/>
          <w:szCs w:val="18"/>
          <w:color w:val="auto"/>
        </w:rPr>
        <w:t xml:space="preserve"> was filmed with IMAX cameras, and Warner Bros. Pictures’ </w:t>
      </w:r>
      <w:r>
        <w:rPr>
          <w:rFonts w:ascii="Times New Roman" w:cs="Times New Roman" w:eastAsia="Times New Roman" w:hAnsi="Times New Roman"/>
          <w:sz w:val="18"/>
          <w:szCs w:val="18"/>
          <w:i w:val="1"/>
          <w:iCs w:val="1"/>
          <w:color w:val="auto"/>
        </w:rPr>
        <w:t>Wonder Woman 1984</w:t>
      </w:r>
      <w:r>
        <w:rPr>
          <w:rFonts w:ascii="Times New Roman" w:cs="Times New Roman" w:eastAsia="Times New Roman" w:hAnsi="Times New Roman"/>
          <w:sz w:val="18"/>
          <w:szCs w:val="18"/>
          <w:color w:val="auto"/>
        </w:rPr>
        <w:t xml:space="preserve">, released globally in December 2020, was partially shot with IMAX cameras. In addition, Bona Film’s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Rescue</w:t>
      </w:r>
      <w:r>
        <w:rPr>
          <w:rFonts w:ascii="Times New Roman" w:cs="Times New Roman" w:eastAsia="Times New Roman" w:hAnsi="Times New Roman"/>
          <w:sz w:val="18"/>
          <w:szCs w:val="18"/>
          <w:color w:val="auto"/>
        </w:rPr>
        <w:t>, which was released in China in December 2020, has an expanded aspect ratio that is exclusive to IMAX.</w:t>
      </w:r>
    </w:p>
    <w:p>
      <w:pPr>
        <w:spacing w:after="0" w:line="147"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 xml:space="preserve">The Company believes that growth in international box office remains an important driver of growth for the Company. To support continued growth in international markets, the Company has sought to bolster its international film strategy, supplementing the Company’s film slate of Hollywood DMR titles with appealing local IMAX DMR releases in select markets, particularly in China. During 2019, 18 local language IMAX DMR films were released to the IMAX network, including 14 in China and one in each of Japan, South Korea, India and Russia. The blockbuster </w:t>
      </w:r>
      <w:r>
        <w:rPr>
          <w:rFonts w:ascii="Times New Roman" w:cs="Times New Roman" w:eastAsia="Times New Roman" w:hAnsi="Times New Roman"/>
          <w:sz w:val="18"/>
          <w:szCs w:val="18"/>
          <w:i w:val="1"/>
          <w:iCs w:val="1"/>
          <w:color w:val="auto"/>
        </w:rPr>
        <w:t>Ne Zha: 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was released in China in July 2019 and it is the Company’s first Chinese animated local language film title. During 2020, 17 local language IMAX DMR films were released into the IMAX network, including ten in China, three in Russia, three in Japan, and one in South Korea. The Company expects to announce additional local language IMAX DMR films to be released to the IMAX network in 2021.</w:t>
      </w:r>
    </w:p>
    <w:p>
      <w:pPr>
        <w:spacing w:after="0" w:line="144"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 remains in active negotiations with all major Hollywood studios for additional films to fill out its short and long-term film slate for the IMAX network. However, as a result of the theater closures associated with the COVID-19 global pandemic, Hollywood movie studios have postponed the theatrical release of most films originally scheduled for release in 2020 and early 2021, including many scheduled to be shown in IMAX theaters, while several other films have been released directly or concurrently to streaming platforms. Accordingly, as of the filing of this report, there remains uncertainty around the release dates of certain major films.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Revenue Sharing Arrangements – Contingent Rent</w:t>
      </w:r>
    </w:p>
    <w:p>
      <w:pPr>
        <w:spacing w:after="0" w:line="186"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JRSA segment provides IMAX Theater Systems to exhibitors through joint revenue sharing arrangements. Under the traditional form of these arrangements, IMAX provides the IMAX projection and sound system under a long-term lease in which the Company assumes the majority of the equipment and installation costs. In exchange for its upfront investment, the Company earns rent based on a percentage of contingent box office receipts and, in some cases, concession revenues, rather than requiring the customer to pay a fixed upfront fee or annual minimum payments. Rental payments from the customer are required throughout the term of the arrangement and are due either monthly or quarterly. The Company retains title to the IMAX Theater System equipment components throughout the lease term, and the equipment is returned to the Company at the conclusion of the arrangement.</w:t>
      </w:r>
    </w:p>
    <w:p>
      <w:pPr>
        <w:spacing w:after="0" w:line="143"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Under certain other joint revenue sharing arrangements, known as hybrid arrangements, the customer is responsible for making fixed upfront payments prior to the delivery and installation of the IMAX Theater System in an amount that is typically half of what the Company would receive from a typical sale transaction. As with a traditional joint revenue sharing arrangement, the customer also pays the Company a percentage of contingent box office receipts over the term of the arrangement, although this percentage is typically half that of a traditional joint revenue sharing arrangement. For hybrid joint revenue sharing arrangements that take the form of a lease, the contingent rent is reported within the IMAX Technology Network, while the fixed upfront payment is recorded as revenue within IMAX Technology Sales and Maintenance, as discussed below. For hybrid joint revenue sharing arrangements that take the form of a sale, see the discussion below under IMAX Technology Sales and Maintenance.</w:t>
      </w:r>
    </w:p>
    <w:p>
      <w:pPr>
        <w:spacing w:after="0" w:line="15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Under most joint revenue sharing arrangements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0" w:name="page41"/>
    <w:bookmarkEnd w:id="40"/>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revenue earned from customers under the Company’s joint revenue sharing arrangements can vary from quarter-to-quarter and year-to-year based on a number of factors including film performance, the mix of theater system configurations, the timing of installation of these IMAX Theater Systems, the nature of the arrangement, the location, size and management of the theater and other factors specific to individual arrangements.</w:t>
      </w:r>
    </w:p>
    <w:p>
      <w:pPr>
        <w:spacing w:after="0" w:line="149"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Joint revenue sharing arrangements also require IMAX to provide maintenance and extended warranty services to the customer over the term of the lease in exchange for a separate fixed annual fee. These fees are reported within IMAX Technology Sales and Maintenance, as discussed below.</w:t>
      </w:r>
    </w:p>
    <w:p>
      <w:pPr>
        <w:spacing w:after="0" w:line="121"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introduction of joint revenue sharing arrangements has been an important factor in the expansion of the Company’s commercial theater network. Joint revenue sharing arrangements allow commercial theater exhibitors to install IMAX Theater Systems without the significant initial capital investment required in a sale or sales-type lease arrangement. Joint revenue sharing arrangements drive recurring cash flows and earnings for the Company, as customers under joint revenue sharing arrangements pay the Company a portion of their ongoing box office. The Company funds its joint revenue sharing arrangements through cash flows from operations. As of December 31, 2020, the Company had 890 theaters in operation under joint revenue sharing arrangements, a 2.3% increase as compared to the 870 theaters in operation under joint revenue sharing arrangements as of December 31, 2019. The Company also had contracts in backlog for 342 theaters under joint revenue sharing arrangements as of December 31, 2020, including 87 upgrades to existing theater locations and 255 new theater locations.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p>
      <w:pPr>
        <w:spacing w:after="0" w:line="201"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IMAX Technology Sales and Maintenance category earns revenue principally from the sale or sale-type lease of IMAX Theater Systems, as well as from the maintenance of IMAX Theater Systems. To a lesser extent, the IMAX Technology Sales and Maintenance category earns revenue from certain ancillary theater business activities and revenues from hybrid joint revenue sharing arrangements. These activities are described in more detail below under each of their respective segments.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Systems</w:t>
      </w:r>
    </w:p>
    <w:p>
      <w:pPr>
        <w:spacing w:after="0" w:line="186"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IMAX Systems segment provides IMAX Theater Systems to exhibitors through sale arrangements or long-term lease arrangements that for accounting purposes are classified as sales-type leases. Under these arrangements, in exchange for providing the IMAX Theater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theater. Initial fees are paid to the Company in installments between the time of signing the arrangement and the time of system installation, which is when the total of these fees, in addition to the present value of future annual minimum payments, are recognized as revenue. Finance income is recognized over the term of a financed sale or sales-type lease arrangement. In addition, in sale arrangements, an estimate of the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w:t>
      </w:r>
    </w:p>
    <w:p>
      <w:pPr>
        <w:spacing w:after="0" w:line="162"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In sale arrangements, title to the IMAX Theater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Theater System equipment remains with the Company. The Company has the right to remove the equipment for non-payment or other defaults by the customer.</w:t>
      </w:r>
    </w:p>
    <w:p>
      <w:pPr>
        <w:spacing w:after="0" w:line="140"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revenue earned from customers under the Company’s theater system sales or lease agreements varies from quarter-to-quarter and year-to-year based on a number of factors, including the number and mix of theater system configurations sold or leased, the timing of installation of the IMAX Theater Systems, the nature of the arrangement and other factors specific to individual contracts.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Revenue Sharing Arrangements – Fixed Fees</w:t>
      </w:r>
    </w:p>
    <w:p>
      <w:pPr>
        <w:spacing w:after="0" w:line="199"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Under certain joint revenue sharing arrangements, known as hybrid arrangements, the customer is responsible for making fixed upfront payments prior to the delivery and installation of the IMAX Theater System in an amount that is typically half of what the Company would receive from a typical sale transaction. For hybrid joint revenue sharing arrangements that take the form of a lease, the contingent rent is reported within the IMAX Technology Network, as discussed above, while the fixed upfront payment is reported within IMAX Technology Sales and Maintenance.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IMAX Maintenance</w:t>
      </w:r>
    </w:p>
    <w:p>
      <w:pPr>
        <w:spacing w:after="0" w:line="199"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For all IMAX theaters, theater owners or operators are also responsible for paying the Company an annual maintenance and extended warranty fee. Under these arrangements, the Company provides proactive and emergency maintenance services to every theater in its network to ensure that each presentation is up to the highest IMAX quality standard. Annual maintenance fees are paid throughout the duration of the term of the theater agreements.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Theater Business</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Other Theater Business segment principally includes after-market sales of IMAX projection system parts and 3D glasses.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Business Initiatives</w:t>
      </w:r>
    </w:p>
    <w:p>
      <w:pPr>
        <w:spacing w:after="0" w:line="18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 xml:space="preserve">The New Business Initiatives segment includes activities related to the </w:t>
      </w:r>
      <w:r>
        <w:rPr>
          <w:rFonts w:ascii="Times New Roman" w:cs="Times New Roman" w:eastAsia="Times New Roman" w:hAnsi="Times New Roman"/>
          <w:sz w:val="18"/>
          <w:szCs w:val="18"/>
          <w:color w:val="212529"/>
        </w:rPr>
        <w:t>exploration of new lines of business and new initiatives outside of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core business, which seek to leverage its proprietary, innovative technologies, its leadership position in the entertainment technology space and its unique relationship with content creators. Such new business initiatives currently include IMAX Enhanced and Connected Theaters, as discussed below.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Enhanced</w:t>
      </w:r>
    </w:p>
    <w:p>
      <w:pPr>
        <w:spacing w:after="0" w:line="199"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 has developed a new home entertainment licensing and certification program called IMAX Enhanced. This initiative was launched along with audio leader DTS (an Xperi subsidiary), capitalizing on the companies’ decades of combined expertise in image and sound science. IMAX Enhanced brings IMAX digitally re-mastered 4K high dynamic range (HDR) content and DTS audio technologies to premier streaming platforms and best-in-class consumer electronics devices worldwide, offering consumers high-fidelity sight and sound experiences for the home.</w:t>
      </w:r>
    </w:p>
    <w:p>
      <w:pPr>
        <w:spacing w:after="0" w:line="140"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To be certified, leading consumer electronics manufacturers spanning 4K/8K televisions, projectors, A/V receivers, loudspeakers, subwoofers and soundbars must meet a carefully prescribed set of audio and video performance standards, set by a certification committee of IMAX and DTS engineers and some of Hollywood’s leading technical specialists.</w:t>
      </w:r>
    </w:p>
    <w:p>
      <w:pPr>
        <w:spacing w:after="0" w:line="136"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IMAX Enhanced global device partners include Sony Electronics, Hisense, TCL, Phillips, Xiaomi, Sound United among others. By March 2021, IMAX Enhanced will have over six million certified devices in-market. IMAX Enhanced content is now available on six streaming platforms worldwide, with partners that include Sony Pictures Entertainment, Paramount Pictures, Huayi Brothers, Bona Film Group, Tencent Video, iQIYI and FandangoNOW, with more on the way.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Connected Theaters</w:t>
      </w:r>
    </w:p>
    <w:p>
      <w:pPr>
        <w:spacing w:after="0" w:line="226"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 is currently exploring new technologies and forms of content as a way to deepen consumer engagement and brand loyalty, including new technologies to further connect the IMAX network and to facilitate bringing more unique content, including live events, to IMAX theater audiences. The Company believes such additional connectivity can provide more innovative content to the IMAX network and in turn permit the Company to engage audiences in new ways.</w:t>
      </w:r>
    </w:p>
    <w:p>
      <w:pPr>
        <w:spacing w:after="0" w:line="140"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Company continues to believe that the IMAX network serves as a valuable platform to launch and distribute original content, especially during periods between peak and off-peak seasons, known as "shoulder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p>
      <w:pPr>
        <w:spacing w:after="0" w:line="201"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 xml:space="preserve">Through the Film Distribution segment, the Company licenses film content and distributes large-format films, primarily for its institutional theater partners. The Company receives as its distribution fee either a fixed amount or a fixed percentage of the theater box office receipts and following the Company’s recoupment of its costs the Company typically is entitled to receive an additional percentage of gross revenues as participation revenues. The Company released the IMAX original production, </w:t>
      </w:r>
      <w:r>
        <w:rPr>
          <w:rFonts w:ascii="Times New Roman" w:cs="Times New Roman" w:eastAsia="Times New Roman" w:hAnsi="Times New Roman"/>
          <w:sz w:val="18"/>
          <w:szCs w:val="18"/>
          <w:i w:val="1"/>
          <w:iCs w:val="1"/>
          <w:color w:val="auto"/>
        </w:rPr>
        <w:t>Asteroid Hunters</w:t>
      </w:r>
      <w:r>
        <w:rPr>
          <w:rFonts w:ascii="Times New Roman" w:cs="Times New Roman" w:eastAsia="Times New Roman" w:hAnsi="Times New Roman"/>
          <w:sz w:val="18"/>
          <w:szCs w:val="18"/>
          <w:color w:val="auto"/>
        </w:rPr>
        <w:t>, in October 2020.</w:t>
      </w:r>
    </w:p>
    <w:p>
      <w:pPr>
        <w:spacing w:after="0" w:line="140"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Film Post-Production segment provides film post-production and quality control services for large-format films (whether produced by IMAX or third parties), and digital post-production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IMAX NETWORK AND BACKLOG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Network</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IMAX network by type and geographic location as of December 31,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9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8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880" w:type="dxa"/>
            <w:vAlign w:val="bottom"/>
          </w:tcPr>
          <w:p>
            <w:pPr>
              <w:jc w:val="right"/>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8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7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98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00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39</w:t>
            </w:r>
          </w:p>
        </w:tc>
        <w:tc>
          <w:tcPr>
            <w:tcW w:w="9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r>
              <w:rPr>
                <w:rFonts w:ascii="Times New Roman" w:cs="Times New Roman" w:eastAsia="Times New Roman" w:hAnsi="Times New Roman"/>
                <w:sz w:val="15"/>
                <w:szCs w:val="15"/>
                <w:color w:val="auto"/>
              </w:rPr>
              <w:t>(1)</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745</w:t>
            </w:r>
          </w:p>
        </w:tc>
        <w:tc>
          <w:tcPr>
            <w:tcW w:w="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Western Europe</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w:t>
            </w: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115</w:t>
            </w:r>
          </w:p>
        </w:tc>
        <w:tc>
          <w:tcPr>
            <w:tcW w:w="9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127</w:t>
            </w:r>
          </w:p>
        </w:tc>
        <w:tc>
          <w:tcPr>
            <w:tcW w:w="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119</w:t>
            </w:r>
          </w:p>
        </w:tc>
        <w:tc>
          <w:tcPr>
            <w:tcW w:w="9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Russia &amp; the CIS</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Latin America</w:t>
            </w:r>
            <w:r>
              <w:rPr>
                <w:rFonts w:ascii="Times New Roman" w:cs="Times New Roman" w:eastAsia="Times New Roman" w:hAnsi="Times New Roman"/>
                <w:sz w:val="15"/>
                <w:szCs w:val="15"/>
                <w:color w:val="auto"/>
              </w:rPr>
              <w:t>(2)</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w:t>
            </w:r>
          </w:p>
        </w:tc>
        <w:tc>
          <w:tcPr>
            <w:tcW w:w="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50</w:t>
            </w:r>
          </w:p>
        </w:tc>
        <w:tc>
          <w:tcPr>
            <w:tcW w:w="9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65</w:t>
            </w:r>
          </w:p>
        </w:tc>
        <w:tc>
          <w:tcPr>
            <w:tcW w:w="9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2"/>
        </w:trPr>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15"/>
                <w:szCs w:val="15"/>
                <w:color w:val="auto"/>
              </w:rPr>
              <w:t>(3)</w:t>
            </w:r>
          </w:p>
        </w:tc>
        <w:tc>
          <w:tcPr>
            <w:tcW w:w="8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China includes China, Hong Kong, Taiwan and Macau.</w:t>
      </w:r>
    </w:p>
    <w:p>
      <w:pPr>
        <w:spacing w:after="0" w:line="22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includes South America, Central America and Mexico.</w:t>
      </w:r>
    </w:p>
    <w:p>
      <w:pPr>
        <w:spacing w:after="0" w:line="19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changes in the tables above are reported net of the effect of permanently closed theaters.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9239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64"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Company currently believes that over time its commercial multiplex network could grow to approximately 3,318 IMAX theaters worldwide from the 1,562 operating as of December 31, 2020. The Company believes that the majority of its future growth will come from international markets. As of December 31, 2020, 72.8% of IMAX Theater Systems in operation were located within international markets (defined as all countries other than the United States and Canada), an increase from 71.9% as of December 31, 2019. Revenues and gross box office derived from international markets continue to exceed revenues and gross box office from the United States and Canada. This was especially true during 2020 as the pace and extent of the reopening of IMAX theaters in Greater China amidst the COVID-19 global pandemic exceeded that of theaters in Domestic (i.e., United States and Canada) and Rest of World markets. (See “Impact of COVID-19 Pandemic” above.) Risks associated with the Company’s international business are outlined in “Risk Factors – The Company conducts business internationally, which exposes it to uncertainties and risks that could negatively affect its operations, sales and future growth prospects” in Part I, Item 1A.</w:t>
      </w:r>
    </w:p>
    <w:p>
      <w:pPr>
        <w:spacing w:after="0" w:line="151"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Greater China is the Company’s largest market, measured by revenues, with approximately 38% and 31% of overall revenues generated from its China operations in the years ended December 31, 2020 and 2019, respectively. As of December 31, 2020, the Company had 745 theaters operating in Greater China with an additional 251 theaters in backlog that are scheduled to be installed by 2028. The Company’s backlog in Greater China represents 47.6% of its total current backlog, including upgrades. The Company’s largest single international partnership is in China with Wanda Film (“Wanda”). Wanda’s total commitment to the Company is for 361 IMAX Theater Systems in Greater China (of which 347 IMAX Theater Systems are under the parties’ joint revenue sharing arrangement).</w:t>
      </w:r>
    </w:p>
    <w:p>
      <w:pPr>
        <w:spacing w:after="0" w:line="143"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(See “Risk Factors – The Company faces risks in connection with its significant presence in China and the continued expansion of its business there” and “Risk Factors – General political, social and economic conditions can affect the Company’s business by reducing both revenue generated from existing IMAX Theater Systems and the demand for new IMAX Theater Systems” in Part I, Item 1A.)</w:t>
      </w:r>
    </w:p>
    <w:p>
      <w:pPr>
        <w:spacing w:after="0" w:line="149"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Impact of COVID-19 Pandemic”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 Item 1A.)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43" w:name="page44"/>
    <w:bookmarkEnd w:id="43"/>
    <w:p>
      <w:pPr>
        <w:ind w:firstLine="224"/>
        <w:spacing w:after="0" w:line="281" w:lineRule="auto"/>
        <w:rPr>
          <w:sz w:val="20"/>
          <w:szCs w:val="20"/>
          <w:color w:val="auto"/>
        </w:rPr>
      </w:pPr>
      <w:r>
        <w:rPr>
          <w:rFonts w:ascii="Times New Roman" w:cs="Times New Roman" w:eastAsia="Times New Roman" w:hAnsi="Times New Roman"/>
          <w:sz w:val="18"/>
          <w:szCs w:val="18"/>
          <w:color w:val="auto"/>
        </w:rPr>
        <w:t>The following tables provide detailed information about the Commercial Multiplex theaters in operation within the IMAX network by arrangement type and geographic location as of December 31, 2020 and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4380" w:type="dxa"/>
            <w:vAlign w:val="bottom"/>
            <w:tcBorders>
              <w:bottom w:val="single" w:sz="8" w:color="auto"/>
            </w:tcBorders>
            <w:gridSpan w:val="7"/>
          </w:tcPr>
          <w:p>
            <w:pPr>
              <w:jc w:val="center"/>
              <w:ind w:left="815"/>
              <w:spacing w:after="0" w:line="155" w:lineRule="exact"/>
              <w:rPr>
                <w:sz w:val="20"/>
                <w:szCs w:val="20"/>
                <w:color w:val="auto"/>
              </w:rPr>
            </w:pPr>
            <w:r>
              <w:rPr>
                <w:rFonts w:ascii="Times New Roman" w:cs="Times New Roman" w:eastAsia="Times New Roman" w:hAnsi="Times New Roman"/>
                <w:sz w:val="14"/>
                <w:szCs w:val="14"/>
                <w:b w:val="1"/>
                <w:bCs w:val="1"/>
                <w:color w:val="auto"/>
              </w:rPr>
              <w:t>Commercial Multiplex Theaters in IMAX Network</w:t>
            </w: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46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3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Traditional</w:t>
            </w:r>
          </w:p>
        </w:tc>
        <w:tc>
          <w:tcPr>
            <w:tcW w:w="13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Hybrid</w:t>
            </w:r>
          </w:p>
        </w:tc>
        <w:tc>
          <w:tcPr>
            <w:tcW w:w="1620" w:type="dxa"/>
            <w:vAlign w:val="bottom"/>
            <w:gridSpan w:val="3"/>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Sale / Sales-</w:t>
            </w: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JRSA</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JRSA</w:t>
            </w:r>
          </w:p>
        </w:tc>
        <w:tc>
          <w:tcPr>
            <w:tcW w:w="16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type Lease</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8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Greater China</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29"/>
        </w:trPr>
        <w:tc>
          <w:tcPr>
            <w:tcW w:w="5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Western Europe</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5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Russia &amp; the CIS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Latin America</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5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Rest of the World</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2"/>
        </w:trPr>
        <w:tc>
          <w:tcPr>
            <w:tcW w:w="58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Total</w:t>
            </w: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2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15"/>
                <w:szCs w:val="15"/>
                <w:color w:val="auto"/>
              </w:rPr>
              <w:t>(1)</w:t>
            </w: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4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4380" w:type="dxa"/>
            <w:vAlign w:val="bottom"/>
            <w:tcBorders>
              <w:bottom w:val="single" w:sz="8" w:color="auto"/>
            </w:tcBorders>
            <w:gridSpan w:val="7"/>
          </w:tcPr>
          <w:p>
            <w:pPr>
              <w:jc w:val="center"/>
              <w:ind w:left="815"/>
              <w:spacing w:after="0" w:line="155" w:lineRule="exact"/>
              <w:rPr>
                <w:sz w:val="20"/>
                <w:szCs w:val="20"/>
                <w:color w:val="auto"/>
              </w:rPr>
            </w:pPr>
            <w:r>
              <w:rPr>
                <w:rFonts w:ascii="Times New Roman" w:cs="Times New Roman" w:eastAsia="Times New Roman" w:hAnsi="Times New Roman"/>
                <w:sz w:val="14"/>
                <w:szCs w:val="14"/>
                <w:b w:val="1"/>
                <w:bCs w:val="1"/>
                <w:color w:val="auto"/>
              </w:rPr>
              <w:t>Commercial Multiplex Theaters in IMAX Network</w:t>
            </w: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46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3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Traditional</w:t>
            </w:r>
          </w:p>
        </w:tc>
        <w:tc>
          <w:tcPr>
            <w:tcW w:w="13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Hybrid</w:t>
            </w:r>
          </w:p>
        </w:tc>
        <w:tc>
          <w:tcPr>
            <w:tcW w:w="1620" w:type="dxa"/>
            <w:vAlign w:val="bottom"/>
            <w:gridSpan w:val="3"/>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Sale / Sales-</w:t>
            </w: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JRSA</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JRSA</w:t>
            </w:r>
          </w:p>
        </w:tc>
        <w:tc>
          <w:tcPr>
            <w:tcW w:w="16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type Lease</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8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2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Greater China</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29"/>
        </w:trPr>
        <w:tc>
          <w:tcPr>
            <w:tcW w:w="5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Western Europe</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5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Russia &amp; the CIS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Latin America</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5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Rest of the World</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2"/>
        </w:trPr>
        <w:tc>
          <w:tcPr>
            <w:tcW w:w="58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Total</w:t>
            </w: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2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15"/>
                <w:szCs w:val="15"/>
                <w:color w:val="auto"/>
              </w:rPr>
              <w:t>(1)</w:t>
            </w: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731</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460" w:type="dxa"/>
            <w:vAlign w:val="bottom"/>
            <w:tcBorders>
              <w:bottom w:val="single" w:sz="8" w:color="auto"/>
            </w:tcBorders>
          </w:tcPr>
          <w:p>
            <w:pPr>
              <w:spacing w:after="0"/>
              <w:rPr>
                <w:sz w:val="11"/>
                <w:szCs w:val="11"/>
                <w:color w:val="auto"/>
              </w:rPr>
            </w:pPr>
          </w:p>
        </w:tc>
        <w:tc>
          <w:tcPr>
            <w:tcW w:w="4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Period-to-period changes in the tables above are reported net of the effect of permanently closed theaters.</w:t>
      </w:r>
    </w:p>
    <w:p>
      <w:pPr>
        <w:spacing w:after="0" w:line="197"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As of December 31, 2020, 276 (2019 ― 277) of the 750 (2019 ― 731) theaters under traditional joint revenue sharing arrangements in operation, or 36.8% (2019 ― 37.9%) were located in the United States or Canada, with the remaining 474 (2019 ― 454) or 63.2% (2019 ― 62.1%) of theaters under traditional joint revenue sharing arrangements located in international markets.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Company’s backlog as of December 31,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211"/>
        </w:trPr>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4"/>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4"/>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0"/>
        </w:trPr>
        <w:tc>
          <w:tcPr>
            <w:tcW w:w="1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6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Borders>
              <w:bottom w:val="single" w:sz="8" w:color="auto"/>
            </w:tcBorders>
            <w:gridSpan w:val="4"/>
          </w:tcPr>
          <w:p>
            <w:pPr>
              <w:jc w:val="center"/>
              <w:ind w:left="41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Borders>
              <w:bottom w:val="single" w:sz="8" w:color="auto"/>
            </w:tcBorders>
            <w:gridSpan w:val="4"/>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Borders>
              <w:bottom w:val="single" w:sz="8" w:color="auto"/>
            </w:tcBorders>
            <w:gridSpan w:val="4"/>
          </w:tcPr>
          <w:p>
            <w:pPr>
              <w:jc w:val="center"/>
              <w:ind w:left="41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195"/>
        </w:trPr>
        <w:tc>
          <w:tcPr>
            <w:tcW w:w="146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New</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New</w:t>
            </w: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8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34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New</w:t>
            </w: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82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New</w:t>
            </w:r>
          </w:p>
        </w:tc>
        <w:tc>
          <w:tcPr>
            <w:tcW w:w="3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r>
      <w:tr>
        <w:trPr>
          <w:trHeight w:val="204"/>
        </w:trPr>
        <w:tc>
          <w:tcPr>
            <w:tcW w:w="2220" w:type="dxa"/>
            <w:vAlign w:val="bottom"/>
            <w:gridSpan w:val="2"/>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Sales and sales-type lease</w:t>
            </w: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34"/>
        </w:trPr>
        <w:tc>
          <w:tcPr>
            <w:tcW w:w="2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arrangements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200,296</w:t>
            </w:r>
          </w:p>
        </w:tc>
        <w:tc>
          <w:tcPr>
            <w:tcW w:w="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13,135</w:t>
            </w:r>
          </w:p>
        </w:tc>
        <w:tc>
          <w:tcPr>
            <w:tcW w:w="3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205,574</w:t>
            </w:r>
          </w:p>
        </w:tc>
        <w:tc>
          <w:tcPr>
            <w:tcW w:w="3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12,874</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11"/>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Hybrid joint revenue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sharing arrangements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5,560</w:t>
            </w: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97,736</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1"/>
        </w:trPr>
        <w:tc>
          <w:tcPr>
            <w:tcW w:w="2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Traditional joint revenue</w:t>
            </w: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34"/>
        </w:trPr>
        <w:tc>
          <w:tcPr>
            <w:tcW w:w="2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sharing arrangements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(2)</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5,500</w:t>
            </w:r>
          </w:p>
        </w:tc>
        <w:tc>
          <w:tcPr>
            <w:tcW w:w="3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91"/>
              </w:rPr>
              <w:t>(2)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w:t>
            </w:r>
          </w:p>
        </w:tc>
        <w:tc>
          <w:tcPr>
            <w:tcW w:w="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w:t>
            </w:r>
          </w:p>
        </w:tc>
        <w:tc>
          <w:tcPr>
            <w:tcW w:w="8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400</w:t>
            </w:r>
          </w:p>
        </w:tc>
        <w:tc>
          <w:tcPr>
            <w:tcW w:w="340" w:type="dxa"/>
            <w:vAlign w:val="bottom"/>
            <w:shd w:val="clear" w:color="auto" w:fill="CFF0FC"/>
          </w:tcPr>
          <w:p>
            <w:pPr>
              <w:jc w:val="center"/>
              <w:ind w:right="84"/>
              <w:spacing w:after="0"/>
              <w:rPr>
                <w:sz w:val="20"/>
                <w:szCs w:val="20"/>
                <w:color w:val="auto"/>
              </w:rPr>
            </w:pPr>
            <w:r>
              <w:rPr>
                <w:rFonts w:ascii="Times New Roman" w:cs="Times New Roman" w:eastAsia="Times New Roman" w:hAnsi="Times New Roman"/>
                <w:sz w:val="15"/>
                <w:szCs w:val="15"/>
                <w:color w:val="auto"/>
              </w:rPr>
              <w:t>(2)</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(2)</w:t>
            </w:r>
          </w:p>
        </w:tc>
      </w:tr>
      <w:tr>
        <w:trPr>
          <w:trHeight w:val="222"/>
        </w:trPr>
        <w:tc>
          <w:tcPr>
            <w:tcW w:w="1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300,407</w:t>
            </w: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24,195</w:t>
            </w: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303,710</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24,234</w:t>
            </w:r>
          </w:p>
        </w:tc>
        <w:tc>
          <w:tcPr>
            <w:tcW w:w="6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15"/>
        </w:trPr>
        <w:tc>
          <w:tcPr>
            <w:tcW w:w="146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r>
    </w:tbl>
    <w:p>
      <w:pPr>
        <w:spacing w:after="0" w:line="264" w:lineRule="exact"/>
        <w:rPr>
          <w:sz w:val="20"/>
          <w:szCs w:val="20"/>
          <w:color w:val="auto"/>
        </w:rPr>
      </w:pPr>
    </w:p>
    <w:p>
      <w:pPr>
        <w:ind w:left="380" w:hanging="372"/>
        <w:spacing w:after="0" w:line="281"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 IMAX Theater Systems (2019 – 47) where the customer has the option to convert from a joint revenue sharing arrangement to a sales arrangement.</w:t>
      </w:r>
    </w:p>
    <w:p>
      <w:pPr>
        <w:spacing w:after="0" w:line="13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contractual upfront payments. Future contingent payments are not reflected as these are based on negotiated shares of box office results.</w:t>
      </w:r>
    </w:p>
    <w:p>
      <w:pPr>
        <w:spacing w:after="0" w:line="184"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number of IMAX Theater Systems in the backlog reflects the minimum number of commitments under signed contracts. The dollar value fluctuates depending on the number of new arrangements signed from year-to-year, which adds to backlog and the installation and acceptance of IMAX Theater Systems and the settlement of contracts, both of which reduce backlog. Backlog typically represents the fixed contracted revenue under signed IMAX Theater System sale and lease agreements that the Company believes will be recognized as revenue upon installation and acceptance of the associated system, as well as an estimate of variable consideration in sales arrangements, however it excludes amounts allocated to maintenance and extended warranty revenues. The value of backlog does not include revenue from theaters in which the Company has an equity interest, operating leases and long-term conditional theater commitments. Theaters under joint revenue sharing arrangements do not usually have dollar value backlog, although certain IMAX Theater Systems under joint revenue sharing arrangements provide for contracted upfront payments and therefore carry a backlog value based on those payments. The Company believes that the contractual obligations for IMAX Theater System installations that are listed in backlog are valid and binding commitments.</w:t>
      </w:r>
    </w:p>
    <w:p>
      <w:pPr>
        <w:spacing w:after="0" w:line="14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From time to time, in the normal course of its business, the Company will have customers who are unable to proceed with an IMAX Theater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w:t>
      </w:r>
    </w:p>
    <w:p>
      <w:pPr>
        <w:spacing w:after="0" w:line="158" w:lineRule="exact"/>
        <w:rPr>
          <w:sz w:val="20"/>
          <w:szCs w:val="20"/>
          <w:color w:val="auto"/>
        </w:rPr>
      </w:pPr>
    </w:p>
    <w:p>
      <w:pPr>
        <w:jc w:val="both"/>
        <w:ind w:firstLine="223"/>
        <w:spacing w:after="0" w:line="281" w:lineRule="auto"/>
        <w:rPr>
          <w:sz w:val="20"/>
          <w:szCs w:val="20"/>
          <w:color w:val="auto"/>
        </w:rPr>
      </w:pPr>
      <w:r>
        <w:rPr>
          <w:rFonts w:ascii="Times New Roman" w:cs="Times New Roman" w:eastAsia="Times New Roman" w:hAnsi="Times New Roman"/>
          <w:sz w:val="18"/>
          <w:szCs w:val="18"/>
          <w:color w:val="auto"/>
        </w:rPr>
        <w:t>Certain of the Company’s contracts contain options for the customer to elect to upgrade system type during the term or to alter the contract structure (for example, from a joint revenue sharing arrangement to a sale) after signing but before installation. Current backlog information reflects all known elections.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45" w:name="page46"/>
    <w:bookmarkEnd w:id="45"/>
    <w:p>
      <w:pPr>
        <w:ind w:right="20" w:firstLine="224"/>
        <w:spacing w:after="0" w:line="281" w:lineRule="auto"/>
        <w:rPr>
          <w:sz w:val="20"/>
          <w:szCs w:val="20"/>
          <w:color w:val="auto"/>
        </w:rPr>
      </w:pPr>
      <w:r>
        <w:rPr>
          <w:rFonts w:ascii="Times New Roman" w:cs="Times New Roman" w:eastAsia="Times New Roman" w:hAnsi="Times New Roman"/>
          <w:sz w:val="18"/>
          <w:szCs w:val="18"/>
          <w:color w:val="auto"/>
        </w:rPr>
        <w:t>The following tables provide detailed information about the Company’s backlog by arrangement type and geographic location as of December 31, 2020 and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6"/>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IMAX Theater System Backlog</w:t>
            </w:r>
          </w:p>
        </w:tc>
        <w:tc>
          <w:tcPr>
            <w:tcW w:w="12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46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3"/>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Traditional</w:t>
            </w:r>
          </w:p>
        </w:tc>
        <w:tc>
          <w:tcPr>
            <w:tcW w:w="1360" w:type="dxa"/>
            <w:vAlign w:val="bottom"/>
            <w:gridSpan w:val="3"/>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Hybrid</w:t>
            </w:r>
          </w:p>
        </w:tc>
        <w:tc>
          <w:tcPr>
            <w:tcW w:w="13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Sale / Lease</w:t>
            </w:r>
          </w:p>
        </w:tc>
        <w:tc>
          <w:tcPr>
            <w:tcW w:w="12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JRSA</w:t>
            </w: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JRSA</w:t>
            </w:r>
          </w:p>
        </w:tc>
        <w:tc>
          <w:tcPr>
            <w:tcW w:w="1360" w:type="dxa"/>
            <w:vAlign w:val="bottom"/>
            <w:gridSpan w:val="3"/>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72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12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Greater China</w:t>
            </w: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Western Europe</w:t>
            </w: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Russia &amp; the CIS</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Latin America</w:t>
            </w: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Borders>
              <w:bottom w:val="single" w:sz="8" w:color="CFF0FC"/>
            </w:tcBorders>
            <w:gridSpan w:val="3"/>
          </w:tcPr>
          <w:p>
            <w:pPr>
              <w:ind w:left="260"/>
              <w:spacing w:after="0"/>
              <w:rPr>
                <w:sz w:val="20"/>
                <w:szCs w:val="20"/>
                <w:color w:val="auto"/>
              </w:rPr>
            </w:pPr>
            <w:r>
              <w:rPr>
                <w:rFonts w:ascii="Times New Roman" w:cs="Times New Roman" w:eastAsia="Times New Roman" w:hAnsi="Times New Roman"/>
                <w:sz w:val="18"/>
                <w:szCs w:val="18"/>
                <w:color w:val="auto"/>
              </w:rPr>
              <w:t>Rest of the World</w:t>
            </w: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Total</w:t>
            </w: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Worldwide Total</w:t>
            </w: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(1)</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4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IMAX Theater System Backlog</w:t>
            </w:r>
          </w:p>
        </w:tc>
        <w:tc>
          <w:tcPr>
            <w:tcW w:w="1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146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3"/>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w w:val="99"/>
              </w:rPr>
              <w:t>Traditional</w:t>
            </w:r>
          </w:p>
        </w:tc>
        <w:tc>
          <w:tcPr>
            <w:tcW w:w="1360" w:type="dxa"/>
            <w:vAlign w:val="bottom"/>
            <w:gridSpan w:val="3"/>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Hybrid</w:t>
            </w:r>
          </w:p>
        </w:tc>
        <w:tc>
          <w:tcPr>
            <w:tcW w:w="1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Sale / Lease</w:t>
            </w:r>
          </w:p>
        </w:tc>
        <w:tc>
          <w:tcPr>
            <w:tcW w:w="12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JRSA</w:t>
            </w: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JRSA</w:t>
            </w:r>
          </w:p>
        </w:tc>
        <w:tc>
          <w:tcPr>
            <w:tcW w:w="1360" w:type="dxa"/>
            <w:vAlign w:val="bottom"/>
            <w:gridSpan w:val="3"/>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7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Greater China</w:t>
            </w:r>
          </w:p>
        </w:tc>
        <w:tc>
          <w:tcPr>
            <w:tcW w:w="12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Western Europe</w:t>
            </w:r>
          </w:p>
        </w:tc>
        <w:tc>
          <w:tcPr>
            <w:tcW w:w="12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Russia &amp; the CIS</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Latin America</w:t>
            </w:r>
          </w:p>
        </w:tc>
        <w:tc>
          <w:tcPr>
            <w:tcW w:w="12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Rest of the World</w:t>
            </w: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Total</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Worldwide Total</w:t>
            </w:r>
          </w:p>
        </w:tc>
        <w:tc>
          <w:tcPr>
            <w:tcW w:w="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531</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(2)</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460" w:type="dxa"/>
            <w:vAlign w:val="bottom"/>
            <w:tcBorders>
              <w:bottom w:val="single" w:sz="8" w:color="auto"/>
            </w:tcBorders>
          </w:tcPr>
          <w:p>
            <w:pPr>
              <w:spacing w:after="0"/>
              <w:rPr>
                <w:sz w:val="11"/>
                <w:szCs w:val="11"/>
                <w:color w:val="auto"/>
              </w:rPr>
            </w:pPr>
          </w:p>
        </w:tc>
        <w:tc>
          <w:tcPr>
            <w:tcW w:w="4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80" w:hanging="372"/>
        <w:spacing w:after="0" w:line="281"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148 new IMAX with Laser projection system configurations and 95 upgrades of existing locations to IMAX with Laser projection system configurations.</w:t>
      </w:r>
    </w:p>
    <w:p>
      <w:pPr>
        <w:spacing w:after="0" w:line="121"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144 new IMAX with Laser projection system configurations and 92 upgrades of existing locations to IMAX with Laser projection system configurations.</w:t>
      </w:r>
    </w:p>
    <w:p>
      <w:pPr>
        <w:spacing w:after="0" w:line="121"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Approximately 74.8% of IMAX Theater System arrangements in backlog as of December 31, 2020 are scheduled to be installed in international markets (2019 ― 73.6%).</w:t>
      </w:r>
    </w:p>
    <w:p>
      <w:pPr>
        <w:spacing w:after="0" w:line="121"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Impact of COVID-19 Pandemic”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 Item 1A.)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Signings and Installations</w:t>
      </w:r>
    </w:p>
    <w:p>
      <w:pPr>
        <w:spacing w:after="0" w:line="199"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The following tables provide detailed information about IMAX Theater System signings and installations for the years ended December 31, 2020 and 2019:</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352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09"/>
        </w:trPr>
        <w:tc>
          <w:tcPr>
            <w:tcW w:w="7520" w:type="dxa"/>
            <w:vAlign w:val="bottom"/>
          </w:tcPr>
          <w:p>
            <w:pPr>
              <w:spacing w:after="0"/>
              <w:rPr>
                <w:sz w:val="18"/>
                <w:szCs w:val="18"/>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2"/>
        </w:trPr>
        <w:tc>
          <w:tcPr>
            <w:tcW w:w="7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Theater System Signings:</w:t>
            </w:r>
          </w:p>
        </w:tc>
        <w:tc>
          <w:tcPr>
            <w:tcW w:w="16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r>
      <w:tr>
        <w:trPr>
          <w:trHeight w:val="22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New IMAX Theater Systems</w:t>
            </w:r>
          </w:p>
        </w:tc>
        <w:tc>
          <w:tcPr>
            <w:tcW w:w="1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sales-type lease arrangements</w:t>
            </w:r>
          </w:p>
        </w:tc>
        <w:tc>
          <w:tcPr>
            <w:tcW w:w="16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9"/>
                <w:szCs w:val="19"/>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Hybrid joint revenue sharing lease arrangements</w:t>
            </w:r>
          </w:p>
        </w:tc>
        <w:tc>
          <w:tcPr>
            <w:tcW w:w="16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r>
      <w:tr>
        <w:trPr>
          <w:trHeight w:val="229"/>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Traditional joint revenue sharing arrangements</w:t>
            </w:r>
          </w:p>
        </w:tc>
        <w:tc>
          <w:tcPr>
            <w:tcW w:w="16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auto"/>
            </w:tcBorders>
            <w:shd w:val="clear" w:color="auto" w:fill="CFF0FC"/>
          </w:tcPr>
          <w:p>
            <w:pPr>
              <w:spacing w:after="0"/>
              <w:rPr>
                <w:sz w:val="19"/>
                <w:szCs w:val="19"/>
                <w:color w:val="auto"/>
              </w:rPr>
            </w:pPr>
          </w:p>
        </w:tc>
      </w:tr>
      <w:tr>
        <w:trPr>
          <w:trHeight w:val="222"/>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new IMAX Theater Systems</w:t>
            </w:r>
          </w:p>
        </w:tc>
        <w:tc>
          <w:tcPr>
            <w:tcW w:w="16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r>
      <w:tr>
        <w:trPr>
          <w:trHeight w:val="22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Upgrades of IMAX Theater Systems</w:t>
            </w:r>
          </w:p>
        </w:tc>
        <w:tc>
          <w:tcPr>
            <w:tcW w:w="16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auto"/>
            </w:tcBorders>
            <w:shd w:val="clear" w:color="auto" w:fill="CFF0FC"/>
          </w:tcPr>
          <w:p>
            <w:pPr>
              <w:spacing w:after="0"/>
              <w:rPr>
                <w:sz w:val="19"/>
                <w:szCs w:val="19"/>
                <w:color w:val="auto"/>
              </w:rPr>
            </w:pPr>
          </w:p>
        </w:tc>
      </w:tr>
      <w:tr>
        <w:trPr>
          <w:trHeight w:val="222"/>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IMAX Theater System signings</w:t>
            </w:r>
          </w:p>
        </w:tc>
        <w:tc>
          <w:tcPr>
            <w:tcW w:w="16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auto"/>
            </w:tcBorders>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304"/>
        </w:trPr>
        <w:tc>
          <w:tcPr>
            <w:tcW w:w="7520" w:type="dxa"/>
            <w:vAlign w:val="bottom"/>
          </w:tcPr>
          <w:p>
            <w:pPr>
              <w:spacing w:after="0"/>
              <w:rPr>
                <w:sz w:val="24"/>
                <w:szCs w:val="24"/>
                <w:color w:val="auto"/>
              </w:rPr>
            </w:pPr>
          </w:p>
        </w:tc>
        <w:tc>
          <w:tcPr>
            <w:tcW w:w="352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09"/>
        </w:trPr>
        <w:tc>
          <w:tcPr>
            <w:tcW w:w="7520" w:type="dxa"/>
            <w:vAlign w:val="bottom"/>
          </w:tcPr>
          <w:p>
            <w:pPr>
              <w:spacing w:after="0"/>
              <w:rPr>
                <w:sz w:val="18"/>
                <w:szCs w:val="18"/>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2"/>
        </w:trPr>
        <w:tc>
          <w:tcPr>
            <w:tcW w:w="7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Theater System Installations:</w:t>
            </w:r>
          </w:p>
        </w:tc>
        <w:tc>
          <w:tcPr>
            <w:tcW w:w="16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r>
      <w:tr>
        <w:trPr>
          <w:trHeight w:val="22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New IMAX Theater Systems</w:t>
            </w:r>
          </w:p>
        </w:tc>
        <w:tc>
          <w:tcPr>
            <w:tcW w:w="1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sales-type lease arrangements</w:t>
            </w:r>
          </w:p>
        </w:tc>
        <w:tc>
          <w:tcPr>
            <w:tcW w:w="16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9"/>
                <w:szCs w:val="19"/>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Hybrid joint revenue sharing lease arrangements</w:t>
            </w:r>
          </w:p>
        </w:tc>
        <w:tc>
          <w:tcPr>
            <w:tcW w:w="16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r>
      <w:tr>
        <w:trPr>
          <w:trHeight w:val="229"/>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Traditional joint revenue sharing arrangements</w:t>
            </w:r>
          </w:p>
        </w:tc>
        <w:tc>
          <w:tcPr>
            <w:tcW w:w="16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auto"/>
            </w:tcBorders>
            <w:shd w:val="clear" w:color="auto" w:fill="CFF0FC"/>
          </w:tcPr>
          <w:p>
            <w:pPr>
              <w:spacing w:after="0"/>
              <w:rPr>
                <w:sz w:val="19"/>
                <w:szCs w:val="19"/>
                <w:color w:val="auto"/>
              </w:rPr>
            </w:pPr>
          </w:p>
        </w:tc>
      </w:tr>
      <w:tr>
        <w:trPr>
          <w:trHeight w:val="222"/>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new IMAX Theater Systems</w:t>
            </w:r>
          </w:p>
        </w:tc>
        <w:tc>
          <w:tcPr>
            <w:tcW w:w="16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r>
      <w:tr>
        <w:trPr>
          <w:trHeight w:val="22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Upgrades of IMAX Theater Systems</w:t>
            </w:r>
          </w:p>
        </w:tc>
        <w:tc>
          <w:tcPr>
            <w:tcW w:w="16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auto"/>
            </w:tcBorders>
            <w:shd w:val="clear" w:color="auto" w:fill="CFF0FC"/>
          </w:tcPr>
          <w:p>
            <w:pPr>
              <w:spacing w:after="0"/>
              <w:rPr>
                <w:sz w:val="19"/>
                <w:szCs w:val="19"/>
                <w:color w:val="auto"/>
              </w:rPr>
            </w:pPr>
          </w:p>
        </w:tc>
      </w:tr>
      <w:tr>
        <w:trPr>
          <w:trHeight w:val="222"/>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IMAX Theater System installations</w:t>
            </w:r>
          </w:p>
        </w:tc>
        <w:tc>
          <w:tcPr>
            <w:tcW w:w="16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71</w:t>
            </w:r>
          </w:p>
        </w:tc>
        <w:tc>
          <w:tcPr>
            <w:tcW w:w="3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auto"/>
            </w:tcBorders>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Impact of COVID-19 Pandemic”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 Item 1A.)</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1"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accordance with U.S. GAAP requires management to make judgments, assumptions, and estimates that affect the amounts reported in the Company’s Consolidated Financial Statements and accompanying notes. Management’s judgments, assumptions, and estimates are based on historical experience, future expectations and other factors that are believed to be reasonable as of the date of the Company’s Consolidated Financial Statements. Actual results may ultimately differ from the Company’s original estimates, as future events and circumstances sometimes do not develop as expected, and the differences may be material. Management believes that the following are the Company’s most critical accounting policies and estimates, which are not ranked in any particular order, that may affect the Company’s reported results of operations and/or financial condition. The Company’s other significant accounting policies are described in Note 3 of Notes to Consolidated Financial Statements in Part II, Item 8.</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8"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application of U.S. GAAP related to the measurement and recognition of revenue requires management to make judgments and estimates. In addition, revenue contracts with nonstandard terms and conditions may require significant interpretation to determine the appropriate accounting.</w:t>
      </w:r>
    </w:p>
    <w:p>
      <w:pPr>
        <w:spacing w:after="0" w:line="135"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On January 1, 2018, the Company adopted ASC Topic 606, “Revenue from Contracts with Customers,” utilizing the modified retrospective transition method and recorded a cumulative catch-up adjustment to retained earnings as of the date of adoption. In conjunction with its adoption, the Company applied ASC Topic 606 only to contracts that were not completed as of the date of adoption, referred to as open contracts. IMAX Theater System sales and maintenance contracts within the existing network of open theaters and sales backlog comprise a significant majority of the Company’s open contracts at any point in time. DMR arrangements where the film continues to be shown by the Company’s exhibitor partners, film distribution arrangements with remaining terms, and aftermarket sales orders that have been received but for which control of the product has not yet transferred to the customer are all also considered open contracts.</w:t>
      </w:r>
    </w:p>
    <w:p>
      <w:pPr>
        <w:spacing w:after="0" w:line="144"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Revenues from the sale of IMAX Theater Systems, the provision of maintenance services for IMAX Theater Systems, the sale of aftermarket projection system parts and 3D glasses, the conversion of film content into the IMAX DMR format, the distribution of documentary film content and the provision of post-production services are all within the scope of ASC Topic 606. The Company’s joint revenue sharing revenue arrangements, with the exception of those where title of the IMAX Theater System transfers to the customer, known as hybrid sales, are not in scope of ASC Topic 606 as they are classified as leases. Similarly, any IMAX Theater System arrangements classified as sales-type leases are also excluded from ASC Topic 606.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Theater Systems</w:t>
      </w:r>
    </w:p>
    <w:p>
      <w:pPr>
        <w:spacing w:after="0" w:line="199"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evaluates each of the performance obligations in an IMAX Theater System arrangement to determine which are considered distinct, either individually or in a group, for accounting purposes and which of the deliverables represent separate units of accounting based on the applicable accounting guidance in ASC Topic 606, “Revenue from Contracts with Customers,” ASC Topic 842, “Leases,” and ASC Topic 460, “Guarantees”.</w:t>
      </w:r>
    </w:p>
    <w:p>
      <w:pPr>
        <w:spacing w:after="0" w:line="136"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Company’s “System Obligation” consists of the following: (i) an IMAX Theater System, which includes the projector, sound system, screen system and, if applicable, a 3D glasses cleaning machine; (ii) services associated with the IMAX Theater System, including theater design support, the supervision of installation services, and projectionist training; and (iii) a license to use the IMAX brand to market the theater. The System Obligation, as a group, is a distinct performance obligation and a single unit of accounting. The Company is not responsible for the physical installation of the equipment in the customer’s facility; however, it supervises the installation by the customer. The customer has the right to use the IMAX brand from the date the Company and the customer enter into an arrangement.</w:t>
      </w:r>
    </w:p>
    <w:p>
      <w:pPr>
        <w:spacing w:after="0" w:line="143"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IMAX Theater System arrangements also include a requirement for the Company to provide maintenance services over the life of the arrangement in exchange for an extended warranty and annual maintenance fee, which is subject to a consumer price index increase on renewal each year. Consideration related to the provision of maintenance services is included in the allocation of the transaction price to the separate performance obligations in the arrangement at contract inception, as discussed in more detail below. The Company’s maintenance services are a stand ready obligation and, as a result, are recognized on a straight-line basis over the contract term.</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48" w:name="page49"/>
    <w:bookmarkEnd w:id="48"/>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transaction price in an IMAX Theater System arrangement is allocated to each good or service that is identified as a separate performance obligation based on estimated standalone selling prices. This allocation is based on observable prices when the Company sells the good or service separately. The Company has established standalone prices for the System Obligation and maintenance and extended warranty services, as well as for film license arrangements. The Company uses an adjusted market assessment approach for separate performance obligations that do not have standalone selling prices or third-party evidence of estimated standalone selling prices. The Company considers multiple factors including its historical pricing practices, product class, market competition and geography.</w:t>
      </w:r>
    </w:p>
    <w:p>
      <w:pPr>
        <w:spacing w:after="0" w:line="157"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The transaction price for the System Obligation consists of upfront or initial payments made before and after the final installation of the IMAX Theater System and ongoing payments throughout the term of the arrangement. The Company estimates the transaction price, including an estimate of future variable consideration, received in exchange for the goods delivered or services rendered. The arrangement for the sale of an IMAX Theater System includes indexed minimum payment increases over the term of the arrangement, as well as the potential for additional payments owed by the customer if certain minimum box office receipt thresholds are exceeded. In addition, hybrid sales arrangements include amounts owed by the customer based on a percentage of their box office receipts over the term of the arrangement. These contract provisions are considered to be variable consideration under ASC Topic 606. An estimate of the present value of such variable consideration is recognized as revenue upon the transfer of control of the System Obligation to the customer, subject to constraints to ensure that there is not a risk of significant revenue reversal. This estimate is based on management’s box office projections for the individual theater, which are developed using historical data for the theater and, if necessary, comparable theaters and territories. Transfer of control of the System Obligation occurs at the earlier of client acceptance of the installation of the IMAX Theater System, including projectionist training, and the opening of the theater to the public.</w:t>
      </w:r>
    </w:p>
    <w:p>
      <w:pPr>
        <w:spacing w:after="0" w:line="155"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IMAX Theater System arrangements are non-cancellable unless the Company fails to perform its obligations. In the absence of a material default by the Company, there is no right to any remedy for the customer under the Company’s arrangements. If a material default by the Company exists, the customer has the right to terminate the arrangement and seek a refund only if the customer provides notice to the Company of a material default and only if the Company does not cure the default within a specified period.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Constraints on the Recognition of Variable Consideration</w:t>
      </w:r>
    </w:p>
    <w:p>
      <w:pPr>
        <w:spacing w:after="0" w:line="199"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recognition of variable consideration involves a significant amount of judgment. Variable consideration is recognized subject to appropriate constraints to avoid a significant reversal of revenue in future periods. The Company reviews its variable consideration assets on at least a quarterly basis. ASC Topic 606 identifies several examples of situations when constraining variable consideration is appropriate:</w:t>
      </w:r>
    </w:p>
    <w:p>
      <w:pPr>
        <w:spacing w:after="0" w:line="136" w:lineRule="exact"/>
        <w:rPr>
          <w:sz w:val="20"/>
          <w:szCs w:val="20"/>
          <w:color w:val="auto"/>
        </w:rPr>
      </w:pPr>
    </w:p>
    <w:p>
      <w:pPr>
        <w:ind w:left="660" w:hanging="43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consideration is highly susceptible to factors outside the entity’s influence;</w:t>
      </w:r>
    </w:p>
    <w:p>
      <w:pPr>
        <w:spacing w:after="0" w:line="223" w:lineRule="exact"/>
        <w:rPr>
          <w:rFonts w:ascii="Times New Roman" w:cs="Times New Roman" w:eastAsia="Times New Roman" w:hAnsi="Times New Roman"/>
          <w:sz w:val="18"/>
          <w:szCs w:val="18"/>
          <w:color w:val="auto"/>
        </w:rPr>
      </w:pPr>
    </w:p>
    <w:p>
      <w:pPr>
        <w:ind w:left="660" w:hanging="43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about the amount of consideration is not expected to be resolved for a long period of time;</w:t>
      </w:r>
    </w:p>
    <w:p>
      <w:pPr>
        <w:spacing w:after="0" w:line="223" w:lineRule="exact"/>
        <w:rPr>
          <w:rFonts w:ascii="Times New Roman" w:cs="Times New Roman" w:eastAsia="Times New Roman" w:hAnsi="Times New Roman"/>
          <w:sz w:val="18"/>
          <w:szCs w:val="18"/>
          <w:color w:val="auto"/>
        </w:rPr>
      </w:pPr>
    </w:p>
    <w:p>
      <w:pPr>
        <w:ind w:left="660" w:hanging="43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experience (or other evidence) with similar types of contracts is limited, or that experience has limited predictive value; and</w:t>
      </w:r>
    </w:p>
    <w:p>
      <w:pPr>
        <w:spacing w:after="0" w:line="223" w:lineRule="exact"/>
        <w:rPr>
          <w:rFonts w:ascii="Times New Roman" w:cs="Times New Roman" w:eastAsia="Times New Roman" w:hAnsi="Times New Roman"/>
          <w:sz w:val="18"/>
          <w:szCs w:val="18"/>
          <w:color w:val="auto"/>
        </w:rPr>
      </w:pPr>
    </w:p>
    <w:p>
      <w:pPr>
        <w:ind w:left="660" w:hanging="437"/>
        <w:spacing w:after="0" w:line="28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has a practice of either offering a broad range of price concessions or changing the payment terms and conditions of similar contracts in similar circumstances.</w:t>
      </w:r>
    </w:p>
    <w:p>
      <w:pPr>
        <w:spacing w:after="0" w:line="121"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As discussed above, the Company’s significant streams of variable consideration relate to arrangements for the sale of IMAX Theater Systems which include indexed minimum payment increases over the term of the arrangement, as well as the potential for additional payments owed by the customer if certain minimum box office receipt thresholds are exceeded. In addition, hybrid sales arrangements include variable consideration based on a percentage of the customer’s box office receipts over the term of the arrangement.</w:t>
      </w:r>
    </w:p>
    <w:p>
      <w:pPr>
        <w:spacing w:after="0" w:line="140"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Variable consideration related to indexed minimum payment increases is outside of the Company’s control, but the movement in the rates is historically well documented and economic trends in inflation are easily accessible. For each contract subject to an indexed minimum payment increase, the Company estimates the most likely amount using published indices. The amount of the estimated minimum payment increase is then recorded at its present value as of the date of recognition using the customer’s implied borrowing rate.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9" w:name="page50"/>
    <w:bookmarkEnd w:id="49"/>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Variable consideration related to the level of the customer’s box office receipts is outside of the Company’s control as it is dependent upon the commercial success of film content in future periods. The Company tracks numerous performance statistics for box office performance in regions worldwide and applies its understanding of these theater markets to estimate the most likely amount of variable consideration to be earned over the term of the arrangement. The Company then applies a constraint to this estimate by reducing the projection by a percentage factor for theaters or markets with no or limited historical box office experience. In cases where direct historical experience can be observed, average experience, eliminating significant outliers, is used. The resulting amount of variable consideration is then recorded at its present value as of the date of recognition using a risk-weighted discount 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DMR and Film Distribution Services</w:t>
      </w:r>
    </w:p>
    <w:p>
      <w:pPr>
        <w:spacing w:after="0" w:line="186"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In an IMAX DMR arrangement, the Company receives a percentage of the box office receipts from a third party who owns the copyright to a film in exchange for converting the film into IMAX DMR format and distributing it through the IMAX network. In these arrangements, although the Company does not hold rights to the intellectual property in the form of the film content, it is compensated for the application of its intellectual property in the form of its patented DMR processes to create new intellectual property in the form of an IMAX DMR version of film.</w:t>
      </w:r>
    </w:p>
    <w:p>
      <w:pPr>
        <w:spacing w:after="0" w:line="140"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a Film Distribution arrangement, the Company licenses film content and distributes large-format films, primarily for its institutional theater partners. The Company’s Film Distribution revenues are strictly from the license of its intellectual property in the form of documentary film content to which the Company holds exclusive distribution rights.</w:t>
      </w:r>
    </w:p>
    <w:p>
      <w:pPr>
        <w:spacing w:after="0" w:line="149"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Revenues associated with both IMAX DMR and Film Distribution arrangements qualify for the variable consideration exemption for sales- or usage-based royalties in ASC Topic 606 and are recognized in the period when the corresponding box office sales occur.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Expected Credit Losses</w:t>
      </w:r>
    </w:p>
    <w:p>
      <w:pPr>
        <w:spacing w:after="0" w:line="18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In 2016, the FASB issued ASU No. 2016-13, “Financial Instruments – Credit Losses (Topic 326): Measurement of Credit Losses on Financial Instruments” (“ASC Topic 326”), which amends previously issued guidance regarding the impairment of financial instruments by creating an impairment model that is based on expected losses rather than incurred losses. The standard requires financial assets measured on the amortized cost basis to be presented at the net amount expected to be collected. The Company’s accounts receivable, financing receivables and variable consideration receivables are within the scope of ASU No. 2016-13. The Company adopted ASU No. 2016-13 and several associated ASUs on January 1, 2020 with no required cumulative-effect adjustment to accumulated deficit. (See Note 5 of Notes to Consolidated Financial Statements in Part II, Item 8.)</w:t>
      </w:r>
    </w:p>
    <w:p>
      <w:pPr>
        <w:spacing w:after="0" w:line="157"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ability of the Company to collect its accounts receivable, financing receivable and variable consideration receivables is heavily dependent on the viability and solvency of individual theater operators which is significantly influenced by consumer behavior and general economic conditions. Theater operators and, in certain situations, movie studios, may experience financial difficulties that could cause them to be unable to fulfill their payment obligations to the Company.</w:t>
      </w:r>
    </w:p>
    <w:p>
      <w:pPr>
        <w:spacing w:after="0" w:line="140"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develops its estimate of credit losses by class of receivable and customer type through a calculation that utilizes historical loss rates which are then adjusted for specific receivables that are judged to have a higher than normal risk profile after taking into account management’s internal credit quality classifications, as well as macro-economic and industry risk factors.</w:t>
      </w:r>
    </w:p>
    <w:p>
      <w:pPr>
        <w:spacing w:after="0" w:line="136"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Judgments regarding the collectibility of accounts receivable, financing receivables and variable consideration receivables, and the amount of any required allowance for credit losses, are based on management’s initial credit evaluation of the customer and the regular ongoing monitoring of the credit quality of each customer. This monitoring process includes an analysis of collections history and aging for each customer, as well as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Management’s judgments with respect to the collectibility of accounts receivable, financing receivables and variable consideration receivables, and the amount of any required allowance for credit losses, may ultimately prove, with the benefit of hindsight, to be incorrect.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0" w:name="page51"/>
    <w:bookmarkEnd w:id="50"/>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As a result of the COVID-19 pandemic, the Company has experienced and is likely to continue to experience delays in collecting payments due under existing theater sale or lease arrangements from its exhibitor partners who are facing financial difficulties as a result of the disruption in their normal business operations during the pandemic. Accordingly, for the year ended December 31, 2020, the Company increased its provision for current expected credit losses by $18.6 million, reflecting a reduction in the credit quality of its theater related receivables balances and the heightened collection risk associated with certain movie studios in foreign markets. Due to the unprecedented nature of the COVID-19 pandemic, its effect on the Company’s customers and their ability to meet their financial obligations to the Company is difficult to predict.</w:t>
      </w:r>
    </w:p>
    <w:p>
      <w:pPr>
        <w:spacing w:after="0" w:line="157"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Impact of COVID-19 Pandemic”. See Note 5 of Notes to Consolidated Financial Statements in Part II, Item 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88"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 records write-downs for excess and obsolete inventory based upon management’s judgments regarding future events and business conditions, including the anticipated installation dates for the current backlog of theater system contracts, contracts in negotiation, technological developments, growth prospects within the customers’ ultimate marketplace and anticipated market acceptance of the Company’s current and pending theater systems.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Impairments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6"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fair value of net assets acquired in a business combination. Goodwill is not amortized, but is tested annually for impairment at the reporting unit level in the fourth quarter of the year and between annual tests if indicators of potential impairment exist. These indicators could include a decline in the Company’s stock price and market capitalization, a significant change in the outlook for the reporting unit's business, lower than expected operating results, increased competition, legal factors, or the sale or disposition of a significant portion of a reporting unit. For reporting units with goodwill, an impairment loss is recognized for the amount by which the reporting unit's carrying value, including goodwill, exceeds its fair value. The carrying value of each reporting unit is based on a systematic and rational allocation of certain assets and liabilities. The fair value of each reporting unit is assessed using a discounted cash flow model based on management’s current short-term forecast and estimated long-term projections, against which various sensitivity analyses are performed. The discount rates used in the cash flow model are derived based on the Company’s estimated weighted average cost of capital. These estimates and the likelihood of future changes in these estimates depend on a number of underlying variables and a range of possible outcomes.</w:t>
      </w:r>
    </w:p>
    <w:p>
      <w:pPr>
        <w:spacing w:after="0" w:line="162"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In the fourth quarter of 2020, the Company performed its annual goodwill impairment test considering the latest available information and determined that its goodwill was not impaired. As of December 31, 2020, the Company’s total Goodwill was $39.0 million, of which $19.1 million relates to the IMAX Systems reporting unit, $13.5 million relates to the Joint Revenue Sharing Arrangement reporting unit, and $6.4 million relates to the IMAX Maintenance reporting unit.</w:t>
      </w:r>
    </w:p>
    <w:p>
      <w:pPr>
        <w:spacing w:after="0" w:line="140"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estimates used in the Company’s goodwill impairment tests and the likelihood of future changes in these estimates depend on a number of underlying variables and a range of possible outcomes. Actual results may materially differ from management’s estimates, especially due to the uncertainties associated with the COVID-19 pandemic. If business conditions deteriorate further, or should they remain depressed for a more prolonged period of time, management’s estimates of operating results and future cash flows for the IMAX Systems and Joint Revenue Sharing Arrangements reporting units may be insufficient to support the goodwill assigned to them, thus requiring impairment charges. The Company will continue to evaluate the recoverability of goodwill at the reporting unit level on an annual basis and whenever events or changes in circumstances indicate there may be a potential impairment.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9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Long-lived assets are grouped and reviewed for impairment at the lowest level for which identifiable cash flows are largely independent whenever events or changes in circumstances indicate that the carrying amount of the asset (or asset group) may not be recoverable. In such situations, long-lived assets are considered impaired when estimated future cash flows (undiscounted and 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long-lived assets for impairment include a current expectation that it is more likely than not that the long-lived asset will be sold significantly before the end of its useful life, a significant decrease in the market price of the long-lived asset, and a significant change in the extent or manner in which the long-lived asset is being used.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1" w:name="page52"/>
    <w:bookmarkEnd w:id="51"/>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In the fourth quarter of 2020, the Company updated its recoverability tests of the carrying values of the theater system equipment supporting its joint revenue sharing arrangements, which are recorded within Property, Plant and Equipment. In performing its reviews of recoverability, the Company estimated the undiscounted future cash flows expected to result from the use of the assets. The cash flow estimates used in these tests are consistent with management’s estimated long-term projections, against which various sensitivity analyses were performed. These estimates are highly uncertain due to the COVID-19 global pandemic; therefore, management’s estimated cash flows factor in a number of underlying variables and ranges of possible cash flow scenarios. Actual results may materially differ from management’s estimates, especially due to the uncertainties associated with the COVID-19 pandemic. For the year ended December 31, 2020, the Company recorded impairment losses of $0.3 million related to the theater system equipment supporting its joint revenue sharing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Film Assets</w:t>
      </w:r>
    </w:p>
    <w:p>
      <w:pPr>
        <w:spacing w:after="0" w:line="186"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recoverability of the Company’s film assets is dependent upon the commercial acceptance of the underlying films and the resulting level of box office results and, in certain situations, ancillary revenues. If management’s projections of future net cash flows resulting from the exploitation of a film indicate that the carrying value of the film asset is not recoverable, the film asset is written down to its fair value.</w:t>
      </w:r>
    </w:p>
    <w:p>
      <w:pPr>
        <w:spacing w:after="0" w:line="136"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2020, the Company recorded $10.8 million in impairment losses principally to write-down the carrying value of certain documentary, alternative content film assets and DMR related film assets due to a decrease in projected box office totals and related revenues based on management’s regular quarterly recoverability assessments. As of December 31, 2020, following the recording of these write-downs, the Company’s film assets totaled $5.8 million, which principally consists of DMR and documentary content. There can be no assurances that there will not be additional write-downs to the carrying values of these assets as the Company continues to assess the ongoing impact of the COVID-19 pandemic.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8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issues share-based compensation to eligible employees, directors, and consultants under the IMAX Corporate Second Amended and Restated Long-Term Incentive Plan (as may be amended, the “IMAX LTIP”) and the China Long-Term Incentive Plan (the “China LTIP”) as summarized below. On June 3, 2020, the Company’s shareholders approved the IMAX LTIP at the Company’s Annual and Special Meeting. The IMAX LTIP is the Company’s governing document and awards to employees, directors, and consultants under this plan may consist of stock options, restricted share units (“RSUs”), performance share units (“PSUs”) and other awards. A separate stock option plan, the China LTIP, was adopted by a subsidiary of the Company in October 2012.</w:t>
      </w:r>
    </w:p>
    <w:p>
      <w:pPr>
        <w:spacing w:after="0" w:line="143"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measures share-based compensation expense using the grant date fair value of the award, which is recognized as an expense in the Consolidated Statements of Operations on a straight-line basis over the requisite service period. Share-based compensation expense is not adjusted for estimated forfeitures, but is instead adjusted when and if actual forfeitures occur.</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6"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utilizes a lattice-binomial option-pricing model (“Binomial Model”) to determine the fair value of stock option awards on the grant date. The fair value determined by the Binomial Model is affected by the Company’s stock price, as well as assumptions regarding a number of highly complex and subjective variables. These variables include, but are not limited to, the Company’s expected stock price volatility over the term of the award, and actual and projected employee stock option exercise behaviors. The Binomial Model also considers the expected exercise multiple which is the multiple of exercise price to grant price at which exercises are expected to occur on average. Option-pricing models were developed for use in estimating the value of traded options that have no vesting or hedging restrictions and are fully transferable. Because the Company’s employee stock options have certain characteristics that are significantly different from traded options, and because changes in the subjective assumptions can materially affect the estimated value, in management’s opinion, the Binomial Model best provides a fair measure of the fair value of the Company’s employee stock options.</w:t>
      </w:r>
    </w:p>
    <w:p>
      <w:pPr>
        <w:spacing w:after="0" w:line="147"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stratifies its employees into homogeneous groups in order to calculate the grant date fair value of stock options using the Binomial Model. As a result, ranges of assumptions are used for the expected life of the option. The Company uses historical data to estimate option exercise behavior within the Binomial Model and various groups of employees that have similar historical exercise behavior are grouped together for valuation purposes. The expected volatility rate is estimated based on a blended volatility method which takes into consideration the Company’s historical share price volatility, the Company’s implied volatility which is determined in reference to observed current market prices for the Company’s traded options and the Company’s peer group volatility.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2" w:name="page53"/>
    <w:bookmarkEnd w:id="52"/>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(See Note 17(c) of Notes to Consolidated Financial Statements in Part II, Item 8 for the assumptions used to determine the fair value of the Company’s stock options.)</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186"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fair value of RSU awards is equal to the closing price of the Company’s common stock on the date of grant. The value of the portion of the award that is ultimately expected to vest is recognized as compensation expense over the requisite service periods in the Company’s Consolidated Statements of Operations.</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199"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grants two types of PSU awards, one which vests based on a combination of employee service and the achievement of certain EBITDA-based targets and one which vests based on a combination of employee service and the achievement of certain stock-price targets. These awards vest over a three-year performance period. The grant date fair value of PSUs with EBITDA-based targets is equal to the closing price on the date of grant or the average closing price of the Company’s common stock for five days prior to the date of grant. The grant date fair value of PSUs with stock-price targets is determined on the grant date using a Monte Carlo simulation, which is a valuation model that takes into account the likelihood of achieving the stock-price targets embedded in the award (“Monte Carlo Model”). The compensation expense attributable to each type of PSU is recognized on a straight-line basis over the requisite service period. At the conclusion of the three-year performance period, the number of PSUs that ultimately vest can range from 0% to a maximum vesting opportunity of 175% of the initial award, depending upon actual performance versus the established EBITDA and stock-price targets.</w:t>
      </w:r>
    </w:p>
    <w:p>
      <w:pPr>
        <w:spacing w:after="0" w:line="147"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fair value determined by the Monte Carlo Model is affected by the Company’s stock price, as well as assumptions regarding a number of highly complex and subjective variables. These variables include, but are not limited to, market conditions as of the grant date, the Company’s expected stock price volatility over the term of the awards, and other relevant data. The compensation expense is fixed on the date of grant based on the dollar value granted.</w:t>
      </w:r>
    </w:p>
    <w:p>
      <w:pPr>
        <w:spacing w:after="0" w:line="140"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amount and timing of compensation expense recognized for PSUs with EBITDA-based targets is dependent upon management's assessment of the likelihood and timing of achieving these targets. If, as a result of management’s assessment, it is projected that a greater number of PSUs will vest than previously anticipated, a life-to-date adjustment to increase compensation expense is recorded in the period such determination is made. Conversely, if, as a result of management’s assessment, it is projected that a lower number of PSUs will vest than previously anticipated, a life-to-date adjustment to decrease compensation expense is recorded in the period such determination is made.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 Assets</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Income taxes are accounted for under the liability method whereby deferred income tax assets and liabilities are recognized for the expected future tax consequences of temporary differences between the accounting and tax bases of assets and liabilities. Deferred income tax assets and liabilities are measured using enacted tax rates expected to apply to taxable income in the years in which temporary differences are expected to be recovered or settled. The effect on deferred income tax assets and liabilities of a change in tax rates or laws is recognized in the Company’s Consolidated Statements of Operations in the period in which the change is enacted. Investment tax credits are recognized as a reduction of income tax expense.</w:t>
      </w:r>
    </w:p>
    <w:p>
      <w:pPr>
        <w:spacing w:after="0" w:line="144"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The Company assesses the realization of deferred income tax assets and, based on all available evidence, concludes whether it is more likely than not that the net deferred income tax assets will be realized. A valuation allowance is provided for the amount of deferred income tax assets not considered to be realizable. In assessing the need for a valuation allowance, management considers, among other things, projections of future taxable income and ongoing prudent and feasible tax planning strategies. If management determines that sufficient negative evidence exists (for example, if the Company experiences cumulative three-year losses in a certain jurisdiction), then management will consider recording a valuation allowance against a portion or all of the deferred tax assets in that jurisdiction. If, after recording a valuation allowance, management’s projections of future taxable income and other positive evidence considered in evaluating the need for a valuation allowance prove, with the benefit of hindsight, to be inaccurate, it could prove more difficult to support the realization of these deferred tax assets. As a result, an additional valuation allowance could be required, which would have an adverse impact on the Company’s effective income tax rate and results. Conversely, if, after recording a valuation allowance, management determines that sufficient positive evidence exists in the jurisdiction in which a valuation allowance is recorded (for example, if the Company is no longer in a three-year cumulative loss position in the jurisdiction, and management expects to have future taxable income in that jurisdiction based upon management’s forecasts and the expected timing of deferred tax asset reversals), the Company may reverse a portion or all of the valuation allowance in that jurisdiction. In such situations, the adjustment made to the deferred tax asset would have a favorable impact on the Company’s effective income tax rate and results in the period such determination was made.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3" w:name="page54"/>
    <w:bookmarkEnd w:id="53"/>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In the third quarter of 2020, the Company assessed the recoverability of its deferred tax assets and recorded a $23.7 million valuation allowance to reduce the value of deferred tax assets. The valuation allowance was recorded in the jurisdictions where management could not reliably forecast that future tax liabilities would arise within the next five years, primarily due to the uncertainties around the long-term impact of the COVID-19 global pandemic. In the fourth quarter of 2020, the Company increased the valuation allowance against its deferred tax assets by $4.9 million due to additional losses recorded in the period. The valuation allowance is expected to reverse when the Company determines it is more likely than not that the deferred tax assets in these jurisdictions will be realized. Despite this valuation allowance, the Company remains entitled to benefit from the tax attributes which currently have a valuation allowance applied to them.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88"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Company is subject to ongoing tax exposures, examinations and assessments in various jurisdictions. Tax benefits are recognized only when it is more likely than not, based on the technical merits, that the benefits will be sustained on examination. Tax benefits that meet the more-likely-than-not recognition threshold are measured using a probability weighting of the largest amount of tax benefit that has greater than 50% likelihood of being realized upon settlement. Whether the more-likely-than-not recognition threshold is met for a particular tax benefit is a matter of judgment based on the individual facts and circumstances evaluated in light of all available evidence as of the balance sheet date. Although management believes that the Company has adequately accounted for its uncertain tax positions, tax audits can result in subsequent assessments where the ultimate resolution may result in the Company owing additional taxes above what was originally recognized in its financial statements.</w:t>
      </w:r>
    </w:p>
    <w:p>
      <w:pPr>
        <w:spacing w:after="0" w:line="144"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Tax reserves for uncertain tax positions are adjusted by the Company to reflect management’s best estimate of the outcome of examinations and assessments and in light of changing facts and circumstances, such as the completion of a tax audit, expiration of a statute of limitations, the refinement of an estimate, and interest accruals associated with the uncertain tax positions until they are resolved. Some of these adjustments require significant judgment in estimating the timing and amount of the additional tax expense.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88"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Please see Note 4 of Notes to Consolidated Financial Statements in Part II, Item 8 for a discussion of recently issued accounting standards and their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1"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 xml:space="preserve">The Company’s business and future prospects are evaluated by Richard L. Gelfond, its Chief Executive Officer (“CEO”), using a variety of factors and financial and operational metrics including: (i) the signing, installation and financial performance of theater system arrangements, particularly joint revenue sharing arrangements and those involving laser-based projection systems; (ii) film performance and the securing of new film projects, particularly IMAX DMR films; (iii) the continuing ability to invest in and improve the Company’s technology to enhance the differentiation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versus other cinematic experiences; (iv) revenues and gross margins earned by the Company’s segments, as discussed below; (v) consolidated earnings from operations, as adjusted for unusual items; (vi) the overall execution, reliability and consumer acceptance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(vii) the success of new business initiatives; and (viii) short- and long-term cash flow projections.</w:t>
      </w:r>
    </w:p>
    <w:p>
      <w:pPr>
        <w:spacing w:after="0" w:line="144"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CEO is the Company’s Chief Operating Decision Maker (“CODM”), as such term is defined under U.S. GAAP. The CODM, along with other members of management, assess segment performance based on segment revenues and gross margins. Selling, general and administrative expenses, research and development costs, the amortization of intangible assets, provisions for (recoveries of) current expected credit losses, certain write-downs, interest income, interest expense and income tax (expense) benefit are not allocated to the Company’s segments.</w:t>
      </w:r>
    </w:p>
    <w:p>
      <w:pPr>
        <w:spacing w:after="0" w:line="140"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Company’s reportable segments are organized into the following four categories: (i) IMAX Technology Network; (ii) IMAX Technology Sales and Maintenance; (iii) New Business Initiatives; and (iv) Film Distribution and Post-Production. Within these categories are the Company’s following reportable segments: (i) IMAX DMR; (ii) Joint Revenue Sharing Arrangements; (iii) IMAX Systems, (iv) IMAX Maintenance; (v) Other Theater Business;</w:t>
      </w:r>
    </w:p>
    <w:p>
      <w:pPr>
        <w:jc w:val="both"/>
        <w:ind w:firstLine="8"/>
        <w:spacing w:after="0" w:line="252" w:lineRule="auto"/>
        <w:tabs>
          <w:tab w:leader="none" w:pos="3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Business Initiatives; (vii) Film Distribution; and (viii) Film Post-Production, each of which are described above under “Sources of Revenue.” This categorization is consistent with how the CODM reviews the financial performance of the Company and makes strategic decisions regarding resource allocation and investments to meet long-term business goals. Management believes that a discussion and analysis based on the four categories listed above is significantly more relevant and useful to readers, as the Company’s Consolidated Statements of Operations captions combine results from several segments.</w:t>
      </w:r>
    </w:p>
    <w:p>
      <w:pPr>
        <w:spacing w:after="0" w:line="161"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discussion of the Company’s results of operations below compares results for the years ended December 31, 2020 and 2019. A discussion of the Company’s results of operations comparing results for the years ended December 31, 2019 and 2018 is included under the section entitled “Results of Operations” in Item 7 of the Company’s Annual Report on Form 10-K for the fiscal year ended December 31, 2019, and is incorporated by reference into this Annual Report on Form 10-K for the fiscal year ended December 31, 2020.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2020 and 2019</w:t>
      </w:r>
    </w:p>
    <w:p>
      <w:pPr>
        <w:spacing w:after="0" w:line="201"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2020, the Company reported a net loss attributable to common shareholders of $(143.8) million, or $(2.43) per diluted share, as compared to net income attributable to common shareholders of $46.9 million, or $0.76 per diluted share, for the year ended December 31, 2019. For the year ended December 31, 2020, the Company reported an adjusted net loss attributable to common shareholders* of $(112.1) million, or $(1.89) per diluted share*, as compared to adjusted net income attributable to common shareholders* of $64.8 million, or $1.05 per diluted share*, for the year ended December 31, 2019.</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the Company’s revenue and gross margin (margin loss) by category and reportable segment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and 2019:</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Gross Margin (Margin Loss)</w:t>
            </w:r>
          </w:p>
        </w:tc>
      </w:tr>
      <w:tr>
        <w:trPr>
          <w:trHeight w:val="209"/>
        </w:trPr>
        <w:tc>
          <w:tcPr>
            <w:tcW w:w="48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9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2"/>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IMAX Technology Network</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29"/>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IMAX DMR</w:t>
            </w:r>
          </w:p>
        </w:tc>
        <w:tc>
          <w:tcPr>
            <w:tcW w:w="12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28,265</w:t>
            </w:r>
          </w:p>
        </w:tc>
        <w:tc>
          <w:tcPr>
            <w:tcW w:w="4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120,765</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13,731</w:t>
            </w:r>
          </w:p>
        </w:tc>
        <w:tc>
          <w:tcPr>
            <w:tcW w:w="2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78,592</w:t>
            </w:r>
          </w:p>
        </w:tc>
      </w:tr>
      <w:tr>
        <w:trPr>
          <w:trHeight w:val="229"/>
        </w:trPr>
        <w:tc>
          <w:tcPr>
            <w:tcW w:w="4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9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17,841</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76,673</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48,446</w:t>
            </w:r>
          </w:p>
        </w:tc>
      </w:tr>
      <w:tr>
        <w:trPr>
          <w:trHeight w:val="222"/>
        </w:trPr>
        <w:tc>
          <w:tcPr>
            <w:tcW w:w="1500" w:type="dxa"/>
            <w:vAlign w:val="bottom"/>
            <w:tcBorders>
              <w:bottom w:val="single" w:sz="8" w:color="CFF0FC"/>
            </w:tcBorders>
          </w:tcPr>
          <w:p>
            <w:pPr>
              <w:spacing w:after="0"/>
              <w:rPr>
                <w:sz w:val="19"/>
                <w:szCs w:val="19"/>
                <w:color w:val="auto"/>
              </w:rPr>
            </w:pPr>
          </w:p>
        </w:tc>
        <w:tc>
          <w:tcPr>
            <w:tcW w:w="332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46,106</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197,438</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4,231</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127,038</w:t>
            </w:r>
          </w:p>
        </w:tc>
      </w:tr>
      <w:tr>
        <w:trPr>
          <w:trHeight w:val="222"/>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29"/>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IMAX Systems </w:t>
            </w:r>
            <w:r>
              <w:rPr>
                <w:rFonts w:ascii="Times New Roman" w:cs="Times New Roman" w:eastAsia="Times New Roman" w:hAnsi="Times New Roman"/>
                <w:sz w:val="15"/>
                <w:szCs w:val="15"/>
                <w:color w:val="auto"/>
              </w:rPr>
              <w:t>(1)</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54,055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107,321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24,816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58,168</w:t>
            </w:r>
          </w:p>
        </w:tc>
      </w:tr>
      <w:tr>
        <w:trPr>
          <w:trHeight w:val="229"/>
        </w:trPr>
        <w:tc>
          <w:tcPr>
            <w:tcW w:w="4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Joint revenue sharing arrangements, fixed fees</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2,056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11,014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2,613</w:t>
            </w:r>
          </w:p>
        </w:tc>
      </w:tr>
      <w:tr>
        <w:trPr>
          <w:trHeight w:val="229"/>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IMAX Maintenance</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21,999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53,151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3,068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23,010</w:t>
            </w:r>
          </w:p>
        </w:tc>
      </w:tr>
      <w:tr>
        <w:trPr>
          <w:trHeight w:val="229"/>
        </w:trPr>
        <w:tc>
          <w:tcPr>
            <w:tcW w:w="4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Other Theater Business </w:t>
            </w:r>
            <w:r>
              <w:rPr>
                <w:rFonts w:ascii="Times New Roman" w:cs="Times New Roman" w:eastAsia="Times New Roman" w:hAnsi="Times New Roman"/>
                <w:sz w:val="15"/>
                <w:szCs w:val="15"/>
                <w:color w:val="auto"/>
              </w:rPr>
              <w:t>(2)</w:t>
            </w:r>
          </w:p>
        </w:tc>
        <w:tc>
          <w:tcPr>
            <w:tcW w:w="9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1,666</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8,390</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2,624</w:t>
            </w:r>
          </w:p>
        </w:tc>
      </w:tr>
      <w:tr>
        <w:trPr>
          <w:trHeight w:val="222"/>
        </w:trPr>
        <w:tc>
          <w:tcPr>
            <w:tcW w:w="1500" w:type="dxa"/>
            <w:vAlign w:val="bottom"/>
            <w:tcBorders>
              <w:bottom w:val="single" w:sz="8" w:color="CFF0FC"/>
            </w:tcBorders>
          </w:tcPr>
          <w:p>
            <w:pPr>
              <w:spacing w:after="0"/>
              <w:rPr>
                <w:sz w:val="19"/>
                <w:szCs w:val="19"/>
                <w:color w:val="auto"/>
              </w:rPr>
            </w:pPr>
          </w:p>
        </w:tc>
        <w:tc>
          <w:tcPr>
            <w:tcW w:w="332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79,776</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179,876</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27,975</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86,415</w:t>
            </w:r>
          </w:p>
        </w:tc>
      </w:tr>
      <w:tr>
        <w:trPr>
          <w:trHeight w:val="222"/>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Business Initiatives</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2,226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2,754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1,878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2,106</w:t>
            </w:r>
          </w:p>
        </w:tc>
      </w:tr>
      <w:tr>
        <w:trPr>
          <w:trHeight w:val="229"/>
        </w:trPr>
        <w:tc>
          <w:tcPr>
            <w:tcW w:w="48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tc>
        <w:tc>
          <w:tcPr>
            <w:tcW w:w="9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8,719</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12,210</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22"/>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136,827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392,278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23,886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214,297</w:t>
            </w:r>
          </w:p>
        </w:tc>
      </w:tr>
      <w:tr>
        <w:trPr>
          <w:trHeight w:val="229"/>
        </w:trPr>
        <w:tc>
          <w:tcPr>
            <w:tcW w:w="48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3,386</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2"/>
        </w:trPr>
        <w:tc>
          <w:tcPr>
            <w:tcW w:w="48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137,003</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395,664</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21,540</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214,172</w:t>
            </w:r>
          </w:p>
        </w:tc>
      </w:tr>
      <w:tr>
        <w:trPr>
          <w:trHeight w:val="20"/>
        </w:trPr>
        <w:tc>
          <w:tcPr>
            <w:tcW w:w="1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3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r>
    </w:tbl>
    <w:p>
      <w:pPr>
        <w:spacing w:after="0" w:line="170" w:lineRule="exact"/>
        <w:rPr>
          <w:sz w:val="20"/>
          <w:szCs w:val="20"/>
          <w:color w:val="auto"/>
        </w:rPr>
      </w:pPr>
    </w:p>
    <w:p>
      <w:pPr>
        <w:jc w:val="both"/>
        <w:ind w:left="380" w:hanging="372"/>
        <w:spacing w:after="0" w:line="265"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initial upfront payments and the present value of fixed minimum payments from sale and sales-type lease arrangements of IMAX Theater Systems, and the present value of estimated variable consideration from sales of IMAX Theater Systems. To a lesser extent, also includes finance income associated with these revenue streams.</w:t>
      </w:r>
    </w:p>
    <w:p>
      <w:pPr>
        <w:spacing w:after="0" w:line="13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Principally includes after-market sales of IMAX projection system parts and 3D glasses.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49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312" w:lineRule="exact"/>
        <w:rPr>
          <w:sz w:val="20"/>
          <w:szCs w:val="20"/>
          <w:color w:val="auto"/>
        </w:rPr>
      </w:pPr>
    </w:p>
    <w:p>
      <w:pPr>
        <w:ind w:left="380" w:hanging="372"/>
        <w:spacing w:after="0" w:line="281"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"Non-GAAP Financial Measures" below for a description of this non-GAAP financial measure and a reconciliation to the most comparable GAAP amount.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01"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Due to the COVID-19 global pandemic, substantially all of the theaters in the IMAX network were closed for a significant portion of 2020. In the third quarter of 2020, stay-at-home orders were lifted in many countries and movie theaters throughout the IMAX network gradually reopened with reduced capacities, physical distancing requirements, and other safety measures. As of December 31, 2020, 71% of the theaters in the commercial multiplex network spanning 41 countries were open, including 44% of the theaters in Domestic (i.e., United States and Canada) locations, 97% of the theaters in Greater China and 53% of the theaters in Rest of World markets. In many parts of Asia, audiences have returned to theaters, particularly IMAX theaters, in numbers consistent with pre-pandemic attendance levels despite the continued delay of Hollywood theatrical releases, which typically account for 70% of box office ticket sales in those regions. Management believes this indicates that moviegoers are eager to return to cinemas where and when theaters are open and moviegoers feel safe. However, ticket sales have been significantly lower than normal levels in theaters outside of Asia as Hollywood movie studios have further delayed the theatrical release dates for a number of films. As a result, certain theater chains have remained closed or have reduced their operating hours. In addition, theaters in major markets remain temporarily closed.</w:t>
      </w:r>
    </w:p>
    <w:p>
      <w:pPr>
        <w:spacing w:after="0" w:line="14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As a result of the factors discussed in the previous paragraph, the Company’s consolidated results of operations and segment results for the year ended December 31, 2020 materially declined versus the prior year with total revenues and gross margin decreasing by $258.7 million (65%) and $192.7 million (90%), respectively.</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“Impact of COVID-19 Pandemic” above for a more detailed discussion of the impacts of the pandemic on the Company’s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IMAX Technology Network</w:t>
      </w:r>
    </w:p>
    <w:p>
      <w:pPr>
        <w:spacing w:after="0" w:line="188"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IMAX Technology Network results are influenced by the level of commercial success and box office performance of the films released to the network, as well as other factors including the timing of the films released, the length of the theatrical distribution window, the take rates under the Company’s DMR and joint revenue sharing arrangements and the level of marketing spend associated with the films released in the year. Other factors impacting IMAX Technology Network results include fluctuations in the value of foreign currencies versus the U.S. Dollar.</w:t>
      </w:r>
    </w:p>
    <w:p>
      <w:pPr>
        <w:spacing w:after="0" w:line="140"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2020, IMAX Technology Network revenues and gross margin decreased by $151.3 million (77%) and $(122.8) million (97%), respectively, when compared to the prior year principally due to the impact of the COVID-19 pandemic, as discussed above. See below for separate discussions of IMAX DMR and JRSA contingent rent results for the year.</w:t>
      </w:r>
    </w:p>
    <w:p>
      <w:pPr>
        <w:spacing w:after="0" w:line="149" w:lineRule="exact"/>
        <w:rPr>
          <w:sz w:val="20"/>
          <w:szCs w:val="20"/>
          <w:color w:val="auto"/>
        </w:rPr>
      </w:pPr>
    </w:p>
    <w:p>
      <w:pPr>
        <w:ind w:right="1140" w:firstLine="224"/>
        <w:spacing w:after="0" w:line="452" w:lineRule="auto"/>
        <w:rPr>
          <w:sz w:val="20"/>
          <w:szCs w:val="20"/>
          <w:color w:val="auto"/>
        </w:rPr>
      </w:pPr>
      <w:r>
        <w:rPr>
          <w:rFonts w:ascii="Times New Roman" w:cs="Times New Roman" w:eastAsia="Times New Roman" w:hAnsi="Times New Roman"/>
          <w:sz w:val="18"/>
          <w:szCs w:val="18"/>
          <w:color w:val="auto"/>
        </w:rPr>
        <w:t xml:space="preserve">(See “Impact of COVID-19 Pandemic” above for a more detailed discussion of the impacts of the pandemic on the Company’s business.) </w:t>
      </w:r>
      <w:r>
        <w:rPr>
          <w:rFonts w:ascii="Times New Roman" w:cs="Times New Roman" w:eastAsia="Times New Roman" w:hAnsi="Times New Roman"/>
          <w:sz w:val="18"/>
          <w:szCs w:val="18"/>
          <w:i w:val="1"/>
          <w:iCs w:val="1"/>
          <w:color w:val="auto"/>
        </w:rPr>
        <w:t>IMAX DMR</w:t>
      </w:r>
    </w:p>
    <w:p>
      <w:pPr>
        <w:spacing w:after="0" w:line="2"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2020, IMAX DMR revenues and gross margin decreased by $92.5 million (77%) and $64.9 million (83%), respectively, when compared to the prior year. These decreases are due to a $849.3 million (77%) reduction in GBO generated by IMAX DMR films, from $1,108.5 million to $259.2 million, due to the COVID-19 pandemic. For the year ended December 31, 2020, GBO was generated primarily by the exhibition of 35 films (31 new and 4 carryovers) and the re-release of classic titles, as compared to 72 films (60 new and 12 carryovers) exhibited in 2019.</w:t>
      </w:r>
    </w:p>
    <w:p>
      <w:pPr>
        <w:spacing w:after="0" w:line="154"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addition to the level of revenues, IMAX DMR gross margin is also influenced by the costs associated with the films exhibited in the year, and can vary from year to year, particularly with respect to marketing expenses. For the year ended December 31, 2020, marketing expenses were $3.4 million, as compared to $22.5 million in the prior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Revenue Sharing Arrangements – Contingent Rent</w:t>
      </w:r>
    </w:p>
    <w:p>
      <w:pPr>
        <w:spacing w:after="0" w:line="186"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2020, JRSA contingent rent revenue and gross margin decreased by $58.8 million (77%) and $57.9 million (120%), respectively, when compared to the prior year. These decreases are due to a $429.3 million (77%) reduction in GBO generated by theaters under joint revenue sharing arrangements during the current year, from $560.3 million to $131.0 million, due to the COVID-19 pandemic. As of December 31, 2020, 890 theaters were operating under joint revenue sharing arrangements, as compared to 870 theaters as of December 31, 2019, an increase of 2%. However, as discussed above, a portion of the theaters in the IMAX network remain closed as of December 31, 2020 due to the COVID-19 pandemic.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57" w:name="page58"/>
    <w:bookmarkEnd w:id="57"/>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In addition to the level of revenues, JRSA margin is also influenced by the level of costs associated with such arrangements, such as depreciation expense related to the underlying Theater Systems and costs incurred to upgrade Theater Systems from digital xenon to IMAX with Laser, as well as advertising, marketing and commission costs primarily for the launch of new theaters. The level of depreciation expense in a year relative to the prior year is a function of the growth of the theater network and the mix of theater system configurations in the network. For the year ended December 31, 2020, JRSA gross margin included depreciation expense of $24.9 million, as compared to $23.2 million in the prior year reflecting a 2% increase in the number of theaters operating under joint revenue sharing arrangements during the year and the impact of new theaters operating throughout 2019. For the year ended December 31, 2020, JRSA gross margin includes certain advertising, marketing and commission costs of $1.4 million, as compared to $3.3 million in the prior year.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IMAX Technology Sales and Maintenance</w:t>
      </w:r>
    </w:p>
    <w:p>
      <w:pPr>
        <w:spacing w:after="0" w:line="188"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primary drivers of IMAX Technology Sales and Maintenance results are the number of IMAX Theater Systems installed in a year, and the level of gross margin percentage earned on each installation, as well as the associated maintenance contracts that accompany each theater installation. The installation of IMAX Theater Systems in newly built theaters or multiplexes, which make up a large portion of the Company’s theater system backlog, depends primarily on the timing of the construction of those projects, which is not under the Company’s control.</w:t>
      </w:r>
    </w:p>
    <w:p>
      <w:pPr>
        <w:spacing w:after="0" w:line="140"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2020, IMAX Technology Sales and Maintenance revenue and gross margin decreased by $100.1 million (56%) and $58.4 million (68%), respectively, when compared to the prior year as the pace of theater system installations slowed significantly and maintenance revenue was not recognized for theaters that remained closed during the year due to the COVID-19 pandemic, as discussed above. See below for separate discussions of IMAX Systems and IMAX Maintenance results for the year.</w:t>
      </w:r>
    </w:p>
    <w:p>
      <w:pPr>
        <w:spacing w:after="0" w:line="154"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following table provides detailed information about the mix of IMAX Theater System installations for the years ended December 31, 2020 and 2019:</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 except number of systems)</w:t>
            </w:r>
          </w:p>
        </w:tc>
        <w:tc>
          <w:tcPr>
            <w:tcW w:w="1220" w:type="dxa"/>
            <w:vAlign w:val="bottom"/>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1"/>
                <w:szCs w:val="11"/>
                <w:color w:val="auto"/>
              </w:rPr>
            </w:pPr>
          </w:p>
        </w:tc>
        <w:tc>
          <w:tcPr>
            <w:tcW w:w="1200" w:type="dxa"/>
            <w:vAlign w:val="bottom"/>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160" w:type="dxa"/>
            <w:vAlign w:val="bottom"/>
            <w:tcBorders>
              <w:bottom w:val="single" w:sz="8" w:color="CFF0FC"/>
            </w:tcBorders>
            <w:gridSpan w:val="2"/>
            <w:vMerge w:val="continue"/>
          </w:tcPr>
          <w:p>
            <w:pPr>
              <w:spacing w:after="0"/>
              <w:rPr>
                <w:sz w:val="15"/>
                <w:szCs w:val="15"/>
                <w:color w:val="auto"/>
              </w:rPr>
            </w:pPr>
          </w:p>
        </w:tc>
        <w:tc>
          <w:tcPr>
            <w:tcW w:w="12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IMAX Theater Systems — installed and recognized</w:t>
            </w: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Sales and sales-types lease arrangements</w:t>
            </w:r>
            <w:r>
              <w:rPr>
                <w:rFonts w:ascii="Times New Roman" w:cs="Times New Roman" w:eastAsia="Times New Roman" w:hAnsi="Times New Roman"/>
                <w:sz w:val="15"/>
                <w:szCs w:val="15"/>
                <w:color w:val="auto"/>
              </w:rPr>
              <w:t>(1)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32,420</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20" w:type="dxa"/>
            <w:vAlign w:val="bottom"/>
            <w:gridSpan w:val="4"/>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70,367</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Joint revenue sharing arrangements — hybrid</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10,610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16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Total new IMAX Theater Systems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34,420</w:t>
            </w:r>
          </w:p>
        </w:tc>
        <w:tc>
          <w:tcPr>
            <w:tcW w:w="20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80,977</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00" w:type="dxa"/>
            <w:vAlign w:val="bottom"/>
            <w:shd w:val="clear" w:color="auto" w:fill="CFF0FC"/>
          </w:tcPr>
          <w:p>
            <w:pPr>
              <w:spacing w:after="0"/>
              <w:rPr>
                <w:sz w:val="19"/>
                <w:szCs w:val="19"/>
                <w:color w:val="auto"/>
              </w:rPr>
            </w:pPr>
          </w:p>
        </w:tc>
        <w:tc>
          <w:tcPr>
            <w:tcW w:w="36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IMAX theater system upgrades — installed and recognized</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 and sales-types lease arrangements</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10,087</w:t>
            </w:r>
          </w:p>
        </w:tc>
        <w:tc>
          <w:tcPr>
            <w:tcW w:w="20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19,630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IMAX Theater Systems installed and recognized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44,507</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100,607</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36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380" w:hanging="372"/>
        <w:spacing w:after="0" w:line="265"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for the sale of an IMAX Theater System includes fixed upfront and ongoing consideration, including indexed annual minimum payment increases over the term of the arrangement, as well as an estimate of the contingent fees that may become due if certain annual minimum box office receipt thresholds are exceeded.</w:t>
      </w:r>
    </w:p>
    <w:p>
      <w:pPr>
        <w:spacing w:after="0" w:line="135"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digital theater system relocated from a previous location. This installation is incremental to the IMAX network but full revenue for the digital system was not received.</w:t>
      </w:r>
    </w:p>
    <w:p>
      <w:pPr>
        <w:spacing w:after="0" w:line="121"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revenue from new and upgraded IMAX Theater Systems, revenues earned by the IMAX Systems segment also includes finance income and the impact of renewals and amendments to existing theater system arrangements.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8" w:name="page59"/>
    <w:bookmarkEnd w:id="58"/>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average revenue per IMAX Theater System under sales and sales-type lease arrangements varies depending upon the number of IMAX Theater System commitments with a single respective exhibitor, an exhibitor’s location and various other factors. The average revenue per full (i.e., not hybrid) IMAX Theater System under sales and sales-type lease arrangements was $1.2 million for the year ended December 31, 2020, as compared to $1.3 million in the prior year.</w:t>
      </w:r>
    </w:p>
    <w:p>
      <w:pPr>
        <w:spacing w:after="0" w:line="154" w:lineRule="exact"/>
        <w:rPr>
          <w:sz w:val="20"/>
          <w:szCs w:val="20"/>
          <w:color w:val="auto"/>
        </w:rPr>
      </w:pPr>
    </w:p>
    <w:p>
      <w:pPr>
        <w:ind w:right="1140" w:firstLine="224"/>
        <w:spacing w:after="0" w:line="452" w:lineRule="auto"/>
        <w:rPr>
          <w:sz w:val="20"/>
          <w:szCs w:val="20"/>
          <w:color w:val="auto"/>
        </w:rPr>
      </w:pPr>
      <w:r>
        <w:rPr>
          <w:rFonts w:ascii="Times New Roman" w:cs="Times New Roman" w:eastAsia="Times New Roman" w:hAnsi="Times New Roman"/>
          <w:sz w:val="18"/>
          <w:szCs w:val="18"/>
          <w:color w:val="auto"/>
        </w:rPr>
        <w:t xml:space="preserve">(See “Impact of COVID-19 Pandemic” above for a more detailed discussion of the impacts of the pandemic on the Company’s business.) </w:t>
      </w:r>
      <w:r>
        <w:rPr>
          <w:rFonts w:ascii="Times New Roman" w:cs="Times New Roman" w:eastAsia="Times New Roman" w:hAnsi="Times New Roman"/>
          <w:sz w:val="18"/>
          <w:szCs w:val="18"/>
          <w:i w:val="1"/>
          <w:iCs w:val="1"/>
          <w:color w:val="auto"/>
        </w:rPr>
        <w:t>IMAX Systems</w:t>
      </w:r>
    </w:p>
    <w:p>
      <w:pPr>
        <w:spacing w:after="0" w:line="2"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2020, IMAX Systems revenue and gross margin decreased by $53.3 million (50%) and $33.4 million (57%), respectively, when compared to the year ended December 31, 2019. These decreases are principally the result of 28 fewer IMAX Theater System installations and 11 fewer IMAX Theater System upgrades in the current year as the pace of theater system installations slowed significantly due to the COVID-19 pandemic.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Maintenance</w:t>
      </w:r>
    </w:p>
    <w:p>
      <w:pPr>
        <w:spacing w:after="0" w:line="186"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2020, IMAX Maintenance revenue and gross margin decreased by $31.2 million (59%) and $19.9 million (87%), respectively, as maintenance revenue was not recognized during the periods of time when theaters were closed due to the COVID-19 pandemic.</w:t>
      </w:r>
    </w:p>
    <w:p>
      <w:pPr>
        <w:spacing w:after="0" w:line="121"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Maintenance margins vary depending on the mix of theater system configurations in the theater network, volume-pricing related to larger relationships and the timing and the date(s) of installation and/or service.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Film Distribution and Post-Production</w:t>
      </w:r>
    </w:p>
    <w:p>
      <w:pPr>
        <w:spacing w:after="0" w:line="188"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2020, Film Distribution and Post-Production revenue and gross margin decreased by $3.5 million (29%) and $8.9 million, respectively, when compared to the prior year. The results for the year are significantly influenced by $10.0 million in impairment losses recorded in the year principally to write-down the carrying value of certain documentary and alternative content film assets due to a decrease in projected box office totals and related revenues based on management’s regular quarterly recoverability assessments. As of December 31, 2020, following the recording of these write-downs, the Company’s film assets totaled $5.8 million, which principally consists of DMR and documentary content. There can be no assurances that there will not be additional write-downs to the carrying values of these assets as the Company continues to assess the ongoing impact of the COVID-19 pandemic (see Note 2 of Notes to Consolidated Financial Statements in Part II, Item 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1"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2020, Selling, General and Administrative Expenses decreased by $15.0 million (12%), when compared to the year ended December 31, 2019. For the year ended December 31, 2020, Selling, General, and Administrative Expenses, excluding the impact of share-based compensation of $20.7 million, were $87.8 million, as compared to $102.7 million in the prior year, excluding share-based compensation of $20.8 million, representing a decrease of $14.9 million (14.5%). A portion of share-based compensation expense is recognized within Cost and Expenses Applicable to Revenue and Research and Development. (See Note 17 of Notes to Consolidated Financial Statements in Part II, Item 8.)</w:t>
      </w:r>
    </w:p>
    <w:p>
      <w:pPr>
        <w:spacing w:after="0" w:line="144"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comparison to the prior year is significantly influenced by COVID-19 government relief that the Company became entitled to receive during the year under the Canada Emergency Wage Subsidy program and the U.S. CARES Act, of which $6.0 million was recognized in 2020 as a reduction to Selling, General and Administrative Expenses. Also impacting the comparison to the prior year are management’s cost control efforts and lower business activity amidst the COVID-19 global pandemic resulting in lower staff costs, travel, facilities and marketing related expenses, among others. These factors are partially offset by a $19.6 million (38%) decrease in labor and other costs capitalized to inventory, film assets, and joint venture theater equipment or allocated to costs applicable to revenues, due to the lower level of production during the COVID-19 global pandemic.</w:t>
      </w:r>
    </w:p>
    <w:p>
      <w:pPr>
        <w:spacing w:after="0" w:line="143"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response to uncertainties associated with the COVID-19 global pandemic, the Company has taken and is continuing to take significant steps to preserve the cash by eliminating non-essential costs, placing certain employees on a temporary furlough, reducing the working hours of other employees and deferring all non-essential capital expenditures to minimum levels.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1"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A significant portion of the Company’s research and development efforts over the past several years have been focused on IMAX with Laser, the Company’s laser-based projection system, which the Company believes delivers increased resolution, sharper and brighter images, deeper contrast as well as the widest range of colors available to filmmakers today.</w:t>
      </w:r>
    </w:p>
    <w:p>
      <w:pPr>
        <w:spacing w:after="0" w:line="136"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2020, Research and Development expenses increased by $0.4 million (8%), when compared to the prior year, primarily due to costs associated with the Connected Theaters initiative.</w:t>
      </w:r>
    </w:p>
    <w:p>
      <w:pPr>
        <w:spacing w:after="0" w:line="121"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also intends to continue research and development in other areas considered important to the Company’s continued commercial success, including further improving the reliability of its projectors, certifying more IMAX cameras, enhancing the Company’s image quality, expanding the applicability of the Company’s digital technology in both theater and home entertainment and improvements to the DMR process.</w:t>
      </w:r>
    </w:p>
    <w:p>
      <w:pPr>
        <w:spacing w:after="0" w:line="149"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In addition, the Company has been, and intends to continue, using time and resources during the business slowdown caused by the COVID-19 global pandemic to work on leveraging and developing technologies and systems to help bring additional interactivity to its theater network, better manage certain of the Company’s internal workflows and better organize and codify certain of the Company’s data. During previous adverse events and downturns in the cinema business, the Company fostered many of the innovations that helped enable its global growth in recent years, including the development of its proprietary DMR process and the creation of its joint-revenue sharing business model.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w:t>
      </w:r>
    </w:p>
    <w:p>
      <w:pPr>
        <w:spacing w:after="0" w:line="188"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2020, the Company recorded a provision for current expected credit losses of $18.6 million reflecting a reduction in the credit quality of its theater and studio related receivable balances, which management believes is primarily related to the COVID-19 pandemic and adequately addresses the risk of not collecting these receivables in full.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For the year ended December 31, 2019, credit loss expense was $2.4 million. (See Notes 2 and 5 of Notes to Consolidated Financial Statements in Part II, Item 8.)</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Impairments</w:t>
      </w:r>
    </w:p>
    <w:p>
      <w:pPr>
        <w:spacing w:after="0" w:line="188"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2020, the Company recorded asset impairments of $1.2 million (2019 — $nil) principally related to write-down of content-related assets which became impaired in the year. (See Note 2 of Notes to Consolidated Financial Statements in Part II, Item 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Judgment and Arbitration Awards</w:t>
      </w:r>
    </w:p>
    <w:p>
      <w:pPr>
        <w:spacing w:after="0" w:line="201"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2020, the Company recorded a charge of $4.1 million associated with the Final Judgment issued on December 3, 2020 in respect of the Giencourt matter, as discussed in Note 16(c) of Notes to Consolidated Financial Statements in Part II, Item 8. No such charges were incurred in 2019.</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in Fair Value of Investments</w:t>
      </w:r>
    </w:p>
    <w:p>
      <w:pPr>
        <w:spacing w:after="0" w:line="188"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In the first quarter of 2019, IMAX China (Hong Kong), Limited, a wholly-owned subsidiary of IMAX China, entered into a cornerstone investment agreement with Maoyan Entertainment (“Maoyan”) and purchased equity securities for $15.2 million. These equity securities are traded on the Hong Kong Stock Exchange, and the Company is required to adjust the fair value of the securities each period to reflect the current market value. This adjustment will fluctuate based on the closing market price at the end of each period. For the year ended December 31, 2020, the fair value of the Company’s investment in Maoyan resulted in an unrealized loss of $2.1 million, as compared to an unrealized loss of $0.5 million in the prior year, which are both recognized in the Consolidated Statements of Operations. In February 2021, IMAX China (Hong Kong) sold all of its 7,949,000 shares of Maoyan for gross proceeds of $17.8 million, which represents a $2.6 million gain relative to the Company’s acquisition cost. No shares of Maoyan are currently held by IMAX China (Hong Kong).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8"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Interest expense was $7.0 million in 2020, as compared to $2.8 million in the prior year. The increase in interest expense versus the prior year is due to a higher level of Credit Facility borrowings, which were outstanding for most of the year. In the first quarter of 2020, in response to uncertainties associated with the outbreak of the COVID-19 global pandemic and its impact on the Company’s business, the Company drew down $280.0 million in available borrowing capacity under the Credit Facility, resulting in total outstanding borrowings of $300.0 million. Furthermore, the Company entered into a First Amendment to the Credit Agreement in June 2020, primarily to suspend the Senior Secured Net Leverage Ratio covenant through the first quarter of 2021. During the amendment period, the applicable margin increased by 150 basis points. The fully drawn Credit Facility coupled with the increase to the applicable margin during the amendment period has resulted in higher interest expense in current year versus prior year period. (See Note 14 of Notes to Consolidated Financial Statements in Part II, Item 8.)</w:t>
      </w:r>
    </w:p>
    <w:p>
      <w:pPr>
        <w:spacing w:after="0" w:line="160"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Included in interest expense is the amortization of deferred finance costs in the amount of $0.9 million and $0.5 million in 2020 and 2019, respectively. The Company incurred fees of approximately $1.1 million in connection with the Credit Facility amendment, which are being amortized on a straight-line basis through December 31, 2021. The Company’s policy is to defer and amortize all the costs relating to debt financing which are paid directly to the debt provider, over the life of the debt instrument.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2020, the Company recorded income tax expense of $26.5 million (2019 — $16.8 million), which includes a $28.6 million valuation allowance recorded in 2020. The valuation allowance was recorded in the jurisdictions where management could not reliably forecast that future tax liabilities would arise within the next five years, primarily due to the uncertainties around the long-term impact of the COVID-19 global pandemic. At the point in time when the Company determines it is more likely than not that the deferred tax assets in these jurisdictions will be realized, the $28.6 million valuation allowance recorded in 2020 is expected to reverse. Despite this valuation allowance, the Company remains entitled to benefit from tax attributes which currently have a valuation allowance applied to them.</w:t>
      </w:r>
    </w:p>
    <w:p>
      <w:pPr>
        <w:spacing w:after="0" w:line="157"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Company’s effective tax rate for year ended December 31, 2020 of (20.5)% differs from the Canadian statutory tax rate of 26.2%, primarily due to the recording of the valuation allowance discussed above, withholding taxes associated with the reversal of the indefinite reinvestment assertion for certain foreign subsidiaries, as discussed below, permanent book to tax differences, jurisdictional tax rate differences, and management’s estimates of contingent liabilities related to the resolution of various tax examinations.</w:t>
      </w:r>
    </w:p>
    <w:p>
      <w:pPr>
        <w:spacing w:after="0" w:line="140"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the Company recognized a deferred tax liability of $19.1 million for the year for the estimated applicable foreign withholding taxes associated with these historical earnings, which will become payable upon the repatriation of any such earnings.</w:t>
      </w:r>
    </w:p>
    <w:p>
      <w:pPr>
        <w:spacing w:after="0" w:line="144"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As of December 31, 2020, the Company’s Consolidated Balance Sheets include net deferred income tax assets of $18.0 million, net of a valuation allowance of $28.8 million (December 31, 2019 — $23.9 million, net of a valuation allowance of $0.2 million).</w:t>
      </w:r>
    </w:p>
    <w:p>
      <w:pPr>
        <w:spacing w:after="0" w:line="135"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As of December 31, 2020, the Company’s Consolidated Balance Sheets include a deferred income tax liability of $19.1 million (December 31, 2019 — $nil).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88"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2020, the Company reported a loss of $1.9 million due to the write-off of deferred tax assets related to an equity method investment, as compared to $nil in 2019 related to its proportionate share of equity investee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non-controlling interest in the net income (loss) of IMAX China as well as the impact of non-controlling interests in the activity of its Original Film Fund subsidiary. For the year ended December 31, 2020, the net loss attributable to non-controlling interests of the Company’s subsidiaries was $13.7 million (2019 ─ net income attributable to non-controlling interests of $11.7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01"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 has a credit agreement, the Fifth Amended and Restated Credit Agreement, with Wells Fargo Bank, National Association (“Wells Fargo”), as agent, and a syndicate of lenders party thereto (the “Credit Agreement”). The Company’s obligations under the Credit Agreement are guaranteed by certain of its subsidiaries (the “Guarantors”) and are secured by first-priority security interests in substantially all the assets of the Company and the Guarantors. The facility provided by the Credit Agreement (the “Credit Facility”) matures on June 28, 2023.</w:t>
      </w:r>
    </w:p>
    <w:p>
      <w:pPr>
        <w:spacing w:after="0" w:line="140" w:lineRule="exact"/>
        <w:rPr>
          <w:sz w:val="20"/>
          <w:szCs w:val="20"/>
          <w:color w:val="auto"/>
        </w:rPr>
      </w:pPr>
    </w:p>
    <w:p>
      <w:pPr>
        <w:jc w:val="both"/>
        <w:ind w:right="20" w:firstLine="224"/>
        <w:spacing w:after="0" w:line="265" w:lineRule="auto"/>
        <w:rPr>
          <w:sz w:val="20"/>
          <w:szCs w:val="20"/>
          <w:color w:val="auto"/>
        </w:rPr>
      </w:pPr>
      <w:r>
        <w:rPr>
          <w:rFonts w:ascii="Times New Roman" w:cs="Times New Roman" w:eastAsia="Times New Roman" w:hAnsi="Times New Roman"/>
          <w:sz w:val="18"/>
          <w:szCs w:val="18"/>
          <w:color w:val="auto"/>
        </w:rPr>
        <w:t>The Credit Agreement has a revolving borrowing capacity of $300.0 million, and contains an uncommitted accordion feature allowing the Company to further expand its borrowing capacity to $440.0 million or greater, subject to certain conditions, depending on the mix of revolving and term loans comprising the incremental facility.</w:t>
      </w:r>
    </w:p>
    <w:p>
      <w:pPr>
        <w:spacing w:after="0" w:line="136"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the first quarter of 2020, in response to uncertainties associated with the outbreak of the COVID-19 global pandemic and its impact on the Company’s business, the Company drew down $280.0 million in available borrowing capacity under the Credit Facility, resulting in total outstanding borrowings of $300.0 million.</w:t>
      </w:r>
    </w:p>
    <w:p>
      <w:pPr>
        <w:spacing w:after="0" w:line="149"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Credit Agreement contains a covenant that requires the Company to maintain a Senior Secured Net Leverage Ratio (as defined in the Credit Agreement), as of the last day of any Fiscal Quarter (as defined in the Credit Agreement) of no greater than 3.25:1.00. In addition, the Credit Agreement contains customary affirmative and negative covenants, including covenants that limit indebtedness, liens, capital expenditures, asset sales, investments and restricted payments, in each case subject to negotiated exceptions and baskets. The Credit Agreement also contains customary representations, warranties and event of default provisions.</w:t>
      </w:r>
    </w:p>
    <w:p>
      <w:pPr>
        <w:spacing w:after="0" w:line="144"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On June 10, 2020, the Company entered into the First Amendment to the Credit Agreement (the “Amendment”), which, among other things, (i) suspends the Senior Secured Net Leverage Ratio covenant through the first quarter of 2021, (ii) re-establishes the Senior Secured Net Leverage Ratio covenant thereafter, provided that for subsequent quarters that such covenant is tested, as applicable, the Company will be permitted to use its quarterly EBITDA (as defined in the Credit Agreement) from the third and fourth quarters of 2019 in lieu of the EBITDA for the corresponding quarters of 2020, (iii) adds a $75.0 million minimum liquidity covenant measured at the end of each calendar month and (iv) restricts the Company’s ability to make certain restricted payments, dispositions and investments, create or assume liens and incur debt that would otherwise have been permitted by the Credit Agreement. The modifications to the negative covenants, the minimum liquidity covenant and modifications to certain other provisions in the Credit Agreement pursuant to the Amendment were effective from the date of the Amendment until the earlier of the delivery of the compliance certificate for the fourth quarter of 2021 and the date on which the Company, in its sole discretion, elects to calculate its compliance with the Senior Secured Net Leverage Ratio by using either its actual EBITDA or annualized EBITDA (the “Designated Period”).</w:t>
      </w:r>
    </w:p>
    <w:p>
      <w:pPr>
        <w:spacing w:after="0" w:line="148"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As of December 31, 2020, the Company was in compliance with all of its requirements under the Credit Agreement, as amended. The Company’s continued compliance with the requirements of the Credit Agreement will depend on the Company’s ability to generate sufficient EBITDA to ensure compliance with the Senior Secured Net Leverage Ratio covenant throughout the next twelve months, which is dependent on the timing of when theaters in the IMAX network resume normal operations. The risk of breaching this covenant within the next twelve months increases significantly as the ongoing COVID-19 pandemic continues to adversely impact the Company’s ability to generate EBITDA. A violation of this covenant would represent an event of default under the terms of the Credit Agreement, allowing lenders to declare the principal and interest on all outstanding Credit Facility indebtedness due or payable immediately. If a breach of the Senior Secured Net Leverage Ratio covenant were to occur, however, management believes the Company would be able to either reduce a sufficient portion of the drawn amount on the Credit Facility with existing cash balances to achieve compliance, obtain additional sources of liquidity prior to the time when the repayment of its outstanding Credit Facility indebtedness would be required, or negotiate a further amendment with its lenders to the Credit Agreement to provide further covenant relief.</w:t>
      </w:r>
    </w:p>
    <w:p>
      <w:pPr>
        <w:spacing w:after="0" w:line="162" w:lineRule="exact"/>
        <w:rPr>
          <w:sz w:val="20"/>
          <w:szCs w:val="20"/>
          <w:color w:val="auto"/>
        </w:rPr>
      </w:pPr>
    </w:p>
    <w:p>
      <w:pPr>
        <w:jc w:val="both"/>
        <w:ind w:firstLine="224"/>
        <w:spacing w:after="0" w:line="276" w:lineRule="auto"/>
        <w:rPr>
          <w:sz w:val="20"/>
          <w:szCs w:val="20"/>
          <w:color w:val="auto"/>
        </w:rPr>
      </w:pPr>
      <w:r>
        <w:rPr>
          <w:rFonts w:ascii="Times New Roman" w:cs="Times New Roman" w:eastAsia="Times New Roman" w:hAnsi="Times New Roman"/>
          <w:sz w:val="17"/>
          <w:szCs w:val="17"/>
          <w:color w:val="auto"/>
        </w:rPr>
        <w:t>Borrowings under the Credit Facility bear interest, at the Company’s option, at (i) LIBOR plus a margin ranging from 1.00% to 1.75% per annum; or (ii) the U.S. base rate plus a margin ranging from 0.25% to 1.00% per annum, in each case depending on the Company’s Total Leverage Ratio (as defined in the Credit Agreement); provided, however, that from the effective date of the Amendment until the Company delivers a compliance certificate under the Credit Facility following the end of the Designated Period, the applicable margin for LIBOR borrowings will be 2.50% per annum and the applicable margin for U.S. base rate borrowings will be 1.75% per annum. The effective interest rate for the year ended December 31, 2020 was 2.38% (2019 — 3.43%).</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addition, the Credit Facility has standby fees ranging from 0.25% to 0.38% per annum, based on the Company’s Total Leverage Ratio with respect to the unused portion of the Credit Facility; provided, however, that from the effective date of the Amendment until the Company delivers a compliance certificate under the Credit Facility following the end of the Designated Period, the standby fee will be 0.50% per annum.</w:t>
      </w:r>
    </w:p>
    <w:p>
      <w:pPr>
        <w:spacing w:after="0" w:line="149"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Company incurred fees of approximately $1.1 million in connection with the Amendment, which are being amortized on a straight-line basis through December 31, 2021.</w:t>
      </w:r>
    </w:p>
    <w:p>
      <w:pPr>
        <w:spacing w:after="0" w:line="121"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As of December 31, 2020 and 2019, the Company did not have any letters of credit and advance payment guarantees outstanding under the Credit Facility.</w:t>
      </w:r>
    </w:p>
    <w:p>
      <w:pPr>
        <w:spacing w:after="0" w:line="121"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Impact of COVID-19 Pandemic”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 Item 1A.)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Facility</w:t>
      </w:r>
    </w:p>
    <w:p>
      <w:pPr>
        <w:spacing w:after="0" w:line="188"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On July 24, 2020, IMAX (Shanghai) Multimedia Technology Co., Ltd. (“IMAX Shanghai”), one of the Company’s majority-owned subsidiaries in China, renewed its unsecured revolving facility for up to 200.0 million Renminbi (approximately $30.6 million) to fund ongoing working capital requirements (the “Working Capital Facility”). The facility expires in July 2021. As of December 31, 2020, there was 49.9 million Renminbi ($7.6 million) in borrowings outstanding, 140.1 million Renminbi ($21.5 million) available for future borrowings and 10.0 million Renminbi ($1.5 million) available for letters of guarantees under the Working Capital Facility. There were no amounts drawn under the Working Capital facility at December 31, 2019. The amounts available for borrowing under the Working Capital Facility are not subject to a standby fee. The effective interest rate for the year ended December 31, 2020 was 4.31% (2019 — nil).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Wells Fargo Foreign Exchange Facility</w:t>
      </w:r>
    </w:p>
    <w:p>
      <w:pPr>
        <w:spacing w:after="0" w:line="201"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Within the Credit Facility, the Company is able to purchase foreign currency forward contracts and/or other swap arrangements. The net settlement gain on its foreign currency forward contracts was $2.0 million at December 31, 2020, as the fair value of the forward contracts exceeded the notional value (December 31, 2019 — $0.5 million). As of December 31, 2020, the Company has $31.9 million in notional value of such arrangements outstanding (December 31, 2019 — $36.1 million).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NBC Facility</w:t>
      </w:r>
    </w:p>
    <w:p>
      <w:pPr>
        <w:spacing w:after="0" w:line="188" w:lineRule="exact"/>
        <w:rPr>
          <w:sz w:val="20"/>
          <w:szCs w:val="20"/>
          <w:color w:val="auto"/>
        </w:rPr>
      </w:pPr>
    </w:p>
    <w:p>
      <w:pPr>
        <w:ind w:right="80" w:firstLine="224"/>
        <w:spacing w:after="0" w:line="265" w:lineRule="auto"/>
        <w:rPr>
          <w:sz w:val="20"/>
          <w:szCs w:val="20"/>
          <w:color w:val="auto"/>
        </w:rPr>
      </w:pPr>
      <w:r>
        <w:rPr>
          <w:rFonts w:ascii="Times New Roman" w:cs="Times New Roman" w:eastAsia="Times New Roman" w:hAnsi="Times New Roman"/>
          <w:sz w:val="18"/>
          <w:szCs w:val="18"/>
          <w:color w:val="auto"/>
        </w:rPr>
        <w:t>On October 28, 2019, the Company entered into a $5.0 million facility with the National Bank of Canada (the “NBC Facility”) fully insured by Export Development Canada for use solely in conjunction with the issuance of performance guarantees and letters of credit. The Company did not have any letters of credit and advance payment guarantees outstanding as of December 31, 2020 and 2019 under the NBC Facility.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Assessment of Liquidity and Capital Requirements</w:t>
      </w:r>
    </w:p>
    <w:p>
      <w:pPr>
        <w:spacing w:after="0" w:line="188" w:lineRule="exact"/>
        <w:rPr>
          <w:sz w:val="20"/>
          <w:szCs w:val="20"/>
          <w:color w:val="auto"/>
        </w:rPr>
      </w:pPr>
    </w:p>
    <w:p>
      <w:pPr>
        <w:jc w:val="both"/>
        <w:ind w:firstLine="223"/>
        <w:spacing w:after="0" w:line="260" w:lineRule="auto"/>
        <w:rPr>
          <w:sz w:val="20"/>
          <w:szCs w:val="20"/>
          <w:color w:val="auto"/>
        </w:rPr>
      </w:pPr>
      <w:r>
        <w:rPr>
          <w:rFonts w:ascii="Times New Roman" w:cs="Times New Roman" w:eastAsia="Times New Roman" w:hAnsi="Times New Roman"/>
          <w:sz w:val="18"/>
          <w:szCs w:val="18"/>
          <w:color w:val="auto"/>
        </w:rPr>
        <w:t>As of December 31, 2020, the Company’s principal sources of liquidity included: (i) its balances of cash and cash equivalents ($317.4 million, which reflects the full draw of the Credit Facility in the first quarter of 2020); (ii) the anticipated collection of trade accounts receivable, which includes amounts owed under joint revenue sharing arrangements and DMR agreements with movie studios; (iii) the anticipated collection of financing receivables due in the next 12 months; and (iv) installment payments expected in the next 12 months on its existing sales and sales-type lease arrangements in backlog.</w:t>
      </w:r>
    </w:p>
    <w:p>
      <w:pPr>
        <w:spacing w:after="0" w:line="140" w:lineRule="exact"/>
        <w:rPr>
          <w:sz w:val="20"/>
          <w:szCs w:val="20"/>
          <w:color w:val="auto"/>
        </w:rPr>
      </w:pPr>
    </w:p>
    <w:p>
      <w:pPr>
        <w:jc w:val="both"/>
        <w:ind w:firstLine="223"/>
        <w:spacing w:after="0" w:line="255" w:lineRule="auto"/>
        <w:rPr>
          <w:sz w:val="20"/>
          <w:szCs w:val="20"/>
          <w:color w:val="auto"/>
        </w:rPr>
      </w:pPr>
      <w:r>
        <w:rPr>
          <w:rFonts w:ascii="Times New Roman" w:cs="Times New Roman" w:eastAsia="Times New Roman" w:hAnsi="Times New Roman"/>
          <w:sz w:val="18"/>
          <w:szCs w:val="18"/>
          <w:color w:val="auto"/>
        </w:rPr>
        <w:t>The Company’s $317.4 million balance of cash and cash equivalents as of December 31, 2020 includes $89.9 million in cash held outside of Canada (December 31, 2019—$90.1 million), of which $77.2 million was held in the People’s Republic of China (the “PRC”) (December 31, 2019—$67.6 million). 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during the year ended December 31, 2020, the Company recognized a deferred tax liability of $19.1 million for the applicable foreign withholding taxes associated with these historical earnings, which will become payable upon the repatriation of any such earnings.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3" w:name="page64"/>
    <w:bookmarkEnd w:id="63"/>
    <w:p>
      <w:pPr>
        <w:jc w:val="both"/>
        <w:ind w:firstLine="223"/>
        <w:spacing w:after="0" w:line="255" w:lineRule="auto"/>
        <w:rPr>
          <w:sz w:val="20"/>
          <w:szCs w:val="20"/>
          <w:color w:val="auto"/>
        </w:rPr>
      </w:pPr>
      <w:r>
        <w:rPr>
          <w:rFonts w:ascii="Times New Roman" w:cs="Times New Roman" w:eastAsia="Times New Roman" w:hAnsi="Times New Roman"/>
          <w:sz w:val="18"/>
          <w:szCs w:val="18"/>
          <w:color w:val="auto"/>
        </w:rPr>
        <w:t>The Company’s operating cash flows and cash balances will be adversely affected if management’s projections of future signings of IMAX Theater Systems and film performance, theater installations and film productions are not realized. The Company forecasts its short-term liquidity requirements on a quarterly and annual basis. Since the Company’s future cash flows are based on estimates and there may be factors that are outside of the Company’s control (see “Risk Factors” in Part I, Item 1A), there is no guarantee that the Company will be able to fund its operations through cash flows from operations. Under the terms of the Company’s typical sale and sales-type lease agreements, the Company receives substantial cash payments before the Company completes the performance of its obligations. Similarly, the Company receives cash payments for some of its film productions in advance of related cash expenditures.</w:t>
      </w:r>
    </w:p>
    <w:p>
      <w:pPr>
        <w:spacing w:after="0" w:line="158" w:lineRule="exact"/>
        <w:rPr>
          <w:sz w:val="20"/>
          <w:szCs w:val="20"/>
          <w:color w:val="auto"/>
        </w:rPr>
      </w:pPr>
    </w:p>
    <w:p>
      <w:pPr>
        <w:jc w:val="both"/>
        <w:ind w:firstLine="223"/>
        <w:spacing w:after="0" w:line="252" w:lineRule="auto"/>
        <w:rPr>
          <w:sz w:val="20"/>
          <w:szCs w:val="20"/>
          <w:color w:val="auto"/>
        </w:rPr>
      </w:pPr>
      <w:r>
        <w:rPr>
          <w:rFonts w:ascii="Times New Roman" w:cs="Times New Roman" w:eastAsia="Times New Roman" w:hAnsi="Times New Roman"/>
          <w:sz w:val="18"/>
          <w:szCs w:val="18"/>
          <w:color w:val="auto"/>
        </w:rPr>
        <w:t>The repercussions of the COVID-19 global pandemic resulted in a significant decrease in the Company’s revenues, earnings and operating cash flows in 2020 as GBO results from theater exhibitors declined significantly, the installation of certain Theater Systems was delayed, and maintenance services were generally suspended for theaters that were closed. During time periods when there is a lack of new films released by movie studios and a significant number of theaters in the IMAX network are closed, the Company is experiencing a significant decline in earnings and operating cash flows as it is generating significantly lower than normal levels of GBO-based revenue from its joint revenue sharing arrangements and digital remastering services, it is unable to provide normal maintenance services to any of the theaters that remain closed, and while some installation activity is continuing, certain theater system installations have, and may continue to be delayed. In addition, the Company has experienced and is likely to continue to experience delays in collecting payments due under existing theater sale or lease arrangements from its exhibitor partners who are facing financial difficulties as a result of the theater closures. In response, the Company has provided temporary relief to exhibitor partners by waiving or reducing maintenance fees during periods when theaters are closed or operating with reduced capacities and, in certain situations, by providing extended payment terms on annual minimum payment obligations in exchange for a corresponding or longer extension of the term of the underlying sale or lease arrangement.</w:t>
      </w:r>
    </w:p>
    <w:p>
      <w:pPr>
        <w:spacing w:after="0" w:line="155" w:lineRule="exact"/>
        <w:rPr>
          <w:sz w:val="20"/>
          <w:szCs w:val="20"/>
          <w:color w:val="auto"/>
        </w:rPr>
      </w:pPr>
    </w:p>
    <w:p>
      <w:pPr>
        <w:jc w:val="both"/>
        <w:ind w:firstLine="223"/>
        <w:spacing w:after="0" w:line="253" w:lineRule="auto"/>
        <w:rPr>
          <w:sz w:val="20"/>
          <w:szCs w:val="20"/>
          <w:color w:val="auto"/>
        </w:rPr>
      </w:pPr>
      <w:r>
        <w:rPr>
          <w:rFonts w:ascii="Times New Roman" w:cs="Times New Roman" w:eastAsia="Times New Roman" w:hAnsi="Times New Roman"/>
          <w:sz w:val="18"/>
          <w:szCs w:val="18"/>
          <w:color w:val="auto"/>
        </w:rPr>
        <w:t>Based on the Company’s current cash balances and operating cash flows, management expects to have sufficient capital and liquidity to fund its anticipated operating needs and capital requirements during the twelve month period following the date of this report. However, as discussed above, the risk of breaching the Senior Secured Net Leverage Ratio within the next twelve months increases significantly as the ongoing COVID-19 pandemic continues to adversely impact the Company’s ability to generate EBITDA. A violation of this covenant would represent an event of default under the terms of the Credit Agreement, allowing lenders to declare the principal and interest on all outstanding Credit Facility indebtedness due or payable immediately. If a breach of the Senior Secured Net Leverage Ratio covenant were to occur, however, management believes the Company would be able to either reduce a sufficient portion of the drawn amount on the Credit Facility with existing cash balances to achieve compliance, obtain additional sources of liquidity prior to the time when the repayment of its outstanding Credit Facility borrowings would be required, or negotiate a further amendment with its lenders to the Credit Agreement to provide further covenant relief.</w:t>
      </w:r>
    </w:p>
    <w:p>
      <w:pPr>
        <w:spacing w:after="0" w:line="151" w:lineRule="exact"/>
        <w:rPr>
          <w:sz w:val="20"/>
          <w:szCs w:val="20"/>
          <w:color w:val="auto"/>
        </w:rPr>
      </w:pPr>
    </w:p>
    <w:p>
      <w:pPr>
        <w:jc w:val="both"/>
        <w:ind w:firstLine="223"/>
        <w:spacing w:after="0" w:line="265"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Impact of COVID-19 Pandemic”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 Item 1A.)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for the Years Ended December 31, 2020 and 2019</w:t>
      </w:r>
    </w:p>
    <w:p>
      <w:pPr>
        <w:spacing w:after="0" w:line="188" w:lineRule="exact"/>
        <w:rPr>
          <w:sz w:val="20"/>
          <w:szCs w:val="20"/>
          <w:color w:val="auto"/>
        </w:rPr>
      </w:pPr>
    </w:p>
    <w:p>
      <w:pPr>
        <w:jc w:val="both"/>
        <w:ind w:firstLine="223"/>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2020, cash and cash equivalents increased by $207.9 million principally due to financing cash inflows of $240.6 million, which include the full draw of the Credit Facility in the first quarter of 2020, as discussed above. These financing cash inflows are partially offset by $23.0 million of cash used to fund the Company’s operating activities as the COVID-19 global pandemic resulted in a significant decline in revenue and earnings. In addition, during the year ended December 31, 2020, the Company invested $9.3 million in equipment to be used in its joint revenue sharing arrangements with exhibitors, intangible assets and property, plant and equipment. Based on management’s current operating plan for 2021, the Company expects to continue to use cash to deploy additional IMAX Theater Systems under joint revenue sharing arrangements.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99"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Company’s net cash used in or provided by operating activities is affected by a number of factors, including: (i) the level of cash collections from customers in respect of existing IMAX Theater System sale and lease agreements, (ii) the amount of upfront payments collected from newly signed IMAX Theater System sale and lease agreements, (iii) the box-office performance of films distributed by the Company and/or released to IMAX theaters, (iv) the level of inventory purchases and (v) the level of the Company’s operating expenses, including expenses for research and development and new business initiatives.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4" w:name="page65"/>
    <w:bookmarkEnd w:id="64"/>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Net cash used in operating activities totaled to $23.0 million for the year ended December 31, 2020, as compared to net cash provided by operating activities of $90.4 million for the year ended December 31, 2019. For the year ended December 31, 2020, the net cash outflow from operating activities is principally due to the significant decrease in the Company’s revenue and earnings as a result of the COVID-19 global pandemic.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6"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Net cash used in investing activities totaled $9.3 million in the year ended December 31, 2020 (2019 — $66.0 million) which includes $6.7 million (2019 — $40.5 million) invested in equipment to be used in the Company’s joint revenue sharing arrangements with exhibitors. In addition, the Company acquired $1.9 million (2019 — $2.9 million) of intangible assets, principally related to the purchase of internal use software, and purchased $0.7 million in property, plant and equipment (2019 — $7.4 million). Furthermore, in the year ended December 31, 2019, IMAX China (Hong Kong), Limited, a wholly-owned subsidiary of IMAX China purchased equity securities in Maoyan for $15.2 million. No investments of equity securities occurred in 2020.</w:t>
      </w:r>
    </w:p>
    <w:p>
      <w:pPr>
        <w:spacing w:after="0" w:line="144"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Capital expenditures, including the Company’s investment in joint revenue sharing equipment, purchase of property, plant and equipment, other intangible assets and investments in film assets were $16.9 million in 2020 as compared to $74.3 million in 2019.</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6"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totaled $240.6 million for the year ended December 31, 2020, as compared to net cash used of $57.1 million in 2019. In 2020, the net cash provided by financing activities was principally due to $280.0 million in Credit Facility borrowings drawn in the first quarter of 2020, as discussed above, and $7.6 million drawn on IMAX Shanghai’s Working Capital Facility, partially offset by $36.6 million paid to repurchase common shares under the Company’s share repurchase program, $3.6 million paid to purchase treasury stock for the settlement of restricted share units and related taxes, $1.5 million for the repurchase of common shares under the IMAX China share repurchase program, $4.2 million of dividends paid to the non-controlling interest shareholders of IMAX China and $1.1 million in Credit Facility amendment fees.</w:t>
      </w:r>
    </w:p>
    <w:p>
      <w:pPr>
        <w:spacing w:after="0" w:line="143"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In 2019, the net cash used in financing activities was principally due to the net repayment of $20.0 million in Credit Facility borrowings, $19.2 million for the repurchase of common shares under the IMAX China share repurchase program, $14.4 million paid to purchase treasury stock for the settlement of restricted share units and related taxes, $4.4 million of dividends paid to the non-controlling interest shareholders of IMAX China, and $2.7 million paid to repurchase common shares under the Company’s share repurchase program, partially offset by $2.4 million common shares issued for stock options exercised and $1.1 million received for the issuance of subsidiary shares to non-controlling interests.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Payments to be made by the Company under contractual obligations as of December 31, 2020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ind w:right="374"/>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9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Less Than One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12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140" w:type="dxa"/>
            <w:vAlign w:val="bottom"/>
          </w:tcPr>
          <w:p>
            <w:pPr>
              <w:spacing w:after="0"/>
              <w:rPr>
                <w:sz w:val="11"/>
                <w:szCs w:val="11"/>
                <w:color w:val="auto"/>
              </w:rPr>
            </w:pPr>
          </w:p>
        </w:tc>
        <w:tc>
          <w:tcPr>
            <w:tcW w:w="9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73"/>
        </w:trPr>
        <w:tc>
          <w:tcPr>
            <w:tcW w:w="3860" w:type="dxa"/>
            <w:vAlign w:val="bottom"/>
            <w:gridSpan w:val="2"/>
            <w:vMerge w:val="continue"/>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8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15"/>
                <w:szCs w:val="15"/>
                <w:color w:val="auto"/>
              </w:rPr>
              <w:t>(1)</w:t>
            </w:r>
          </w:p>
        </w:tc>
        <w:tc>
          <w:tcPr>
            <w:tcW w:w="1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35,348</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35,247</w:t>
            </w: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obligations</w:t>
            </w:r>
            <w:r>
              <w:rPr>
                <w:rFonts w:ascii="Times New Roman" w:cs="Times New Roman" w:eastAsia="Times New Roman" w:hAnsi="Times New Roman"/>
                <w:sz w:val="15"/>
                <w:szCs w:val="15"/>
                <w:color w:val="auto"/>
              </w:rPr>
              <w:t>(2)</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20,298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15"/>
                <w:szCs w:val="15"/>
                <w:color w:val="auto"/>
              </w:rPr>
              <w:t>(3)</w:t>
            </w: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21,493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5,190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4,258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8,330</w:t>
            </w:r>
          </w:p>
        </w:tc>
        <w:tc>
          <w:tcPr>
            <w:tcW w:w="0" w:type="dxa"/>
            <w:vAlign w:val="bottom"/>
          </w:tcPr>
          <w:p>
            <w:pPr>
              <w:spacing w:after="0"/>
              <w:rPr>
                <w:sz w:val="1"/>
                <w:szCs w:val="1"/>
                <w:color w:val="auto"/>
              </w:rPr>
            </w:pPr>
          </w:p>
        </w:tc>
      </w:tr>
      <w:tr>
        <w:trPr>
          <w:trHeight w:val="229"/>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Facility</w:t>
            </w:r>
            <w:r>
              <w:rPr>
                <w:rFonts w:ascii="Times New Roman" w:cs="Times New Roman" w:eastAsia="Times New Roman" w:hAnsi="Times New Roman"/>
                <w:sz w:val="15"/>
                <w:szCs w:val="15"/>
                <w:color w:val="auto"/>
              </w:rPr>
              <w:t>(4)</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 Facility</w:t>
            </w: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7,643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Postretirement benefits obligations</w:t>
            </w:r>
          </w:p>
        </w:tc>
        <w:tc>
          <w:tcPr>
            <w:tcW w:w="1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3,299</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r>
        <w:trPr>
          <w:trHeight w:val="222"/>
        </w:trPr>
        <w:tc>
          <w:tcPr>
            <w:tcW w:w="1460" w:type="dxa"/>
            <w:vAlign w:val="bottom"/>
            <w:tcBorders>
              <w:bottom w:val="single" w:sz="8" w:color="CFF0FC"/>
            </w:tcBorders>
            <w:shd w:val="clear" w:color="auto" w:fill="CFF0FC"/>
          </w:tcPr>
          <w:p>
            <w:pPr>
              <w:spacing w:after="0"/>
              <w:rPr>
                <w:sz w:val="19"/>
                <w:szCs w:val="19"/>
                <w:color w:val="auto"/>
              </w:rPr>
            </w:pPr>
          </w:p>
        </w:tc>
        <w:tc>
          <w:tcPr>
            <w:tcW w:w="240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388,081</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46,731</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325,836</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4,531</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10,983</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460" w:type="dxa"/>
            <w:vAlign w:val="bottom"/>
            <w:tcBorders>
              <w:bottom w:val="single" w:sz="8" w:color="auto"/>
            </w:tcBorders>
          </w:tcPr>
          <w:p>
            <w:pPr>
              <w:spacing w:after="0"/>
              <w:rPr>
                <w:sz w:val="10"/>
                <w:szCs w:val="10"/>
                <w:color w:val="auto"/>
              </w:rPr>
            </w:pPr>
          </w:p>
        </w:tc>
        <w:tc>
          <w:tcPr>
            <w:tcW w:w="2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right="20" w:hanging="372"/>
        <w:spacing w:after="0" w:line="281"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payments to be made under binding commitments with suppliers and outstanding payments to be made for supplies ordered, but yet to be invoiced.</w:t>
      </w:r>
    </w:p>
    <w:p>
      <w:pPr>
        <w:spacing w:after="0" w:line="121" w:lineRule="exact"/>
        <w:rPr>
          <w:rFonts w:ascii="Times New Roman" w:cs="Times New Roman" w:eastAsia="Times New Roman" w:hAnsi="Times New Roman"/>
          <w:sz w:val="18"/>
          <w:szCs w:val="18"/>
          <w:color w:val="auto"/>
        </w:rPr>
      </w:pPr>
    </w:p>
    <w:p>
      <w:pPr>
        <w:jc w:val="both"/>
        <w:ind w:left="380" w:hanging="372"/>
        <w:spacing w:after="0" w:line="260"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unfunded defined benefit pension plan, the Supplemental Executive Retirement Plan (the “SERP”), covering its CEO, Mr. Richard L. Gelfond. The SERP has a fixed benefit payable of $20.3 million. The table above assumes that Mr. Gelfond will receive a lump sum payment of $20.3 million six months after retirement at the end of the term of his current employment agreement, which expires on December 31, 2022, in accordance with the terms of the SERP, although Mr. Gelfond has not informed the Company that he intends to retire at that time.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5" w:name="page66"/>
    <w:bookmarkEnd w:id="65"/>
    <w:p>
      <w:pPr>
        <w:ind w:left="380" w:hanging="372"/>
        <w:spacing w:after="0" w:line="281"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minimum annual rental payments due under the Company’s operating leases, almost entirely consisting of rent at the Company’s leased office space in New York.</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make any minimum payments on the Credit Facility.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Postretirement Obligations</w:t>
      </w:r>
    </w:p>
    <w:p>
      <w:pPr>
        <w:spacing w:after="0" w:line="201"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Company has an unfunded defined benefit pension plan, the SERP, covering the Company’s CEO, Mr. Gelfond. Under the terms of the SERP, if Mr. Gelfond’s employment is terminated other than for cause (as defined in his employment agreement), he is entitled to receive SERP benefits in the form of a lump sum payment. SERP benefit payments to Mr. Gelfond are subject to a deferral for six months after the termination of his employment, at which time Mr. Gelfond will be entitled to receive interest on the deferred amount credited at the applicable federal rate for short-term obligations. Pursuant to an amendment to his employment agreement dated November 1, 2019, the term of Mr. Gelfond’s employment was extended through December 31, 2022, although Mr. Gelfond has not informed the Company that he intends to retire at that time. Under the terms of this amendment to his employment agreement, the total benefit payable to Mr. Gelfond under the SERP was fixed at $20.3 million. As of December 31, 2020, the Company’s Consolidated Balance Sheet includes the present value of the related SERP benefit obligation of approximately $20.1 million recorded within Accrued and Other Liabilities (December 31, 2019 — $18.8 million).</w:t>
      </w:r>
    </w:p>
    <w:p>
      <w:pPr>
        <w:spacing w:after="0" w:line="151"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has a postretirement plan to provide health and welfare benefits to Canadian employees meeting certain eligibility requirements. As of December 31, 2020, the Company’s Consolidated Balance Sheet includes an unfunded benefit obligation of $1.9 million within Accrued and Other Liabilities related to this plan (December 31, 2019 — $1.6 million).</w:t>
      </w:r>
    </w:p>
    <w:p>
      <w:pPr>
        <w:spacing w:after="0" w:line="136"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July 2000, the Company agreed to maintain health benefits for Messrs. Gelfond and Bradley J. Wechsler, the Company’s former Co-CEO and current Chairman of its Board of Directors, upon retirement. As of December 31, 2020, the Company’s Consolidated Balance Sheet includes an unfunded benefit obligation of $0.7 million within Accrued and Other Liabilities related to this plan (December 31, 2019 — $0.7 million).</w:t>
      </w:r>
    </w:p>
    <w:p>
      <w:pPr>
        <w:spacing w:after="0" w:line="149"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the fourth quarter of 2018, the executive incurred a separation from service from the Company, and as such, the Retirement Plan benefits became fully vested as of December 31, 2018 and the accelerated costs were recognized and reflected in Executive Transition Costs in the Consolidated Statements of Operations.</w:t>
      </w:r>
    </w:p>
    <w:p>
      <w:pPr>
        <w:spacing w:after="0" w:line="144"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As of December 31, 2020, the benefit obligation related to the Retirement Plan was $3.7 million (December 31, 2019 — $3.6 million) and is recorded on the Company’s Consolidated Balance Sheets within Accrued and Other Liabilities. As the Retirement Plan is fully vested, the benefit obligation is measured at the present value of the benefits expected to be paid in the future with the accretion of interest recognized in the Consolidated Statements of Operations within Retirement Benefits Non-Service Expenses.</w:t>
      </w:r>
    </w:p>
    <w:p>
      <w:pPr>
        <w:spacing w:after="0" w:line="140"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Retirement Plan is funded by an investment in company-owned life insurance (“COLI”), which is recorded at its fair value on the Company’s Consolidated Balance Sheets within Prepaid Expenses. As of December 31, 2020, fair value of the COLI asset was $3.2 million (December 31, 2019 — $3.2 million). Gains and losses resulting from changes in the cash surrender value of the COLI asset are recognized in the Consolidated Statements of Operations within Gain (Loss) In Fair Value of Investments.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There are currently no off-balance sheet arrangements that have or are reasonably likely to have a current or future material effect on the Company’s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1"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GAAP refers to generally accepted accounting principles in the United States of America. In this report, the Company presents financial measures in accordance with GAAP and also on a non-GAAP basis under U.S. Securities and Exchange Commission rules. Specifically, the Company presents the following non-GAAP financial measures as supplemental measures of its performance:</w:t>
      </w:r>
    </w:p>
    <w:p>
      <w:pPr>
        <w:spacing w:after="0" w:line="176" w:lineRule="exact"/>
        <w:rPr>
          <w:sz w:val="20"/>
          <w:szCs w:val="20"/>
          <w:color w:val="auto"/>
        </w:rPr>
      </w:pPr>
    </w:p>
    <w:p>
      <w:pPr>
        <w:ind w:left="580" w:hanging="357"/>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income attributable to common shareholders;</w:t>
      </w:r>
    </w:p>
    <w:p>
      <w:pPr>
        <w:spacing w:after="0" w:line="237" w:lineRule="exact"/>
        <w:rPr>
          <w:rFonts w:ascii="Times New Roman" w:cs="Times New Roman" w:eastAsia="Times New Roman" w:hAnsi="Times New Roman"/>
          <w:sz w:val="18"/>
          <w:szCs w:val="18"/>
          <w:color w:val="auto"/>
        </w:rPr>
      </w:pPr>
    </w:p>
    <w:p>
      <w:pPr>
        <w:ind w:left="5540" w:right="4760" w:hanging="5317"/>
        <w:spacing w:after="0" w:line="531" w:lineRule="auto"/>
        <w:tabs>
          <w:tab w:leader="none" w:pos="5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income attributable to common shareholders per diluted share;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9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ind w:left="580" w:hanging="357"/>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w:t>
      </w:r>
    </w:p>
    <w:p>
      <w:pPr>
        <w:spacing w:after="0" w:line="237" w:lineRule="exact"/>
        <w:rPr>
          <w:rFonts w:ascii="Times New Roman" w:cs="Times New Roman" w:eastAsia="Times New Roman" w:hAnsi="Times New Roman"/>
          <w:sz w:val="18"/>
          <w:szCs w:val="18"/>
          <w:color w:val="auto"/>
        </w:rPr>
      </w:pPr>
    </w:p>
    <w:p>
      <w:pPr>
        <w:ind w:left="580" w:hanging="357"/>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per Credit Facility.</w:t>
      </w:r>
    </w:p>
    <w:p>
      <w:pPr>
        <w:spacing w:after="0" w:line="184"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For the years ended December 31, 2020 and 2019, adjusted net (loss) income attributable to common shareholders and adjusted net (loss) income attributable to common shareholders per basic and diluted share exclude, where applicable: (i) share-based compensation; (ii) COVID-19 government relief benefits; (iii) legal judgment and arbitration awards; (iv) exit costs, restructuring charges and associated impairments; (v) loss in the fair value of investments, as well as the related tax impact of these adjustments, and (vi) income taxes resulting from management’s decision to no longer indefinitely reinvest the historical earnings of certain foreign subsidiaries.</w:t>
      </w:r>
    </w:p>
    <w:p>
      <w:pPr>
        <w:spacing w:after="0" w:line="15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 xml:space="preserve">The Company believes that these non-GAAP financial measures are important supplemental measures that allow management and users of the Company’s financial statements to </w:t>
      </w:r>
      <w:r>
        <w:rPr>
          <w:rFonts w:ascii="Times New Roman" w:cs="Times New Roman" w:eastAsia="Times New Roman" w:hAnsi="Times New Roman"/>
          <w:sz w:val="18"/>
          <w:szCs w:val="18"/>
          <w:color w:val="212529"/>
        </w:rPr>
        <w:t>view operating trends and analyze controllable operating performance on a comparable basis between periods without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the after-tax impact of share-based compensation and </w:t>
      </w:r>
      <w:r>
        <w:rPr>
          <w:rFonts w:ascii="Times New Roman" w:cs="Times New Roman" w:eastAsia="Times New Roman" w:hAnsi="Times New Roman"/>
          <w:sz w:val="18"/>
          <w:szCs w:val="18"/>
          <w:color w:val="000000"/>
        </w:rPr>
        <w:t>certain unusual items included in net (loss) income attributable to common shareholders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Although</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share-based compensation is an important aspect of the Company’s employee and executive compensation packages, it is a non-cash expense and is excluded from certain internal business performance measures.</w:t>
      </w:r>
    </w:p>
    <w:p>
      <w:pPr>
        <w:spacing w:after="0" w:line="144"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A reconciliation from net (loss) income attributable to common shareholders and the associated per share amounts to adjusted net (loss) income attributable to common shareholders and adjusted net (loss) income attributable to common shareholders per diluted share is presented in the table below. Net (loss) income attributable to common shareholders and the associated per share amounts are the most directly comparable GAAP measures because they reflect the earnings relevant to the Company’s shareholders, rather than the earnings attributable to non-controlling interests. Accordingly, beginning in the first quarter of 2020, the Company updated its reconciliations of these non-GAAP financial measures to reflect this approach.</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222"/>
        </w:trPr>
        <w:tc>
          <w:tcPr>
            <w:tcW w:w="15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980" w:type="dxa"/>
            <w:vAlign w:val="bottom"/>
            <w:tcBorders>
              <w:bottom w:val="single" w:sz="8" w:color="auto"/>
            </w:tcBorders>
          </w:tcPr>
          <w:p>
            <w:pPr>
              <w:spacing w:after="0"/>
              <w:rPr>
                <w:sz w:val="19"/>
                <w:szCs w:val="19"/>
                <w:color w:val="auto"/>
              </w:rPr>
            </w:pPr>
          </w:p>
        </w:tc>
      </w:tr>
      <w:tr>
        <w:trPr>
          <w:trHeight w:val="222"/>
        </w:trPr>
        <w:tc>
          <w:tcPr>
            <w:tcW w:w="63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share amounts)</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2"/>
        </w:trPr>
        <w:tc>
          <w:tcPr>
            <w:tcW w:w="6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attributable to common shareholders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(143,775)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46,866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0.76</w:t>
            </w:r>
          </w:p>
        </w:tc>
      </w:tr>
      <w:tr>
        <w:trPr>
          <w:trHeight w:val="229"/>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6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20,558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0.35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0.36</w:t>
            </w:r>
          </w:p>
        </w:tc>
      </w:tr>
      <w:tr>
        <w:trPr>
          <w:trHeight w:val="229"/>
        </w:trPr>
        <w:tc>
          <w:tcPr>
            <w:tcW w:w="6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COVID-19 government relief benefits</w:t>
            </w:r>
            <w:r>
              <w:rPr>
                <w:rFonts w:ascii="Times New Roman" w:cs="Times New Roman" w:eastAsia="Times New Roman" w:hAnsi="Times New Roman"/>
                <w:sz w:val="15"/>
                <w:szCs w:val="15"/>
                <w:color w:val="auto"/>
              </w:rPr>
              <w:t>(2)</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Legal judgment and arbitration awards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4,105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Exit costs, restructuring charges and associated impairments</w:t>
            </w:r>
          </w:p>
        </w:tc>
        <w:tc>
          <w:tcPr>
            <w:tcW w:w="16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6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in fair value of investments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1,450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6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Tax impact on items listed above</w:t>
            </w:r>
            <w:r>
              <w:rPr>
                <w:rFonts w:ascii="Times New Roman" w:cs="Times New Roman" w:eastAsia="Times New Roman" w:hAnsi="Times New Roman"/>
                <w:sz w:val="15"/>
                <w:szCs w:val="15"/>
                <w:color w:val="auto"/>
              </w:rPr>
              <w:t>(3)</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11"/>
        </w:trPr>
        <w:tc>
          <w:tcPr>
            <w:tcW w:w="6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taxes resulting from management's decision to no longer indefinitely</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34"/>
        </w:trPr>
        <w:tc>
          <w:tcPr>
            <w:tcW w:w="6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reinvest the historical earnings of certain foreign subsidiaries</w:t>
            </w: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13,344</w:t>
            </w:r>
          </w:p>
        </w:tc>
        <w:tc>
          <w:tcPr>
            <w:tcW w:w="16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0.23</w:t>
            </w:r>
          </w:p>
        </w:tc>
        <w:tc>
          <w:tcPr>
            <w:tcW w:w="14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63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Adjusted net (loss) income</w:t>
            </w:r>
            <w:r>
              <w:rPr>
                <w:rFonts w:ascii="Times New Roman" w:cs="Times New Roman" w:eastAsia="Times New Roman" w:hAnsi="Times New Roman"/>
                <w:sz w:val="15"/>
                <w:szCs w:val="15"/>
                <w:color w:val="auto"/>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(112,063)</w:t>
            </w:r>
          </w:p>
        </w:tc>
        <w:tc>
          <w:tcPr>
            <w:tcW w:w="1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64,785</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1.05</w:t>
            </w:r>
          </w:p>
        </w:tc>
      </w:tr>
      <w:tr>
        <w:trPr>
          <w:trHeight w:val="209"/>
        </w:trPr>
        <w:tc>
          <w:tcPr>
            <w:tcW w:w="150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29"/>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59,237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61,489</w:t>
            </w:r>
          </w:p>
        </w:tc>
      </w:tr>
      <w:tr>
        <w:trPr>
          <w:trHeight w:val="20"/>
        </w:trPr>
        <w:tc>
          <w:tcPr>
            <w:tcW w:w="15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4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bl>
    <w:p>
      <w:pPr>
        <w:spacing w:after="0" w:line="197"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amounts attributable to common shareholders.</w:t>
      </w:r>
    </w:p>
    <w:p>
      <w:pPr>
        <w:spacing w:after="0" w:line="183"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$6.4 million in benefits from the CEWS program and $0.7 million in benefits from the U.S. CARES Act, as reductions to Selling, General and Administrative Expenses ($6.0 million), Costs and Expenses Applicable to Revenues ($1.0 million) and Research and Development ($0.1 million) in the Consolidated Statements of Operations.</w:t>
      </w:r>
    </w:p>
    <w:p>
      <w:pPr>
        <w:spacing w:after="0" w:line="135" w:lineRule="exact"/>
        <w:rPr>
          <w:rFonts w:ascii="Times New Roman" w:cs="Times New Roman" w:eastAsia="Times New Roman" w:hAnsi="Times New Roman"/>
          <w:sz w:val="18"/>
          <w:szCs w:val="18"/>
          <w:color w:val="auto"/>
        </w:rPr>
      </w:pPr>
    </w:p>
    <w:p>
      <w:pPr>
        <w:jc w:val="both"/>
        <w:ind w:left="380" w:hanging="372"/>
        <w:spacing w:after="0" w:line="260"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2020, the Company recorded a valuation allowance to reduce the value of the deferred tax assets attributable to certain jurisdictions where management cannot reliably estimate future tax liabilities within the next five years, primarily due to uncertainties associated with the COVID-19 global pandemic. As a result, the calculated tax impact as a percentage of the related non-GAAP adjustments is lower than in the prior year.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In addition to the non-GAAP financial measures discussed above, management also uses “EBITDA,” as such term is defined in the Credit Agreement, and which is referred to herein as “Adjusted EBITDA per Credit Facility.” As allowed by the Credit Agreement, Adjusted EBITDA per Credit Facility includes adjustments in addition to the exclusion of interest, taxes, and depreciation and amortization. Adjusted EBITDA per Credit Facility is presented to allow a more comprehensive analysis of the Company’s operating performance and to provide additional information with respect to the Company’s compliance against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158"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EBITDA is defined as net income or loss excluding: (i) interest expense, net of interest income; (ii) income tax expense or benefit; and (iii) depreciation and amortization, including film asset amortization. Adjusted EBITDA per Credit Facility is defined as EBITDA excluding: (i) share-based and other non-cash compensation; (ii) gain or loss in the fair value of investments; (iii) write-downs, net of recoveries, including asset impairments and credit loss expense; (iv) legal judgment and arbitration awards; and (iv) the gain or loss from equity accounted investments.</w:t>
      </w:r>
    </w:p>
    <w:p>
      <w:pPr>
        <w:spacing w:after="0" w:line="140"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A reconciliation of net loss attributable to common shareholders, which is the most directly comparable GAAP measure, to EBITDA and Adjusted EBITDA per Credit Facility is presented in the table below. Net loss attributable to common shareholders is the most directly comparable GAAP measure because it reflects the earnings relevant to the Company’s shareholders, rather than the earnings attributable to non-controlling interests. Accordingly, beginning in the first quarter of 2020, the Company updated its reconciliations of these non-GAAP financial measures to reflect this approach.</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560" w:type="dxa"/>
            <w:vAlign w:val="bottom"/>
            <w:tcBorders>
              <w:bottom w:val="single" w:sz="8" w:color="auto"/>
            </w:tcBorders>
            <w:gridSpan w:val="7"/>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 xml:space="preserve">For the Twelve Months Ended December 31, 2020 </w:t>
            </w:r>
            <w:r>
              <w:rPr>
                <w:rFonts w:ascii="Times New Roman" w:cs="Times New Roman" w:eastAsia="Times New Roman" w:hAnsi="Times New Roman"/>
                <w:sz w:val="12"/>
                <w:szCs w:val="12"/>
                <w:b w:val="1"/>
                <w:bCs w:val="1"/>
                <w:color w:val="auto"/>
              </w:rPr>
              <w:t>(1)</w:t>
            </w:r>
          </w:p>
        </w:tc>
      </w:tr>
      <w:tr>
        <w:trPr>
          <w:trHeight w:val="237"/>
        </w:trPr>
        <w:tc>
          <w:tcPr>
            <w:tcW w:w="15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29"/>
        </w:trPr>
        <w:tc>
          <w:tcPr>
            <w:tcW w:w="15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9"/>
                <w:szCs w:val="19"/>
                <w:color w:val="auto"/>
              </w:rPr>
            </w:pP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Less: Attributable to</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5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Interests and</w:t>
            </w:r>
          </w:p>
        </w:tc>
        <w:tc>
          <w:tcPr>
            <w:tcW w:w="160" w:type="dxa"/>
            <w:vAlign w:val="bottom"/>
          </w:tcPr>
          <w:p>
            <w:pPr>
              <w:spacing w:after="0"/>
              <w:rPr>
                <w:sz w:val="19"/>
                <w:szCs w:val="19"/>
                <w:color w:val="auto"/>
              </w:rPr>
            </w:pP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9"/>
                <w:szCs w:val="19"/>
                <w:color w:val="auto"/>
              </w:rPr>
            </w:pPr>
          </w:p>
        </w:tc>
        <w:tc>
          <w:tcPr>
            <w:tcW w:w="16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Attributable to</w:t>
            </w:r>
          </w:p>
        </w:tc>
      </w:tr>
      <w:tr>
        <w:trPr>
          <w:trHeight w:val="214"/>
        </w:trPr>
        <w:tc>
          <w:tcPr>
            <w:tcW w:w="15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Common Shareholders</w:t>
            </w:r>
          </w:p>
        </w:tc>
        <w:tc>
          <w:tcPr>
            <w:tcW w:w="160" w:type="dxa"/>
            <w:vAlign w:val="bottom"/>
          </w:tcPr>
          <w:p>
            <w:pPr>
              <w:spacing w:after="0"/>
              <w:rPr>
                <w:sz w:val="18"/>
                <w:szCs w:val="18"/>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8"/>
                <w:szCs w:val="18"/>
                <w:color w:val="auto"/>
              </w:rPr>
            </w:pPr>
          </w:p>
        </w:tc>
        <w:tc>
          <w:tcPr>
            <w:tcW w:w="16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Common Shareholders</w:t>
            </w:r>
          </w:p>
        </w:tc>
      </w:tr>
      <w:tr>
        <w:trPr>
          <w:trHeight w:val="222"/>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r>
      <w:tr>
        <w:trPr>
          <w:trHeight w:val="229"/>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Reported net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(157,486)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(143,775)</w:t>
            </w:r>
          </w:p>
        </w:tc>
      </w:tr>
      <w:tr>
        <w:trPr>
          <w:trHeight w:val="229"/>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5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26,504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5,408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21,096</w:t>
            </w:r>
          </w:p>
        </w:tc>
      </w:tr>
      <w:tr>
        <w:trPr>
          <w:trHeight w:val="229"/>
        </w:trPr>
        <w:tc>
          <w:tcPr>
            <w:tcW w:w="5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00" w:type="dxa"/>
            <w:vAlign w:val="bottom"/>
          </w:tcPr>
          <w:p>
            <w:pPr>
              <w:spacing w:after="0"/>
              <w:rPr>
                <w:sz w:val="19"/>
                <w:szCs w:val="19"/>
                <w:color w:val="auto"/>
              </w:rPr>
            </w:pP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3,720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4,090</w:t>
            </w:r>
          </w:p>
        </w:tc>
      </w:tr>
      <w:tr>
        <w:trPr>
          <w:trHeight w:val="229"/>
        </w:trPr>
        <w:tc>
          <w:tcPr>
            <w:tcW w:w="5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1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53,606</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4,570</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49,036</w:t>
            </w:r>
          </w:p>
        </w:tc>
      </w:tr>
      <w:tr>
        <w:trPr>
          <w:trHeight w:val="222"/>
        </w:trPr>
        <w:tc>
          <w:tcPr>
            <w:tcW w:w="5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(73,656)</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(69,553)</w:t>
            </w:r>
          </w:p>
        </w:tc>
      </w:tr>
      <w:tr>
        <w:trPr>
          <w:trHeight w:val="229"/>
        </w:trPr>
        <w:tc>
          <w:tcPr>
            <w:tcW w:w="5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10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22,038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968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21,070</w:t>
            </w:r>
          </w:p>
        </w:tc>
      </w:tr>
      <w:tr>
        <w:trPr>
          <w:trHeight w:val="229"/>
        </w:trPr>
        <w:tc>
          <w:tcPr>
            <w:tcW w:w="5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in fair value of investments</w:t>
            </w:r>
          </w:p>
        </w:tc>
        <w:tc>
          <w:tcPr>
            <w:tcW w:w="100" w:type="dxa"/>
            <w:vAlign w:val="bottom"/>
          </w:tcPr>
          <w:p>
            <w:pPr>
              <w:spacing w:after="0"/>
              <w:rPr>
                <w:sz w:val="19"/>
                <w:szCs w:val="19"/>
                <w:color w:val="auto"/>
              </w:rPr>
            </w:pP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2,081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1,450</w:t>
            </w:r>
          </w:p>
        </w:tc>
      </w:tr>
      <w:tr>
        <w:trPr>
          <w:trHeight w:val="229"/>
        </w:trPr>
        <w:tc>
          <w:tcPr>
            <w:tcW w:w="5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Write-downs, including asset impairments and credit loss expense</w:t>
            </w:r>
          </w:p>
        </w:tc>
        <w:tc>
          <w:tcPr>
            <w:tcW w:w="10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36,337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8,364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27,973</w:t>
            </w:r>
          </w:p>
        </w:tc>
      </w:tr>
      <w:tr>
        <w:trPr>
          <w:trHeight w:val="229"/>
        </w:trPr>
        <w:tc>
          <w:tcPr>
            <w:tcW w:w="5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Legal judgment and arbitration awards</w:t>
            </w:r>
          </w:p>
        </w:tc>
        <w:tc>
          <w:tcPr>
            <w:tcW w:w="100" w:type="dxa"/>
            <w:vAlign w:val="bottom"/>
          </w:tcPr>
          <w:p>
            <w:pPr>
              <w:spacing w:after="0"/>
              <w:rPr>
                <w:sz w:val="19"/>
                <w:szCs w:val="19"/>
                <w:color w:val="auto"/>
              </w:rPr>
            </w:pP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4,105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4,105</w:t>
            </w:r>
          </w:p>
        </w:tc>
      </w:tr>
      <w:tr>
        <w:trPr>
          <w:trHeight w:val="229"/>
        </w:trPr>
        <w:tc>
          <w:tcPr>
            <w:tcW w:w="5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from equity accounted investments</w:t>
            </w:r>
          </w:p>
        </w:tc>
        <w:tc>
          <w:tcPr>
            <w:tcW w:w="10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1,858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1,858</w:t>
            </w:r>
          </w:p>
        </w:tc>
      </w:tr>
      <w:tr>
        <w:trPr>
          <w:trHeight w:val="22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per Credit Facility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5,860</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(13,097)</w:t>
            </w:r>
          </w:p>
        </w:tc>
      </w:tr>
      <w:tr>
        <w:trPr>
          <w:trHeight w:val="20"/>
        </w:trPr>
        <w:tc>
          <w:tcPr>
            <w:tcW w:w="15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r>
    </w:tbl>
    <w:p>
      <w:pPr>
        <w:spacing w:after="0" w:line="157" w:lineRule="exact"/>
        <w:rPr>
          <w:sz w:val="20"/>
          <w:szCs w:val="20"/>
          <w:color w:val="auto"/>
        </w:rPr>
      </w:pPr>
    </w:p>
    <w:p>
      <w:pPr>
        <w:jc w:val="both"/>
        <w:ind w:left="380" w:hanging="372"/>
        <w:spacing w:after="0" w:line="260"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Secured Net Leverage Ratio is calculated using twelve months ended Adjusted EBITDA per Credit Facility. During the second quarter of 2020, the Company entered into the First Amendment to the Credit Facility Agreement which provides for, among other things, the suspension of the Senior Secured Net Leverage Ratio financial covenant through the first quarter of 2021. For more information see Note 14 of Notes to Consolidated Financial Statements in Part II, Item 8.</w:t>
      </w:r>
    </w:p>
    <w:p>
      <w:pPr>
        <w:spacing w:after="0" w:line="140"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cautions users of its financial statements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Factors about Market Risk</w:t>
      </w:r>
    </w:p>
    <w:p>
      <w:pPr>
        <w:spacing w:after="0" w:line="201"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the Chinese Yuan Renminbi. The Company does not use financial instruments for trading or other speculative purposes.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Rate Risk</w:t>
      </w:r>
    </w:p>
    <w:p>
      <w:pPr>
        <w:spacing w:after="0" w:line="188"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84 different countries, and therefore unfavorable exchange rates between applicable local currencies and the U.S. Dollar could have an impact on the Company’s reported gross box office and revenues. The Company has incoming cash flows from its revenue generating theaters and ongoing operating expenses in China through its majority-owned subsidiary IMAX (Shanghai) Multimedia Technology Co., Ltd. In Japan, the Company has ongoing Yen-denominated operating expenses related to its Japanese operations. Net Renminbi and Japanese Yen cash flows are converted to U.S. Dollars through the spot market. The Company also has cash receipts under leases denominated in Renminbi, Japanese Yen, Euros and Canadian Dollars.</w:t>
      </w:r>
    </w:p>
    <w:p>
      <w:pPr>
        <w:spacing w:after="0" w:line="160"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manages its exposure to foreign exchange rate risks through its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spacing w:after="0" w:line="136"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Certain of the Company’s subsidiaries held approximately 500.3 million Renminbi ($76.7 million) in cash and cash equivalents as of December 31, 2020 (December 31, 2019 — 471.6 million Renminbi or $67.6 million) and are required to transact locally in Renminbi.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w:t>
      </w:r>
    </w:p>
    <w:p>
      <w:pPr>
        <w:spacing w:after="0" w:line="143"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2020, the Company recorded a foreign exchange net gain of $0.8 million as compared to a foreign exchange net loss of $(0.9) million in 2019, associated with the translation of foreign currency denominated monetary assets and liabilities.</w:t>
      </w:r>
    </w:p>
    <w:p>
      <w:pPr>
        <w:spacing w:after="0" w:line="135"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The Company entered into a series of foreign currency forward contracts to manage the Company’s risks associated with the volatility of foreign currencies. The forward contracts have settlement dates throughout 2021. Foreign currency derivatives are recognized and measured in the Company’s Consolidated Balance Sheets at fair value. Changes in the fair value (gains or losses) are recognized in the Consolidated Statements of Operations except for derivatives designated and qualifying as foreign currency cash flow hedging instruments. Certain of these foreign currency forward contracts held by the Company as of December 31, 2020, are designated and qualify as foreign currency cash flow hedging instruments. The Company currently has cash flow hedging instruments associated with Selling, General and Administrative Expenses, Inventories and capital expenditures. For foreign currency cash flow hedging instruments related to Selling, General and Administrative Expenses, the effective portion of the gain or loss in a hedge of a forecasted transaction is reported in Other Comprehensive Income and reclassified to the Consolidated Statements of Operations when the forecasted transaction occurs. For foreign currency cash flow hedging instruments related to Inventories, the effective portion of the gain or loss in a hedge of a forecasted transaction is reported in Other Comprehensive Income and reclassified to Inventories on the Consolidated Balance Sheets when the forecasted transaction occurs. For foreign currency cash flow hedging instruments related to capital expenditures, the effective portion of the gain or loss in a hedge of a forecasted transaction is reported in Other Comprehensive Income and reclassified to Property, Plant and Equipment on the Consolidated Balance Sheets when the forecasted transaction occurs. Any ineffective portion is recognized immediately in the Consolidated Statements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69" w:name="page70"/>
    <w:bookmarkEnd w:id="69"/>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notional value of foreign currency cash flow hedging instruments that qualify for hedge accounting at December 31, 2020 was $26.4 million (December 31, 2019 — $36.1 million). A gain of $0.6 million was recorded to Other Comprehensive Income with respect to change in fair value of these contracts in 2020 (2019 — a gain of $0.6 million). A loss of $0.6 million was reclassified from Accumulated Other Comprehensive Income to Selling, General and Administrative Expenses, Inventories and Property, Plant and Equipment in 2020 (2019 — loss of $1.2 million). A gain of $0.3 million resulting from the change in fair value on forward contracts not meeting the requirements for hedge accounting was recorded to Selling, General and Administrative Expenses. The notional value of forward contracts that do not qualify for hedge accounting at December 31, 2020 was $5.6 million (December 31, 2019 — $nil).</w:t>
      </w:r>
    </w:p>
    <w:p>
      <w:pPr>
        <w:spacing w:after="0" w:line="158"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121"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At December 31, 2020, the Company’s Financing Receivables and working capital items denominated in Canadian Dollars, Renminbi, Japanese Yen, Euros and other foreign currencies translated into U.S. Dollars was $133.5 million. Assuming a 10% appreciation or depreciation in foreign currency exchange rates from the quoted foreign currency exchange rates at December 31, 2020, the potential change in the fair value of foreign currency-denominated financing receivables and working capital items would have been $13.3 million. A significant portion of the Company’s Selling, General, and Administrative Expenses is denominated in Canadian Dollars. Assuming a 1% change appreciation or depreciation in foreign currency exchange rates at December 31, 2020, the potential change in the amount of Selling, General, and Administrative Expenses would be $0.1 million.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Management</w:t>
      </w:r>
    </w:p>
    <w:p>
      <w:pPr>
        <w:spacing w:after="0" w:line="201"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Company’s earnings are also affected by changes in interest rates due to the impact those changes have on its interest income from cash, and its interest expense from variable-rate borrowings under the Credit Facility.</w:t>
      </w:r>
    </w:p>
    <w:p>
      <w:pPr>
        <w:spacing w:after="0" w:line="121"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As of December 31, 2020, the Company had drawn down $300.0 million on its Credit Facility (December 31, 2019 — $20.0 million) and $7.6 million on IMAX China’s Working Capital Facility (December 31, 2019 — $nil).</w:t>
      </w:r>
    </w:p>
    <w:p>
      <w:pPr>
        <w:spacing w:after="0" w:line="121"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Company’s largest exposure with respect to variable rate debt comes from changes in LIBOR. The Company had variable rate debt instruments representing 56.3% and 8.1% of its total liabilities at December 31, 2020 and 2019, respectively. If the interest rates available to the Company increased by 10%, the Company’s interest expense would increase by $0.4 million and interest income from cash would increase by $0.2 million. These amounts are determined by considering the impact of the hypothetical interest rates on the Company’s variable rate debt and cash balances at December 31, 2020.</w:t>
      </w:r>
    </w:p>
    <w:p>
      <w:pPr>
        <w:spacing w:after="0" w:line="154"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On July 27, 2017, the Chief Executive of the U.K. Financial Conduct Authority (the “FCA”), which regulates LIBOR, announced that the FCA will no longer compel banks to submit rates for the calculation of the LIBOR benchmark after 2021. This announcement indicates that the continuation of LIBOR on the current basis cannot and will not be guaranteed after 2021, and it appears likely that LIBOR will be discontinued or modified by 2021. Loans under the Credit Facility bear interest, at the Company’s option, at (i) LIBOR plus a margin ranging from 1.00% to 1.75% per annum; or (ii) the U.S. base rate plus a margin ranging from 0.25% to 1.00% per annum, in each case depending on the Company’s Total Leverage Ratio (as defined in the Credit Agreement). The Credit Facility also allows for the selection of a replacement rate in the event of the discontinuation of LIBOR, subject to the approval of the administrative agent. The Company expects that the Credit Facility will transition to the Secured Overnight Financing Rate (“SOFR”) as the replacement rate. Given the Company’s current level of indebtedness and based on the historic differences between LIBOR and SOFR, the Company does not expect that the future discontinuation of LIBOR will have a material impact on future interest expense.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56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Report of Independent Registered Public Accounting Firm</w:t>
              </w:r>
            </w:hyperlink>
          </w:p>
        </w:tc>
        <w:tc>
          <w:tcPr>
            <w:tcW w:w="6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560" w:type="dxa"/>
            <w:vAlign w:val="bottom"/>
            <w:vMerge w:val="continue"/>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5"/>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Consolidated Balance Sheets as of December 31, 2020 and 2019</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5"/>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Consolidated Statements of Operations for the years ended December 31, 2020, 2019 and 2018</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5"/>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Consolidated Statements of Comprehensive (Loss) Income for the years ended December 31, 2020, 2019 and 2018</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5"/>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Consolidated Statements of Cash Flows for the years ended December 31, 2020, 2019 and 2018</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5"/>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Consolidated Statements of Shareholders’ Equity for the years ended December 31, 2020, 2019 and 2018</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4"/>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Notes to Consolidated Financial Statements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5"/>
          <w:szCs w:val="25"/>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IMAX Corporation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IMAX Corporation and its subsidiaries (together, the Company) as of December 31, 2020 and 2019, and the related consolidated statements of operations, comprehensive (loss) income, cash flows and shareholders’ equity for each of the three years in the period ended December 31, 2020, including the related notes and the financial statement schedule listed in the accompanying index for each of the three years in the period ended December 31, 2020 (collectively referred to as the consolidated financial statements). We also have audited the Company’s internal control over financial reporting as of December 31, 2020, based on criteria established in Internal Control – Integrated Framework (2013) issued by the Committee of Sponsoring Organizations of the Treadway Commission (COSO).</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Internal Control – Integrated Framework (2013) issued by the COSO.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2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discussed in notes 3, 4, 5 and 6 to the consolidated financial statements, the Company changed the manner in which it accounts for its allowance for current expected credit losses in 2020, the manner in which it accounts for leases in 2019 and the manner in which it accounts for revenues from contracts with customers in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of this Annual Report on Form 10-K.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3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Theater Systems Revenue</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described in notes 3(n) and 21 to the consolidated financial statements, the Company recognized revenue from IMAX Systems related to the IMAX Technology Sales and Maintenance category (theater systems) of $54.1 million for the year ended December 31, 2020. Management evaluates whether a theater system arrangement involves either a sale or a lease of a theater system, and for those arrangements that are accounted for as a sale of a theater system, determines the transaction price and the allocation thereof to each separate performance obligation based on estimated standalone selling prices. For arrangements accounted for as a sale of a theater system, the transaction price allocated to the performance obligation is recognized when the conditions signifying transfer of control have been met. For theater system arrangements, management applied significant judgment in (i) determining whether the theater system arrangement related to either a sale or a lease by considering the terms of the arrangement including title to the theater system equipment and payment consideration; (ii) estimating the transaction price which may include the discounted present value of fixed ongoing payments and variable consideration (such as indexed minimum payment increases and additional payments owed by the customer if certain minimum box office receipt thresholds are exceeded); (iii) allocating the transaction price to each separate performance obligation based on estimated standalone selling prices; and (iv) determining the timing of revenue recognition based on when performance obligations are met.</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revenue recognition of theater systems revenue is a critical audit matter are that management identified the matter as a critical accounting estimate, and there was significant judgment required by management in (i) determining whether the theater system arrangement related to a sale or a lease; (ii) estimating the transaction price which may include the discounted present value of fixed ongoing payments and variable consideration; (iii) allocating the transaction price to each separate performance obligation; and (iv) determining the timing of revenue recognition. This in turn led to a high degree of auditor judgment, subjectivity and effort in performing procedures and evaluating audit evidence relating to the revenue recognition of theater systems revenue.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jc w:val="both"/>
        <w:spacing w:after="0" w:line="25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management’s review and approval of revenue recognition memorandums produced for each theater system arrangement which include the determination of the type of theater system arrangement, the estimate of the transaction price and allocation thereof and the timing of the related revenue recognition. These procedures also included, among others, evaluating the reasonableness of management’s assessment of whether the theater system arrangement related to either a sale or a lease by considering the contractual terms and conditions of the executed contracts. Procedures were also performed to test management’s process for estimating the transaction price for a sample of contracts with customers, including (i) evaluating the appropriateness of management’s discounted present value method; (ii) testing the completeness, accuracy and relevance of the data used in estimating the transaction price; and (iii) evaluating the reasonableness of significant assumptions used by management, including the discount rate and expected future performance of underlying theaters associated with the arrangement. Evaluating management’s assumption related to the discount rate involved evaluating whether the assumption was reasonable considering consistency with external market data. Evaluating management’s assumption related to expected future performance of underlying theaters associated with the arrangement involved evaluating whether the assumption was reasonable considering the current and past performance of the underlying theaters. Procedures were also performed to test management’s process for allocating the transaction price to each separate performance obligation, including (i) evaluating the appropriateness of management’s method of allocating the transaction price; (ii) testing the completeness, accuracy and relevance of the data used in allocating the transaction price; and (iii) evaluating the reasonableness of significant assumptions used by management, including estimated standalone selling prices. Evaluating management’s assumption related to estimated standalone selling prices involved evaluating whether the assumption was reasonable by comparing the estimate to current and historical transactions. Evaluating the appropriateness of management’s assessment of the timing of revenue recognition involved inspecting the customers’ certificates of acceptance and theater openings during the year.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3(m) and 12 to the consolidated financial statements, the Company had total tax reserves of $17.4 million as of December 31, 2020 related to uncertain tax positions. The Company is subject to ongoing tax exposures, examinations and assessments in various jurisdictions. As disclosed by management, tax benefits are recognized only when it is more likely than not, based on the technical merits, that the benefits will be sustained on examination. Tax benefits that meet the more-likely-than-not recognition threshold are measured using a probability weighting of the largest amount of tax benefit that has greater than 50% likelihood of being realized upon settlement. As disclosed by management, tax audits can result in subsequent assessments where the ultimate resolution may result in the Company owing additional taxes above what was originally recognized. Tax reserves for uncertain tax positions are adjusted by management to reflect their best estimate of the outcome of examinations and assessments and in light of changing facts and circumstances, such as the completion of a tax audit, expiration of a statute of limitations, the refinement of an estimate, and interest accruals associated with the uncertain tax positions until they are resolved. The estimate of the Company’s tax reserves relating to uncertain tax positions required management to assess uncertainties and to make significant judgments about the application of complex tax laws.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uncertain tax positions is a critical audit matter are (i) the significant judgment by management in determining uncertain tax positions, including a high degree of estimation uncertainty relative to the numerous and complex tax laws, frequency of tax audits, and potential for significant adjustments as a result of such audits; (ii) a high degree of auditor judgment, subjectivity and effort in performing procedures and evaluating management’s timely identification, recognition and measurement of uncertain tax positions; (iii) the evaluation of audit evidence available to support the tax reserves for uncertain tax positions resulted in significant auditor judgment as the nature of the evidence is often subjective; and (iv) the audit effort involved the use of professionals with specialized skill and knowledge.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identification and recognition of the tax reserves for uncertain tax positions, controls addressing completeness of the uncertain tax positions, and controls over measurement of the tax reserves. These procedures also included, among others (i) testing the information used in the calculation of the tax reserves for uncertain tax positions; (ii) testing the calculation of the tax reserves for uncertain tax positions by jurisdiction; and (iii) evaluating the status and results of income tax audits with the relevant tax authorities, as applicable. Professionals with specialized skill and knowledge were used to assist in the evaluation of the completeness and measurement of the Company’s uncertain tax positions, including evaluating the reasonableness of management’s assessment of whether tax positions are more-likely-than-not of being sustained and the amount of potential benefit to be realized, the application of relevant tax laws, and estimated interest and penalties.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Goodwill Impairment Assessment</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2 and 3(j) to the consolidated financial statements, the Company’s goodwill balance was $39.0 million as of December 31, 2020, of which $19.1 million relates to the IMAX Systems reporting unit, $13.5 million relates to the Joint Revenue Sharing Arrangement reporting unit, and $6.4 million relates to the IMAX Maintenance reporting unit. Management conducts an impairment test annually in the fourth quarter of the year and between annual tests if indicators of potential impairment exist. As a result of the negative effects of the COVID-19 pandemic on revenue and earnings, management also performed quantitative goodwill impairment tests as of the reporting date of each of the first, second and third quarters of 2020 considering the latest available information and determined that its goodwill was not impaired. The impairment test was performed on a reporting unit level by comparing each unit’s carrying value, including goodwill, to its fair value. The fair value of each reporting unit was estimated using a discounted cash flow model based on management’s current short-term forecast and estimated long-term projections, against which various sensitivity analyses were performed. Management applied significant judgment in estimating the fair value of each reporting unit, which included the use of significant assumptions relating to estimated long-term projections and discount rates.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annual goodwill impairment assessment is a critical audit matter are (i) the significant judgment by management when developing the fair value estimate of the reporting units; (ii) a high degree of auditor judgment, subjectivity, and effort in performing procedures and evaluating management’s significant assumptions related to estimated long-term projections and discount rates; and (iii) the audit effort involved the use of professionals with specialized skill and knowledge.</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Company’s reporting units. These procedures also included, among others, (i) testing management’s process for developing the fair value estimate of the reporting units; (ii) evaluating the appropriateness of the discounted cash flow models; (iii) testing the completeness and accuracy of underlying data used in the models; and (iv) evaluating the reasonableness of the significant assumptions used by management related to estimated long-term projections and discount rates. Evaluating management’s assumptions related to estimated long-term projections involved evaluating whether the assumptions used by management were reasonable considering (i) the current and past performance of the reporting units;</w:t>
      </w:r>
    </w:p>
    <w:p>
      <w:pPr>
        <w:spacing w:after="0" w:line="5" w:lineRule="exact"/>
        <w:rPr>
          <w:sz w:val="20"/>
          <w:szCs w:val="20"/>
          <w:color w:val="auto"/>
        </w:rPr>
      </w:pPr>
    </w:p>
    <w:p>
      <w:pPr>
        <w:jc w:val="both"/>
        <w:ind w:firstLine="8"/>
        <w:spacing w:after="0" w:line="254" w:lineRule="auto"/>
        <w:tabs>
          <w:tab w:leader="none" w:pos="2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with external market and industry data; and (iii) whether these assumptions were consistent with evidence obtained in other areas of the audit. Professionals with specialized skill and knowledge were used to assist in evaluating the appropriateness of the Company’s discounted cash flow models and the reasonableness of the discount rate assumptions.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on Accounts Receivable, Financing Receivables and Variable Consideration Receivables</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described in notes 2, 3(d) and 5 to the consolidated financial statements, the Company’s allowance for credit losses related to accounts receivable was $14.3 million, the allowance for credit losses related to financing receivables was $7.8 million and the allowance for credit losses related to variable consideration receivables was $1.9 million as of December 31, 2020 (together allowance for credit losses on receivables). Accounts receivable, financing receivables and variable consideration receivables are measured on the amortized cost basis and presented at the net amount expected to be collected. As disclosed by management, management increased its provision for current expected credit losses by $18.6 million for the year ended December 31, 2020, in part reflecting a reduction in the credit quality of its theater related accounts receivable, financing receivables and variable consideration receivables, which management believes is primarily related to the COVID-19 pandemic. Management develops its estimate of credit losses by class of receivable and customer type through a calculation that utilizes historical loss rates which are then adjusted for specific receivables that are judged to have a higher than normal risk profile after taking into account management’s internal credit quality classifications, as well as macro-economic and industry risk factors. Management applied significant judgment in estimating the allowance for credit losses on receivables, which included assessing credit quality classifications, macro-economic and industry risk factors.</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allowance for credit losses on accounts receivable, financing receivables and variable consideration receivables is a critical audit matter are (i) the significant judgment by management in estimating the allowance for credit losses on receivables; and (ii) a high degree of auditor judgment, subjectivity, and effort in performing procedures and evaluating management’s assessment of credit quality classifications, macro-economic and industry risk factors.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 of the allowance for credit losses on receivables, including controls related to management’s assessment of credit quality classifications, macro-economic and industry risk factors. These procedures also included, among others (i) testing management’s process for estimating the allowance for credit losses on receivables; (ii) evaluating the appropriateness of management’s method; (iii) testing the completeness and accuracy of underlying data used in the method; and (iv) evaluating the reasonableness of management’s assessment of credit quality classifications, macro-economic and industry risk factors. Evaluating the reasonableness of management’s assessment of credit quality classifications, macro-economic and industry risk factors on a sample basis involved considering (i) recent payment patterns of customers; (ii) consistency with external market and industry data; (iii) inquiries with management regarding adjustments for forward-looking information on economic factors affecting the ability of customers to settle the receivables; (iv) recent correspondence with customers; (v) recent public filings by customers; and (vi) whether this assessment was consistent with evidence obtained in other areas of the audit.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2021</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1987, which includes periods before the entity became subject to SEC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7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2"/>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317,379</w:t>
            </w:r>
          </w:p>
        </w:tc>
        <w:tc>
          <w:tcPr>
            <w:tcW w:w="200" w:type="dxa"/>
            <w:vAlign w:val="bottom"/>
          </w:tcPr>
          <w:p>
            <w:pPr>
              <w:spacing w:after="0"/>
              <w:rPr>
                <w:sz w:val="19"/>
                <w:szCs w:val="19"/>
                <w:color w:val="auto"/>
              </w:rPr>
            </w:pP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109,484</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 of allowance for credit losses (see Note 5)</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56,300</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99,513</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Financing receivables, net of allowance for credit losses (see Note 5)</w:t>
            </w: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131,810</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128,038</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consideration receivable, net of allowance for credit losses (see Note 5)</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40,526</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40,040</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39,580</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42,989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10,420</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10,237</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Film assets, net of accumulated amortization</w:t>
            </w: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5,777</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17,921</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277,397</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306,849</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13,633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15,685</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21,673</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25,034</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17,983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23,905</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26,245</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30,347</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39,027</w:t>
            </w:r>
          </w:p>
        </w:tc>
        <w:tc>
          <w:tcPr>
            <w:tcW w:w="2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39,027</w:t>
            </w:r>
          </w:p>
        </w:tc>
        <w:tc>
          <w:tcPr>
            <w:tcW w:w="0" w:type="dxa"/>
            <w:vAlign w:val="bottom"/>
          </w:tcPr>
          <w:p>
            <w:pPr>
              <w:spacing w:after="0"/>
              <w:rPr>
                <w:sz w:val="1"/>
                <w:szCs w:val="1"/>
                <w:color w:val="auto"/>
              </w:rPr>
            </w:pPr>
          </w:p>
        </w:tc>
      </w:tr>
      <w:tr>
        <w:trPr>
          <w:trHeight w:val="222"/>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997,750</w:t>
            </w:r>
          </w:p>
        </w:tc>
        <w:tc>
          <w:tcPr>
            <w:tcW w:w="2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889,069</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Bank indebtedness, net of unamortized debt issuance costs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305,676</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18,229</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20,837</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20,414</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99,354</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112,779</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87,982</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94,552</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19,134</w:t>
            </w:r>
          </w:p>
        </w:tc>
        <w:tc>
          <w:tcPr>
            <w:tcW w:w="2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532,983</w:t>
            </w:r>
          </w:p>
        </w:tc>
        <w:tc>
          <w:tcPr>
            <w:tcW w:w="2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245,974</w:t>
            </w:r>
          </w:p>
        </w:tc>
        <w:tc>
          <w:tcPr>
            <w:tcW w:w="0" w:type="dxa"/>
            <w:vAlign w:val="bottom"/>
          </w:tcPr>
          <w:p>
            <w:pPr>
              <w:spacing w:after="0"/>
              <w:rPr>
                <w:sz w:val="1"/>
                <w:szCs w:val="1"/>
                <w:color w:val="auto"/>
              </w:rPr>
            </w:pPr>
          </w:p>
        </w:tc>
      </w:tr>
      <w:tr>
        <w:trPr>
          <w:trHeight w:val="222"/>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Notes 15 and 16)</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759</w:t>
            </w:r>
          </w:p>
        </w:tc>
        <w:tc>
          <w:tcPr>
            <w:tcW w:w="2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5,908</w:t>
            </w:r>
          </w:p>
        </w:tc>
        <w:tc>
          <w:tcPr>
            <w:tcW w:w="0" w:type="dxa"/>
            <w:vAlign w:val="bottom"/>
          </w:tcPr>
          <w:p>
            <w:pPr>
              <w:spacing w:after="0"/>
              <w:rPr>
                <w:sz w:val="1"/>
                <w:szCs w:val="1"/>
                <w:color w:val="auto"/>
              </w:rPr>
            </w:pPr>
          </w:p>
        </w:tc>
      </w:tr>
      <w:tr>
        <w:trPr>
          <w:trHeight w:val="222"/>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 common shares — no par value. Authorized — unlimited number.</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58,921,731 issued and 58,921,008 outstanding (December 31, 2019 — 61,362,872 issued and</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61,175,852 outstanding)</w:t>
            </w: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407,031</w:t>
            </w:r>
          </w:p>
        </w:tc>
        <w:tc>
          <w:tcPr>
            <w:tcW w:w="2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423,386</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Less: Treasury stock, 723 shares at cost (December 31, 2019 — 187,020)</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equity</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180,330</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171,789</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(202,849)</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(40,253)</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988</w:t>
            </w:r>
          </w:p>
        </w:tc>
        <w:tc>
          <w:tcPr>
            <w:tcW w:w="2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0" w:type="dxa"/>
            <w:vAlign w:val="bottom"/>
          </w:tcPr>
          <w:p>
            <w:pPr>
              <w:spacing w:after="0"/>
              <w:rPr>
                <w:sz w:val="1"/>
                <w:szCs w:val="1"/>
                <w:color w:val="auto"/>
              </w:rPr>
            </w:pPr>
          </w:p>
        </w:tc>
      </w:tr>
      <w:tr>
        <w:trPr>
          <w:trHeight w:val="222"/>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attributable to common shareholders</w:t>
            </w: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385,489</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547,694</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78,519</w:t>
            </w:r>
          </w:p>
        </w:tc>
        <w:tc>
          <w:tcPr>
            <w:tcW w:w="2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89,493</w:t>
            </w:r>
          </w:p>
        </w:tc>
        <w:tc>
          <w:tcPr>
            <w:tcW w:w="0" w:type="dxa"/>
            <w:vAlign w:val="bottom"/>
          </w:tcPr>
          <w:p>
            <w:pPr>
              <w:spacing w:after="0"/>
              <w:rPr>
                <w:sz w:val="1"/>
                <w:szCs w:val="1"/>
                <w:color w:val="auto"/>
              </w:rPr>
            </w:pPr>
          </w:p>
        </w:tc>
      </w:tr>
      <w:tr>
        <w:trPr>
          <w:trHeight w:val="222"/>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464,008</w:t>
            </w:r>
          </w:p>
        </w:tc>
        <w:tc>
          <w:tcPr>
            <w:tcW w:w="2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637,187</w:t>
            </w:r>
          </w:p>
        </w:tc>
        <w:tc>
          <w:tcPr>
            <w:tcW w:w="0" w:type="dxa"/>
            <w:vAlign w:val="bottom"/>
          </w:tcPr>
          <w:p>
            <w:pPr>
              <w:spacing w:after="0"/>
              <w:rPr>
                <w:sz w:val="1"/>
                <w:szCs w:val="1"/>
                <w:color w:val="auto"/>
              </w:rPr>
            </w:pPr>
          </w:p>
        </w:tc>
      </w:tr>
      <w:tr>
        <w:trPr>
          <w:trHeight w:val="222"/>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997,750</w:t>
            </w:r>
          </w:p>
        </w:tc>
        <w:tc>
          <w:tcPr>
            <w:tcW w:w="2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889,069</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(In thousands of U.S. Dollars, except per share amounts)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22"/>
        </w:trPr>
        <w:tc>
          <w:tcPr>
            <w:tcW w:w="66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Technology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49,728</w:t>
            </w:r>
          </w:p>
        </w:tc>
        <w:tc>
          <w:tcPr>
            <w:tcW w:w="4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118,245</w:t>
            </w:r>
          </w:p>
        </w:tc>
        <w:tc>
          <w:tcPr>
            <w:tcW w:w="100" w:type="dxa"/>
            <w:vAlign w:val="bottom"/>
          </w:tcPr>
          <w:p>
            <w:pPr>
              <w:spacing w:after="0"/>
              <w:rPr>
                <w:sz w:val="19"/>
                <w:szCs w:val="19"/>
                <w:color w:val="auto"/>
              </w:rPr>
            </w:pPr>
          </w:p>
        </w:tc>
        <w:tc>
          <w:tcPr>
            <w:tcW w:w="3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106,591</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59,318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188,547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181,740</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Technology rentals</w:t>
            </w:r>
          </w:p>
        </w:tc>
        <w:tc>
          <w:tcPr>
            <w:tcW w:w="30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17,841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77,961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74,472</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10,116</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10,911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11,598</w:t>
            </w:r>
          </w:p>
        </w:tc>
      </w:tr>
      <w:tr>
        <w:trPr>
          <w:trHeight w:val="222"/>
        </w:trPr>
        <w:tc>
          <w:tcPr>
            <w:tcW w:w="66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137,003</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395,664</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374,401</w:t>
            </w:r>
          </w:p>
        </w:tc>
      </w:tr>
      <w:tr>
        <w:trPr>
          <w:trHeight w:val="22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Costs and expenses applicable to revenues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Technology sales</w:t>
            </w:r>
          </w:p>
        </w:tc>
        <w:tc>
          <w:tcPr>
            <w:tcW w:w="30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33,170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63,627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54,853</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53,598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88,175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84,236</w:t>
            </w:r>
          </w:p>
        </w:tc>
      </w:tr>
      <w:tr>
        <w:trPr>
          <w:trHeight w:val="229"/>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Technology rentals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28,695</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29,690</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27,383</w:t>
            </w:r>
          </w:p>
        </w:tc>
      </w:tr>
      <w:tr>
        <w:trPr>
          <w:trHeight w:val="222"/>
        </w:trPr>
        <w:tc>
          <w:tcPr>
            <w:tcW w:w="66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115,463</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181,492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166,472</w:t>
            </w:r>
          </w:p>
        </w:tc>
      </w:tr>
      <w:tr>
        <w:trPr>
          <w:trHeight w:val="222"/>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0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21,540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214,172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207,929</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108,485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123,456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117,477</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5,618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5,203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13,728</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5,394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4,955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4,145</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Credit loss expense (see Note 5)</w:t>
            </w:r>
          </w:p>
        </w:tc>
        <w:tc>
          <w:tcPr>
            <w:tcW w:w="30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18,608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3,130</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1,151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Legal judgment and arbitration awards (see Note 16)</w:t>
            </w:r>
          </w:p>
        </w:tc>
        <w:tc>
          <w:tcPr>
            <w:tcW w:w="30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11,737</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transition costs (see Note 25)</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2,994</w:t>
            </w:r>
          </w:p>
        </w:tc>
      </w:tr>
      <w:tr>
        <w:trPr>
          <w:trHeight w:val="229"/>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Exit costs, restructuring charges and associated impairments (see Note 26)</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9,542</w:t>
            </w:r>
          </w:p>
        </w:tc>
      </w:tr>
      <w:tr>
        <w:trPr>
          <w:trHeight w:val="22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(121,821)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77,278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45,176</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Loss in fair value of investments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Retirement benefits non-service expense</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2,388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1,844</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(2,916)</w:t>
            </w:r>
          </w:p>
        </w:tc>
      </w:tr>
      <w:tr>
        <w:trPr>
          <w:trHeight w:val="222"/>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income before taxes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(129,124)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75,336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43,605</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(9,518)</w:t>
            </w:r>
          </w:p>
        </w:tc>
      </w:tr>
      <w:tr>
        <w:trPr>
          <w:trHeight w:val="229"/>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 in (losses) income of investees, net of tax</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(157,486)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58,571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33,595</w:t>
            </w:r>
          </w:p>
        </w:tc>
      </w:tr>
      <w:tr>
        <w:trPr>
          <w:trHeight w:val="229"/>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13,711</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(11,705)</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(10,751)</w:t>
            </w:r>
          </w:p>
        </w:tc>
      </w:tr>
      <w:tr>
        <w:trPr>
          <w:trHeight w:val="222"/>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shareholders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(143,775)</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46,866</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22,844</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income per share attributable to common shareholders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955" cy="1536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1" w:lineRule="exact"/>
        <w:rPr>
          <w:sz w:val="20"/>
          <w:szCs w:val="20"/>
          <w:color w:val="auto"/>
        </w:rPr>
      </w:pPr>
    </w:p>
    <w:p>
      <w:pPr>
        <w:jc w:val="center"/>
        <w:ind w:right="120"/>
        <w:spacing w:after="0" w:line="572" w:lineRule="auto"/>
        <w:rPr>
          <w:sz w:val="20"/>
          <w:szCs w:val="20"/>
          <w:color w:val="auto"/>
        </w:rPr>
      </w:pPr>
      <w:r>
        <w:rPr>
          <w:rFonts w:ascii="Times New Roman" w:cs="Times New Roman" w:eastAsia="Times New Roman" w:hAnsi="Times New Roman"/>
          <w:sz w:val="18"/>
          <w:szCs w:val="18"/>
          <w:color w:val="auto"/>
        </w:rPr>
        <w:t xml:space="preserve">Net (loss) income per share — basic and diluted                                 $         (2.43)  $          0.76   $          0.36 </w:t>
      </w:r>
      <w:r>
        <w:rPr>
          <w:rFonts w:ascii="Times New Roman" w:cs="Times New Roman" w:eastAsia="Times New Roman" w:hAnsi="Times New Roman"/>
          <w:sz w:val="18"/>
          <w:szCs w:val="18"/>
          <w:i w:val="1"/>
          <w:iCs w:val="1"/>
          <w:color w:val="auto"/>
        </w:rPr>
        <w:t>(See the accompanying notes, which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4221480</wp:posOffset>
            </wp:positionH>
            <wp:positionV relativeFrom="paragraph">
              <wp:posOffset>-463550</wp:posOffset>
            </wp:positionV>
            <wp:extent cx="29165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16555"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222"/>
        </w:trPr>
        <w:tc>
          <w:tcPr>
            <w:tcW w:w="66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(157,486)</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58,571</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33,595</w:t>
            </w:r>
          </w:p>
        </w:tc>
      </w:tr>
      <w:tr>
        <w:trPr>
          <w:trHeight w:val="222"/>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defined benefit plan actuarial (loss) gain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1,448</w:t>
            </w:r>
          </w:p>
        </w:tc>
      </w:tr>
      <w:tr>
        <w:trPr>
          <w:trHeight w:val="22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postretirement benefit plans actuarial (loss) gain</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Prior service cost arising during the period</w:t>
            </w:r>
          </w:p>
        </w:tc>
        <w:tc>
          <w:tcPr>
            <w:tcW w:w="30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net gain (loss) from cash flow hedging instruments</w:t>
            </w:r>
          </w:p>
        </w:tc>
        <w:tc>
          <w:tcPr>
            <w:tcW w:w="30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r>
      <w:tr>
        <w:trPr>
          <w:trHeight w:val="22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Realization of cash flow hedging net loss (gain) upon settlement</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604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1,183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9"/>
        </w:trPr>
        <w:tc>
          <w:tcPr>
            <w:tcW w:w="6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5,992</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w:t>
            </w:r>
          </w:p>
        </w:tc>
      </w:tr>
      <w:tr>
        <w:trPr>
          <w:trHeight w:val="22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5,935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554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(4,264)</w:t>
            </w:r>
          </w:p>
        </w:tc>
      </w:tr>
      <w:tr>
        <w:trPr>
          <w:trHeight w:val="229"/>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benefit (expense) related to other comprehensive income (loss)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286</w:t>
            </w:r>
          </w:p>
        </w:tc>
      </w:tr>
      <w:tr>
        <w:trPr>
          <w:trHeight w:val="22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5,990</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(3,978)</w:t>
            </w:r>
          </w:p>
        </w:tc>
      </w:tr>
      <w:tr>
        <w:trPr>
          <w:trHeight w:val="222"/>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(151,496)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58,747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29,617</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non-controlling interests</w:t>
            </w: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11,899</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(9,735)</w:t>
            </w:r>
          </w:p>
        </w:tc>
      </w:tr>
      <w:tr>
        <w:trPr>
          <w:trHeight w:val="222"/>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 attributable to common shareholders</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(139,597)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47,264</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19,882</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222"/>
        </w:trPr>
        <w:tc>
          <w:tcPr>
            <w:tcW w:w="622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64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(157,486)</w:t>
            </w:r>
          </w:p>
        </w:tc>
        <w:tc>
          <w:tcPr>
            <w:tcW w:w="48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58,571</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33,595</w:t>
            </w: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cash from operations: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53,606</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63,487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57,437</w:t>
            </w:r>
          </w:p>
        </w:tc>
      </w:tr>
      <w:tr>
        <w:trPr>
          <w:trHeight w:val="229"/>
        </w:trPr>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Credit loss expense</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2,430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3,130</w:t>
            </w:r>
          </w:p>
        </w:tc>
      </w:tr>
      <w:tr>
        <w:trPr>
          <w:trHeight w:val="229"/>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Write-downs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4,376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8,640</w:t>
            </w:r>
          </w:p>
        </w:tc>
      </w:tr>
      <w:tr>
        <w:trPr>
          <w:trHeight w:val="229"/>
        </w:trPr>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6,762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w:t>
            </w:r>
          </w:p>
        </w:tc>
      </w:tr>
      <w:tr>
        <w:trPr>
          <w:trHeight w:val="229"/>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22,038</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23,570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23,723</w:t>
            </w:r>
          </w:p>
        </w:tc>
      </w:tr>
      <w:tr>
        <w:trPr>
          <w:trHeight w:val="229"/>
        </w:trPr>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foreign currency exchange (gain) loss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631</w:t>
            </w:r>
          </w:p>
        </w:tc>
      </w:tr>
      <w:tr>
        <w:trPr>
          <w:trHeight w:val="229"/>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in fair value of investments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in losses (income) of investees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492</w:t>
            </w: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9"/>
        </w:trPr>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33,942</w:t>
            </w:r>
          </w:p>
        </w:tc>
      </w:tr>
      <w:tr>
        <w:trPr>
          <w:trHeight w:val="229"/>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(14,022)</w:t>
            </w:r>
          </w:p>
        </w:tc>
      </w:tr>
      <w:tr>
        <w:trPr>
          <w:trHeight w:val="229"/>
        </w:trPr>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Film assets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(23,200)</w:t>
            </w:r>
          </w:p>
        </w:tc>
      </w:tr>
      <w:tr>
        <w:trPr>
          <w:trHeight w:val="229"/>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(6,494)</w:t>
            </w:r>
          </w:p>
        </w:tc>
      </w:tr>
      <w:tr>
        <w:trPr>
          <w:trHeight w:val="229"/>
        </w:trPr>
        <w:tc>
          <w:tcPr>
            <w:tcW w:w="62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Changes in other operating assets and liabilities</w:t>
            </w: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(24,640)</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(27,008)</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22"/>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(23,011)</w:t>
            </w:r>
          </w:p>
        </w:tc>
        <w:tc>
          <w:tcPr>
            <w:tcW w:w="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90,376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109,972</w:t>
            </w:r>
          </w:p>
        </w:tc>
      </w:tr>
      <w:tr>
        <w:trPr>
          <w:trHeight w:val="222"/>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(13,368)</w:t>
            </w: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equipment for joint revenue sharing arrangements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(34,810)</w:t>
            </w: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other intangible assets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(8,696)</w:t>
            </w:r>
          </w:p>
        </w:tc>
      </w:tr>
      <w:tr>
        <w:trPr>
          <w:trHeight w:val="229"/>
        </w:trPr>
        <w:tc>
          <w:tcPr>
            <w:tcW w:w="6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(15,153)</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(9,255)</w:t>
            </w:r>
          </w:p>
        </w:tc>
        <w:tc>
          <w:tcPr>
            <w:tcW w:w="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(65,994)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(56,874)</w:t>
            </w:r>
          </w:p>
        </w:tc>
      </w:tr>
      <w:tr>
        <w:trPr>
          <w:trHeight w:val="222"/>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revolving credit facility borrowings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287,610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35,000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65,000</w:t>
            </w: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revolving credit facility borrowings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(50,667)</w:t>
            </w: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facility amendment fees paid</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restricted share units and options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stock repurchased for future settlement of restricted share units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shares, IMAX China</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w:t>
            </w: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 withheld and paid on employee stock awards vested</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w:t>
            </w: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issued - stock options exercised</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2,404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1,017</w:t>
            </w: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(36,624)</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(71,479)</w:t>
            </w: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subsidiary shares to non-controlling interests (net of return on capital)</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7,796</w:t>
            </w: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w:t>
            </w:r>
          </w:p>
        </w:tc>
      </w:tr>
      <w:tr>
        <w:trPr>
          <w:trHeight w:val="222"/>
        </w:trPr>
        <w:tc>
          <w:tcPr>
            <w:tcW w:w="62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240,567</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(57,118)</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(70,862)</w:t>
            </w:r>
          </w:p>
        </w:tc>
      </w:tr>
      <w:tr>
        <w:trPr>
          <w:trHeight w:val="222"/>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629</w:t>
            </w:r>
          </w:p>
        </w:tc>
      </w:tr>
      <w:tr>
        <w:trPr>
          <w:trHeight w:val="222"/>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 during year</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207,895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(32,106)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(17,135)</w:t>
            </w: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109,484</w:t>
            </w:r>
          </w:p>
        </w:tc>
        <w:tc>
          <w:tcPr>
            <w:tcW w:w="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141,590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158,725</w:t>
            </w:r>
          </w:p>
        </w:tc>
      </w:tr>
      <w:tr>
        <w:trPr>
          <w:trHeight w:val="222"/>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317,379</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109,484</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141,590</w:t>
            </w:r>
          </w:p>
        </w:tc>
      </w:tr>
      <w:tr>
        <w:trPr>
          <w:trHeight w:val="20"/>
        </w:trPr>
        <w:tc>
          <w:tcPr>
            <w:tcW w:w="6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of U.S. Dollars except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2019</w:t>
            </w: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3"/>
                <w:szCs w:val="13"/>
                <w:b w:val="1"/>
                <w:bCs w:val="1"/>
                <w:color w:val="auto"/>
              </w:rPr>
              <w:t>2018</w:t>
            </w:r>
          </w:p>
        </w:tc>
        <w:tc>
          <w:tcPr>
            <w:tcW w:w="0" w:type="dxa"/>
            <w:vAlign w:val="bottom"/>
          </w:tcPr>
          <w:p>
            <w:pPr>
              <w:spacing w:after="0"/>
              <w:rPr>
                <w:sz w:val="1"/>
                <w:szCs w:val="1"/>
                <w:color w:val="auto"/>
              </w:rPr>
            </w:pPr>
          </w:p>
        </w:tc>
      </w:tr>
      <w:tr>
        <w:trPr>
          <w:trHeight w:val="169"/>
        </w:trPr>
        <w:tc>
          <w:tcPr>
            <w:tcW w:w="66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Adjustments to capital stock:</w:t>
            </w: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Balance, beginning of year</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419,348</w:t>
            </w:r>
          </w:p>
        </w:tc>
        <w:tc>
          <w:tcPr>
            <w:tcW w:w="460" w:type="dxa"/>
            <w:vAlign w:val="bottom"/>
            <w:gridSpan w:val="2"/>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421,539</w:t>
            </w:r>
          </w:p>
        </w:tc>
        <w:tc>
          <w:tcPr>
            <w:tcW w:w="80" w:type="dxa"/>
            <w:vAlign w:val="bottom"/>
          </w:tcPr>
          <w:p>
            <w:pPr>
              <w:spacing w:after="0"/>
              <w:rPr>
                <w:sz w:val="15"/>
                <w:szCs w:val="15"/>
                <w:color w:val="auto"/>
              </w:rPr>
            </w:pPr>
          </w:p>
        </w:tc>
        <w:tc>
          <w:tcPr>
            <w:tcW w:w="38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440,664</w:t>
            </w:r>
          </w:p>
        </w:tc>
        <w:tc>
          <w:tcPr>
            <w:tcW w:w="0" w:type="dxa"/>
            <w:vAlign w:val="bottom"/>
          </w:tcPr>
          <w:p>
            <w:pPr>
              <w:spacing w:after="0"/>
              <w:rPr>
                <w:sz w:val="1"/>
                <w:szCs w:val="1"/>
                <w:color w:val="auto"/>
              </w:rPr>
            </w:pPr>
          </w:p>
        </w:tc>
      </w:tr>
      <w:tr>
        <w:trPr>
          <w:trHeight w:val="175"/>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Change in shares held in treasury</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4,027</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(3,122)</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4,216</w:t>
            </w:r>
          </w:p>
        </w:tc>
        <w:tc>
          <w:tcPr>
            <w:tcW w:w="0" w:type="dxa"/>
            <w:vAlign w:val="bottom"/>
          </w:tcPr>
          <w:p>
            <w:pPr>
              <w:spacing w:after="0"/>
              <w:rPr>
                <w:sz w:val="1"/>
                <w:szCs w:val="1"/>
                <w:color w:val="auto"/>
              </w:rPr>
            </w:pPr>
          </w:p>
        </w:tc>
      </w:tr>
      <w:tr>
        <w:trPr>
          <w:trHeight w:val="175"/>
        </w:trPr>
        <w:tc>
          <w:tcPr>
            <w:tcW w:w="66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Restricted share units vested</w:t>
            </w:r>
          </w:p>
        </w:tc>
        <w:tc>
          <w:tcPr>
            <w:tcW w:w="28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1,448</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Employee stock options exercised</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1,752</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218</w:t>
            </w:r>
          </w:p>
        </w:tc>
        <w:tc>
          <w:tcPr>
            <w:tcW w:w="0" w:type="dxa"/>
            <w:vAlign w:val="bottom"/>
          </w:tcPr>
          <w:p>
            <w:pPr>
              <w:spacing w:after="0"/>
              <w:rPr>
                <w:sz w:val="1"/>
                <w:szCs w:val="1"/>
                <w:color w:val="auto"/>
              </w:rPr>
            </w:pPr>
          </w:p>
        </w:tc>
      </w:tr>
      <w:tr>
        <w:trPr>
          <w:trHeight w:val="175"/>
        </w:trPr>
        <w:tc>
          <w:tcPr>
            <w:tcW w:w="66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Fair value of stock options exercised at the grant date</w:t>
            </w:r>
          </w:p>
        </w:tc>
        <w:tc>
          <w:tcPr>
            <w:tcW w:w="28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175"/>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Average carrying value of repurchased and retired common shares</w:t>
            </w:r>
          </w:p>
        </w:tc>
        <w:tc>
          <w:tcPr>
            <w:tcW w:w="2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(17,803)</w:t>
            </w:r>
          </w:p>
        </w:tc>
        <w:tc>
          <w:tcPr>
            <w:tcW w:w="18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(925)</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(23,629)</w:t>
            </w:r>
          </w:p>
        </w:tc>
        <w:tc>
          <w:tcPr>
            <w:tcW w:w="0" w:type="dxa"/>
            <w:vAlign w:val="bottom"/>
          </w:tcPr>
          <w:p>
            <w:pPr>
              <w:spacing w:after="0"/>
              <w:rPr>
                <w:sz w:val="1"/>
                <w:szCs w:val="1"/>
                <w:color w:val="auto"/>
              </w:rPr>
            </w:pPr>
          </w:p>
        </w:tc>
      </w:tr>
      <w:tr>
        <w:trPr>
          <w:trHeight w:val="169"/>
        </w:trPr>
        <w:tc>
          <w:tcPr>
            <w:tcW w:w="6680" w:type="dxa"/>
            <w:vAlign w:val="bottom"/>
            <w:tcBorders>
              <w:bottom w:val="single" w:sz="8" w:color="CFF0FC"/>
            </w:tcBorders>
          </w:tcPr>
          <w:p>
            <w:pPr>
              <w:spacing w:after="0" w:line="169" w:lineRule="exact"/>
              <w:rPr>
                <w:sz w:val="20"/>
                <w:szCs w:val="20"/>
                <w:color w:val="auto"/>
              </w:rPr>
            </w:pPr>
            <w:r>
              <w:rPr>
                <w:rFonts w:ascii="Times New Roman" w:cs="Times New Roman" w:eastAsia="Times New Roman" w:hAnsi="Times New Roman"/>
                <w:sz w:val="15"/>
                <w:szCs w:val="15"/>
                <w:color w:val="auto"/>
              </w:rPr>
              <w:t>Balance, end of year</w:t>
            </w: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407,020</w:t>
            </w:r>
          </w:p>
        </w:tc>
        <w:tc>
          <w:tcPr>
            <w:tcW w:w="1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419,348</w:t>
            </w: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421,539</w:t>
            </w:r>
          </w:p>
        </w:tc>
        <w:tc>
          <w:tcPr>
            <w:tcW w:w="0" w:type="dxa"/>
            <w:vAlign w:val="bottom"/>
          </w:tcPr>
          <w:p>
            <w:pPr>
              <w:spacing w:after="0"/>
              <w:rPr>
                <w:sz w:val="1"/>
                <w:szCs w:val="1"/>
                <w:color w:val="auto"/>
              </w:rPr>
            </w:pPr>
          </w:p>
        </w:tc>
      </w:tr>
      <w:tr>
        <w:trPr>
          <w:trHeight w:val="169"/>
        </w:trPr>
        <w:tc>
          <w:tcPr>
            <w:tcW w:w="66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Adjustments to other equity:</w:t>
            </w: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Balance, beginning of year</w:t>
            </w:r>
          </w:p>
        </w:tc>
        <w:tc>
          <w:tcPr>
            <w:tcW w:w="28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171,789</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179,595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175,300</w:t>
            </w:r>
          </w:p>
        </w:tc>
        <w:tc>
          <w:tcPr>
            <w:tcW w:w="0" w:type="dxa"/>
            <w:vAlign w:val="bottom"/>
          </w:tcPr>
          <w:p>
            <w:pPr>
              <w:spacing w:after="0"/>
              <w:rPr>
                <w:sz w:val="1"/>
                <w:szCs w:val="1"/>
                <w:color w:val="auto"/>
              </w:rPr>
            </w:pPr>
          </w:p>
        </w:tc>
      </w:tr>
      <w:tr>
        <w:trPr>
          <w:trHeight w:val="175"/>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Amortization of share-based payment expense - stock options</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2,707</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8,910</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5,907</w:t>
            </w:r>
          </w:p>
        </w:tc>
        <w:tc>
          <w:tcPr>
            <w:tcW w:w="0" w:type="dxa"/>
            <w:vAlign w:val="bottom"/>
          </w:tcPr>
          <w:p>
            <w:pPr>
              <w:spacing w:after="0"/>
              <w:rPr>
                <w:sz w:val="1"/>
                <w:szCs w:val="1"/>
                <w:color w:val="auto"/>
              </w:rPr>
            </w:pPr>
          </w:p>
        </w:tc>
      </w:tr>
      <w:tr>
        <w:trPr>
          <w:trHeight w:val="175"/>
        </w:trPr>
        <w:tc>
          <w:tcPr>
            <w:tcW w:w="66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Amortization of share-based payment expense - restricted share units</w:t>
            </w:r>
          </w:p>
        </w:tc>
        <w:tc>
          <w:tcPr>
            <w:tcW w:w="28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14,162</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13,985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16,325</w:t>
            </w:r>
          </w:p>
        </w:tc>
        <w:tc>
          <w:tcPr>
            <w:tcW w:w="0" w:type="dxa"/>
            <w:vAlign w:val="bottom"/>
          </w:tcPr>
          <w:p>
            <w:pPr>
              <w:spacing w:after="0"/>
              <w:rPr>
                <w:sz w:val="1"/>
                <w:szCs w:val="1"/>
                <w:color w:val="auto"/>
              </w:rPr>
            </w:pPr>
          </w:p>
        </w:tc>
      </w:tr>
      <w:tr>
        <w:trPr>
          <w:trHeight w:val="175"/>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Amortization of share-based payment expense - performance stock units</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2,771</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66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Restricted share units vested</w:t>
            </w: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(9,565)</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(12,582)</w:t>
            </w:r>
          </w:p>
        </w:tc>
        <w:tc>
          <w:tcPr>
            <w:tcW w:w="0" w:type="dxa"/>
            <w:vAlign w:val="bottom"/>
          </w:tcPr>
          <w:p>
            <w:pPr>
              <w:spacing w:after="0"/>
              <w:rPr>
                <w:sz w:val="1"/>
                <w:szCs w:val="1"/>
                <w:color w:val="auto"/>
              </w:rPr>
            </w:pPr>
          </w:p>
        </w:tc>
      </w:tr>
      <w:tr>
        <w:trPr>
          <w:trHeight w:val="175"/>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Cash received from the issuance of common shares in excess of par value</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651</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799</w:t>
            </w:r>
          </w:p>
        </w:tc>
        <w:tc>
          <w:tcPr>
            <w:tcW w:w="0" w:type="dxa"/>
            <w:vAlign w:val="bottom"/>
          </w:tcPr>
          <w:p>
            <w:pPr>
              <w:spacing w:after="0"/>
              <w:rPr>
                <w:sz w:val="1"/>
                <w:szCs w:val="1"/>
                <w:color w:val="auto"/>
              </w:rPr>
            </w:pPr>
          </w:p>
        </w:tc>
      </w:tr>
      <w:tr>
        <w:trPr>
          <w:trHeight w:val="175"/>
        </w:trPr>
        <w:tc>
          <w:tcPr>
            <w:tcW w:w="66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Fair value of stock options exercised at the grant date</w:t>
            </w:r>
          </w:p>
        </w:tc>
        <w:tc>
          <w:tcPr>
            <w:tcW w:w="28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175"/>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Common shares repurchased, IMAX China</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(1,534)</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(19,162)</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(6,084)</w:t>
            </w:r>
          </w:p>
        </w:tc>
        <w:tc>
          <w:tcPr>
            <w:tcW w:w="0" w:type="dxa"/>
            <w:vAlign w:val="bottom"/>
          </w:tcPr>
          <w:p>
            <w:pPr>
              <w:spacing w:after="0"/>
              <w:rPr>
                <w:sz w:val="1"/>
                <w:szCs w:val="1"/>
                <w:color w:val="auto"/>
              </w:rPr>
            </w:pPr>
          </w:p>
        </w:tc>
      </w:tr>
      <w:tr>
        <w:trPr>
          <w:trHeight w:val="175"/>
        </w:trPr>
        <w:tc>
          <w:tcPr>
            <w:tcW w:w="66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5"/>
                <w:szCs w:val="15"/>
                <w:color w:val="auto"/>
              </w:rPr>
              <w:t>Stock options exercised from treasury shares purchased on open market</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(1,561)</w:t>
            </w: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9"/>
        </w:trPr>
        <w:tc>
          <w:tcPr>
            <w:tcW w:w="66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Balance, end of year</w:t>
            </w:r>
          </w:p>
        </w:tc>
        <w:tc>
          <w:tcPr>
            <w:tcW w:w="2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180,330</w:t>
            </w:r>
          </w:p>
        </w:tc>
        <w:tc>
          <w:tcPr>
            <w:tcW w:w="18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171,789</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179,595</w:t>
            </w:r>
          </w:p>
        </w:tc>
        <w:tc>
          <w:tcPr>
            <w:tcW w:w="0" w:type="dxa"/>
            <w:vAlign w:val="bottom"/>
          </w:tcPr>
          <w:p>
            <w:pPr>
              <w:spacing w:after="0"/>
              <w:rPr>
                <w:sz w:val="1"/>
                <w:szCs w:val="1"/>
                <w:color w:val="auto"/>
              </w:rPr>
            </w:pPr>
          </w:p>
        </w:tc>
      </w:tr>
      <w:tr>
        <w:trPr>
          <w:trHeight w:val="169"/>
        </w:trPr>
        <w:tc>
          <w:tcPr>
            <w:tcW w:w="668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Adjustments to accumulated deficit:</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beginning of year</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(40,253)</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(85,385)</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(87,592)</w:t>
            </w:r>
          </w:p>
        </w:tc>
        <w:tc>
          <w:tcPr>
            <w:tcW w:w="0" w:type="dxa"/>
            <w:vAlign w:val="bottom"/>
          </w:tcPr>
          <w:p>
            <w:pPr>
              <w:spacing w:after="0"/>
              <w:rPr>
                <w:sz w:val="1"/>
                <w:szCs w:val="1"/>
                <w:color w:val="auto"/>
              </w:rPr>
            </w:pPr>
          </w:p>
        </w:tc>
      </w:tr>
      <w:tr>
        <w:trPr>
          <w:trHeight w:val="175"/>
        </w:trPr>
        <w:tc>
          <w:tcPr>
            <w:tcW w:w="66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Retrospective adoption of ASC Topic 606, Revenue from Contracts with Customers</w:t>
            </w:r>
          </w:p>
        </w:tc>
        <w:tc>
          <w:tcPr>
            <w:tcW w:w="28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27,213</w:t>
            </w:r>
          </w:p>
        </w:tc>
        <w:tc>
          <w:tcPr>
            <w:tcW w:w="0" w:type="dxa"/>
            <w:vAlign w:val="bottom"/>
          </w:tcPr>
          <w:p>
            <w:pPr>
              <w:spacing w:after="0"/>
              <w:rPr>
                <w:sz w:val="1"/>
                <w:szCs w:val="1"/>
                <w:color w:val="auto"/>
              </w:rPr>
            </w:pPr>
          </w:p>
        </w:tc>
      </w:tr>
      <w:tr>
        <w:trPr>
          <w:trHeight w:val="175"/>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Net (loss) income attributable to common shareholders</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(143,775)</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46,866</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22,844</w:t>
            </w:r>
          </w:p>
        </w:tc>
        <w:tc>
          <w:tcPr>
            <w:tcW w:w="0" w:type="dxa"/>
            <w:vAlign w:val="bottom"/>
          </w:tcPr>
          <w:p>
            <w:pPr>
              <w:spacing w:after="0"/>
              <w:rPr>
                <w:sz w:val="1"/>
                <w:szCs w:val="1"/>
                <w:color w:val="auto"/>
              </w:rPr>
            </w:pPr>
          </w:p>
        </w:tc>
      </w:tr>
      <w:tr>
        <w:trPr>
          <w:trHeight w:val="175"/>
        </w:trPr>
        <w:tc>
          <w:tcPr>
            <w:tcW w:w="66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5"/>
                <w:szCs w:val="15"/>
                <w:color w:val="auto"/>
              </w:rPr>
              <w:t>Common shares repurchased and retired</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(18,821)</w:t>
            </w:r>
          </w:p>
        </w:tc>
        <w:tc>
          <w:tcPr>
            <w:tcW w:w="1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(1,734)</w:t>
            </w: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(47,850)</w:t>
            </w:r>
          </w:p>
        </w:tc>
        <w:tc>
          <w:tcPr>
            <w:tcW w:w="0" w:type="dxa"/>
            <w:vAlign w:val="bottom"/>
          </w:tcPr>
          <w:p>
            <w:pPr>
              <w:spacing w:after="0"/>
              <w:rPr>
                <w:sz w:val="1"/>
                <w:szCs w:val="1"/>
                <w:color w:val="auto"/>
              </w:rPr>
            </w:pPr>
          </w:p>
        </w:tc>
      </w:tr>
      <w:tr>
        <w:trPr>
          <w:trHeight w:val="169"/>
        </w:trPr>
        <w:tc>
          <w:tcPr>
            <w:tcW w:w="66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Balance, end of year</w:t>
            </w:r>
          </w:p>
        </w:tc>
        <w:tc>
          <w:tcPr>
            <w:tcW w:w="2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(202,849)</w:t>
            </w:r>
          </w:p>
        </w:tc>
        <w:tc>
          <w:tcPr>
            <w:tcW w:w="18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(40,253)</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(85,385)</w:t>
            </w:r>
          </w:p>
        </w:tc>
        <w:tc>
          <w:tcPr>
            <w:tcW w:w="0" w:type="dxa"/>
            <w:vAlign w:val="bottom"/>
          </w:tcPr>
          <w:p>
            <w:pPr>
              <w:spacing w:after="0"/>
              <w:rPr>
                <w:sz w:val="1"/>
                <w:szCs w:val="1"/>
                <w:color w:val="auto"/>
              </w:rPr>
            </w:pPr>
          </w:p>
        </w:tc>
      </w:tr>
      <w:tr>
        <w:trPr>
          <w:trHeight w:val="169"/>
        </w:trPr>
        <w:tc>
          <w:tcPr>
            <w:tcW w:w="668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Adjustments to accumulated other comprehensive income (loss):</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beginning of year</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(3,190)</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(3,588)</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(626)</w:t>
            </w:r>
          </w:p>
        </w:tc>
        <w:tc>
          <w:tcPr>
            <w:tcW w:w="0" w:type="dxa"/>
            <w:vAlign w:val="bottom"/>
          </w:tcPr>
          <w:p>
            <w:pPr>
              <w:spacing w:after="0"/>
              <w:rPr>
                <w:sz w:val="1"/>
                <w:szCs w:val="1"/>
                <w:color w:val="auto"/>
              </w:rPr>
            </w:pPr>
          </w:p>
        </w:tc>
      </w:tr>
      <w:tr>
        <w:trPr>
          <w:trHeight w:val="175"/>
        </w:trPr>
        <w:tc>
          <w:tcPr>
            <w:tcW w:w="66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5"/>
                <w:szCs w:val="15"/>
                <w:color w:val="auto"/>
              </w:rPr>
              <w:t>Other comprehensive income (loss), net of tax</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4,178</w:t>
            </w:r>
          </w:p>
        </w:tc>
        <w:tc>
          <w:tcPr>
            <w:tcW w:w="1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398</w:t>
            </w: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(2,962)</w:t>
            </w:r>
          </w:p>
        </w:tc>
        <w:tc>
          <w:tcPr>
            <w:tcW w:w="0" w:type="dxa"/>
            <w:vAlign w:val="bottom"/>
          </w:tcPr>
          <w:p>
            <w:pPr>
              <w:spacing w:after="0"/>
              <w:rPr>
                <w:sz w:val="1"/>
                <w:szCs w:val="1"/>
                <w:color w:val="auto"/>
              </w:rPr>
            </w:pPr>
          </w:p>
        </w:tc>
      </w:tr>
      <w:tr>
        <w:trPr>
          <w:trHeight w:val="169"/>
        </w:trPr>
        <w:tc>
          <w:tcPr>
            <w:tcW w:w="66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Balance, end of year</w:t>
            </w:r>
          </w:p>
        </w:tc>
        <w:tc>
          <w:tcPr>
            <w:tcW w:w="2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988</w:t>
            </w:r>
          </w:p>
        </w:tc>
        <w:tc>
          <w:tcPr>
            <w:tcW w:w="18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(3,190)</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(3,588)</w:t>
            </w:r>
          </w:p>
        </w:tc>
        <w:tc>
          <w:tcPr>
            <w:tcW w:w="0" w:type="dxa"/>
            <w:vAlign w:val="bottom"/>
          </w:tcPr>
          <w:p>
            <w:pPr>
              <w:spacing w:after="0"/>
              <w:rPr>
                <w:sz w:val="1"/>
                <w:szCs w:val="1"/>
                <w:color w:val="auto"/>
              </w:rPr>
            </w:pPr>
          </w:p>
        </w:tc>
      </w:tr>
      <w:tr>
        <w:trPr>
          <w:trHeight w:val="169"/>
        </w:trPr>
        <w:tc>
          <w:tcPr>
            <w:tcW w:w="668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Adjustments to non-controlling interests:</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beginning of year</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89,493</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80,757</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74,511</w:t>
            </w:r>
          </w:p>
        </w:tc>
        <w:tc>
          <w:tcPr>
            <w:tcW w:w="0" w:type="dxa"/>
            <w:vAlign w:val="bottom"/>
          </w:tcPr>
          <w:p>
            <w:pPr>
              <w:spacing w:after="0"/>
              <w:rPr>
                <w:sz w:val="1"/>
                <w:szCs w:val="1"/>
                <w:color w:val="auto"/>
              </w:rPr>
            </w:pPr>
          </w:p>
        </w:tc>
      </w:tr>
      <w:tr>
        <w:trPr>
          <w:trHeight w:val="175"/>
        </w:trPr>
        <w:tc>
          <w:tcPr>
            <w:tcW w:w="66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Retrospective adoption of ASC Topic 606, Revenue from Contracts with Customers</w:t>
            </w:r>
          </w:p>
        </w:tc>
        <w:tc>
          <w:tcPr>
            <w:tcW w:w="28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735</w:t>
            </w:r>
          </w:p>
        </w:tc>
        <w:tc>
          <w:tcPr>
            <w:tcW w:w="0" w:type="dxa"/>
            <w:vAlign w:val="bottom"/>
          </w:tcPr>
          <w:p>
            <w:pPr>
              <w:spacing w:after="0"/>
              <w:rPr>
                <w:sz w:val="1"/>
                <w:szCs w:val="1"/>
                <w:color w:val="auto"/>
              </w:rPr>
            </w:pPr>
          </w:p>
        </w:tc>
      </w:tr>
      <w:tr>
        <w:trPr>
          <w:trHeight w:val="175"/>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Net (loss) income attributable to non-controlling interests</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(8,572)</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13,343</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13,461</w:t>
            </w:r>
          </w:p>
        </w:tc>
        <w:tc>
          <w:tcPr>
            <w:tcW w:w="0" w:type="dxa"/>
            <w:vAlign w:val="bottom"/>
          </w:tcPr>
          <w:p>
            <w:pPr>
              <w:spacing w:after="0"/>
              <w:rPr>
                <w:sz w:val="1"/>
                <w:szCs w:val="1"/>
                <w:color w:val="auto"/>
              </w:rPr>
            </w:pPr>
          </w:p>
        </w:tc>
      </w:tr>
      <w:tr>
        <w:trPr>
          <w:trHeight w:val="175"/>
        </w:trPr>
        <w:tc>
          <w:tcPr>
            <w:tcW w:w="66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Other comprehensive income (loss), net of tax</w:t>
            </w:r>
          </w:p>
        </w:tc>
        <w:tc>
          <w:tcPr>
            <w:tcW w:w="28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1,812</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(1,016)</w:t>
            </w:r>
          </w:p>
        </w:tc>
        <w:tc>
          <w:tcPr>
            <w:tcW w:w="0" w:type="dxa"/>
            <w:vAlign w:val="bottom"/>
          </w:tcPr>
          <w:p>
            <w:pPr>
              <w:spacing w:after="0"/>
              <w:rPr>
                <w:sz w:val="1"/>
                <w:szCs w:val="1"/>
                <w:color w:val="auto"/>
              </w:rPr>
            </w:pPr>
          </w:p>
        </w:tc>
      </w:tr>
      <w:tr>
        <w:trPr>
          <w:trHeight w:val="175"/>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Dividends paid to non-controlling shareholders</w:t>
            </w:r>
          </w:p>
        </w:tc>
        <w:tc>
          <w:tcPr>
            <w:tcW w:w="2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(4,214)</w:t>
            </w:r>
          </w:p>
        </w:tc>
        <w:tc>
          <w:tcPr>
            <w:tcW w:w="18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(4,384)</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(6,934)</w:t>
            </w:r>
          </w:p>
        </w:tc>
        <w:tc>
          <w:tcPr>
            <w:tcW w:w="0" w:type="dxa"/>
            <w:vAlign w:val="bottom"/>
          </w:tcPr>
          <w:p>
            <w:pPr>
              <w:spacing w:after="0"/>
              <w:rPr>
                <w:sz w:val="1"/>
                <w:szCs w:val="1"/>
                <w:color w:val="auto"/>
              </w:rPr>
            </w:pPr>
          </w:p>
        </w:tc>
      </w:tr>
      <w:tr>
        <w:trPr>
          <w:trHeight w:val="169"/>
        </w:trPr>
        <w:tc>
          <w:tcPr>
            <w:tcW w:w="6680" w:type="dxa"/>
            <w:vAlign w:val="bottom"/>
            <w:tcBorders>
              <w:bottom w:val="single" w:sz="8" w:color="CFF0FC"/>
            </w:tcBorders>
          </w:tcPr>
          <w:p>
            <w:pPr>
              <w:spacing w:after="0" w:line="169" w:lineRule="exact"/>
              <w:rPr>
                <w:sz w:val="20"/>
                <w:szCs w:val="20"/>
                <w:color w:val="auto"/>
              </w:rPr>
            </w:pPr>
            <w:r>
              <w:rPr>
                <w:rFonts w:ascii="Times New Roman" w:cs="Times New Roman" w:eastAsia="Times New Roman" w:hAnsi="Times New Roman"/>
                <w:sz w:val="15"/>
                <w:szCs w:val="15"/>
                <w:color w:val="auto"/>
              </w:rPr>
              <w:t>Balance, end of year</w:t>
            </w: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78,519</w:t>
            </w:r>
          </w:p>
        </w:tc>
        <w:tc>
          <w:tcPr>
            <w:tcW w:w="1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89,493</w:t>
            </w: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80,757</w:t>
            </w:r>
          </w:p>
        </w:tc>
        <w:tc>
          <w:tcPr>
            <w:tcW w:w="0" w:type="dxa"/>
            <w:vAlign w:val="bottom"/>
          </w:tcPr>
          <w:p>
            <w:pPr>
              <w:spacing w:after="0"/>
              <w:rPr>
                <w:sz w:val="1"/>
                <w:szCs w:val="1"/>
                <w:color w:val="auto"/>
              </w:rPr>
            </w:pPr>
          </w:p>
        </w:tc>
      </w:tr>
      <w:tr>
        <w:trPr>
          <w:trHeight w:val="169"/>
        </w:trPr>
        <w:tc>
          <w:tcPr>
            <w:tcW w:w="6680" w:type="dxa"/>
            <w:vAlign w:val="bottom"/>
            <w:tcBorders>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280" w:type="dxa"/>
            <w:vAlign w:val="bottom"/>
            <w:tcBorders>
              <w:bottom w:val="single" w:sz="8" w:color="auto"/>
            </w:tcBorders>
            <w:shd w:val="clear" w:color="auto" w:fill="CFF0FC"/>
          </w:tcPr>
          <w:p>
            <w:pPr>
              <w:jc w:val="right"/>
              <w:ind w:right="124"/>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b w:val="1"/>
                <w:bCs w:val="1"/>
                <w:color w:val="auto"/>
              </w:rPr>
              <w:t>464,008</w:t>
            </w:r>
          </w:p>
        </w:tc>
        <w:tc>
          <w:tcPr>
            <w:tcW w:w="1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b w:val="1"/>
                <w:bCs w:val="1"/>
                <w:color w:val="auto"/>
              </w:rPr>
              <w:t>637,187</w:t>
            </w: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144"/>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b w:val="1"/>
                <w:bCs w:val="1"/>
                <w:color w:val="auto"/>
              </w:rPr>
              <w:t>592,918</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Common shares issued and outstanding:</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beginning of year</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61,175,852</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61,433,589</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64,695,550</w:t>
            </w:r>
          </w:p>
        </w:tc>
        <w:tc>
          <w:tcPr>
            <w:tcW w:w="0" w:type="dxa"/>
            <w:vAlign w:val="bottom"/>
          </w:tcPr>
          <w:p>
            <w:pPr>
              <w:spacing w:after="0"/>
              <w:rPr>
                <w:sz w:val="1"/>
                <w:szCs w:val="1"/>
                <w:color w:val="auto"/>
              </w:rPr>
            </w:pPr>
          </w:p>
        </w:tc>
      </w:tr>
      <w:tr>
        <w:trPr>
          <w:trHeight w:val="175"/>
        </w:trPr>
        <w:tc>
          <w:tcPr>
            <w:tcW w:w="66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Employee stock options exercised</w:t>
            </w:r>
          </w:p>
        </w:tc>
        <w:tc>
          <w:tcPr>
            <w:tcW w:w="28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19,088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12,750</w:t>
            </w:r>
          </w:p>
        </w:tc>
        <w:tc>
          <w:tcPr>
            <w:tcW w:w="0" w:type="dxa"/>
            <w:vAlign w:val="bottom"/>
          </w:tcPr>
          <w:p>
            <w:pPr>
              <w:spacing w:after="0"/>
              <w:rPr>
                <w:sz w:val="1"/>
                <w:szCs w:val="1"/>
                <w:color w:val="auto"/>
              </w:rPr>
            </w:pPr>
          </w:p>
        </w:tc>
      </w:tr>
      <w:tr>
        <w:trPr>
          <w:trHeight w:val="158"/>
        </w:trPr>
        <w:tc>
          <w:tcPr>
            <w:tcW w:w="6680" w:type="dxa"/>
            <w:vAlign w:val="bottom"/>
            <w:shd w:val="clear" w:color="auto" w:fill="CFF0FC"/>
          </w:tcPr>
          <w:p>
            <w:pPr>
              <w:ind w:left="260"/>
              <w:spacing w:after="0" w:line="158" w:lineRule="exact"/>
              <w:rPr>
                <w:sz w:val="20"/>
                <w:szCs w:val="20"/>
                <w:color w:val="auto"/>
              </w:rPr>
            </w:pPr>
            <w:r>
              <w:rPr>
                <w:rFonts w:ascii="Times New Roman" w:cs="Times New Roman" w:eastAsia="Times New Roman" w:hAnsi="Times New Roman"/>
                <w:sz w:val="15"/>
                <w:szCs w:val="15"/>
                <w:color w:val="auto"/>
              </w:rPr>
              <w:t>Restricted share units and stock option exercises settled from treasury shares</w:t>
            </w:r>
          </w:p>
        </w:tc>
        <w:tc>
          <w:tcPr>
            <w:tcW w:w="2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purchased on open market</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187,020</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44,579</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206,651</w:t>
            </w:r>
          </w:p>
        </w:tc>
        <w:tc>
          <w:tcPr>
            <w:tcW w:w="0" w:type="dxa"/>
            <w:vAlign w:val="bottom"/>
          </w:tcPr>
          <w:p>
            <w:pPr>
              <w:spacing w:after="0"/>
              <w:rPr>
                <w:sz w:val="1"/>
                <w:szCs w:val="1"/>
                <w:color w:val="auto"/>
              </w:rPr>
            </w:pPr>
          </w:p>
        </w:tc>
      </w:tr>
      <w:tr>
        <w:trPr>
          <w:trHeight w:val="175"/>
        </w:trPr>
        <w:tc>
          <w:tcPr>
            <w:tcW w:w="66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Restricted share units settled with new treasury shares</w:t>
            </w:r>
          </w:p>
        </w:tc>
        <w:tc>
          <w:tcPr>
            <w:tcW w:w="28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42,982</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Repurchase of common shares</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(2,484,123)</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(134,384)</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(3,436,783)</w:t>
            </w:r>
          </w:p>
        </w:tc>
        <w:tc>
          <w:tcPr>
            <w:tcW w:w="0" w:type="dxa"/>
            <w:vAlign w:val="bottom"/>
          </w:tcPr>
          <w:p>
            <w:pPr>
              <w:spacing w:after="0"/>
              <w:rPr>
                <w:sz w:val="1"/>
                <w:szCs w:val="1"/>
                <w:color w:val="auto"/>
              </w:rPr>
            </w:pPr>
          </w:p>
        </w:tc>
      </w:tr>
      <w:tr>
        <w:trPr>
          <w:trHeight w:val="175"/>
        </w:trPr>
        <w:tc>
          <w:tcPr>
            <w:tcW w:w="66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5"/>
                <w:szCs w:val="15"/>
                <w:color w:val="auto"/>
              </w:rPr>
              <w:t>Shares held in treasury</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(723)</w:t>
            </w:r>
          </w:p>
        </w:tc>
        <w:tc>
          <w:tcPr>
            <w:tcW w:w="1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(187,020)</w:t>
            </w: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(44,579)</w:t>
            </w:r>
          </w:p>
        </w:tc>
        <w:tc>
          <w:tcPr>
            <w:tcW w:w="0" w:type="dxa"/>
            <w:vAlign w:val="bottom"/>
          </w:tcPr>
          <w:p>
            <w:pPr>
              <w:spacing w:after="0"/>
              <w:rPr>
                <w:sz w:val="1"/>
                <w:szCs w:val="1"/>
                <w:color w:val="auto"/>
              </w:rPr>
            </w:pPr>
          </w:p>
        </w:tc>
      </w:tr>
      <w:tr>
        <w:trPr>
          <w:trHeight w:val="169"/>
        </w:trPr>
        <w:tc>
          <w:tcPr>
            <w:tcW w:w="6680" w:type="dxa"/>
            <w:vAlign w:val="bottom"/>
            <w:tcBorders>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Balance, end of year</w:t>
            </w:r>
          </w:p>
        </w:tc>
        <w:tc>
          <w:tcPr>
            <w:tcW w:w="2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58,921,008</w:t>
            </w:r>
          </w:p>
        </w:tc>
        <w:tc>
          <w:tcPr>
            <w:tcW w:w="1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61,175,852</w:t>
            </w: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61,433,589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i w:val="1"/>
          <w:iCs w:val="1"/>
          <w:color w:val="auto"/>
        </w:rPr>
        <w:t>(Tabular amounts in thousands of U.S. Dollars, unless otherwise stated)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8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IMAX Corporation, together with its consolidated subsidiaries (the “Company”), is one of the world’s leading entertainment technology companies, specializing in technological innovations powering the presentation of some of today’s most immersive entertainment experiences. Through its proprietary software, theater architecture, patented intellectual property and specialized equipment, IMAX offers a unique end-to-end cinematic solution to create the highest-quality, most immersive motion picture and other entertainment event experiences for which the IMAX® brand has become known globally. Top filmmakers and movie studios utilize the cutting-edge visual and sound technology of IMAX to connect with audiences in innovative ways, and as a result, IMAX’s network is among the most important and successful distribution platforms for major films and other events around the world.</w:t>
      </w:r>
    </w:p>
    <w:p>
      <w:pPr>
        <w:spacing w:after="0" w:line="157"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leverages its innovative technology and engineering in all aspects of its business, which principally consists of the digital remastering of films and other presentations into the IMAX format (“IMAX DMR”) and the sale or lease of premium IMAX theater systems (“IMAX Theater Systems”). The Company refers to all theaters using the IMAX Theater System as “IMAX theaters.”</w:t>
      </w:r>
    </w:p>
    <w:p>
      <w:pPr>
        <w:spacing w:after="0" w:line="136"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For all IMAX theaters, theater owners or operators are also responsible for paying the Company an annual maintenance and extended warranty fee. Under these arrangements, the Company provides proactive and emergency maintenance services to every theater in its network to ensure that each presentation is up to the highest IMAX quality standard. The Company’s theater business activities also include the after-market sale of IMAX projection system parts and 3D glasses.</w:t>
      </w:r>
    </w:p>
    <w:p>
      <w:pPr>
        <w:spacing w:after="0" w:line="140"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As of December 31, 2020, there were 1,650 IMAX Theater Systems operating in 84 countries and territories, including 1,562 commercial multiplexes, 12 commercial destinations and 76 institutional locations. This compares to 1,624 IMAX Theater Systems operating in 81 countries and territories as of December 31, 2019 including 1,529 commercial multiplexes, 14 commercial destinations and 81 institutional locations.</w:t>
      </w:r>
    </w:p>
    <w:p>
      <w:pPr>
        <w:spacing w:after="0" w:line="149"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The Company also licenses film content and distributes large-format films, primarily for its institutional theater partners and provides film post-production and quality control services for large-format films (whether produced by IMAX or third parties), and digital post-production services.</w:t>
      </w:r>
    </w:p>
    <w:p>
      <w:pPr>
        <w:spacing w:after="0" w:line="121"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has the following reportable segments: (i) IMAX DMR; (ii) Joint Revenue Sharing Arrangements; (iii) IMAX Systems, (iv) IMAX Maintenance; (v) Other Theater Business; (vi) New Business Initiatives; (vii) Film Distribution; and (viii) Film Post-Production, which are described in Note 21.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Impact of COVID-19 Pandemic</w:t>
      </w:r>
    </w:p>
    <w:p>
      <w:pPr>
        <w:spacing w:after="0" w:line="201" w:lineRule="exact"/>
        <w:rPr>
          <w:sz w:val="20"/>
          <w:szCs w:val="20"/>
          <w:color w:val="auto"/>
        </w:rPr>
      </w:pPr>
    </w:p>
    <w:p>
      <w:pPr>
        <w:jc w:val="both"/>
        <w:ind w:firstLine="224"/>
        <w:spacing w:after="0" w:line="251" w:lineRule="auto"/>
        <w:rPr>
          <w:sz w:val="20"/>
          <w:szCs w:val="20"/>
          <w:color w:val="auto"/>
        </w:rPr>
      </w:pPr>
      <w:r>
        <w:rPr>
          <w:rFonts w:ascii="Times New Roman" w:cs="Times New Roman" w:eastAsia="Times New Roman" w:hAnsi="Times New Roman"/>
          <w:sz w:val="18"/>
          <w:szCs w:val="18"/>
          <w:color w:val="auto"/>
        </w:rPr>
        <w:t>In late January 2020, in response to the public health risks associated with the novel coronavirus and the disease that it causes (“COVID-19”), the Chinese government directed exhibitors in China to temporarily close more than 70,000 movie theaters, including all of the approximately 700 IMAX theaters in mainland China. On March 11, 2020, due to the worsening public health crisis associated with the novel coronavirus, COVID-19 was characterized as a pandemic by the World Health Organization, and in the following weeks, local, state and national governments instituted stay-at-home orders and restrictions on large public gatherings which caused movie theaters in countries around the world to temporarily close, including substantially all of the IMAX theaters in those countries. As a result of the theater closures, movie studios postponed the theatrical release of most films originally scheduled for release in 2020 and early 2021, including many scheduled to be shown in IMAX theaters, while several other films were released directly or concurrently to streaming platforms. More recently, stay-at-home orders have been lifted in many countries and movie theaters throughout the IMAX network gradually reopened in the third quarter of 2020 with reduced capacities, physical distancing requirements, and other safety measures. As of December 31, 2020, a significant number of the theaters in the IMAX commercial multiplex network were open, including substantially all of the theaters in Greater China. In many parts of Asia, audiences have returned to theaters, particularly IMAX theaters, in numbers consistent with pre-pandemic attendance levels despite the continued delay of Hollywood theatrical releases, which typically account for 70% of box office ticket sales in those regions. Management believes this indicates that moviegoers are eager to return to cinemas where and when theaters are open and they feel safe. However, ticket sales have been significantly lower than normal levels in theaters outside of Asia as Hollywood movie studios have further delayed the theatrical release dates for a number of films. As a result, certain theater chains have remained closed or have reduced their operating hours. In addition, theaters in major markets remain temporarily closed.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The repercussions of the COVID-19 global pandemic resulted in a significant decrease in the Company’s revenues, earnings and operating cash flows in 2020 as gross box office (“GBO”) results from the Company’s theater customers declined significantly, the installation of certain theater systems was delayed, and maintenance services were generally suspended for theaters that were closed. While there continues to be a lack of new films released by movie studios and a significant number of theaters in the IMAX network are closed, the Company is experiencing a significant decline in earnings and operating cash flows as it is generating significantly lower than normal levels of GBO-based revenue from its joint revenue sharing arrangements and digital remastering services, it is unable to provide normal maintenance services to any of the theaters that remain closed, and while some installation activity is continuing, certain theater system installations have, and may continue to be delayed. In addition, the Company has experienced and is likely to continue to experience delays in collecting payments due under existing theater sale or lease arrangements from its exhibitor customers who are facing financial difficulties as a result of the theater closures. In response, the Company has provided temporary relief to exhibitor customers by waiving or reducing maintenance fees during periods when theaters are closed or operating with reduced capacities and, in certain situations, by providing extended payment terms on annual minimum payment obligations in exchange for a corresponding or longer extension of the term of the underlying sale or lease arrangement. As discussed in Note 5, in 2020, the Company increased its provision for current expected credit losses by $18.6 million, in part reflecting a reduction in the credit quality of its theater related accounts receivable, financing receivables and variable consideration receivables, which management believes is primarily related to the COVID-19 pandemic and adequately addresses the risk of not collecting these receivables in full.</w:t>
      </w:r>
    </w:p>
    <w:p>
      <w:pPr>
        <w:spacing w:after="0" w:line="163"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12529"/>
        </w:rPr>
        <w:t>he Company may continue to be significantly impacted by the COVID-19 global pandemic even after a significant portion or all theaters are reopened.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The global economic impact of COVID-19 has led to record levels of unemployment in certain countries, which has led to, and may continue to result in lower consumer spending. The timing and extent of a recovery of consumer behavior and willingness to spend discretionary income on movie-going may delay the Company’s ability to generate significant GBO-based revenue as consumer behavior normalizes and consumer spending recovers.</w:t>
      </w:r>
    </w:p>
    <w:p>
      <w:pPr>
        <w:spacing w:after="0" w:line="140"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response to uncertainties associated with the COVID-19 global pandemic, the Company has taken and is continuing to take significant steps to preserve cash by eliminating non-essential costs, placing certain employees on a temporary furlough, reducing the working hours of other employees and reducing all non-essential capital expenditures to minimum levels.</w:t>
      </w:r>
    </w:p>
    <w:p>
      <w:pPr>
        <w:spacing w:after="0" w:line="136"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has also implemented an active cash management process, which, among other things, requires senior management approval of all outgoing payments. In addition, in the first quarter of 2020, the Company drew down $280.0 million in remaining available borrowing capacity under the Credit Facility provided by the Credit Agreement, which was then amended in June 2020 to, among other things, suspend the Senior Secured Net Leverage Ratio financial covenant in the Credit Agreement through the first quarter of 2021 and substitute quarterly EBITDA from the third and fourth quarters of 2019 in lieu of the EBITDA for the corresponding quarters of 2020 to meet the original Senior Secured Net Leverage Ratio financial covenant (see Note 14).</w:t>
      </w:r>
    </w:p>
    <w:p>
      <w:pPr>
        <w:spacing w:after="0" w:line="157"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As of December 31, 2020, the Company was in compliance with all of its requirements under the Credit Agreement, as amended. The Company’s continued compliance with the requirements of the Credit Agreement will depend on the Company’s ability to generate sufficient EBITDA to ensure compliance with the Senior Secured Net Leverage Ratio covenant throughout the next twelve months, which is dependent on the timing of when theaters in the IMAX network resume normal operations. The risk of breaching this covenant within the next twelve months increases significantly as the ongoing COVID-19 pandemic continues to adversely impact the Company’s ability to generate EBITDA. A violation of this covenant would represent an event of default under the terms of the Credit Agreement, allowing lenders to declare the principal and interest on all outstanding Credit Facility indebtedness due or payable immediately. If a breach of the Senior Secured Net Leverage Ratio covenant were to occur, however, management believes the Company would be able to either reduce a sufficient portion of the drawn amount on the Credit Facility with existing cash balances to achieve compliance, obtain additional sources of liquidity prior to the time when the repayment of its outstanding Credit Facility indebtedness would be required, or negotiate a further amendment with its lenders to the Credit Agreement to provide further covenant relief.</w:t>
      </w:r>
    </w:p>
    <w:p>
      <w:pPr>
        <w:spacing w:after="0" w:line="14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Furthermore, the Company has applied for and received wage subsidies, tax credits and other financial support under COVID-19 relief legislation that has been enacted in the countries in which it operates. During 2020, the Company recognized $6.4 million in benefits from the Canada Emergency Wage Subsidy (“CEWS”) program and $0.7 million in benefits from the U.S. CARES Act, as reductions to Selling, General and Administrative Expenses ($6.0 million), Costs and Expenses Applicable to Revenues ($1.0 million) and Research and Development ($0.1 million) in the Consolidated Statements of Operations. The CEWS program has been extended to June 2021. The Company will continue to review and apply for additional subsidies and credits for the remaining terms of these programs, where applicable.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3" w:name="page84"/>
    <w:bookmarkEnd w:id="83"/>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In the fourth quarter of 2020, the Company performed its annual goodwill impairment test considering the latest available information and determined that its goodwill was not impaired. As of December 31, 2020, the Company’s total Goodwill was $39.0 million, of which $19.1 million relates to the IMAX Systems reporting unit, $13.5 million relates to the Joint Revenue Sharing Arrangement reporting unit, and $6.4 million relates to the IMAX Maintenance reporting unit. The impairment test was performed on a reporting unit level by comparing each unit’s carrying value, including goodwill, to its fair value. The carrying value of each reporting unit is based on a systematic and rational allocation of certain assets and liabilities. The fair value of each reporting unit is assessed using a discounted cash flow model based on management’s current short-term forecast and estimated long-term projections, against which various sensitivity analyses are performed. The discount rates used in the cash flow model are derived based on the Company’s estimated weighted average cost of capital. These estimates and the likelihood of future changes in these estimates depend on a number of underlying variables and a range of possible outcomes. Actual results may differ materially from management’s estimates, especially due to the uncertainties associated with the COVID-19 pandemic (see Note 3).</w:t>
      </w:r>
    </w:p>
    <w:p>
      <w:pPr>
        <w:spacing w:after="0" w:line="162"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In the fourth quarter of 2020, the Company also updated its recoverability tests of the carrying values of the theater system equipment supporting its joint revenue sharing arrangements, which are recorded within Property, Plant and Equipment. In performing its reviews of recoverability, the Company estimated the undiscounted future cash flows expected to result from the use of the assets. The cash flow estimates used in these tests are consistent with management’s estimated long-term projections, against which various sensitivity analyses were performed. These estimates are highly uncertain due to the COVID-19 global pandemic; therefore, management’s estimated cash flows factor in a number of underlying variables and ranges of possible cash flow scenarios. Actual results may differ materially from management’s estimates, especially due to the uncertainties associated with the COVID-19 pandemic. For the year ended December 31, 2020, the Company recorded impairment losses of $0.3 million related to the theater system equipment supporting its joint revenue sharing arrangements. (See Note 3.)</w:t>
      </w:r>
    </w:p>
    <w:p>
      <w:pPr>
        <w:spacing w:after="0" w:line="147"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In the third quarter of 2020, the Company assessed the recoverability of its deferred tax assets and recorded a $23.7 million valuation allowance to reduce the value of deferred tax assets. The valuation allowance was recorded in the jurisdictions where management could not reliably forecast that future tax liabilities would arise within the next five years, primarily due to the uncertainties around the long-term impact of the COVID-19 global pandemic. In the fourth quarter of 2020, the Company increased the valuation allowance against its deferred tax assets by $4.9 million due to additional losses recorded in the period. The valuation allowance is expected to reverse when the Company determines it is more likely than not that the deferred tax assets in these jurisdictions will be realized. Despite this valuation allowance, the Company remains entitled to benefit from the tax attributes which currently have a valuation allowance applied to them. (See Note 12.)</w:t>
      </w:r>
    </w:p>
    <w:p>
      <w:pPr>
        <w:spacing w:after="0" w:line="144"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If business conditions deteriorate further, or should they remain depressed for a more prolonged period of time, management’s estimates of operating results and future cash flows for the IMAX Systems and Joint Revenue Sharing Arrangements reporting units may be insufficient to support the goodwill assigned to them, thus requiring impairment charges. The Company will continue to evaluate the recoverability of goodwill at the reporting unit level on an annual basis and whenever events or changes in circumstances indicate there may be a potential impairment. In addition, estimates related to future expected credit losses (see Note 5) and the recoverability of deferred tax assets (see Note 12), as well as the recoverability of joint revenue sharing equipment assets and the realization of variable consideration assets, could be further impacted by changes in estimates in the future (see Note 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88"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U.S. GAAP and pursuant to the rules and regulations of the Securities and Exchange Commission. The significant accounting policies used by the Company are summarized below.</w:t>
      </w:r>
    </w:p>
    <w:p>
      <w:pPr>
        <w:spacing w:after="0" w:line="117"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(a)</w:t>
        <w:tab/>
        <w:t>Principles of Consolidation</w:t>
      </w:r>
    </w:p>
    <w:p>
      <w:pPr>
        <w:spacing w:after="0" w:line="18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4" w:name="page85"/>
    <w:bookmarkEnd w:id="84"/>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Note 24(b).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are not material to the Company’s Consolidated Financial Statements. A loss in value of an investment that is other than temporary is recognized as a charge in the Consolidated Statements of Operations.</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2020 and 2019, total assets and liabilities of the Company's consolidated VIEs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4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0"/>
        </w:trPr>
        <w:tc>
          <w:tcPr>
            <w:tcW w:w="47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9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2"/>
        </w:trPr>
        <w:tc>
          <w:tcPr>
            <w:tcW w:w="4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1,543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9,677</w:t>
            </w:r>
          </w:p>
        </w:tc>
      </w:tr>
      <w:tr>
        <w:trPr>
          <w:trHeight w:val="234"/>
        </w:trPr>
        <w:tc>
          <w:tcPr>
            <w:tcW w:w="4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liabilities</w:t>
            </w:r>
            <w:r>
              <w:rPr>
                <w:rFonts w:ascii="Times New Roman" w:cs="Times New Roman" w:eastAsia="Times New Roman" w:hAnsi="Times New Roman"/>
                <w:sz w:val="15"/>
                <w:szCs w:val="15"/>
                <w:color w:val="auto"/>
              </w:rPr>
              <w:t>(1)</w:t>
            </w:r>
          </w:p>
        </w:tc>
        <w:tc>
          <w:tcPr>
            <w:tcW w:w="3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308</w:t>
            </w:r>
          </w:p>
        </w:tc>
      </w:tr>
      <w:tr>
        <w:trPr>
          <w:trHeight w:val="130"/>
        </w:trPr>
        <w:tc>
          <w:tcPr>
            <w:tcW w:w="1520" w:type="dxa"/>
            <w:vAlign w:val="bottom"/>
            <w:tcBorders>
              <w:bottom w:val="single" w:sz="8" w:color="auto"/>
            </w:tcBorders>
          </w:tcPr>
          <w:p>
            <w:pPr>
              <w:spacing w:after="0"/>
              <w:rPr>
                <w:sz w:val="11"/>
                <w:szCs w:val="11"/>
                <w:color w:val="auto"/>
              </w:rPr>
            </w:pPr>
          </w:p>
        </w:tc>
        <w:tc>
          <w:tcPr>
            <w:tcW w:w="32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r>
    </w:tbl>
    <w:p>
      <w:pPr>
        <w:spacing w:after="0" w:line="157" w:lineRule="exact"/>
        <w:rPr>
          <w:sz w:val="20"/>
          <w:szCs w:val="20"/>
          <w:color w:val="auto"/>
        </w:rPr>
      </w:pPr>
    </w:p>
    <w:p>
      <w:pPr>
        <w:ind w:left="380" w:right="20" w:hanging="372"/>
        <w:spacing w:after="0" w:line="281"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comparative amounts have been updated to conform with current year presentation. As a result, total liabilities as of December 31, 2019 have been updated to exclude the non-controlling interest in temporary equity.</w:t>
      </w:r>
    </w:p>
    <w:p>
      <w:pPr>
        <w:spacing w:after="0" w:line="117" w:lineRule="exact"/>
        <w:rPr>
          <w:rFonts w:ascii="Times New Roman" w:cs="Times New Roman" w:eastAsia="Times New Roman" w:hAnsi="Times New Roman"/>
          <w:sz w:val="18"/>
          <w:szCs w:val="18"/>
          <w:color w:val="auto"/>
        </w:rPr>
      </w:pPr>
    </w:p>
    <w:p>
      <w:pPr>
        <w:ind w:left="580" w:hanging="357"/>
        <w:spacing w:after="0"/>
        <w:tabs>
          <w:tab w:leader="none" w:pos="580" w:val="left"/>
        </w:tabs>
        <w:numPr>
          <w:ilvl w:val="1"/>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Estimates and Assumptions</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accordance with U.S. GAAP requires management to make judgments, assumptions, and estimates that affect the amounts reported in the Company’s Consolidated Financial Statements and accompanying notes. Management’s judgments, assumptions, and estimates are based on historical experience, future expectations and other factors that are believed to be reasonable as of the date of the Company’s Consolidated Financial Statements. Actual results may ultimately differ from the Company’s original estimates, as future events and circumstances sometimes do not develop as expected, and the differences may be material.</w:t>
      </w:r>
    </w:p>
    <w:p>
      <w:pPr>
        <w:spacing w:after="0" w:line="158"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Significant estimates made by management include, but are not limited to: (i) the allocation of the transaction price in an IMAX Theater System arrangement to distinct performance obligations; (ii) constraints on the recognition of variable consideration related to sales of IMAX Theater Systems; (iii) expected credit losses on accounts receivable, financing receivables and variable consideration receivables; (iv) provisions for the write-down of excess and obsolete inventory; (v) the fair values of the reporting units used in assessing the recoverability of goodwill; (vi) the cash flow estimates used in testing the recoverability of long-lived assets such as the theater system equipment supporting joint revenue sharing arrangements; (vii) the economic lives of the theater system equipment supporting joint revenue sharing arrangements; (viii) the useful lives of intangible assets; (ix) the ultimate revenue forecasts used to test the recoverability of film assets; (x) the discount rates used to determine the present value of lease liabilities; (xi) pension plan assumptions; (xii) estimates related to the fair value and projected vesting of share-based payment awards; (xiii) the valuation of deferred income tax assets; and (xiv) reserves related to uncertain tax positions.</w:t>
      </w:r>
    </w:p>
    <w:p>
      <w:pPr>
        <w:spacing w:after="0" w:line="147"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(c)</w:t>
        <w:tab/>
        <w:t>Cash and Cash Equivalents</w:t>
      </w:r>
    </w:p>
    <w:p>
      <w:pPr>
        <w:spacing w:after="0" w:line="188"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Company considers all highly liquid investments convertible to a known amount of cash and with an original maturity of three months or less to be cash equivalents.</w:t>
      </w:r>
    </w:p>
    <w:p>
      <w:pPr>
        <w:spacing w:after="0" w:line="117"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(d)</w:t>
        <w:tab/>
        <w:t>Current Expected Credit Losses</w:t>
      </w:r>
    </w:p>
    <w:p>
      <w:pPr>
        <w:spacing w:after="0" w:line="18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In 2016, the Financial Accounting Standards Board (“FASB”) issued ASU No. 2016-13, “Financial Instruments – Credit Losses (Topic 326): Measurement of Credit Losses on Financial Instruments” (“ASC Topic 326”), which amends previously issued guidance regarding the impairment of financial instruments by creating an impairment model that is based on expected losses rather than incurred losses. The standard requires financial assets measured on the amortized cost basis to be presented at the net amount expected to be collected. The Company’s accounts receivable, financing receivables and variable consideration receivables are within the scope of ASU No. 2016-13. The Company adopted ASU No. 2016-13 and several associated ASUs on January 1, 2020 with no required cumulative-effect adjustment to accumulated deficit.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5" w:name="page86"/>
    <w:bookmarkEnd w:id="85"/>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ability of the Company to collect its accounts receivable balances is heavily dependent on the viability and solvency of individual theater operators which is significantly influenced by consumer behavior and general economic conditions. Theater operators and, in certain situations, movie studios, may experience financial difficulties that could cause them to be unable to fulfill their payment obligations to the Company.</w:t>
      </w:r>
    </w:p>
    <w:p>
      <w:pPr>
        <w:spacing w:after="0" w:line="149"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develops its estimate of credit losses by class of receivable and customer type through a calculation that utilizes historical loss rates which are then adjusted for specific receivables that are judged to have a higher than normal risk profile after taking into account management’s internal credit quality classifications, as well as macro-economic and industry risk factors.</w:t>
      </w:r>
    </w:p>
    <w:p>
      <w:pPr>
        <w:spacing w:after="0" w:line="136"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considers financing receivables with an aging between 60-89 days as indications of theaters with potential collection concerns. At this point, the Company will begin to focus its review on these financing receivables and increase its discussions internally and with the theater regarding payment status. Once a theater’s aging exceeds 90 days, the Company’s policy is to perform an enhanced review to assess collectibility of the theater’s past due accounts. The over 90 days past due category may be an indicator of potential impairment as up to 90 days outstanding is considered to be a reasonable time to resolve any issues. Given the impacts of the COVID-19 global pandemic on the Company’s customers, management has enhanced its monitoring procedures with respect to overdue receivables.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Note 5 for more information related to the Company’s receivables and current expected credit losses.)</w:t>
      </w:r>
    </w:p>
    <w:p>
      <w:pPr>
        <w:spacing w:after="0" w:line="193"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Inventories</w:t>
      </w:r>
    </w:p>
    <w:p>
      <w:pPr>
        <w:spacing w:after="0" w:line="18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Inventories are carried at the lower of cost, determined on an average cost basis, and net realizable value except for raw materials, which are carried at the lower of cost and replacement cost. Finished goods and work-in-process includes the cost of raw materials, direct labor, theater design costs, and an applicable share of manufacturing overhead costs.</w:t>
      </w:r>
    </w:p>
    <w:p>
      <w:pPr>
        <w:spacing w:after="0" w:line="136"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costs related to IMAX Theater Systems under sales and sales-type lease arrangements are transferred from Inventories to Costs and Expenses Applicable to Revenues – Technology Sales in the period when the sale is recognized in the Consolidated Statements of Operations. The costs related to IMAX Theater Systems under joint revenue sharing arrangements are transferred from Inventories to assets under construction in Property, Plant and Equipment when allocated to a signed joint revenue sharing arrangement.</w:t>
      </w:r>
    </w:p>
    <w:p>
      <w:pPr>
        <w:spacing w:after="0" w:line="140"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 records write-downs for excess and obsolete inventory based upon management’s judgments regarding future events and business conditions, including the anticipated installation dates for the current backlog of theater system contracts, contracts in negotiation, technological developments, growth prospects within the customers’ ultimate marketplace and anticipated market acceptance of the Company’s current and pending theater systems.</w:t>
      </w:r>
    </w:p>
    <w:p>
      <w:pPr>
        <w:spacing w:after="0" w:line="154"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Finished goods inventories includes IMAX Theater Systems for which title has passed to the Company’s customer in situations when the theater system has been delivered to the customer, but the revenue recognition criteria discussed in Note 3(n) have not been met.</w:t>
      </w:r>
    </w:p>
    <w:p>
      <w:pPr>
        <w:spacing w:after="0" w:line="117" w:lineRule="exact"/>
        <w:rPr>
          <w:sz w:val="20"/>
          <w:szCs w:val="20"/>
          <w:color w:val="auto"/>
        </w:rPr>
      </w:pPr>
    </w:p>
    <w:p>
      <w:pPr>
        <w:ind w:left="580" w:hanging="357"/>
        <w:spacing w:after="0"/>
        <w:tabs>
          <w:tab w:leader="none" w:pos="580"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Film Assets</w:t>
      </w:r>
    </w:p>
    <w:p>
      <w:pPr>
        <w:spacing w:after="0" w:line="18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Costs of producing films, including labor, allocated overhead, and costs of acquiring film rights are recorded as Film Assets. Production financing provided by third parties that acquire substantive rights in the film is recorded as a reduction of the cost of the production. Film assets are amortized and participation costs are accrued using the individual-film-forecast method in the same ratio that current gross revenues bear to current and anticipated future ultimate revenues. Estimates of ultimate revenues are prepared on a title-by-title basis and reviewed regularly by management and revised where necessary to reflect the most current information. Ultimate revenues for films include estimates of revenue over a period not to exceed ten years following the date of initial release.</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Film exploitation costs, including advertising costs, are expensed as incurred.</w:t>
      </w:r>
    </w:p>
    <w:p>
      <w:pPr>
        <w:spacing w:after="0" w:line="197"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Costs, including labor and allocated overhead, of digitally remastering films where the copyright is owned by a third party and the Company shares in the revenue of the third party are included in Film Assets. These costs are amortized using the individual-film-forecast method in the same ratio that current gross revenues bear to current and anticipated future ultimate revenues from the remastered film.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6" w:name="page87"/>
    <w:bookmarkEnd w:id="86"/>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recoverability of the Company’s film assets is dependent upon the commercial acceptance of the underlying films and the resulting level of box office results and, in certain situations, ancillary revenues. If management’s projections of future net cash flows resulting from the exploitation of a film indicate that the carrying value of the film asset is not recoverable, the film asset is written down to its fair value.</w:t>
      </w:r>
    </w:p>
    <w:p>
      <w:pPr>
        <w:spacing w:after="0" w:line="145"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(g)</w:t>
      </w:r>
      <w:r>
        <w:rPr>
          <w:sz w:val="20"/>
          <w:szCs w:val="20"/>
          <w:color w:val="auto"/>
        </w:rPr>
        <w:tab/>
      </w:r>
      <w:r>
        <w:rPr>
          <w:rFonts w:ascii="Times New Roman" w:cs="Times New Roman" w:eastAsia="Times New Roman" w:hAnsi="Times New Roman"/>
          <w:sz w:val="17"/>
          <w:szCs w:val="17"/>
          <w:b w:val="1"/>
          <w:bCs w:val="1"/>
          <w:i w:val="1"/>
          <w:iCs w:val="1"/>
          <w:color w:val="auto"/>
        </w:rPr>
        <w:t>Property, Plant and Equipment</w:t>
      </w:r>
    </w:p>
    <w:p>
      <w:pPr>
        <w:spacing w:after="0" w:line="188"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Property, Plant and Equipment is recorded at cost and is depreciated on a straight-line basis over the estimated useful lives of the underlying assets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Theater system components</w:t>
            </w:r>
            <w:r>
              <w:rPr>
                <w:rFonts w:ascii="Times New Roman" w:cs="Times New Roman" w:eastAsia="Times New Roman" w:hAnsi="Times New Roman"/>
                <w:sz w:val="15"/>
                <w:szCs w:val="15"/>
                <w:color w:val="auto"/>
              </w:rPr>
              <w:t>(1)</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Over the equipment’s anticipated useful life (7 to 20 years)</w:t>
            </w:r>
          </w:p>
        </w:tc>
      </w:tr>
      <w:tr>
        <w:trPr>
          <w:trHeight w:val="215"/>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Camera equipment</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Over a period between 5 to 10 years</w:t>
            </w:r>
          </w:p>
        </w:tc>
      </w:tr>
      <w:tr>
        <w:trPr>
          <w:trHeight w:val="215"/>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Over a period between 20 to 25 years</w:t>
            </w:r>
          </w:p>
        </w:tc>
      </w:tr>
      <w:tr>
        <w:trPr>
          <w:trHeight w:val="215"/>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and product equipment</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Over a period between 3 to 5 years</w:t>
            </w:r>
          </w:p>
        </w:tc>
      </w:tr>
      <w:tr>
        <w:trPr>
          <w:trHeight w:val="215"/>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Over the shorter of the initial term of the underlying leases plus any reasonably assured renewal</w:t>
            </w:r>
          </w:p>
        </w:tc>
      </w:tr>
      <w:tr>
        <w:trPr>
          <w:trHeight w:val="234"/>
        </w:trPr>
        <w:tc>
          <w:tcPr>
            <w:tcW w:w="1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terms, and the useful life of the asset</w:t>
            </w:r>
          </w:p>
        </w:tc>
      </w:tr>
      <w:tr>
        <w:trPr>
          <w:trHeight w:val="135"/>
        </w:trPr>
        <w:tc>
          <w:tcPr>
            <w:tcW w:w="146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7500" w:type="dxa"/>
            <w:vAlign w:val="bottom"/>
          </w:tcPr>
          <w:p>
            <w:pPr>
              <w:spacing w:after="0"/>
              <w:rPr>
                <w:sz w:val="11"/>
                <w:szCs w:val="11"/>
                <w:color w:val="auto"/>
              </w:rPr>
            </w:pPr>
          </w:p>
        </w:tc>
      </w:tr>
    </w:tbl>
    <w:p>
      <w:pPr>
        <w:spacing w:after="0" w:line="23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Includes equipment under joint revenue sharing arrangements.</w:t>
      </w:r>
    </w:p>
    <w:p>
      <w:pPr>
        <w:spacing w:after="0" w:line="184"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Equipment and theater system components allocated to be used in future joint revenue sharing arrangements, as well as related direct labor costs and an allocation of direct production costs, are included in assets under construction until such equipment is installed and in working condition, at which time the equipment is depreciated on a straight-line basis over the lesser of the term of the joint revenue sharing arrangement and the equipment’s anticipated useful life. The estimated useful lives of the equipment and theater system components used in joint revenue sharing arrangements are reviewed periodically to determine if any adjustments are required.</w:t>
      </w:r>
    </w:p>
    <w:p>
      <w:pPr>
        <w:spacing w:after="0" w:line="144"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Property, Plant and Equipment is grouped and reviewed for impairment at the lowest level for which identifiable cash flows are largely independent whenever events or changes in circumstances indicate that the carrying amount of the asset (or asset group) may not be recoverable. In such situations, the asset (or asset group) is considered impaired when estimated future cash flows (undiscounted and 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such assets for impairment include a current expectation that it is more likely than not that the long-lived asset will be sold significantly before the end of its useful life, a significant decrease in the market price of the long-lived asset, and a significant change in the extent or manner in which the long-lived asset is being used.</w:t>
      </w:r>
    </w:p>
    <w:p>
      <w:pPr>
        <w:spacing w:after="0" w:line="158"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A liability for the fair value of an asset retirement obligation associated with the retirement of tangible long-lived assets and the associated asset retirement costs are recognized in the period in which the liability and costs are incurred if a reasonable estimate of fair value can be made using a discounted cash flow model. The associated asset retirement costs are capitalized as part of the carrying amount of the long-lived asset and subsequently amortized over the asset’s useful life. The liability is accreted over the period to expected cash outflows.</w:t>
      </w:r>
    </w:p>
    <w:p>
      <w:pPr>
        <w:spacing w:after="0" w:line="136"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(h)</w:t>
      </w:r>
      <w:r>
        <w:rPr>
          <w:sz w:val="20"/>
          <w:szCs w:val="20"/>
          <w:color w:val="auto"/>
        </w:rPr>
        <w:tab/>
      </w:r>
      <w:r>
        <w:rPr>
          <w:rFonts w:ascii="Times New Roman" w:cs="Times New Roman" w:eastAsia="Times New Roman" w:hAnsi="Times New Roman"/>
          <w:sz w:val="17"/>
          <w:szCs w:val="17"/>
          <w:b w:val="1"/>
          <w:bCs w:val="1"/>
          <w:i w:val="1"/>
          <w:iCs w:val="1"/>
          <w:color w:val="auto"/>
        </w:rPr>
        <w:t>Investment in Equity Securities</w:t>
      </w:r>
    </w:p>
    <w:p>
      <w:pPr>
        <w:spacing w:after="0" w:line="188"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Equity securities with readily determinable fair values are reported at fair value with changes in fair value recorded within Gain (Loss) in Fair Value of Investments in the Consolidated Statements of Operations.</w:t>
      </w:r>
    </w:p>
    <w:p>
      <w:pPr>
        <w:spacing w:after="0" w:line="117" w:lineRule="exact"/>
        <w:rPr>
          <w:sz w:val="20"/>
          <w:szCs w:val="20"/>
          <w:color w:val="auto"/>
        </w:rPr>
      </w:pPr>
    </w:p>
    <w:p>
      <w:pPr>
        <w:ind w:left="580" w:hanging="357"/>
        <w:spacing w:after="0"/>
        <w:tabs>
          <w:tab w:leader="none" w:pos="580" w:val="left"/>
        </w:tabs>
        <w:numPr>
          <w:ilvl w:val="0"/>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Assets</w:t>
      </w:r>
    </w:p>
    <w:p>
      <w:pPr>
        <w:spacing w:after="0" w:line="188"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Other assets include lease incentives provided to theater customers, sales commissions and other deferred selling expenses that are direct and incremental to the acquisition of sales contracts, various investments, and foreign currency derivatives.</w:t>
      </w:r>
    </w:p>
    <w:p>
      <w:pPr>
        <w:spacing w:after="0" w:line="135"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may provide lease incentives to certain exhibitors which are essential to entering into the respective lease arrangement. Lease incentives include payments made to or on behalf of the exhibitor. These lease incentives are recognized as a reduction in rental revenue on a straight-line basis over the term of the lease.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7" w:name="page88"/>
    <w:bookmarkEnd w:id="87"/>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Sales commissions and other selling expenses paid prior to the recognition of the related revenue are deferred and recognized within Costs and Expenses Applicable to Revenues upon the recognition of the related theater system revenue or the abandonment of the sale arrangement.</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Foreign currency derivatives are accounted for at fair value using quoted prices in closed exchanges.</w:t>
      </w:r>
    </w:p>
    <w:p>
      <w:pPr>
        <w:spacing w:after="0" w:line="184"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In periods when there are no outstanding borrowings under the Company’s revolving credit facility arrangements, any related debt issuance costs are recorded within Other Assets and amortized on a straight-line basis over the term of the facility. In periods when there are outstanding borrowings under the Company’s revolving credit facility arrangements, any related debt issuance costs are reclassified to reduce the principal amount of outstanding borrowings and amortized on a straight-line basis over the term of the facility. (See Note 14 for information related to the Company’s credit facilities.)</w:t>
      </w:r>
    </w:p>
    <w:p>
      <w:pPr>
        <w:spacing w:after="0" w:line="136" w:lineRule="exact"/>
        <w:rPr>
          <w:sz w:val="20"/>
          <w:szCs w:val="20"/>
          <w:color w:val="auto"/>
        </w:rPr>
      </w:pPr>
    </w:p>
    <w:p>
      <w:pPr>
        <w:ind w:left="580" w:hanging="357"/>
        <w:spacing w:after="0"/>
        <w:tabs>
          <w:tab w:leader="none" w:pos="58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w:t>
      </w:r>
    </w:p>
    <w:p>
      <w:pPr>
        <w:spacing w:after="0" w:line="188"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fair value of net assets acquired in a business combination. Goodwill is not amortized, but is tested annually for impairment at the reporting unit level in the fourth quarter of the year and between annual tests if indicators of potential impairment exist. These indicators could include a decline in the Company’s stock price and market capitalization, a significant change in the outlook for the reporting unit's business, lower than expected operating results, increased competition, legal factors, or the sale or disposition of a significant portion of a reporting unit. For reporting units with goodwill, an impairment loss is recognized for the amount by which the reporting unit's carrying value, including goodwill, exceeds its fair value. The carrying value of each reporting unit is based on a systematic and rational allocation of certain assets and liabilities. The fair value of each reporting unit is assessed using a discounted cash flow model based on management’s current short-term forecast and estimated long-term projections, against which various sensitivity analyses are performed. The discount rates used in the cash flow model are derived based on the Company’s estimated weighted average cost of capital. These estimates and the likelihood of future changes in these estimates depend on a number of underlying variables and a range of possible outcomes.</w:t>
      </w:r>
    </w:p>
    <w:p>
      <w:pPr>
        <w:spacing w:after="0" w:line="158"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(k)</w:t>
        <w:tab/>
        <w:t>Other Intangible Assets</w:t>
      </w:r>
    </w:p>
    <w:p>
      <w:pPr>
        <w:spacing w:after="0" w:line="18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Patents, trademarks and other intangible assets are recorded at cost and are amortized on a straight-line basis over estimated useful lives ranging from 4 to 10 years except for intangible assets that have an identifiable pattern of consumption of the economic benefit of the asset. Such intangible assets are amortized over the consumption pattern.</w:t>
      </w:r>
    </w:p>
    <w:p>
      <w:pPr>
        <w:spacing w:after="0" w:line="136"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Intangible Assets are grouped and reviewed for impairment at the lowest level for which identifiable cash flows are largely independent whenever events or changes in circumstances indicate that the carrying amount of the asset (or asset group) may not be recoverable. In such situations, the asset (or asset group) is considered impaired when estimated future cash flows (undiscounted and 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intangible assets for impairment include a current expectation that it is more likely than not that the intangible asset will be sold significantly before the end of its useful life, a significant decrease in the market price of the intangible asset, and a significant change in the extent or manner in which the intangible asset is being used.</w:t>
      </w:r>
    </w:p>
    <w:p>
      <w:pPr>
        <w:spacing w:after="0" w:line="140" w:lineRule="exact"/>
        <w:rPr>
          <w:sz w:val="20"/>
          <w:szCs w:val="20"/>
          <w:color w:val="auto"/>
        </w:rPr>
      </w:pPr>
    </w:p>
    <w:p>
      <w:pPr>
        <w:ind w:left="580" w:hanging="357"/>
        <w:spacing w:after="0"/>
        <w:tabs>
          <w:tab w:leader="none" w:pos="58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Revenue</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In instances where the Company receives consideration prior to satisfying its performance obligations, the recognition of revenue is deferred. The majority of the Deferred Revenue balance relates to payments received by the Company for IMAX Theater Systems where control of the system has not transferred to the customer. The Deferred Revenue balance related to an individual theater increases as progress payments are made and is then derecognized when control of the system is transferred to the customer. To a lesser extent, the Deferred Revenue balance relates to situations when a theater customer pays the contractual maintenance fee prior to the recognition of revenue.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8" w:name="page89"/>
    <w:bookmarkEnd w:id="88"/>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 Income Taxes</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Income taxes are accounted for under the liability method whereby deferred income tax assets and liabilities are recognized for the expected future tax consequences of temporary differences between the accounting and tax bases of assets and liabilities. Deferred income tax assets and liabilities are measured using enacted tax rates expected to apply to taxable income in the years in which temporary differences are expected to be recovered or settled. The effect on deferred income tax assets and liabilities of a change in tax rates or laws is recognized in the Company’s Consolidated Statements of Operations in the period in which the change is enacted. Investment tax credits are recognized as a reduction of income tax expense.</w:t>
      </w:r>
    </w:p>
    <w:p>
      <w:pPr>
        <w:spacing w:after="0" w:line="158"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The Company assesses the realization of deferred income tax assets and, based on all available evidence, concludes whether it is more likely than not that the net deferred income tax assets will be realized. A valuation allowance is provided for the amount of deferred income tax assets not considered to be realizable. In assessing the need for a valuation allowance, management considers, among other things, projections of future taxable income and ongoing prudent and feasible tax planning strategies. If management determines that sufficient negative evidence exists (for example, if the Company experiences cumulative three-year losses in a certain jurisdiction), then management will consider recording a valuation allowance against a portion or all of the deferred tax assets in that jurisdiction. If, after recording a valuation allowance, management’s projections of future taxable income and other positive evidence considered in evaluating the need for a valuation allowance prove, with the benefit of hindsight, to be inaccurate, it could prove more difficult to support the realization of these deferred tax assets. As a result, an additional valuation allowance could be required, which would have an adverse impact on the Company’s effective income tax rate and results. Conversely, if, after recording a valuation allowance, management determines that sufficient positive evidence exists in the jurisdiction in which a valuation allowance is recorded (for example, if the Company is no longer in a three-year cumulative loss position in the jurisdiction, and management expects to have future taxable income in that jurisdiction based upon management’s forecasts and the expected timing of deferred tax asset reversals), the Company may reverse a portion or all of the valuation allowance in that jurisdiction. In such situations, the adjustment made to the deferred tax asset would have a favorable impact on the Company’s effective income tax rate and results in the period such determination was made.</w:t>
      </w:r>
    </w:p>
    <w:p>
      <w:pPr>
        <w:spacing w:after="0" w:line="14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Company is subject to ongoing tax exposures, examinations and assessments in various jurisdictions. Tax benefits are recognized only when it is more likely than not, based on the technical merits, that the benefits will be sustained on examination. Tax benefits that meet the more-likely-than-not recognition threshold are measured using a probability weighting of the largest amount of tax benefit that has greater than 50% likelihood of being realized upon settlement. Whether the more-likely-than-not recognition threshold is met for a particular tax benefit is a matter of judgment based on the individual facts and circumstances evaluated in light of all available evidence as of the balance sheet date. Although management believes that the Company has adequately accounted for its uncertain tax positions, tax audits can result in subsequent assessments where the ultimate resolution may result in the Company owing additional taxes above what was originally recognized in its financial statements.</w:t>
      </w:r>
    </w:p>
    <w:p>
      <w:pPr>
        <w:spacing w:after="0" w:line="144"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Tax reserves for uncertain tax positions are adjusted by the Company to reflect its best estimate of the outcome of examinations and assessments and in light of changing facts and circumstances, such as the completion of a tax audit, expiration of a statute of limitations, the refinement of an estimate, and interest accruals associated with the uncertain tax positions until they are resolved. Some of these adjustments require significant judgment in estimating the timing and amount of the additional tax expense.</w:t>
      </w:r>
    </w:p>
    <w:p>
      <w:pPr>
        <w:spacing w:after="0" w:line="150"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(n)</w:t>
      </w:r>
      <w:r>
        <w:rPr>
          <w:sz w:val="20"/>
          <w:szCs w:val="20"/>
          <w:color w:val="auto"/>
        </w:rPr>
        <w:tab/>
      </w:r>
      <w:r>
        <w:rPr>
          <w:rFonts w:ascii="Times New Roman" w:cs="Times New Roman" w:eastAsia="Times New Roman" w:hAnsi="Times New Roman"/>
          <w:sz w:val="17"/>
          <w:szCs w:val="17"/>
          <w:b w:val="1"/>
          <w:bCs w:val="1"/>
          <w:i w:val="1"/>
          <w:iCs w:val="1"/>
          <w:color w:val="auto"/>
        </w:rPr>
        <w:t>Revenue Recognition</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IMAX Theater Systems</w:t>
      </w:r>
    </w:p>
    <w:p>
      <w:pPr>
        <w:spacing w:after="0" w:line="186"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evaluates each of the performance obligations in an IMAX Theater System arrangement to determine which are considered distinct, either individually or in a group, for accounting purposes and which of the deliverables represent separate units of accounting based on the applicable accounting guidance in ASC Topic 606, “Revenue from Contracts with Customers,” ASC Topic 842, “Leases,” and ASC Topic 460, “Guarantees”.</w:t>
      </w:r>
    </w:p>
    <w:p>
      <w:pPr>
        <w:spacing w:after="0" w:line="136"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Company’s “System Obligation” consists of the following: (i) an IMAX Theater System, which includes the projector, sound system, screen system and, if applicable, a 3D glasses cleaning machine; (ii) services associated with the IMAX Theater System, including theater design support, the supervision of installation services, and projectionist training; and (iii) a license to use the IMAX brand to market the theater. The System Obligation, as a group, is a distinct performance obligation and a single unit of accounting. The Company is not responsible for the physical installation of the equipment in the customer’s facility; however, it supervises the installation by the customer. The customer has the right to use the IMAX brand from the date the Company and the customer enter into an arrangement.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IMAX Theater System arrangements also include a requirement for the Company to provide maintenance services over the life of the arrangement in exchange for an extended warranty and annual maintenance fee, which is subject to a consumer price index increase on renewal each year. Consideration related to the provision of maintenance services is included in the allocation of the transaction price to the separate performance obligations in the arrangement at contract inception, as discussed in more detail below. The Company’s maintenance services are a stand ready obligation and, as a result, are recognized on a straight-line basis over the contract term.</w:t>
      </w:r>
    </w:p>
    <w:p>
      <w:pPr>
        <w:spacing w:after="0" w:line="15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transaction price in an IMAX Theater System arrangement is allocated to each good or service that is identified as a separate performance obligation based on estimated standalone selling prices. This allocation is based on observable prices when the Company sells the good or service separately. The Company has established standalone prices for the System Obligation and maintenance and extended warranty services, as well as for film license arrangements. The Company uses an adjusted market assessment approach for separate performance obligations that do not have standalone selling prices or third-party evidence of estimated standalone selling prices. The Company considers multiple factors including its historical pricing practices, product class, market competition and geography.</w:t>
      </w:r>
    </w:p>
    <w:p>
      <w:pPr>
        <w:spacing w:after="0" w:line="143"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IMAX Theater System arrangements involve either the lease or the sale of an IMAX Theater System. The transaction price for the System Obligation, other than for those delivered pursuant to joint revenue sharing arrangements, consist of upfront or initial payments made before and after the final installation of the IMAX Theater System and ongoing payments throughout the term of the arrangement. The Company estimates the transaction price, including an estimate of future variable consideration, received in exchange for the goods delivered or services rendered. The arrangement for the sale of an IMAX Theater System includes indexed minimum payment increases over the term of the arrangement, as well as the potential for additional payments owed by the customer if certain minimum box office receipt thresholds are exceeded. In addition, hybrid sales arrangements include amounts owed by the customer based on a percentage of their box office receipts over the term of the arrangement. These contract provisions are considered to be variable consideration under ASC Topic 606. An estimate of the present value of such variable consideration is recognized as revenue upon the transfer of control of the System Obligation to the customer, subject to constraints to ensure that there is not a risk of significant revenue reversal. This estimate is based on management’s box office projections for the individual theater, which are developed using historical data for the theater and, if necessary, comparable theaters and territories. Transfer of control of the System Obligation occurs at the earlier of client acceptance of the installation of the IMAX Theater System, including projectionist training, and the opening of the theater to the public, as discussed in more detail below.</w:t>
      </w:r>
    </w:p>
    <w:p>
      <w:pPr>
        <w:spacing w:after="0" w:line="153"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IMAX Theater System arrangements are non-cancellable, unless the Company fails to perform its obligations. In the absence of a material default by the Company, there is no right to any remedy for the customer under the Company’s arrangements. If a material default by the Company exists, the customer has the right to terminate the arrangement and seek a refund only if the customer provides notice to the Company of a material default and only if the Company does not cure the default within a specified period.</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Sales Arrangements</w:t>
      </w:r>
    </w:p>
    <w:p>
      <w:pPr>
        <w:spacing w:after="0" w:line="186"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For IMAX Theater System arrangements that qualify as a sale, the transaction price allocated to the System Obligation is recognized in the Consolidated Statements of Operations upon the transfer of control of the system to the customer, which is when all of the following conditions have been met: (i) the projector, sound system and screen system have been installed and are in full working condition, (ii) the 3D glasses cleaning machine, if applicable, has been delivered, (iii) projectionist training has been completed and (iv) the earlier of (a) receipt of written customer acceptance certifying the completion of installation and run-in testing of the equipment and the completion of projectionist training or (b) public opening of the theater.</w:t>
      </w:r>
    </w:p>
    <w:p>
      <w:pPr>
        <w:spacing w:after="0" w:line="144"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initial revenue recognized consists of payments made before and in connection with installation of the IMAX Theater System and the present value of any future payments, including ongoing fixed minimum payments, which are subject to indexed increases over the term of the arrangement, and the potential for additional payments owed by the customer if certain minimum box office receipt thresholds are exceeded. In addition, hybrid sales arrangements include amounts owed by the customer based on a percentage of their box office receipts over the term of the arrangement. These contract provisions are considered to be variable consideration under ASC Topic 606. An estimate of the present value of such variable consideration is recognized as revenue upon the transfer of control of the System Obligation to the customer, subject to constraints to ensure that there is not a risk of significant revenue reversal.</w:t>
      </w:r>
    </w:p>
    <w:p>
      <w:pPr>
        <w:spacing w:after="0" w:line="158"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Company has also agreed, on occasion, to sell equipment under lease or at the end of a lease term. The transaction price agreed to for these lease buyouts is reflected in the Company’s Consolidated Statements of Operations within Revenues – Technology Sales.</w:t>
      </w:r>
    </w:p>
    <w:p>
      <w:pPr>
        <w:spacing w:after="0" w:line="121"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Taxes assessed by governmental authorities that are both imposed on and concurrent with the specific revenue-producing transactions and collected by the Company have been excluded from the measurement of the transaction prices discussed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color w:val="auto"/>
        </w:rPr>
        <w:t>Constraints on the Recognition of Variable Consideration</w:t>
      </w:r>
    </w:p>
    <w:p>
      <w:pPr>
        <w:spacing w:after="0" w:line="199"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recognition of variable consideration involves a significant amount of judgment. Variable consideration is recognized subject to appropriate constraints to avoid a significant reversal of revenue in future periods. The Company reviews its variable consideration assets on at least a quarterly basis. ASC Topic 606 identifies several examples of situations when constraining variable consideration is appropriate:</w:t>
      </w:r>
    </w:p>
    <w:p>
      <w:pPr>
        <w:spacing w:after="0" w:line="136" w:lineRule="exact"/>
        <w:rPr>
          <w:sz w:val="20"/>
          <w:szCs w:val="20"/>
          <w:color w:val="auto"/>
        </w:rPr>
      </w:pPr>
    </w:p>
    <w:p>
      <w:pPr>
        <w:ind w:left="660" w:hanging="437"/>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consideration is highly susceptible to factors outside the entity’s influence;</w:t>
      </w:r>
    </w:p>
    <w:p>
      <w:pPr>
        <w:spacing w:after="0" w:line="224" w:lineRule="exact"/>
        <w:rPr>
          <w:rFonts w:ascii="Times New Roman" w:cs="Times New Roman" w:eastAsia="Times New Roman" w:hAnsi="Times New Roman"/>
          <w:sz w:val="18"/>
          <w:szCs w:val="18"/>
          <w:color w:val="auto"/>
        </w:rPr>
      </w:pPr>
    </w:p>
    <w:p>
      <w:pPr>
        <w:ind w:left="660" w:hanging="437"/>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about the amount of consideration is not expected to be resolved for a long period of time;</w:t>
      </w:r>
    </w:p>
    <w:p>
      <w:pPr>
        <w:spacing w:after="0" w:line="224" w:lineRule="exact"/>
        <w:rPr>
          <w:rFonts w:ascii="Times New Roman" w:cs="Times New Roman" w:eastAsia="Times New Roman" w:hAnsi="Times New Roman"/>
          <w:sz w:val="18"/>
          <w:szCs w:val="18"/>
          <w:color w:val="auto"/>
        </w:rPr>
      </w:pPr>
    </w:p>
    <w:p>
      <w:pPr>
        <w:ind w:left="660" w:hanging="437"/>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experience (or other evidence) with similar types of contracts is limited, or that experience has limited predictive value; and</w:t>
      </w:r>
    </w:p>
    <w:p>
      <w:pPr>
        <w:spacing w:after="0" w:line="223" w:lineRule="exact"/>
        <w:rPr>
          <w:rFonts w:ascii="Times New Roman" w:cs="Times New Roman" w:eastAsia="Times New Roman" w:hAnsi="Times New Roman"/>
          <w:sz w:val="18"/>
          <w:szCs w:val="18"/>
          <w:color w:val="auto"/>
        </w:rPr>
      </w:pPr>
    </w:p>
    <w:p>
      <w:pPr>
        <w:ind w:left="660" w:hanging="437"/>
        <w:spacing w:after="0" w:line="281"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has a practice of either offering a broad range of price concessions or changing the payment terms and conditions of similar contracts in similar circumstances.</w:t>
      </w:r>
    </w:p>
    <w:p>
      <w:pPr>
        <w:spacing w:after="0" w:line="121"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As discussed above, the Company’s significant streams of variable consideration relate to arrangements for the sale of IMAX Theater Systems which include indexed minimum payment increases over the term of the arrangement, as well as the potential for additional payments owed by the customer if certain minimum box office receipt thresholds are exceeded. In addition, hybrid sales arrangements include variable consideration based on a percentage of the customer’s box office receipts over the term of the arrangement.</w:t>
      </w:r>
    </w:p>
    <w:p>
      <w:pPr>
        <w:spacing w:after="0" w:line="140"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Variable consideration related to indexed minimum payment increases is outside of the Company’s control, but the movement in the rates is historically well documented and economic trends in inflation are easily accessible. For each contract subject to an indexed minimum payment increase, the Company estimates the most likely amount using published indices. The amount of the estimated minimum payment increase is then recorded at its present value as of the date of recognition using the customer’s implied borrowing rate.</w:t>
      </w:r>
    </w:p>
    <w:p>
      <w:pPr>
        <w:spacing w:after="0" w:line="154"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Variable consideration related to the level of the customer’s box office receipts is outside of the Company’s control as it is dependent upon the commercial success of film content in future periods. The Company tracks numerous performance statistics for box office performance in regions worldwide and applies its understanding of these theater markets to estimate the most likely amount of variable consideration to be earned over the term of the arrangement. The Company then applies a constraint to this estimate by reducing the projection by a percentage factor for theaters or markets with no or limited historical box office experience. In cases where direct historical experience can be observed, average experience, eliminating significant outliers, is used. The resulting amount of variable consideration is then recorded at its present value as of the date of recognition using a risk-weighted discount rate.</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Lease Arrangements</w:t>
      </w:r>
    </w:p>
    <w:p>
      <w:pPr>
        <w:spacing w:after="0" w:line="186"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As a lessor, the Company provides IMAX Theater Systems to customers through long-term lease arrangements. Under these arrangements, in exchange for providing the IMAX Theater System, the Company earns fixed upfront and ongoing consideration. A lease arrangement that transfers substantially all of the benefits and risks incident to ownership of the IMAX Theater System is classified as a sales-type lease; otherwise the lease is classified as an operating lease. Prior to commencement of the lease term for the IMAX Theater System, the Company may modify certain payment terms or make concessions. If these circumstances occur, the Company reassesses the classification of the lease based on the modified terms and conditions.</w:t>
      </w:r>
    </w:p>
    <w:p>
      <w:pPr>
        <w:spacing w:after="0" w:line="158"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For sales-type leases, the revenue allocated to the System Obligation is recognized when the lease term commences, which the Company deems to be when all of the following conditions have been met: (i) the projector, sound system and screen system have been installed and are in full working condition;</w:t>
      </w:r>
    </w:p>
    <w:p>
      <w:pPr>
        <w:spacing w:after="0" w:line="1" w:lineRule="exact"/>
        <w:rPr>
          <w:sz w:val="20"/>
          <w:szCs w:val="20"/>
          <w:color w:val="auto"/>
        </w:rPr>
      </w:pPr>
    </w:p>
    <w:p>
      <w:pPr>
        <w:jc w:val="both"/>
        <w:ind w:firstLine="8"/>
        <w:spacing w:after="0" w:line="249" w:lineRule="auto"/>
        <w:tabs>
          <w:tab w:leader="none" w:pos="2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3D glasses cleaning machine, if applicable, has been delivered; (iii) projectionist training has been completed; and (iv) the earlier of (a) receipt of the written customer acceptance certifying the completion of installation and run-in testing of the equipment and the completion of projectionist training or</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opening of the theater, provided collectibility is reasonably assured.</w:t>
      </w:r>
    </w:p>
    <w:p>
      <w:pPr>
        <w:spacing w:after="0" w:line="165"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initial revenue recognized for sales-type leases consists of the initial payments received and the present value of future initial payments and fixed minimum ongoing payments computed at the interest rate implicit in the lease. Contingent payments in excess of the fixed minimum payments are recognized when reported by theater operators, provided collectibility is reasonably assured.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91" w:name="page92"/>
    <w:bookmarkEnd w:id="91"/>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For joint revenue sharing arrangements that are classified as operating leases, initial payments and fixed minimum ongoing payments are recognized as revenue on a straight-line basis over the lease term. For these leases, the lease term is considered to commence when all of the following conditions have been met: (i) the projector, sound system and screen system have been installed and are in full working condition; (ii) the 3D glasses cleaning machine, if applicable, has been delivered; (iii) projectionist training has been completed; and (iv) the earlier of (a) receipt of written customer acceptance certifying the completion of installation and run-in testing of the equipment and the completion of projectionist training or (b) public opening of the theater. Contingent payments in excess of fixed minimum ongoing payments are recognized as revenue when reported by theater operators, provided collectibility is reasonably assured.</w:t>
      </w:r>
    </w:p>
    <w:p>
      <w:pPr>
        <w:spacing w:after="0" w:line="15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Revenues from joint revenue sharing arrangements with upfront payments that qualify for classification as sales-type leases are recognized in accordance with the sales-type lease criteria discussed above. Contingent revenues from joint revenue sharing arrangements are recognized as box-office results and concessions revenues are reported by the theater operator, provided collectibility is reasonably assured.</w:t>
      </w:r>
    </w:p>
    <w:p>
      <w:pPr>
        <w:spacing w:after="0" w:line="136"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On April 10, 2020, the FASB staff issued a question-and-answer document to address stakeholder questions on the application of the lease accounting guidance for lease concessions related to the effects of the COVID-19 pandemic. The guidance allows concessions related to the timing of payments, where the total consideration has not changed, to not be accounted for as lease modifications. Instead, any such concessions can be accounted for as if no change was made to the contract or as variable lease payments. Entities do not have to adopt the FASB relief guidance for all lease concessions related to the effects of the COVID-19 pandemic and can choose to apply the FASB relief guidance consistently to leases with similar characteristics and in similar circumstances and should apply reasonable judgment in doing so. In the second quarter of 2020, the Company adopted the FASB relief guidance and elected to account for any such lease concessions as if no change was made to the underlying contracts except for the sales-type leases of which IMAX China is a lessor as they are in different economic environments. The lease concessions for these sales-type leases were accounted for in accordance with the lease modification guidance, which did not have a material effect on the Company’s Consolidated Financial Statements. The adoption of the FASB relief guidance did not have a material effect on the Company’s Consolidated Financial Statements.</w:t>
      </w:r>
    </w:p>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Finance Income</w:t>
      </w:r>
    </w:p>
    <w:p>
      <w:pPr>
        <w:spacing w:after="0" w:line="199"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Finance Income is recognized over the term of the sales-type lease or financed sale receivable, provided collectibility is reasonably assured. A theater operator that is classified within the “All Transactions Suspended” category under the Company’s internal credit quality guidelines is placed on nonaccrual status and Finance Revenue recognition related to the theater is stopped. While the recognition of Finance Income is suspended, payments received from a customer are applied against the outstanding balance owed. If payments are sufficient to cover any unreserved receivables, a recovery of provision taken on the billed amount, if applicable, is recorded to the extent of the residual cash received. Once the collectibility issues are resolved and the customer has returned to being in good standing, the Company will resume recognition of Finance Income.</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Improvements and Modifications</w:t>
      </w:r>
    </w:p>
    <w:p>
      <w:pPr>
        <w:spacing w:after="0" w:line="186"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Improvements and modifications to an IMAX Theater System after installation are treated as a separate performance obligation, if and when the Company is requested to perform these services. Revenue is recognized for these services once they have been provided.</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Cost and Expenses Applicable to Revenues – Technology Sales</w:t>
      </w:r>
    </w:p>
    <w:p>
      <w:pPr>
        <w:spacing w:after="0" w:line="186"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Cost and Expenses Applicable to Revenues – Technology Sales relates to sales and sales-type leases of IMAX Theater Systems and other equipment, and includes the cost of the equipment and costs related to project management, design, delivery and installation supervision services, as applicable. The costs related to IMAX Theater Systems under sales and sales-type lease arrangements are transferred from Inventories to Costs and Expenses Applicable to Revenues – Technology Sales in the period when the sale is recognized in the Consolidated Statements of Operations.</w:t>
      </w:r>
    </w:p>
    <w:p>
      <w:pPr>
        <w:spacing w:after="0" w:line="140"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In addition, the Company defers direct selling costs such as sales commissions and other amounts related to these contracts until the related revenue is recognized. The Company may have warranty obligations at or after the time revenue is recognized which require the replacement of certain parts that do not affect the functionality of the theater system or services. The costs for warranty obligations for known issues are accrued as charges to Costs and Expenses Applicable to Revenues – Technology Sales at the time revenue is recognized based on the Company’s past historical experience and cost estimates.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2" w:name="page93"/>
    <w:bookmarkEnd w:id="92"/>
    <w:p>
      <w:pPr>
        <w:ind w:left="240"/>
        <w:spacing w:after="0"/>
        <w:rPr>
          <w:sz w:val="20"/>
          <w:szCs w:val="20"/>
          <w:color w:val="auto"/>
        </w:rPr>
      </w:pPr>
      <w:r>
        <w:rPr>
          <w:rFonts w:ascii="Times New Roman" w:cs="Times New Roman" w:eastAsia="Times New Roman" w:hAnsi="Times New Roman"/>
          <w:sz w:val="18"/>
          <w:szCs w:val="18"/>
          <w:i w:val="1"/>
          <w:iCs w:val="1"/>
          <w:color w:val="auto"/>
        </w:rPr>
        <w:t>Cost and Expenses Applicable to Revenues – Technology Rentals</w:t>
      </w:r>
    </w:p>
    <w:p>
      <w:pPr>
        <w:spacing w:after="0" w:line="199"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Cost and Expenses Applicable to Revenues – Technology Rentals relates to operating leases of IMAX Theater Systems under joint revenue sharing arrangements, and includes the cost of equipment and those costs that result directly from and are essential to the arrangement. Depreciation and impairment losses, if any, are included in Cost and Expenses Applicable to Revenues – Technology Rentals based on the accounting policy set out in Note 3(g). Sales commissions related to these arrangements are deferred and recognized as Costs and Expenses Applicable to Revenues – Technology Rentals in the month they are earned by the salesperson, which is typically the month of installation. Direct advertising and marketing costs for each theater are charged to Costs and Expenses Applicable to Revenues – Technology Rentals as incurred.</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Terminations, Consensual Buyouts and Concessions</w:t>
      </w:r>
    </w:p>
    <w:p>
      <w:pPr>
        <w:spacing w:after="0" w:line="186"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Company enters into IMAX Theater System arrangements with customers that contain customer payment obligations prior to the scheduled installation of the theater system. During the period of time between signing and the installation of the IMAX Theater System, which may extend several years, certain customers may be unable to, or may elect not to, proceed with the theater system installation for a number of reasons including business considerations, or the inability to obtain certain consents, approvals or financing. Once the determination is made that the customer will not proceed with installation, the arrangement may be terminated under the default provisions of the arrangement or by mutual agreement between the Company and the customer (a “consensual buyout”). Terminations by default are situations when a customer does not meet the payment obligations under an arrangement and the Company retains the amounts paid by the customer. Under a consensual buyout, the Company and the customer agree, in writing, to a settlement and to release each other of any further obligations under the arrangement or an arbitrated settlement is reached. Any initial payments retained or additional payments received by the Company are recognized as revenue when the settlement arrangements are executed and the cash is received, respectively.</w:t>
      </w:r>
    </w:p>
    <w:p>
      <w:pPr>
        <w:spacing w:after="0" w:line="164"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addition, the Company could agree with customers to convert their obligations for other theater system configurations that have not yet been installed to arrangements to acquire or lease a digital IMAX Theater System. The Company considers these situations to be a termination of the previous arrangement and origination of a new arrangement for the digital IMAX Theater System.</w:t>
      </w:r>
    </w:p>
    <w:p>
      <w:pPr>
        <w:spacing w:after="0" w:line="136"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 may offer certain incentives to customers to complete IMAX Theater System transactions including payment concessions or free services and products such as film licenses or 3D glasses. Reductions in, and deferral of, payments are taken into account in determining the transaction price either by a direct reduction in the sales price or a reduction of payments to be discounted. Free products and services are accounted for as separate units of accounting.</w:t>
      </w:r>
    </w:p>
    <w:p>
      <w:pPr>
        <w:spacing w:after="0" w:line="1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Maintenance and Extended Warranty Services</w:t>
      </w:r>
    </w:p>
    <w:p>
      <w:pPr>
        <w:spacing w:after="0" w:line="199" w:lineRule="exact"/>
        <w:rPr>
          <w:sz w:val="20"/>
          <w:szCs w:val="20"/>
          <w:color w:val="auto"/>
        </w:rPr>
      </w:pPr>
    </w:p>
    <w:p>
      <w:pPr>
        <w:jc w:val="both"/>
        <w:ind w:firstLine="224"/>
        <w:spacing w:after="0" w:line="275" w:lineRule="auto"/>
        <w:rPr>
          <w:sz w:val="20"/>
          <w:szCs w:val="20"/>
          <w:color w:val="auto"/>
        </w:rPr>
      </w:pPr>
      <w:r>
        <w:rPr>
          <w:rFonts w:ascii="Times New Roman" w:cs="Times New Roman" w:eastAsia="Times New Roman" w:hAnsi="Times New Roman"/>
          <w:sz w:val="17"/>
          <w:szCs w:val="17"/>
          <w:color w:val="auto"/>
        </w:rPr>
        <w:t>Maintenance and extended warranty services may be provided under an arrangement with multiple performance obligations or as a separately priced contract. Revenues related to these services are deferred and recognized on a straight-line basis over the contract period and are recognized within Revenues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Image Enhancement and Maintenance Services in the Consolidated Statements of Operations. Maintenance and extended warranty services includes maintenance of the customer’s equipment and replacement parts. Under certain maintenance arrangements, maintenance services may include additional training services to the customer’s technicians. All costs associated with this maintenance and extended warranty program are expensed as incurred. A loss on maintenance and extended warranty services is recognized if the expected cost of providing the services under the contracts exceeds the related deferred revenue. As the maintenance services are a stand ready obligation with the cost of providing the service expected to increase throughout the term, revenue is recognized over the term of the arrangement such that increased amounts are recognized in later periods.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93" w:name="page94"/>
    <w:bookmarkEnd w:id="93"/>
    <w:p>
      <w:pPr>
        <w:ind w:left="240"/>
        <w:spacing w:after="0"/>
        <w:rPr>
          <w:sz w:val="20"/>
          <w:szCs w:val="20"/>
          <w:color w:val="auto"/>
        </w:rPr>
      </w:pPr>
      <w:r>
        <w:rPr>
          <w:rFonts w:ascii="Times New Roman" w:cs="Times New Roman" w:eastAsia="Times New Roman" w:hAnsi="Times New Roman"/>
          <w:sz w:val="18"/>
          <w:szCs w:val="18"/>
          <w:i w:val="1"/>
          <w:iCs w:val="1"/>
          <w:color w:val="auto"/>
        </w:rPr>
        <w:t>IMAX DMR Services</w:t>
      </w:r>
    </w:p>
    <w:p>
      <w:pPr>
        <w:spacing w:after="0" w:line="199"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In an IMAX DMR arrangement, the Company receives a percentage of the box office receipts from a third party who owns the copyright to a film in exchange for converting the film into IMAX DMR format and distributing it through the IMAX network. In these arrangements, although the Company does not hold rights to the intellectual property in the form of the film content, it is compensated for the application of its intellectual property in the form of its patented DMR processes to create new intellectual property in the form of an IMAX DMR version of film. Revenues associated with both IMAX DMR arrangements qualify for the variable consideration exemption for sales- or usage-based royalties in ASC Topic 606 and are recognized within Revenues – Image Enhancement and Maintenance Services in the period when the corresponding box office sales occur.</w:t>
      </w:r>
    </w:p>
    <w:p>
      <w:pPr>
        <w:spacing w:after="0" w:line="143"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Losses on IMAX DMR services are recognized as Costs and Expenses Applicable to Revenues – Image Enhancement and Maintenance Services in the period when it is determined that the Company’s estimate of total revenues to be realized by the remastered film will not exceed the corresponding cost of IMAX DMR services.</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Film Production Services</w:t>
      </w:r>
    </w:p>
    <w:p>
      <w:pPr>
        <w:spacing w:after="0" w:line="19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In certain film arrangements, the Company produces a film financed by third parties whereby the third party retains the copyright and the Company obtains exclusive distribution rights. Under these arrangements, the Company is entitled to receive a fixed fee or to retain as a fee the excess of funding over the cost of the production (the “production fee”). The third parties receive a portion of the revenues received by the Company from distributing the film, which is charged to Costs and Expenses Applicable to Revenues – Image Enhancement and Maintenance Services. The production fees are deferred, and are recognized as a reduction in the cost of the film based on the ratio of the Company’s distribution revenues recognized in the current period to the ultimate distribution revenues expected from the film. Film exploitation costs, including advertising and marketing are recorded in Costs and Expenses Applicable to Revenues – Image Enhancement and Maintenance Services as incurred.</w:t>
      </w:r>
    </w:p>
    <w:p>
      <w:pPr>
        <w:spacing w:after="0" w:line="144"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Revenue from film production services where the Company does not hold the associated distribution rights are recognized in Services revenues when performance obligations associated with the contractual service are satisfied.</w:t>
      </w:r>
    </w:p>
    <w:p>
      <w:pPr>
        <w:spacing w:after="0" w:line="121"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Losses on film production services are recognized as Costs and Expenses Applicable to Revenues – Image Enhancement and Maintenance Services in the period when it is determined that the Company’s estimate of total revenues to be realized by the Company will not exceed estimated total production costs to be expended on the film production.</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Film Distribution Services</w:t>
      </w:r>
    </w:p>
    <w:p>
      <w:pPr>
        <w:spacing w:after="0" w:line="186"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In a Film Distribution arrangement, the Company licenses film content and distributes large-format films, primarily for its institutional theater partners. The Company’s Film Distribution revenues are strictly from the license of its intellectual property in the form of documentary film content to which the Company holds exclusive distribution rights. Revenue from the licensing of films qualifies for the variable consideration exemption for sales- or usage-based royalties in ASC Topic 606 and is recognized within Revenues – Image Enhancement and Maintenance Services when all performance obligations have been satisfied, which includes the completion and delivery of the film and the commencement of the license period. When license fees are based on a percentage of box-office receipts, revenue is recognized when box-office receipts are reported by exhibitors. Film exploitation costs, including advertising and marketing are recorded in Costs and Expenses Applicable to Revenues – Image Enhancement and Maintenance Services as incurred.</w:t>
      </w:r>
    </w:p>
    <w:p>
      <w:pPr>
        <w:spacing w:after="0" w:line="1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Film Post-Production Services</w:t>
      </w:r>
    </w:p>
    <w:p>
      <w:pPr>
        <w:spacing w:after="0" w:line="199"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Revenues from post-production film services are recognized within Revenues – Image Enhancement and Maintenance Services when performance of the contracted services are satisfied.</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86"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reports revenue related to its owned and operated theaters within Revenues – Image Enhancement and Maintenance Services. Such revenues include box-office ticket and concession sales, which are recognized in the Consolidated Statements of Operations as tickets are sold and upon the sale of various concessions. The sales are cash or credit card transactions with theater goers based on fixed prices per seat or per concession item.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94" w:name="page95"/>
    <w:bookmarkEnd w:id="94"/>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addition, the Company enters into commercial arrangements with third party theater owners resulting in the sharing of profits and losses which are recognized within Revenues – Image Enhancement and Maintenance Services when reported by such theaters. The Company also provides management services to certain theaters and recognizes such revenue over the term of such services.</w:t>
      </w:r>
    </w:p>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Revenues on camera rentals are recognized within Revenues – Technology Rentals over the rental period.</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Revenue from the sale of 3D glasses is recognized within Revenues – Technology Sales when the 3D glasses have been delivered to the customer.</w:t>
      </w:r>
    </w:p>
    <w:p>
      <w:pPr>
        <w:spacing w:after="0" w:line="184"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Other service revenues are recognized within Revenues – Image Enhancement and Maintenance Services when the performance of contracted services is complete.</w:t>
      </w:r>
    </w:p>
    <w:p>
      <w:pPr>
        <w:spacing w:after="0" w:line="131"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(o)</w:t>
        <w:tab/>
        <w:t>Leases</w:t>
      </w:r>
    </w:p>
    <w:p>
      <w:pPr>
        <w:spacing w:after="0" w:line="188" w:lineRule="exact"/>
        <w:rPr>
          <w:sz w:val="20"/>
          <w:szCs w:val="20"/>
          <w:color w:val="auto"/>
        </w:rPr>
      </w:pPr>
    </w:p>
    <w:p>
      <w:pPr>
        <w:jc w:val="both"/>
        <w:ind w:firstLine="224"/>
        <w:spacing w:after="0" w:line="251" w:lineRule="auto"/>
        <w:rPr>
          <w:sz w:val="20"/>
          <w:szCs w:val="20"/>
          <w:color w:val="auto"/>
        </w:rPr>
      </w:pPr>
      <w:r>
        <w:rPr>
          <w:rFonts w:ascii="Times New Roman" w:cs="Times New Roman" w:eastAsia="Times New Roman" w:hAnsi="Times New Roman"/>
          <w:sz w:val="18"/>
          <w:szCs w:val="18"/>
          <w:color w:val="auto"/>
        </w:rPr>
        <w:t>As a lessee, the Company’s lease arrangements principally involve office and warehouse space, which are classified as operating leases. The corresponding operating lease right-of-use (“ROU”) assets and liabilities are recorded within Property, Plant and Equipment and Accrued and Other Liabilities in the Company’s Consolidated Balance Sheets. ROU assets represent the Company’s right to use an underlying asset for the lease term and operating lease liabilities are recognized at commencement date based on the present value of lease payments over the lease term. The incremental borrowing rate used in the calculation of the Company’s lease liability is based on the location of each leased property. None of the Company’s leases include options to purchase the leased property.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 The depreciable lives of ROU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 When there are modifications to the lease agreements, the Company remeasures the lease liabilities to reflect changes to lease payments and recognizes the amount of the remeasurement of the lease liability as an adjustment to the ROU assets. The Company reviews the carrying values of the ROU assets for impairment whenever events or changes in circumstances indicate that the carrying amount might not be recoverable. Impairment losses, if any, are recognized in the Consolidated Statements of Operations. Amortization of ROU assets and interest on lease liabilities are included in the Selling, General and Administrative Expenses in the Company’s Consolidated Statements of Operations. (See Note 6 for additional information related to the Company’s operating leases.)</w:t>
      </w:r>
    </w:p>
    <w:p>
      <w:pPr>
        <w:spacing w:after="0" w:line="155"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(p)</w:t>
        <w:tab/>
        <w:t>Research and Development</w:t>
      </w:r>
    </w:p>
    <w:p>
      <w:pPr>
        <w:spacing w:after="0" w:line="18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Research and development costs, which are expensed as incurred, primarily include projector and sound parts, labor, consulting fees, allocation of overheads and other related materials which pertain to the Company’s development of new products and services. Research and development costs pertaining to fixed and intangible assets that have alternative future uses are capitalized and amortized under their related policies.</w:t>
      </w:r>
    </w:p>
    <w:p>
      <w:pPr>
        <w:spacing w:after="0" w:line="132"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Foreign Currency Translation</w:t>
      </w:r>
    </w:p>
    <w:p>
      <w:pPr>
        <w:spacing w:after="0" w:line="18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Monetary assets and liabilities of the Company’s operations which are denominated in currencies other than the functional currency are translated into the functional currency at the exchange rates prevailing at the end of the period. In 2013, the Company determined that the functional currency of one of its consolidated subsidiaries had changed from the Company’s reporting currency to the currency of the nation in which it is domiciled. As a result, in accordance with the FASB ASC 830 “Foreign Currency Matters”, the adjustment attributable to current-rate translation of non-monetary assets as of the date of the change was reported in Other Comprehensive Income (Loss). The functional currency of its other consolidated subsidiaries continues to be the U.S. dollars. Foreign exchange translation gains and losses are included in the determination of earnings in the period in which they arise.</w:t>
      </w:r>
    </w:p>
    <w:p>
      <w:pPr>
        <w:spacing w:after="0" w:line="157"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Foreign currency derivatives are recognized and measured in the Consolidated Balance Sheets at their fair value. Changes in the fair value (gains or losses) are recognized in the Consolidated Statements of Operations except for derivatives designated and qualifying as foreign currency hedging instruments. For foreign currency hedging instruments, the effective portion of the gain or loss in a hedge of a forecasted transaction is reported within Other Comprehensive Income (Loss) and reclassified to the Consolidated Statements of Operations when the forecasted transaction occurs. Any ineffective portion is recognized immediately in the Consolidated Statements of Operations.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5" w:name="page96"/>
    <w:bookmarkEnd w:id="95"/>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(r)</w:t>
      </w:r>
      <w:r>
        <w:rPr>
          <w:sz w:val="20"/>
          <w:szCs w:val="20"/>
          <w:color w:val="auto"/>
        </w:rPr>
        <w:tab/>
      </w:r>
      <w:r>
        <w:rPr>
          <w:rFonts w:ascii="Times New Roman" w:cs="Times New Roman" w:eastAsia="Times New Roman" w:hAnsi="Times New Roman"/>
          <w:sz w:val="17"/>
          <w:szCs w:val="17"/>
          <w:b w:val="1"/>
          <w:bCs w:val="1"/>
          <w:i w:val="1"/>
          <w:iCs w:val="1"/>
          <w:color w:val="auto"/>
        </w:rPr>
        <w:t>Share-Based Compensation</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 issues share-based compensation to eligible employees, directors, and consultants under the IMAX Corporation Second Amended and Restated Long-Term Incentive Plan (as may be amended, the “IMAX LTIP”) and the China Long-Term Incentive Plan (the “China LTIP”) as summarized in Note 17. The IMAX LTIP is the Company’s governing document and awards to employees, directors, and consultants under this plan may consist of stock options, restricted share units (“RSUs”), performance share units (“PSUs”) and other awards. A separate stock option plan, the China LTIP, was adopted by a subsidiary of the Company in October 2012.</w:t>
      </w:r>
    </w:p>
    <w:p>
      <w:pPr>
        <w:spacing w:after="0" w:line="15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measures share-based compensation expense using the grant date fair value of the award, which is recognized as an expense in the Consolidated Statements of Operations on a straight-line basis over the requisite service period. Share-based compensation expense is not adjusted for estimated forfeitures, but is instead adjusted when and if actual forfeitures occur.</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6"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utilizes a lattice-binomial option-pricing model (“Binomial Model”) to determine the fair value of stock option awards on the grant date. The fair value determined by the Binomial Model is affected by the Company’s stock price as well as assumptions regarding a number of highly complex and subjective variables. These variables include, but are not limited to, the Company’s expected stock price volatility over the term of the award, and actual and projected employee stock option exercise behaviors. The Binomial Model also considers the expected exercise multiple which is the multiple of exercise price to grant price at which exercises are expected to occur on average. Option-pricing models were developed for use in estimating the value of traded options that have no vesting or hedging restrictions and are fully transferable. Because the Company’s employee stock options have certain characteristics that are significantly different from traded options, and because changes in the subjective assumptions can materially affect the estimated value, in management’s opinion, the Binomial Model best provides a fair measure of the fair value of the Company’s employee stock options.</w:t>
      </w:r>
    </w:p>
    <w:p>
      <w:pPr>
        <w:spacing w:after="0" w:line="160"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stratifies its employees into homogeneous groups in order to calculate the grant date fair value of stock options using the Binomial Model. As a result, ranges of assumptions are used for the expected life of the option. The Company uses historical data to estimate option exercise behavior within the Binomial Model and various groups of employees that have similar historical exercise behavior are grouped together for valuation purposes. The expected volatility rate is estimated based on a blended volatility method which takes into consideration the Company’s historical share price volatility, the Company’s implied volatility which is determined in reference to observed current market prices for the Company’s traded options and the Company’s peer group volatility.</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Note 17(c) for the assumptions used to determine the fair value of the Company’s stock options.)</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199"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fair value of RSU awards is equal to the closing price of the Company’s common stock on the date of grant. The value of the portion of the award that is ultimately expected to vest is recognized as compensation expense over the requisite service periods in the Company’s Consolidated Statements of Operations. The Company’s RSUs have been classified as equity.</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186"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grants two types of PSU awards, one which vests based on a combination of employee service and the achievement of certain EBITDA-based targets and one which vests based on a combination of employee service and the achievement of certain stock-price targets. These awards vest over a three-year performance period. The grant date fair value of PSUs with EBITDA-based targets is equal to the closing price on the date of grant or the average closing price of the Company’s common stock for five days prior to the date of grant. The grant date fair value of PSUs with stock-price targets is determined on the grant date using a Monte Carlo simulation, which is a valuation model that takes into account the likelihood of achieving the stock-price targets embedded in the award (“Monte Carlo Model”). The compensation expense attributable to each type of PSU is recognized on a straight-line basis over the requisite service period. At the conclusion of the three-year performance period, the number of PSUs that ultimately vest can range from 0% to a maximum vesting opportunity of 175% of the initial award, depending upon actual performance versus the established EBITDA and stock-price targets.</w:t>
      </w:r>
    </w:p>
    <w:p>
      <w:pPr>
        <w:spacing w:after="0" w:line="160"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fair value determined by the Monte Carlo Model is affected by the Company’s stock price, as well as assumptions regarding a number of highly complex and subjective variables. These variables include, but are not limited to, market conditions as of the grant date, the Company’s expected stock price volatility over the term of the awards, and other relevant data. The compensation expense is fixed on the date of grant based on the dollar value granted.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amount and timing of compensation expense recognized for PSUs with EBITDA-based targets is dependent upon management's assessment of the likelihood and timing of achieving these targets. If, as a result of management’s assessment, it is projected that a greater number of PSUs will vest than previously anticipated, a life-to-date adjustment to increase compensation expense is recorded in the period such determination is made. Conversely, if, as a result of management’s assessment, it is projected that a lower number of PSUs will vest than previously anticipated, a life-to-date adjustment to decrease compensation expense is recorded in the period such determination is made.</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PSUs have been classified as equity.</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Share-Based Payment Awards to Non-Employees</w:t>
      </w:r>
    </w:p>
    <w:p>
      <w:pPr>
        <w:spacing w:after="0" w:line="186"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Share-based payment awards for services provided by non-employees are measured at grant date fair value of the equity instruments that the Company is obligated to issue when the service has been rendered and any other conditions necessary to earn the right to benefit from the instruments have been satisfied. The grant date is the date which the Company and the non-employees reach a mutual understanding of the key terms and conditions of the share-based payment awards. When there are performance conditions related to the vesting of the share-based awards, the Company assesses the probability of vesting at each reporting date and adjusts the compensation costs based on the probability assessment.</w:t>
      </w:r>
    </w:p>
    <w:p>
      <w:pPr>
        <w:spacing w:after="0" w:line="154"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(s)</w:t>
      </w:r>
      <w:r>
        <w:rPr>
          <w:sz w:val="20"/>
          <w:szCs w:val="20"/>
          <w:color w:val="auto"/>
        </w:rPr>
        <w:tab/>
      </w:r>
      <w:r>
        <w:rPr>
          <w:rFonts w:ascii="Times New Roman" w:cs="Times New Roman" w:eastAsia="Times New Roman" w:hAnsi="Times New Roman"/>
          <w:sz w:val="17"/>
          <w:szCs w:val="17"/>
          <w:b w:val="1"/>
          <w:bCs w:val="1"/>
          <w:i w:val="1"/>
          <w:iCs w:val="1"/>
          <w:color w:val="auto"/>
        </w:rPr>
        <w:t>Pension Plans and Postretirement Benefits</w:t>
      </w:r>
    </w:p>
    <w:p>
      <w:pPr>
        <w:spacing w:after="0" w:line="188"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Company has a defined benefit pension plan, the Supplemental Executive Retirement Plan (the “SERP”). As the Company’s SERP is unfunded, as of December 31, 2020, a liability is recognized for the benefit obligation.</w:t>
      </w:r>
    </w:p>
    <w:p>
      <w:pPr>
        <w:spacing w:after="0" w:line="121"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Assumptions used in computing the defined benefit obligations are reviewed annually by management in consultation with its actuaries and adjusted for current conditions. Actuarial gains or losses and prior service costs or credits that arise during the period but are not recognized as components of net periodic benefits cost are recognized as a component of Other Comprehensive Income. Amounts recognized in Accumulated Other Comprehensive Income including unrecognized actuarial gains or losses and prior service costs are adjusted as they are subsequently recognized in the Consolidated Statements of Operations as components of net periodic benefit cost. Prior service costs resulting from the pension plan inception or amendments are amortized over the expected future service life of the employees, cumulative actuarial gains and losses in excess of 10% of the projected benefit obligation are amortized over the expected average remaining service life of the employees, and current service costs are expensed when earned. The remaining weighted average future service life of the employee used in computing the defined benefit obligation for the year ended December 31, 2020 was 2.0 year.</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defined contribution pension plans, required contributions by the Company are recorded as an expense.</w:t>
      </w:r>
    </w:p>
    <w:p>
      <w:pPr>
        <w:spacing w:after="0" w:line="197"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A liability is recognized for the unfunded accumulated benefit obligation of the postretirement benefits plan. Assumptions used in computing the accumulated benefit obligation are reviewed by management in consultation with its actuaries and adjusted for current conditions. Net benefit cost is split between operating income and non-operating income, where only the service cost is included in income from operations and the non-service components are included in Retirement Benefits Non-Service Expenses. Actuarial gains and losses are recognized as a component of Other Comprehensive Income (Loss). Amounts recognized in Accumulated Other Comprehensive Income (Loss) including unrecognized actuarial gains or losses are adjusted as they are subsequently recognized within Retirement Benefits Non-Service Expense in the Consolidated Statements of Operations.</w:t>
      </w:r>
    </w:p>
    <w:p>
      <w:pPr>
        <w:spacing w:after="0" w:line="139" w:lineRule="exact"/>
        <w:rPr>
          <w:sz w:val="20"/>
          <w:szCs w:val="20"/>
          <w:color w:val="auto"/>
        </w:rPr>
      </w:pPr>
    </w:p>
    <w:p>
      <w:pPr>
        <w:ind w:left="580" w:hanging="357"/>
        <w:spacing w:after="0"/>
        <w:tabs>
          <w:tab w:leader="none" w:pos="580"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Guarantees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ASC Topic 460 “Guarantees” requires a guarantor to recognize, at the inception of a guarantee, a liability for the fair value of certain guarantees.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Disclosures as required under the accounting guidance have been included in Note 16(e).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4. New Accounting Standards and Accounting Changes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Policies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adopted several standards in 2020, as summarized below.</w:t>
      </w:r>
    </w:p>
    <w:p>
      <w:pPr>
        <w:spacing w:after="0" w:line="184"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In 2016, the FASB issued ASU No. 2016-13, “Financial Instruments – Credit Losses (Topic 326): Measurement of Credit Losses on Financial Instruments” (“ASU 2016-13”), which amends previously issued guidance regarding the impairment of financial instruments by creating an impairment model that is based on expected losses rather than incurred losses. The standard requires financial assets measured on the amortized cost basis to be presented at the net amount expected to be collected. The Company’s accounts receivable, financing receivables and variable consideration receivables are within the scope of ASU No. 2016-13. The Company adopted 2016-13 and several associated ASUs on January 1, 2020 with no required cumulative-effect adjustment to accumulated deficit. See Note 5 for a further discussion of the Company’s adoption of ASC Topic 326.</w:t>
      </w:r>
    </w:p>
    <w:p>
      <w:pPr>
        <w:spacing w:after="0" w:line="157"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March 2019, the FASB issued ASU No. 2019-02, “Entertainment—Films—Other Assets—Film Costs (Subtopic 926-20) and Entertainment— Broadcasters—Intangibles—Goodwill and Other (Subtopic 920-350)” (“ASU 2019-02”). The adoption of this standard was applied prospectively and did not have an impact on the Company’s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FASB Accounting Standard Codification Updates Not Yet Adopted</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In March 2020, the FASB issued ASU No. 2020-04, “Reference Rate Reform (Topic 848): Facilitation of the effects of Reference Rate Reform on Financial Reporting” (“ASU 2020-04”). The purpose of ASU 2019-05 is to provide optional expedients and exceptions for applying GAAP to contracts, hedging relationships, and other transactions affected by reference rate reform if certain criteria are met. The amendments are effective for all entities from the beginning of an interim period that includes the issuance date of the ASU. An entity may elect to apply the amendments prospectively through December 31, 2022. The Company is currently assessing the impact of ASU 2020-04 on its Consolidated Financial Statements.</w:t>
      </w:r>
    </w:p>
    <w:p>
      <w:pPr>
        <w:spacing w:after="0" w:line="15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No. 2020-06, “Accounting for Convertible Instruments and Contracts in an Entity's Own Equity” (“ASU 2020-06”), which eliminates certain models associated with accounting for convertible instruments, makes targeted improvements to the disclosures for convertible instruments and earnings per share guidance, and amends the guidance for the derivative scope exception for contracts in an entity's own equity. The amendments are effective for annual periods beginning after December 15, 2021 including interim periods within those periods. Early adoption is permitted, but no earlier than fiscal years beginning after December 15, 2020, including interim periods within those periods. The Company is currently assessing the impact of ASU 2020-06 on its Consolidated Financial Statements.</w:t>
      </w:r>
    </w:p>
    <w:p>
      <w:pPr>
        <w:spacing w:after="0" w:line="143"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considers the applicability and impact of all recently issued FASB accounting standard codification updates. Accounting standards updates that are not noted above were assessed and determined to be not applicable or not significant to the Company’s Consolidated Financial Statements for the period ended December 31, 2020.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Current Expected Credit Losses</w:t>
      </w:r>
    </w:p>
    <w:p>
      <w:pPr>
        <w:spacing w:after="0" w:line="201"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In 2016, the FASB issued ASU No. 2016-13, “Financial Instruments – Credit Losses (Topic 326): Measurement of Credit Losses on Financial Instruments” (“ASC Topic 326”), which amends previously issued guidance regarding the impairment of financial instruments by creating an impairment model that is based on expected losses rather than incurred losses. The standard requires financial assets measured on the amortized cost basis to be presented at the net amount expected to be collected. The Company’s accounts receivable, financing receivables and variable consideration receivables are within the scope of ASU No. 2016-13. The Company adopted ASU No. 2016-13 and several associated ASUs on January 1, 2020 with no required cumulative-effect adjustment to accumulated deficit.</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86"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Accounts receivable principally includes amounts currently due to the Company under theater sale and sales-type lease arrangements such as contingent fees owed by theater operators as a result of box office performance and fees for theater maintenance services. Accounts receivable also includes amounts due to the Company from movie studios and other content creators for digital remastering services, as well as for film distribution and post-production services.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98" w:name="page99"/>
    <w:bookmarkEnd w:id="98"/>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In order to mitigate the credit risk associated with accounts receivable,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for theater operators are as follows:</w:t>
      </w:r>
    </w:p>
    <w:p>
      <w:pPr>
        <w:spacing w:after="0" w:line="157" w:lineRule="exact"/>
        <w:rPr>
          <w:sz w:val="20"/>
          <w:szCs w:val="20"/>
          <w:color w:val="auto"/>
        </w:rPr>
      </w:pPr>
    </w:p>
    <w:p>
      <w:pPr>
        <w:ind w:left="960" w:hanging="360"/>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Standing — The theater operator continues to be in good standing and payments are up to date.</w:t>
      </w:r>
    </w:p>
    <w:p>
      <w:pPr>
        <w:spacing w:after="0" w:line="183" w:lineRule="exact"/>
        <w:rPr>
          <w:rFonts w:ascii="Times New Roman" w:cs="Times New Roman" w:eastAsia="Times New Roman" w:hAnsi="Times New Roman"/>
          <w:sz w:val="18"/>
          <w:szCs w:val="18"/>
          <w:color w:val="auto"/>
        </w:rPr>
      </w:pPr>
    </w:p>
    <w:p>
      <w:pPr>
        <w:jc w:val="both"/>
        <w:ind w:left="960" w:hanging="360"/>
        <w:spacing w:after="0" w:line="257"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spacing w:after="0" w:line="144" w:lineRule="exact"/>
        <w:rPr>
          <w:rFonts w:ascii="Times New Roman" w:cs="Times New Roman" w:eastAsia="Times New Roman" w:hAnsi="Times New Roman"/>
          <w:sz w:val="18"/>
          <w:szCs w:val="18"/>
          <w:color w:val="auto"/>
        </w:rPr>
      </w:pPr>
    </w:p>
    <w:p>
      <w:pPr>
        <w:jc w:val="both"/>
        <w:ind w:left="960" w:hanging="360"/>
        <w:spacing w:after="0" w:line="256"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situations, depending on the individual facts and circumstances related to each customer, Finance Income recognition may be suspended for the net investment in lease and financed sale receivable balances for customers in the Pre-Approved Transactions Only category. See below for a discussion of the Company’s net investment in leases and financed sale receivables.</w:t>
      </w:r>
    </w:p>
    <w:p>
      <w:pPr>
        <w:spacing w:after="0" w:line="143" w:lineRule="exact"/>
        <w:rPr>
          <w:rFonts w:ascii="Times New Roman" w:cs="Times New Roman" w:eastAsia="Times New Roman" w:hAnsi="Times New Roman"/>
          <w:sz w:val="18"/>
          <w:szCs w:val="18"/>
          <w:color w:val="auto"/>
        </w:rPr>
      </w:pPr>
    </w:p>
    <w:p>
      <w:pPr>
        <w:jc w:val="both"/>
        <w:ind w:left="960" w:hanging="360"/>
        <w:spacing w:after="0" w:line="265"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stopped.</w:t>
      </w:r>
    </w:p>
    <w:p>
      <w:pPr>
        <w:spacing w:after="0" w:line="136"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ability of the Company to collect its accounts receivable balances is heavily dependent on the viability and solvency of individual theater operators which is significantly influenced by consumer behavior and general economic conditions. Theater operators and, in certain situations, movie studios, may experience financial difficulties, such as those imposed by the COVID-19 global pandemic, that could cause them to be unable to fulfill their payment obligations to the Company.</w:t>
      </w:r>
    </w:p>
    <w:p>
      <w:pPr>
        <w:spacing w:after="0" w:line="140"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develops its estimate of credit losses by class of receivable and customer type through a calculation that utilizes historical loss rates which are then adjusted for specific receivables that are judged to have a higher than normal risk profile after taking into account management’s internal credit quality classifications, as well as macro-economic and industry risk factors.</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related to Accounts Receivable for the year ended December 31, 2020: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tcPr>
          <w:p>
            <w:pPr>
              <w:jc w:val="center"/>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Theater</w:t>
            </w:r>
          </w:p>
        </w:tc>
        <w:tc>
          <w:tcPr>
            <w:tcW w:w="300" w:type="dxa"/>
            <w:vAlign w:val="bottom"/>
          </w:tcPr>
          <w:p>
            <w:pPr>
              <w:spacing w:after="0"/>
              <w:rPr>
                <w:sz w:val="11"/>
                <w:szCs w:val="11"/>
                <w:color w:val="auto"/>
              </w:rPr>
            </w:pP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12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3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3,302</w:t>
            </w: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893</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943</w:t>
            </w: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5,138</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5,793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3,393</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9,708</w:t>
            </w: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Recoveries</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2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8,368</w:t>
            </w:r>
          </w:p>
        </w:tc>
        <w:tc>
          <w:tcPr>
            <w:tcW w:w="18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4,481</w:t>
            </w:r>
          </w:p>
        </w:tc>
        <w:tc>
          <w:tcPr>
            <w:tcW w:w="180" w:type="dxa"/>
            <w:vAlign w:val="bottom"/>
          </w:tcPr>
          <w:p>
            <w:pPr>
              <w:spacing w:after="0"/>
              <w:rPr>
                <w:sz w:val="19"/>
                <w:szCs w:val="19"/>
                <w:color w:val="auto"/>
              </w:rPr>
            </w:pPr>
          </w:p>
        </w:tc>
        <w:tc>
          <w:tcPr>
            <w:tcW w:w="1000" w:type="dxa"/>
            <w:vAlign w:val="bottom"/>
          </w:tcPr>
          <w:p>
            <w:pPr>
              <w:jc w:val="right"/>
              <w:ind w:right="84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1,446</w:t>
            </w:r>
          </w:p>
        </w:tc>
        <w:tc>
          <w:tcPr>
            <w:tcW w:w="1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-2540</wp:posOffset>
            </wp:positionV>
            <wp:extent cx="43872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87215" cy="8255"/>
                    </a:xfrm>
                    <a:prstGeom prst="rect">
                      <a:avLst/>
                    </a:prstGeom>
                    <a:noFill/>
                  </pic:spPr>
                </pic:pic>
              </a:graphicData>
            </a:graphic>
          </wp:anchor>
        </w:drawing>
      </w: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2020, the Company recorded provisions for current expected credit losses of $9.7 million, reflecting a reduction in the credit quality of its theater and studio related accounts receivable and the heightened collection risk associated with certain movie studios in foreign markets, which management believes is primarily related to the COVID-19 global pandemic and adequately addresses the risk of not collecting these receivables in full.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-974090</wp:posOffset>
            </wp:positionV>
            <wp:extent cx="43872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8721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9" w:name="page100"/>
    <w:bookmarkEnd w:id="99"/>
    <w:p>
      <w:pPr>
        <w:ind w:left="240"/>
        <w:spacing w:after="0"/>
        <w:rPr>
          <w:sz w:val="20"/>
          <w:szCs w:val="20"/>
          <w:color w:val="auto"/>
        </w:rPr>
      </w:pPr>
      <w:r>
        <w:rPr>
          <w:rFonts w:ascii="Times New Roman" w:cs="Times New Roman" w:eastAsia="Times New Roman" w:hAnsi="Times New Roman"/>
          <w:sz w:val="18"/>
          <w:szCs w:val="18"/>
          <w:i w:val="1"/>
          <w:iCs w:val="1"/>
          <w:color w:val="auto"/>
        </w:rPr>
        <w:t>Financing Receivables</w:t>
      </w:r>
    </w:p>
    <w:p>
      <w:pPr>
        <w:spacing w:after="0" w:line="199"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Financing receivables are due from theater operators and consist of the Company’s net investment in sales-type leases and receivables associated with financed sales of IMAX Theater Systems. Similar to accounts receivable,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internal credit quality classifications utilized by the Company for accounts receivable, as described above, are also used for financing receivables.</w:t>
      </w:r>
    </w:p>
    <w:p>
      <w:pPr>
        <w:spacing w:after="0" w:line="147"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ability of the Company to collect its financing receivable balances is heavily dependent on the viability and solvency of individual theater operators which is significantly influenced by consumer behavior and general economic conditions. Theater operators may experience financial difficulties, such as those imposed by the COVID-19 global pandemic, that could cause them to be unable to fulfill their payment obligations to the Company.</w:t>
      </w:r>
    </w:p>
    <w:p>
      <w:pPr>
        <w:spacing w:after="0" w:line="136"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develops its estimate of credit losses by class of receivable and customer type through a calculation that utilizes historical loss rates which are then adjusted for specific receivables that are judged to have a higher than normal risk profile after taking into account management’s internal credit quality classifications, as well as macro-economic and industry risk factors.</w:t>
      </w:r>
    </w:p>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2020 and December 31, 2019, financing receivables consist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0"/>
        </w:trPr>
        <w:tc>
          <w:tcPr>
            <w:tcW w:w="6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5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2"/>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investment in leases</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Gross minimum payments due under sales-type leases</w:t>
            </w: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20,830</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16,766</w:t>
            </w: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Unearned finance income</w:t>
            </w:r>
          </w:p>
        </w:tc>
        <w:tc>
          <w:tcPr>
            <w:tcW w:w="1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2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minimum payments due under sales-type leases</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19,971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15,761</w:t>
            </w: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2"/>
        </w:trPr>
        <w:tc>
          <w:tcPr>
            <w:tcW w:w="6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investment in leases</w:t>
            </w:r>
          </w:p>
        </w:tc>
        <w:tc>
          <w:tcPr>
            <w:tcW w:w="15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19,414</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15,606</w:t>
            </w:r>
          </w:p>
        </w:tc>
      </w:tr>
      <w:tr>
        <w:trPr>
          <w:trHeight w:val="222"/>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Financed sales receivables</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Gross minimum payments due under financed sales</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150,917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146,660</w:t>
            </w: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Unearned finance income</w:t>
            </w:r>
          </w:p>
        </w:tc>
        <w:tc>
          <w:tcPr>
            <w:tcW w:w="1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(31,247)</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(33,313)</w:t>
            </w:r>
          </w:p>
        </w:tc>
      </w:tr>
      <w:tr>
        <w:trPr>
          <w:trHeight w:val="22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minimum payments due under financed sales</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119,670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113,347</w:t>
            </w: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22"/>
        </w:trPr>
        <w:tc>
          <w:tcPr>
            <w:tcW w:w="6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15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112,396</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112,432</w:t>
            </w:r>
          </w:p>
        </w:tc>
      </w:tr>
      <w:tr>
        <w:trPr>
          <w:trHeight w:val="222"/>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financing receivables</w:t>
            </w:r>
          </w:p>
        </w:tc>
        <w:tc>
          <w:tcPr>
            <w:tcW w:w="15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131,810</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128,038</w:t>
            </w:r>
          </w:p>
        </w:tc>
      </w:tr>
      <w:tr>
        <w:trPr>
          <w:trHeight w:val="20"/>
        </w:trPr>
        <w:tc>
          <w:tcPr>
            <w:tcW w:w="6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4" w:right="339" w:bottom="1440" w:gutter="0" w:footer="0" w:header="0"/>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financed sales receivables due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955"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financed sales receivables due after one year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financed sales receivables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34,937</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27,595</w:t>
            </w:r>
          </w:p>
        </w:tc>
      </w:tr>
      <w:tr>
        <w:trPr>
          <w:trHeight w:val="234"/>
        </w:trPr>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77,459</w:t>
            </w:r>
          </w:p>
        </w:tc>
        <w:tc>
          <w:tcPr>
            <w:tcW w:w="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84,837</w:t>
            </w:r>
          </w:p>
        </w:tc>
      </w:tr>
      <w:tr>
        <w:trPr>
          <w:trHeight w:val="222"/>
        </w:trPr>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112,396</w:t>
            </w:r>
          </w:p>
        </w:tc>
        <w:tc>
          <w:tcPr>
            <w:tcW w:w="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112,432</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2">
            <w:col w:w="7040" w:space="720"/>
            <w:col w:w="3480"/>
          </w:cols>
          <w:pgMar w:left="320" w:top="294" w:right="33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8"/>
          <w:szCs w:val="18"/>
          <w:color w:val="auto"/>
        </w:rPr>
        <w:t>As of December 31, 2020 and December 31, 2019, the weighted-average remaining lease term and weighted-average interest rate associated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sales-type lease arrangements and financed sale receivables, as applicable,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5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r>
      <w:tr>
        <w:trPr>
          <w:trHeight w:val="200"/>
        </w:trPr>
        <w:tc>
          <w:tcPr>
            <w:tcW w:w="4660" w:type="dxa"/>
            <w:vAlign w:val="bottom"/>
          </w:tcPr>
          <w:p>
            <w:pPr>
              <w:spacing w:after="0"/>
              <w:rPr>
                <w:sz w:val="17"/>
                <w:szCs w:val="17"/>
                <w:color w:val="auto"/>
              </w:rPr>
            </w:pPr>
          </w:p>
        </w:tc>
        <w:tc>
          <w:tcPr>
            <w:tcW w:w="452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7"/>
                <w:szCs w:val="17"/>
                <w:color w:val="auto"/>
              </w:rPr>
            </w:pPr>
          </w:p>
        </w:tc>
      </w:tr>
      <w:tr>
        <w:trPr>
          <w:trHeight w:val="222"/>
        </w:trPr>
        <w:tc>
          <w:tcPr>
            <w:tcW w:w="4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302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4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interest rate</w:t>
            </w:r>
          </w:p>
        </w:tc>
        <w:tc>
          <w:tcPr>
            <w:tcW w:w="30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4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4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1"/>
        </w:trPr>
        <w:tc>
          <w:tcPr>
            <w:tcW w:w="4660" w:type="dxa"/>
            <w:vAlign w:val="bottom"/>
          </w:tcPr>
          <w:p>
            <w:pPr>
              <w:spacing w:after="0"/>
              <w:rPr>
                <w:sz w:val="24"/>
                <w:szCs w:val="24"/>
                <w:color w:val="auto"/>
              </w:rPr>
            </w:pPr>
          </w:p>
        </w:tc>
        <w:tc>
          <w:tcPr>
            <w:tcW w:w="3020" w:type="dxa"/>
            <w:vAlign w:val="bottom"/>
          </w:tcPr>
          <w:p>
            <w:pPr>
              <w:jc w:val="right"/>
              <w:ind w:right="1834"/>
              <w:spacing w:after="0"/>
              <w:rPr>
                <w:sz w:val="20"/>
                <w:szCs w:val="20"/>
                <w:color w:val="auto"/>
              </w:rPr>
            </w:pPr>
            <w:r>
              <w:rPr>
                <w:rFonts w:ascii="Times New Roman" w:cs="Times New Roman" w:eastAsia="Times New Roman" w:hAnsi="Times New Roman"/>
                <w:sz w:val="18"/>
                <w:szCs w:val="18"/>
                <w:color w:val="auto"/>
              </w:rPr>
              <w:t>100</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466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type w:val="continuous"/>
        </w:sectPr>
      </w:pPr>
    </w:p>
    <w:bookmarkStart w:id="100" w:name="page101"/>
    <w:bookmarkEnd w:id="100"/>
    <w:p>
      <w:pPr>
        <w:ind w:left="240"/>
        <w:spacing w:after="0"/>
        <w:rPr>
          <w:sz w:val="20"/>
          <w:szCs w:val="20"/>
          <w:color w:val="auto"/>
        </w:rPr>
      </w:pPr>
      <w:r>
        <w:rPr>
          <w:rFonts w:ascii="Times New Roman" w:cs="Times New Roman" w:eastAsia="Times New Roman" w:hAnsi="Times New Roman"/>
          <w:sz w:val="18"/>
          <w:szCs w:val="18"/>
          <w:color w:val="auto"/>
        </w:rPr>
        <w:t>The following tables provide information on the Company’s net investment in leases by credit quality indicator as of December 31, 2020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2"/>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9"/>
                <w:szCs w:val="19"/>
                <w:color w:val="auto"/>
              </w:rPr>
            </w:pPr>
          </w:p>
        </w:tc>
        <w:tc>
          <w:tcPr>
            <w:tcW w:w="8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2"/>
        </w:trPr>
        <w:tc>
          <w:tcPr>
            <w:tcW w:w="3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investment in leases: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 good standing</w:t>
            </w: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2,143</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1,190</w:t>
            </w:r>
          </w:p>
        </w:tc>
        <w:tc>
          <w:tcPr>
            <w:tcW w:w="3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2,730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7,889</w:t>
            </w:r>
          </w:p>
        </w:tc>
      </w:tr>
      <w:tr>
        <w:trPr>
          <w:trHeight w:val="229"/>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Watch</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7,278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11,318</w:t>
            </w:r>
          </w:p>
        </w:tc>
      </w:tr>
      <w:tr>
        <w:trPr>
          <w:trHeight w:val="229"/>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Transactions suspended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764</w:t>
            </w:r>
          </w:p>
        </w:tc>
      </w:tr>
      <w:tr>
        <w:trPr>
          <w:trHeight w:val="222"/>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net investment in leases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8,468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2,730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19,971</w:t>
            </w: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38"/>
        </w:trPr>
        <w:tc>
          <w:tcPr>
            <w:tcW w:w="3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2"/>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9"/>
                <w:szCs w:val="19"/>
                <w:color w:val="auto"/>
              </w:rPr>
            </w:pPr>
          </w:p>
        </w:tc>
        <w:tc>
          <w:tcPr>
            <w:tcW w:w="8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2"/>
        </w:trPr>
        <w:tc>
          <w:tcPr>
            <w:tcW w:w="3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investment in leases: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2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29"/>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good standing</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7,874</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3,045</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15,094</w:t>
            </w:r>
          </w:p>
        </w:tc>
      </w:tr>
      <w:tr>
        <w:trPr>
          <w:trHeight w:val="229"/>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Credit Watch</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667</w:t>
            </w:r>
          </w:p>
        </w:tc>
      </w:tr>
      <w:tr>
        <w:trPr>
          <w:trHeight w:val="229"/>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Transactions suspended</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investment in leases</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7,874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3,853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15,761</w:t>
            </w: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provide information on the Company’s financed sale receivables by credit quality indicator as of December 31, 2020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2"/>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9"/>
                <w:szCs w:val="19"/>
                <w:color w:val="auto"/>
              </w:rPr>
            </w:pPr>
          </w:p>
        </w:tc>
        <w:tc>
          <w:tcPr>
            <w:tcW w:w="8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2"/>
        </w:trPr>
        <w:tc>
          <w:tcPr>
            <w:tcW w:w="3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Financed sales receivables: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 good standing</w:t>
            </w: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6,830</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44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3,547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3,740</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5,072</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12,660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37,329</w:t>
            </w:r>
          </w:p>
        </w:tc>
      </w:tr>
      <w:tr>
        <w:trPr>
          <w:trHeight w:val="229"/>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Watch</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11,356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12,520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11,446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78,160</w:t>
            </w:r>
          </w:p>
        </w:tc>
      </w:tr>
      <w:tr>
        <w:trPr>
          <w:trHeight w:val="229"/>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1,368</w:t>
            </w:r>
          </w:p>
        </w:tc>
      </w:tr>
      <w:tr>
        <w:trPr>
          <w:trHeight w:val="229"/>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Transactions suspended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2,813</w:t>
            </w:r>
          </w:p>
        </w:tc>
      </w:tr>
      <w:tr>
        <w:trPr>
          <w:trHeight w:val="222"/>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financed sales receivables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8,816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14,903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17,247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17,859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48,864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119,670</w:t>
            </w: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38"/>
        </w:trPr>
        <w:tc>
          <w:tcPr>
            <w:tcW w:w="3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2"/>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9"/>
                <w:szCs w:val="19"/>
                <w:color w:val="auto"/>
              </w:rPr>
            </w:pPr>
          </w:p>
        </w:tc>
        <w:tc>
          <w:tcPr>
            <w:tcW w:w="8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2"/>
        </w:trPr>
        <w:tc>
          <w:tcPr>
            <w:tcW w:w="3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Financed sales receivables: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2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29"/>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good standing</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11,981</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44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16,556</w:t>
            </w:r>
          </w:p>
        </w:tc>
        <w:tc>
          <w:tcPr>
            <w:tcW w:w="12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15,208</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44,291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102,450</w:t>
            </w:r>
          </w:p>
        </w:tc>
      </w:tr>
      <w:tr>
        <w:trPr>
          <w:trHeight w:val="229"/>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Credit Watch</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6,955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9,279</w:t>
            </w:r>
          </w:p>
        </w:tc>
      </w:tr>
      <w:tr>
        <w:trPr>
          <w:trHeight w:val="229"/>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830</w:t>
            </w:r>
          </w:p>
        </w:tc>
      </w:tr>
      <w:tr>
        <w:trPr>
          <w:trHeight w:val="229"/>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Transactions suspended</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788</w:t>
            </w:r>
          </w:p>
        </w:tc>
      </w:tr>
      <w:tr>
        <w:trPr>
          <w:trHeight w:val="222"/>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financed sales receivables</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11,981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17,443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17,355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52,154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113,347</w:t>
            </w: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12"/>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w w:val="96"/>
              </w:rPr>
              <w:t>101</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3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1" w:name="page102"/>
    <w:bookmarkEnd w:id="101"/>
    <w:p>
      <w:pPr>
        <w:ind w:left="240"/>
        <w:spacing w:after="0"/>
        <w:rPr>
          <w:sz w:val="20"/>
          <w:szCs w:val="20"/>
          <w:color w:val="auto"/>
        </w:rPr>
      </w:pPr>
      <w:r>
        <w:rPr>
          <w:rFonts w:ascii="Times New Roman" w:cs="Times New Roman" w:eastAsia="Times New Roman" w:hAnsi="Times New Roman"/>
          <w:sz w:val="18"/>
          <w:szCs w:val="18"/>
          <w:color w:val="auto"/>
        </w:rPr>
        <w:t>The following tables provide an aging analysis for the Company’s net investment in leases and financed sale receivables as of December 31, 2020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Accrued</w:t>
            </w:r>
          </w:p>
        </w:tc>
        <w:tc>
          <w:tcPr>
            <w:tcW w:w="1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30-89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90+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00"/>
              <w:spacing w:after="0" w:line="148"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160" w:type="dxa"/>
            <w:vAlign w:val="bottom"/>
          </w:tcPr>
          <w:p>
            <w:pPr>
              <w:spacing w:after="0"/>
              <w:rPr>
                <w:sz w:val="12"/>
                <w:szCs w:val="12"/>
                <w:color w:val="auto"/>
              </w:rPr>
            </w:pPr>
          </w:p>
        </w:tc>
        <w:tc>
          <w:tcPr>
            <w:tcW w:w="80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25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40" w:type="dxa"/>
            <w:vAlign w:val="bottom"/>
            <w:gridSpan w:val="2"/>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 leases</w:t>
            </w:r>
          </w:p>
        </w:tc>
        <w:tc>
          <w:tcPr>
            <w:tcW w:w="6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1,167</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18,804</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19,971</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19,414</w:t>
            </w:r>
          </w:p>
        </w:tc>
        <w:tc>
          <w:tcPr>
            <w:tcW w:w="0" w:type="dxa"/>
            <w:vAlign w:val="bottom"/>
          </w:tcPr>
          <w:p>
            <w:pPr>
              <w:spacing w:after="0"/>
              <w:rPr>
                <w:sz w:val="1"/>
                <w:szCs w:val="1"/>
                <w:color w:val="auto"/>
              </w:rPr>
            </w:pPr>
          </w:p>
        </w:tc>
      </w:tr>
      <w:tr>
        <w:trPr>
          <w:trHeight w:val="229"/>
        </w:trPr>
        <w:tc>
          <w:tcPr>
            <w:tcW w:w="2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6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1,943</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10,699</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15,949</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103,721</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119,670</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112,396</w:t>
            </w:r>
          </w:p>
        </w:tc>
        <w:tc>
          <w:tcPr>
            <w:tcW w:w="0" w:type="dxa"/>
            <w:vAlign w:val="bottom"/>
          </w:tcPr>
          <w:p>
            <w:pPr>
              <w:spacing w:after="0"/>
              <w:rPr>
                <w:sz w:val="1"/>
                <w:szCs w:val="1"/>
                <w:color w:val="auto"/>
              </w:rPr>
            </w:pPr>
          </w:p>
        </w:tc>
      </w:tr>
      <w:tr>
        <w:trPr>
          <w:trHeight w:val="222"/>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11,388</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17,116</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122,525</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139,641</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131,810</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Accrued</w:t>
            </w:r>
          </w:p>
        </w:tc>
        <w:tc>
          <w:tcPr>
            <w:tcW w:w="1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30-89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90+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00"/>
              <w:spacing w:after="0" w:line="148"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160" w:type="dxa"/>
            <w:vAlign w:val="bottom"/>
          </w:tcPr>
          <w:p>
            <w:pPr>
              <w:spacing w:after="0"/>
              <w:rPr>
                <w:sz w:val="12"/>
                <w:szCs w:val="12"/>
                <w:color w:val="auto"/>
              </w:rPr>
            </w:pPr>
          </w:p>
        </w:tc>
        <w:tc>
          <w:tcPr>
            <w:tcW w:w="80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25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40" w:type="dxa"/>
            <w:vAlign w:val="bottom"/>
            <w:gridSpan w:val="2"/>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 leases</w:t>
            </w:r>
          </w:p>
        </w:tc>
        <w:tc>
          <w:tcPr>
            <w:tcW w:w="6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15,412</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15,761</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15,606</w:t>
            </w:r>
          </w:p>
        </w:tc>
        <w:tc>
          <w:tcPr>
            <w:tcW w:w="0" w:type="dxa"/>
            <w:vAlign w:val="bottom"/>
          </w:tcPr>
          <w:p>
            <w:pPr>
              <w:spacing w:after="0"/>
              <w:rPr>
                <w:sz w:val="1"/>
                <w:szCs w:val="1"/>
                <w:color w:val="auto"/>
              </w:rPr>
            </w:pPr>
          </w:p>
        </w:tc>
      </w:tr>
      <w:tr>
        <w:trPr>
          <w:trHeight w:val="229"/>
        </w:trPr>
        <w:tc>
          <w:tcPr>
            <w:tcW w:w="2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6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2,772</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5,446</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9,896</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103,451</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113,347</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112,432</w:t>
            </w:r>
          </w:p>
        </w:tc>
        <w:tc>
          <w:tcPr>
            <w:tcW w:w="0" w:type="dxa"/>
            <w:vAlign w:val="bottom"/>
          </w:tcPr>
          <w:p>
            <w:pPr>
              <w:spacing w:after="0"/>
              <w:rPr>
                <w:sz w:val="1"/>
                <w:szCs w:val="1"/>
                <w:color w:val="auto"/>
              </w:rPr>
            </w:pPr>
          </w:p>
        </w:tc>
      </w:tr>
      <w:tr>
        <w:trPr>
          <w:trHeight w:val="222"/>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2,840</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5,697</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10,245</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118,863</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129,108</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128,038</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considers Financing Receivables with an aging between 60-89 days as indications of theaters with potential collection concerns. At this point, the Company will begin to focus its review on these Financing Receivables and increase its discussions internally and with the theater regarding payment status. Once a theater’s aging exceeds 90 days, the Company’s policy is to perform an enhanced review to assess collectibility of the theater’s past due accounts. The over 90 days past due category may be an indicator of potential impairment as up to 90 days outstanding is considered to be a reasonable time to resolve any issues. Given the potential impacts of the COVID-19 global pandemic on the Company’s customers, management is enhancing its monitoring procedures with respect to overdue receivables.</w:t>
      </w:r>
    </w:p>
    <w:p>
      <w:pPr>
        <w:spacing w:after="0" w:line="143"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following tables provide information about the Company’s net investment in leases and financed sale receivables with billed amounts past due for which it continues to accrue finance income as of December 31, 2020 and December 31,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Accrued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2"/>
                <w:szCs w:val="12"/>
                <w:color w:val="auto"/>
              </w:rPr>
            </w:pPr>
          </w:p>
        </w:tc>
        <w:tc>
          <w:tcPr>
            <w:tcW w:w="880" w:type="dxa"/>
            <w:vAlign w:val="bottom"/>
          </w:tcPr>
          <w:p>
            <w:pPr>
              <w:jc w:val="center"/>
              <w:ind w:right="179"/>
              <w:spacing w:after="0" w:line="148"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18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2"/>
                <w:szCs w:val="12"/>
                <w:color w:val="auto"/>
              </w:rPr>
            </w:pPr>
          </w:p>
        </w:tc>
        <w:tc>
          <w:tcPr>
            <w:tcW w:w="900" w:type="dxa"/>
            <w:vAlign w:val="bottom"/>
          </w:tcPr>
          <w:p>
            <w:pPr>
              <w:jc w:val="center"/>
              <w:ind w:right="159"/>
              <w:spacing w:after="0" w:line="148"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3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 leases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13,912</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14,354</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10,249</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13,826</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62,602</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71,994</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10,608</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14,578</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76,514</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86,348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3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Accrued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2"/>
                <w:szCs w:val="12"/>
                <w:color w:val="auto"/>
              </w:rPr>
            </w:pPr>
          </w:p>
        </w:tc>
        <w:tc>
          <w:tcPr>
            <w:tcW w:w="880" w:type="dxa"/>
            <w:vAlign w:val="bottom"/>
          </w:tcPr>
          <w:p>
            <w:pPr>
              <w:jc w:val="center"/>
              <w:ind w:right="179"/>
              <w:spacing w:after="0" w:line="148"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18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2"/>
                <w:szCs w:val="12"/>
                <w:color w:val="auto"/>
              </w:rPr>
            </w:pPr>
          </w:p>
        </w:tc>
        <w:tc>
          <w:tcPr>
            <w:tcW w:w="900" w:type="dxa"/>
            <w:vAlign w:val="bottom"/>
          </w:tcPr>
          <w:p>
            <w:pPr>
              <w:jc w:val="center"/>
              <w:ind w:right="159"/>
              <w:spacing w:after="0" w:line="148"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3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 leases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5,523</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7,959</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29,173</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37,132</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5,774</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8,238</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29,751</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37,989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net investment in leases and financed sale receivables that are on nonaccrual status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and December 31, 2019: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4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39"/>
              <w:spacing w:after="0" w:line="148"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220" w:type="dxa"/>
            <w:vAlign w:val="bottom"/>
          </w:tcPr>
          <w:p>
            <w:pPr>
              <w:spacing w:after="0"/>
              <w:rPr>
                <w:sz w:val="12"/>
                <w:szCs w:val="12"/>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342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w w:val="99"/>
              </w:rPr>
              <w:t>Receivable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w w:val="99"/>
              </w:rPr>
              <w:t>Receivable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 leases</w:t>
            </w:r>
          </w:p>
        </w:tc>
        <w:tc>
          <w:tcPr>
            <w:tcW w:w="1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1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2"/>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2" w:name="page103"/>
    <w:bookmarkEnd w:id="102"/>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A theater operator that is classified within the “All Transactions Suspended” category is placed on nonaccrual status and all revenue recognitions related to the theater are stopped. While the recognition of Finance Income is suspended, payments received by a customer are applied against the outstanding balance owed. If payments are sufficient to cover any unreserved receivables, a recovery of provision taken on the billed amount, if applicable, is recorded to the extent of the residual cash received. Once the collectibility issues are resolved and the customer has returned to being in good standing, the Company will resume recognition of Finance Income.</w:t>
      </w:r>
    </w:p>
    <w:p>
      <w:pPr>
        <w:spacing w:after="0" w:line="144"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2020, the Company recognized $0.2 million (2019 — $0.1 million) in Finance Income related to the net investment in leases with billed amounts past due. For the year ended December 31, 2020, the Company recognized $5.7 million (2019 — $6.2 million) in Finance Income related to the financed sale receivables with billed amounts past due.</w:t>
      </w:r>
    </w:p>
    <w:p>
      <w:pPr>
        <w:spacing w:after="0" w:line="149"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related to the Company’s net investment in leases and financed sale receivables for years ended December 31, 2020 and 2019:</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400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580" w:type="dxa"/>
            <w:vAlign w:val="bottom"/>
            <w:tcBorders>
              <w:bottom w:val="single" w:sz="8" w:color="auto"/>
            </w:tcBorders>
          </w:tcPr>
          <w:p>
            <w:pPr>
              <w:spacing w:after="0"/>
              <w:rPr>
                <w:sz w:val="15"/>
                <w:szCs w:val="15"/>
                <w:color w:val="auto"/>
              </w:rPr>
            </w:pPr>
          </w:p>
        </w:tc>
      </w:tr>
      <w:tr>
        <w:trPr>
          <w:trHeight w:val="237"/>
        </w:trPr>
        <w:tc>
          <w:tcPr>
            <w:tcW w:w="6660" w:type="dxa"/>
            <w:vAlign w:val="bottom"/>
          </w:tcPr>
          <w:p>
            <w:pPr>
              <w:spacing w:after="0"/>
              <w:rPr>
                <w:sz w:val="20"/>
                <w:szCs w:val="20"/>
                <w:color w:val="auto"/>
              </w:rPr>
            </w:pPr>
          </w:p>
        </w:tc>
        <w:tc>
          <w:tcPr>
            <w:tcW w:w="166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Financed</w:t>
            </w:r>
          </w:p>
        </w:tc>
        <w:tc>
          <w:tcPr>
            <w:tcW w:w="580" w:type="dxa"/>
            <w:vAlign w:val="bottom"/>
          </w:tcPr>
          <w:p>
            <w:pPr>
              <w:spacing w:after="0"/>
              <w:rPr>
                <w:sz w:val="20"/>
                <w:szCs w:val="20"/>
                <w:color w:val="auto"/>
              </w:rPr>
            </w:pPr>
          </w:p>
        </w:tc>
      </w:tr>
      <w:tr>
        <w:trPr>
          <w:trHeight w:val="214"/>
        </w:trPr>
        <w:tc>
          <w:tcPr>
            <w:tcW w:w="6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60" w:type="dxa"/>
            <w:vAlign w:val="bottom"/>
            <w:tcBorders>
              <w:bottom w:val="single" w:sz="8" w:color="auto"/>
            </w:tcBorders>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62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Sales Receivables</w:t>
            </w:r>
          </w:p>
        </w:tc>
        <w:tc>
          <w:tcPr>
            <w:tcW w:w="580" w:type="dxa"/>
            <w:vAlign w:val="bottom"/>
            <w:tcBorders>
              <w:bottom w:val="single" w:sz="8" w:color="auto"/>
            </w:tcBorders>
          </w:tcPr>
          <w:p>
            <w:pPr>
              <w:spacing w:after="0"/>
              <w:rPr>
                <w:sz w:val="18"/>
                <w:szCs w:val="18"/>
                <w:color w:val="auto"/>
              </w:rPr>
            </w:pPr>
          </w:p>
        </w:tc>
      </w:tr>
      <w:tr>
        <w:trPr>
          <w:trHeight w:val="22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60" w:type="dxa"/>
            <w:vAlign w:val="bottom"/>
            <w:shd w:val="clear" w:color="auto" w:fill="CFF0FC"/>
          </w:tcPr>
          <w:p>
            <w:pPr>
              <w:jc w:val="right"/>
              <w:ind w:right="148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14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915</w:t>
            </w:r>
          </w:p>
        </w:tc>
      </w:tr>
      <w:tr>
        <w:trPr>
          <w:trHeight w:val="229"/>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w:t>
            </w:r>
          </w:p>
        </w:tc>
        <w:tc>
          <w:tcPr>
            <w:tcW w:w="16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6,574</w:t>
            </w:r>
          </w:p>
        </w:tc>
      </w:tr>
      <w:tr>
        <w:trPr>
          <w:trHeight w:val="229"/>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6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9"/>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Recoveries</w:t>
            </w:r>
          </w:p>
        </w:tc>
        <w:tc>
          <w:tcPr>
            <w:tcW w:w="166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6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r>
      <w:tr>
        <w:trPr>
          <w:trHeight w:val="222"/>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60" w:type="dxa"/>
            <w:vAlign w:val="bottom"/>
            <w:tcBorders>
              <w:bottom w:val="single" w:sz="8" w:color="auto"/>
            </w:tcBorders>
          </w:tcPr>
          <w:p>
            <w:pPr>
              <w:jc w:val="right"/>
              <w:ind w:right="148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tcPr>
          <w:p>
            <w:pPr>
              <w:spacing w:after="0"/>
              <w:rPr>
                <w:sz w:val="19"/>
                <w:szCs w:val="19"/>
                <w:color w:val="auto"/>
              </w:rPr>
            </w:pPr>
          </w:p>
        </w:tc>
        <w:tc>
          <w:tcPr>
            <w:tcW w:w="1620" w:type="dxa"/>
            <w:vAlign w:val="bottom"/>
            <w:tcBorders>
              <w:bottom w:val="single" w:sz="8" w:color="auto"/>
            </w:tcBorders>
          </w:tcPr>
          <w:p>
            <w:pPr>
              <w:jc w:val="right"/>
              <w:ind w:right="14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7,274</w:t>
            </w:r>
          </w:p>
        </w:tc>
      </w:tr>
      <w:tr>
        <w:trPr>
          <w:trHeight w:val="20"/>
        </w:trPr>
        <w:tc>
          <w:tcPr>
            <w:tcW w:w="6660" w:type="dxa"/>
            <w:vAlign w:val="bottom"/>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38"/>
        </w:trPr>
        <w:tc>
          <w:tcPr>
            <w:tcW w:w="6660" w:type="dxa"/>
            <w:vAlign w:val="bottom"/>
          </w:tcPr>
          <w:p>
            <w:pPr>
              <w:spacing w:after="0"/>
              <w:rPr>
                <w:sz w:val="24"/>
                <w:szCs w:val="24"/>
                <w:color w:val="auto"/>
              </w:rPr>
            </w:pPr>
          </w:p>
        </w:tc>
        <w:tc>
          <w:tcPr>
            <w:tcW w:w="400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580" w:type="dxa"/>
            <w:vAlign w:val="bottom"/>
            <w:tcBorders>
              <w:bottom w:val="single" w:sz="8" w:color="auto"/>
            </w:tcBorders>
          </w:tcPr>
          <w:p>
            <w:pPr>
              <w:spacing w:after="0"/>
              <w:rPr>
                <w:sz w:val="24"/>
                <w:szCs w:val="24"/>
                <w:color w:val="auto"/>
              </w:rPr>
            </w:pPr>
          </w:p>
        </w:tc>
      </w:tr>
      <w:tr>
        <w:trPr>
          <w:trHeight w:val="237"/>
        </w:trPr>
        <w:tc>
          <w:tcPr>
            <w:tcW w:w="6660" w:type="dxa"/>
            <w:vAlign w:val="bottom"/>
          </w:tcPr>
          <w:p>
            <w:pPr>
              <w:spacing w:after="0"/>
              <w:rPr>
                <w:sz w:val="20"/>
                <w:szCs w:val="20"/>
                <w:color w:val="auto"/>
              </w:rPr>
            </w:pPr>
          </w:p>
        </w:tc>
        <w:tc>
          <w:tcPr>
            <w:tcW w:w="166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Net Financed</w:t>
            </w:r>
          </w:p>
        </w:tc>
        <w:tc>
          <w:tcPr>
            <w:tcW w:w="580" w:type="dxa"/>
            <w:vAlign w:val="bottom"/>
          </w:tcPr>
          <w:p>
            <w:pPr>
              <w:spacing w:after="0"/>
              <w:rPr>
                <w:sz w:val="20"/>
                <w:szCs w:val="20"/>
                <w:color w:val="auto"/>
              </w:rPr>
            </w:pPr>
          </w:p>
        </w:tc>
      </w:tr>
      <w:tr>
        <w:trPr>
          <w:trHeight w:val="214"/>
        </w:trPr>
        <w:tc>
          <w:tcPr>
            <w:tcW w:w="6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60" w:type="dxa"/>
            <w:vAlign w:val="bottom"/>
            <w:tcBorders>
              <w:bottom w:val="single" w:sz="8" w:color="auto"/>
            </w:tcBorders>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62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Sales Receivables</w:t>
            </w:r>
          </w:p>
        </w:tc>
        <w:tc>
          <w:tcPr>
            <w:tcW w:w="580" w:type="dxa"/>
            <w:vAlign w:val="bottom"/>
            <w:tcBorders>
              <w:bottom w:val="single" w:sz="8" w:color="auto"/>
            </w:tcBorders>
          </w:tcPr>
          <w:p>
            <w:pPr>
              <w:spacing w:after="0"/>
              <w:rPr>
                <w:sz w:val="18"/>
                <w:szCs w:val="18"/>
                <w:color w:val="auto"/>
              </w:rPr>
            </w:pPr>
          </w:p>
        </w:tc>
      </w:tr>
      <w:tr>
        <w:trPr>
          <w:trHeight w:val="22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60" w:type="dxa"/>
            <w:vAlign w:val="bottom"/>
            <w:shd w:val="clear" w:color="auto" w:fill="CFF0FC"/>
          </w:tcPr>
          <w:p>
            <w:pPr>
              <w:jc w:val="right"/>
              <w:ind w:right="148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14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839</w:t>
            </w:r>
          </w:p>
        </w:tc>
      </w:tr>
      <w:tr>
        <w:trPr>
          <w:trHeight w:val="229"/>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Charge-offs</w:t>
            </w:r>
          </w:p>
        </w:tc>
        <w:tc>
          <w:tcPr>
            <w:tcW w:w="166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Recoveries</w:t>
            </w:r>
          </w:p>
        </w:tc>
        <w:tc>
          <w:tcPr>
            <w:tcW w:w="16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w:t>
            </w:r>
          </w:p>
        </w:tc>
        <w:tc>
          <w:tcPr>
            <w:tcW w:w="166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r>
      <w:tr>
        <w:trPr>
          <w:trHeight w:val="222"/>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60" w:type="dxa"/>
            <w:vAlign w:val="bottom"/>
            <w:tcBorders>
              <w:top w:val="single" w:sz="8" w:color="auto"/>
              <w:bottom w:val="single" w:sz="8" w:color="auto"/>
            </w:tcBorders>
            <w:shd w:val="clear" w:color="auto" w:fill="CFF0FC"/>
          </w:tcPr>
          <w:p>
            <w:pPr>
              <w:jc w:val="right"/>
              <w:ind w:right="148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ind w:right="14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915</w:t>
            </w:r>
          </w:p>
        </w:tc>
      </w:tr>
      <w:tr>
        <w:trPr>
          <w:trHeight w:val="20"/>
        </w:trPr>
        <w:tc>
          <w:tcPr>
            <w:tcW w:w="66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2020, the Company recorded a provision for current expected credit losses of $7.0 million reflecting a reduction in the credit quality of its theater related financing receivables, which management believes is primarily related to the COVID-19 global pandemic and adequately addresses the risk of not collecting these receivables in full.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 2).</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Variable Consideration Receivable</w:t>
      </w:r>
    </w:p>
    <w:p>
      <w:pPr>
        <w:spacing w:after="0" w:line="186"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140"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ability of the Company to collect its variable consideration receivables is heavily dependent on the viability and solvency of individual theater operators which is significantly influenced by consumer behavior and general economic conditions. Theater operators may experience financial difficulties, such as those imposed by the COVID-19 global pandemic, that could cause them to be unable to fulfill their payment obligations to the Company.</w:t>
      </w:r>
    </w:p>
    <w:p>
      <w:pPr>
        <w:spacing w:after="0" w:line="149"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develops its estimate of credit losses by class of receivable and customer type through a calculation utilizing historical loss rates for financed sale receivables which are then adjusted for specific receivables that are judged to have a higher than normal risk profile after taking into account management’s internal credit quality classifications, as well as macro-economic and industry risk factors.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related to Variable Consideration Receivables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0" w:type="dxa"/>
            <w:vAlign w:val="bottom"/>
          </w:tcPr>
          <w:p>
            <w:pPr>
              <w:spacing w:after="0"/>
              <w:rPr>
                <w:sz w:val="1"/>
                <w:szCs w:val="1"/>
                <w:color w:val="auto"/>
              </w:rPr>
            </w:pPr>
          </w:p>
        </w:tc>
      </w:tr>
      <w:tr>
        <w:trPr>
          <w:trHeight w:val="130"/>
        </w:trPr>
        <w:tc>
          <w:tcPr>
            <w:tcW w:w="89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tcPr>
          <w:p>
            <w:pPr>
              <w:jc w:val="center"/>
              <w:ind w:right="136"/>
              <w:spacing w:after="0" w:line="131" w:lineRule="exact"/>
              <w:rPr>
                <w:sz w:val="20"/>
                <w:szCs w:val="20"/>
                <w:color w:val="auto"/>
              </w:rPr>
            </w:pPr>
            <w:r>
              <w:rPr>
                <w:rFonts w:ascii="Times New Roman" w:cs="Times New Roman" w:eastAsia="Times New Roman" w:hAnsi="Times New Roman"/>
                <w:sz w:val="14"/>
                <w:szCs w:val="14"/>
                <w:b w:val="1"/>
                <w:bCs w:val="1"/>
                <w:color w:val="auto"/>
              </w:rPr>
              <w:t>Theater</w:t>
            </w:r>
          </w:p>
        </w:tc>
        <w:tc>
          <w:tcPr>
            <w:tcW w:w="0" w:type="dxa"/>
            <w:vAlign w:val="bottom"/>
          </w:tcPr>
          <w:p>
            <w:pPr>
              <w:spacing w:after="0"/>
              <w:rPr>
                <w:sz w:val="1"/>
                <w:szCs w:val="1"/>
                <w:color w:val="auto"/>
              </w:rPr>
            </w:pPr>
          </w:p>
        </w:tc>
      </w:tr>
      <w:tr>
        <w:trPr>
          <w:trHeight w:val="173"/>
        </w:trPr>
        <w:tc>
          <w:tcPr>
            <w:tcW w:w="8960" w:type="dxa"/>
            <w:vAlign w:val="bottom"/>
            <w:tcBorders>
              <w:bottom w:val="single" w:sz="8" w:color="CFF0FC"/>
            </w:tcBorders>
            <w:vMerge w:val="continue"/>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0" w:type="dxa"/>
            <w:vAlign w:val="bottom"/>
          </w:tcPr>
          <w:p>
            <w:pPr>
              <w:spacing w:after="0"/>
              <w:rPr>
                <w:sz w:val="1"/>
                <w:szCs w:val="1"/>
                <w:color w:val="auto"/>
              </w:rPr>
            </w:pPr>
          </w:p>
        </w:tc>
      </w:tr>
      <w:tr>
        <w:trPr>
          <w:trHeight w:val="222"/>
        </w:trPr>
        <w:tc>
          <w:tcPr>
            <w:tcW w:w="8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29"/>
        </w:trPr>
        <w:tc>
          <w:tcPr>
            <w:tcW w:w="8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1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2"/>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2020, the Company recorded a provision of $1.9 million for current expected credit losses, reflecting a reduction in the credit quality of its theater related Variable Consideration Receivables, which management believes is primarily related to the COVID-19 global pandemic and adequately addresses the risk of not collecting these receivables in full.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 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 Arrangements</w:t>
      </w:r>
    </w:p>
    <w:p>
      <w:pPr>
        <w:spacing w:after="0" w:line="18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On January 1, 2019, the Company adopted ASC Topic 842, “Leases,” utilizing the modified retrospective transition method and elected not to recast comparative prior year periods. Accordingly, comparative amounts for periods prior to January 1, 2019 are presented in accordance with the previous guidance in ASC Topic 840 or other applicable standards.</w:t>
      </w:r>
    </w:p>
    <w:p>
      <w:pPr>
        <w:spacing w:after="0" w:line="136"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elected the package of practical expedients available under the transition provisions of ASC Topic 842, including (i) not reassessing whether expired or existing contracts contain leases, (ii) not reassessing previous lease classification, and (iii) not revaluing initial direct costs for existing leases. The Company did not elect the land easements and the use of hindsight practical expedients in determining the lease term for existing leases. ASC Topic 842 also provides practical expedients for an entity’s ongoing accounting. The Company has elected the short-term lease recognition exemption. As a result, for qualifying leases with a term of less than 12 months, the Company does not recognize right-of-use assets or lease liabilities. The Company also elected the practical expedient to not separate lease and non-lease components for all its leases regardless of whether the Company is the lessee or a lessor.</w:t>
      </w:r>
    </w:p>
    <w:p>
      <w:pPr>
        <w:spacing w:after="0" w:line="157" w:lineRule="exact"/>
        <w:rPr>
          <w:sz w:val="20"/>
          <w:szCs w:val="20"/>
          <w:color w:val="auto"/>
        </w:rPr>
      </w:pPr>
    </w:p>
    <w:p>
      <w:pPr>
        <w:jc w:val="both"/>
        <w:ind w:firstLine="224"/>
        <w:spacing w:after="0" w:line="272" w:lineRule="auto"/>
        <w:rPr>
          <w:sz w:val="20"/>
          <w:szCs w:val="20"/>
          <w:color w:val="auto"/>
        </w:rPr>
      </w:pPr>
      <w:r>
        <w:rPr>
          <w:rFonts w:ascii="Times New Roman" w:cs="Times New Roman" w:eastAsia="Times New Roman" w:hAnsi="Times New Roman"/>
          <w:sz w:val="17"/>
          <w:szCs w:val="17"/>
          <w:color w:val="auto"/>
        </w:rPr>
        <w:t>For situations where the Company is a lessee, the adoption of ASC Topic 842 on January 1, 2019 resulted in the recording an increase to net lease assets and lease liabilities of approximately $17.4 million. This amount consists of gross right-of-use assets and lease liabilities of $20.0 million, while unamortized lease incentives, prepaid expenses, and other accruals of $2.6 million were reclassified from accrued liabilities to partially offset the applicable right-of-use asset. The adoption of ASC Topic 842 did not change the lease classification for situations when the Company is a lessee. As a result, these leases continued to be classified as operating leases similar to the previous guidance under ASC Topic 840. For situations where the Company is a lessor, the adoption of ASC Topic 842 on January 1, 2019 did not result in any material changes to the Company’s accounting when compared to the previous guidance under ASC Topic 840. The adoption of ASC Topic 842 did not materially impact the Company’s net earnings and had no impact on its cash flows.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4" w:name="page105"/>
    <w:bookmarkEnd w:id="104"/>
    <w:p>
      <w:pPr>
        <w:ind w:left="240"/>
        <w:spacing w:after="0"/>
        <w:rPr>
          <w:sz w:val="20"/>
          <w:szCs w:val="20"/>
          <w:color w:val="auto"/>
        </w:rPr>
      </w:pPr>
      <w:r>
        <w:rPr>
          <w:rFonts w:ascii="Times New Roman" w:cs="Times New Roman" w:eastAsia="Times New Roman" w:hAnsi="Times New Roman"/>
          <w:sz w:val="18"/>
          <w:szCs w:val="18"/>
          <w:i w:val="1"/>
          <w:iCs w:val="1"/>
          <w:color w:val="auto"/>
        </w:rPr>
        <w:t>IMAX Corporation as a Lessee</w:t>
      </w:r>
    </w:p>
    <w:p>
      <w:pPr>
        <w:spacing w:after="0" w:line="199" w:lineRule="exact"/>
        <w:rPr>
          <w:sz w:val="20"/>
          <w:szCs w:val="20"/>
          <w:color w:val="auto"/>
        </w:rPr>
      </w:pPr>
    </w:p>
    <w:p>
      <w:pPr>
        <w:jc w:val="both"/>
        <w:ind w:firstLine="224"/>
        <w:spacing w:after="0" w:line="270" w:lineRule="auto"/>
        <w:rPr>
          <w:sz w:val="20"/>
          <w:szCs w:val="20"/>
          <w:color w:val="auto"/>
        </w:rPr>
      </w:pPr>
      <w:r>
        <w:rPr>
          <w:rFonts w:ascii="Times New Roman" w:cs="Times New Roman" w:eastAsia="Times New Roman" w:hAnsi="Times New Roman"/>
          <w:sz w:val="17"/>
          <w:szCs w:val="17"/>
          <w:color w:val="auto"/>
        </w:rPr>
        <w:t>The Company’s operating lease arrangements principally involve office and warehouse space. Office equipment is generally purchased outright. Leases with an initial term of less than 12 months are not recorded on the Consolidated Balance Sheets and the related lease expense is recognized on a straight-line basis over the lease term.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 The incremental borrowing rate used in the calculation of the Company’s lease liability is based on the location of each leased property. None of the Company’s leases include options to purchase the leased property. The depreciable lives of right-of-use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w:t>
      </w:r>
    </w:p>
    <w:p>
      <w:pPr>
        <w:spacing w:after="0" w:line="135"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2020 and 2019, the components of lease expense recorded within Selling, General and Administrative expenses are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r>
      <w:tr>
        <w:trPr>
          <w:trHeight w:val="209"/>
        </w:trPr>
        <w:tc>
          <w:tcPr>
            <w:tcW w:w="46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15"/>
                <w:szCs w:val="15"/>
                <w:color w:val="auto"/>
              </w:rPr>
              <w:t>(1)</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540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850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4,863</w:t>
            </w:r>
          </w:p>
        </w:tc>
      </w:tr>
      <w:tr>
        <w:trPr>
          <w:trHeight w:val="229"/>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440" w:type="dxa"/>
            <w:vAlign w:val="bottom"/>
          </w:tcPr>
          <w:p>
            <w:pPr>
              <w:spacing w:after="0"/>
              <w:rPr>
                <w:sz w:val="19"/>
                <w:szCs w:val="19"/>
                <w:color w:val="auto"/>
              </w:rPr>
            </w:pPr>
          </w:p>
        </w:tc>
        <w:tc>
          <w:tcPr>
            <w:tcW w:w="1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3,114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2,370</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1,052</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1,102</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4,706</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4,322</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4,863</w:t>
            </w:r>
          </w:p>
        </w:tc>
      </w:tr>
      <w:tr>
        <w:trPr>
          <w:trHeight w:val="20"/>
        </w:trPr>
        <w:tc>
          <w:tcPr>
            <w:tcW w:w="14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9"/>
        </w:trPr>
        <w:tc>
          <w:tcPr>
            <w:tcW w:w="1460" w:type="dxa"/>
            <w:vAlign w:val="bottom"/>
            <w:tcBorders>
              <w:bottom w:val="single" w:sz="8" w:color="auto"/>
            </w:tcBorders>
          </w:tcPr>
          <w:p>
            <w:pPr>
              <w:spacing w:after="0"/>
              <w:rPr>
                <w:sz w:val="18"/>
                <w:szCs w:val="18"/>
                <w:color w:val="auto"/>
              </w:rPr>
            </w:pPr>
          </w:p>
        </w:tc>
        <w:tc>
          <w:tcPr>
            <w:tcW w:w="3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r>
    </w:tbl>
    <w:p>
      <w:pPr>
        <w:spacing w:after="0" w:line="197"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rent expense associated with short-term leases and variable lease costs, which are not significant for the years ended December 31, 2020 and</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w:t>
      </w:r>
    </w:p>
    <w:p>
      <w:pPr>
        <w:spacing w:after="0" w:line="1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the years ended December 31, 2020 and 2019, supplemental cash and non-cash information related to leases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40" w:type="dxa"/>
            <w:vAlign w:val="bottom"/>
            <w:tcBorders>
              <w:bottom w:val="single" w:sz="8" w:color="auto"/>
            </w:tcBorders>
          </w:tcPr>
          <w:p>
            <w:pPr>
              <w:spacing w:after="0"/>
              <w:rPr>
                <w:sz w:val="15"/>
                <w:szCs w:val="15"/>
                <w:color w:val="auto"/>
              </w:rPr>
            </w:pPr>
          </w:p>
        </w:tc>
      </w:tr>
      <w:tr>
        <w:trPr>
          <w:trHeight w:val="209"/>
        </w:trPr>
        <w:tc>
          <w:tcPr>
            <w:tcW w:w="61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2"/>
        </w:trPr>
        <w:tc>
          <w:tcPr>
            <w:tcW w:w="61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3,743</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3,607</w:t>
            </w:r>
          </w:p>
        </w:tc>
      </w:tr>
      <w:tr>
        <w:trPr>
          <w:trHeight w:val="234"/>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140" w:type="dxa"/>
            <w:vAlign w:val="bottom"/>
            <w:gridSpan w:val="2"/>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563</w:t>
            </w:r>
          </w:p>
        </w:tc>
        <w:tc>
          <w:tcPr>
            <w:tcW w:w="920" w:type="dxa"/>
            <w:vAlign w:val="bottom"/>
            <w:gridSpan w:val="2"/>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17,147</w:t>
            </w:r>
          </w:p>
        </w:tc>
      </w:tr>
      <w:tr>
        <w:trPr>
          <w:trHeight w:val="130"/>
        </w:trPr>
        <w:tc>
          <w:tcPr>
            <w:tcW w:w="1460" w:type="dxa"/>
            <w:vAlign w:val="bottom"/>
            <w:tcBorders>
              <w:bottom w:val="single" w:sz="8" w:color="auto"/>
            </w:tcBorders>
          </w:tcPr>
          <w:p>
            <w:pPr>
              <w:spacing w:after="0"/>
              <w:rPr>
                <w:sz w:val="11"/>
                <w:szCs w:val="11"/>
                <w:color w:val="auto"/>
              </w:rPr>
            </w:pPr>
          </w:p>
        </w:tc>
        <w:tc>
          <w:tcPr>
            <w:tcW w:w="4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tcPr>
          <w:p>
            <w:pPr>
              <w:spacing w:after="0"/>
              <w:rPr>
                <w:sz w:val="11"/>
                <w:szCs w:val="1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Mainly includes right-of-use assets recognized upon the adoption of ASC Topic 842 “Leases”.</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the years ended December 31, 2020 and 2019, supplemental balance sheet information related to leases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22"/>
        </w:trPr>
        <w:tc>
          <w:tcPr>
            <w:tcW w:w="2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50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2"/>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Right-of-Use-Assets</w:t>
            </w:r>
          </w:p>
        </w:tc>
        <w:tc>
          <w:tcPr>
            <w:tcW w:w="5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13,911</w:t>
            </w:r>
          </w:p>
        </w:tc>
        <w:tc>
          <w:tcPr>
            <w:tcW w:w="18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16,262</w:t>
            </w:r>
          </w:p>
        </w:tc>
      </w:tr>
      <w:tr>
        <w:trPr>
          <w:trHeight w:val="229"/>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00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5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16,634</w:t>
            </w:r>
          </w:p>
        </w:tc>
        <w:tc>
          <w:tcPr>
            <w:tcW w:w="180" w:type="dxa"/>
            <w:vAlign w:val="bottom"/>
          </w:tcPr>
          <w:p>
            <w:pPr>
              <w:spacing w:after="0"/>
              <w:rPr>
                <w:sz w:val="20"/>
                <w:szCs w:val="20"/>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18,677</w:t>
            </w:r>
          </w:p>
        </w:tc>
      </w:tr>
    </w:tbl>
    <w:p>
      <w:pPr>
        <w:spacing w:after="0" w:line="2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the years ended December 31, 2020 and 2019, the weighted-average remaining lease term and weighted-average interest rate associated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operating leases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86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7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0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Borders>
              <w:top w:val="single" w:sz="8" w:color="CFF0FC"/>
            </w:tcBorders>
            <w:shd w:val="clear" w:color="auto" w:fill="CFF0FC"/>
          </w:tcPr>
          <w:p>
            <w:pPr>
              <w:spacing w:after="0"/>
              <w:rPr>
                <w:sz w:val="19"/>
                <w:szCs w:val="19"/>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642"/>
        </w:trPr>
        <w:tc>
          <w:tcPr>
            <w:tcW w:w="7640" w:type="dxa"/>
            <w:vAlign w:val="bottom"/>
          </w:tcPr>
          <w:p>
            <w:pPr>
              <w:jc w:val="right"/>
              <w:ind w:right="1795"/>
              <w:spacing w:after="0"/>
              <w:rPr>
                <w:sz w:val="20"/>
                <w:szCs w:val="20"/>
                <w:color w:val="auto"/>
              </w:rPr>
            </w:pPr>
            <w:r>
              <w:rPr>
                <w:rFonts w:ascii="Times New Roman" w:cs="Times New Roman" w:eastAsia="Times New Roman" w:hAnsi="Times New Roman"/>
                <w:sz w:val="18"/>
                <w:szCs w:val="18"/>
                <w:color w:val="auto"/>
              </w:rPr>
              <w:t>105</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76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05" w:name="page106"/>
    <w:bookmarkEnd w:id="105"/>
    <w:p>
      <w:pPr>
        <w:ind w:left="240"/>
        <w:spacing w:after="0"/>
        <w:rPr>
          <w:sz w:val="20"/>
          <w:szCs w:val="20"/>
          <w:color w:val="auto"/>
        </w:rPr>
      </w:pPr>
      <w:r>
        <w:rPr>
          <w:rFonts w:ascii="Times New Roman" w:cs="Times New Roman" w:eastAsia="Times New Roman" w:hAnsi="Times New Roman"/>
          <w:sz w:val="18"/>
          <w:szCs w:val="18"/>
          <w:color w:val="auto"/>
        </w:rPr>
        <w:t>As of December 31, 2020, the maturities of the Company’s operating lease liabilities are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22"/>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3,398</w:t>
            </w:r>
          </w:p>
        </w:tc>
      </w:tr>
      <w:tr>
        <w:trPr>
          <w:trHeight w:val="229"/>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9"/>
                <w:szCs w:val="19"/>
                <w:color w:val="auto"/>
              </w:rPr>
            </w:pPr>
          </w:p>
        </w:tc>
        <w:tc>
          <w:tcPr>
            <w:tcW w:w="1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2,942</w:t>
            </w:r>
          </w:p>
        </w:tc>
      </w:tr>
      <w:tr>
        <w:trPr>
          <w:trHeight w:val="22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2,299</w:t>
            </w:r>
          </w:p>
        </w:tc>
      </w:tr>
      <w:tr>
        <w:trPr>
          <w:trHeight w:val="229"/>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9"/>
                <w:szCs w:val="19"/>
                <w:color w:val="auto"/>
              </w:rPr>
            </w:pPr>
          </w:p>
        </w:tc>
        <w:tc>
          <w:tcPr>
            <w:tcW w:w="1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2,236</w:t>
            </w:r>
          </w:p>
        </w:tc>
      </w:tr>
      <w:tr>
        <w:trPr>
          <w:trHeight w:val="22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2,082</w:t>
            </w:r>
          </w:p>
        </w:tc>
      </w:tr>
      <w:tr>
        <w:trPr>
          <w:trHeight w:val="229"/>
        </w:trPr>
        <w:tc>
          <w:tcPr>
            <w:tcW w:w="9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8,022</w:t>
            </w:r>
          </w:p>
        </w:tc>
      </w:tr>
      <w:tr>
        <w:trPr>
          <w:trHeight w:val="222"/>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20,979</w:t>
            </w:r>
          </w:p>
        </w:tc>
      </w:tr>
      <w:tr>
        <w:trPr>
          <w:trHeight w:val="229"/>
        </w:trPr>
        <w:tc>
          <w:tcPr>
            <w:tcW w:w="9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22"/>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16,634</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IMAX Corporation as a Lessor</w:t>
      </w:r>
    </w:p>
    <w:p>
      <w:pPr>
        <w:spacing w:after="0" w:line="186"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The Company provides IMAX Theater Systems to customers through long-term lease arrangements that for accounting purposes are classified as sales-type leases. Under these arrangements, in exchange for providing the IMAX Theater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3(n).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Theater System commencing on the date specified in the arrangement’s shipping terms and ending on the date the IMAX Theater System is returned to the Company.</w:t>
      </w:r>
    </w:p>
    <w:p>
      <w:pPr>
        <w:spacing w:after="0" w:line="168"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The Company provides IMAX Theater Systems to customers through joint revenue sharing arrangements. Under the traditional form of these arrangements, in exchange for providing the IMAX Theater System under a long-term lease, the Company earns rent based on a percentage of contingent box office receipts and, in some cases, concession revenues, rather than requiring the customer to pay a fixed upfront fee or annual minimum payments. Under certain other joint revenue sharing arrangements, knowns as hybrid arrangements, the customer is responsible for making fixed upfront payments prior to the delivery and installation of the IMAX Theater System.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the IMAX Theater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Theater System commencing on the date specified in the arrangement’s shipping terms and ending on the date the IMAX Theater System is returned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7. Variable Consideration from Contracts with Customers</w:t>
      </w:r>
    </w:p>
    <w:p>
      <w:pPr>
        <w:spacing w:after="0" w:line="201"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arrangement for the sale of an IMAX Theater System includes indexed minimum payment increases over the term of the arrangement, as well as the potential for additional payments owed by the customer if certain minimum box office receipt thresholds are exceeded. In addition, hybrid sales arrangements include amounts owed by the customer based on a percentage of their box office receipts over the term of the arrangement. These contract provisions are considered to be variable consideration under ASC Topic 606. An estimate of the present value of such variable consideration is recognized as revenue upon the transfer of control of the IMAX Theater System to the customer, subject to constraints to ensure that there is not a risk of significant revenue reversal. This estimate is based on management’s box office projections for the individual theater, which are developed using historical data for the theater and, if necessary, comparable theaters and territories.</w:t>
      </w:r>
    </w:p>
    <w:p>
      <w:pPr>
        <w:spacing w:after="0" w:line="144"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recognition of variable consideration involves a significant amount of judgment. Variable consideration is recognized subject to appropriate constraints to avoid a significant reversal of revenue in future periods. The Company reviews its variable consideration assets on at least a quarterly basis. ASC Topic 606, “Revenue from Contracts with Customers,” identifies several examples of situations when constraining variable consideration is appropriate:</w:t>
      </w:r>
    </w:p>
    <w:p>
      <w:pPr>
        <w:spacing w:after="0" w:line="140" w:lineRule="exact"/>
        <w:rPr>
          <w:sz w:val="20"/>
          <w:szCs w:val="20"/>
          <w:color w:val="auto"/>
        </w:rPr>
      </w:pPr>
    </w:p>
    <w:p>
      <w:pPr>
        <w:ind w:left="960" w:hanging="360"/>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consideration is highly susceptible to factors outside the entity’s influence;</w:t>
      </w:r>
    </w:p>
    <w:p>
      <w:pPr>
        <w:spacing w:after="0" w:line="183" w:lineRule="exact"/>
        <w:rPr>
          <w:rFonts w:ascii="Times New Roman" w:cs="Times New Roman" w:eastAsia="Times New Roman" w:hAnsi="Times New Roman"/>
          <w:sz w:val="18"/>
          <w:szCs w:val="18"/>
          <w:color w:val="auto"/>
        </w:rPr>
      </w:pPr>
    </w:p>
    <w:p>
      <w:pPr>
        <w:ind w:left="960" w:hanging="360"/>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about the amount of consideration is not expected to be resolved for a long period of time;</w:t>
      </w:r>
    </w:p>
    <w:p>
      <w:pPr>
        <w:spacing w:after="0" w:line="183" w:lineRule="exact"/>
        <w:rPr>
          <w:rFonts w:ascii="Times New Roman" w:cs="Times New Roman" w:eastAsia="Times New Roman" w:hAnsi="Times New Roman"/>
          <w:sz w:val="18"/>
          <w:szCs w:val="18"/>
          <w:color w:val="auto"/>
        </w:rPr>
      </w:pPr>
    </w:p>
    <w:p>
      <w:pPr>
        <w:ind w:left="960" w:hanging="360"/>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experience (or other evidence) with similar types of contracts is limited, or that experience has limited predictive value; and</w:t>
      </w:r>
    </w:p>
    <w:p>
      <w:pPr>
        <w:spacing w:after="0" w:line="183" w:lineRule="exact"/>
        <w:rPr>
          <w:rFonts w:ascii="Times New Roman" w:cs="Times New Roman" w:eastAsia="Times New Roman" w:hAnsi="Times New Roman"/>
          <w:sz w:val="18"/>
          <w:szCs w:val="18"/>
          <w:color w:val="auto"/>
        </w:rPr>
      </w:pPr>
    </w:p>
    <w:p>
      <w:pPr>
        <w:ind w:left="960" w:hanging="360"/>
        <w:spacing w:after="0" w:line="281"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practice of either offering a broad range of price concessions or changing the payment terms and conditions of similar contracts in similar circumstances</w:t>
      </w:r>
    </w:p>
    <w:p>
      <w:pPr>
        <w:spacing w:after="0" w:line="121"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Variable consideration related to indexed minimum payment increases is outside of the Company’s control, but the movement in the rates is historically well documented and economic trends in inflation are easily accessible. For each contract subject to an indexed minimum payment increase, the Company estimates the most likely amount using published indices. The amount of the estimated minimum payment increase is then recorded at its present value as of the date of recognition using the customer’s implied borrowing rate.</w:t>
      </w:r>
    </w:p>
    <w:p>
      <w:pPr>
        <w:spacing w:after="0" w:line="154"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Variable consideration related to the level of the customer’s box office receipts is outside of the Company’s control as it is dependent upon the commercial success of film content in future periods. The Company tracks numerous performance statistics for box office performance in regions worldwide and applies its understanding of these theater markets to estimate the most likely amount of variable consideration to be earned over the term of the arrangement. The Company then applies a constraint to this estimate by reducing the projection by a percentage factor for theaters or markets with no or limited historical box office experience. In cases where direct historical experience can be observed, average experience, eliminating significant outliers, is used. The resulting amount of variable consideration is then recorded at its present value as of the date of recognition using a risk-weighted discount rate.</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variable consideration from contracts with customers for the year ended December 31, 2020: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Variable Consideration Receivable from</w:t>
            </w:r>
          </w:p>
        </w:tc>
      </w:tr>
      <w:tr>
        <w:trPr>
          <w:trHeight w:val="173"/>
        </w:trPr>
        <w:tc>
          <w:tcPr>
            <w:tcW w:w="846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Contracts with customers</w:t>
            </w:r>
          </w:p>
        </w:tc>
      </w:tr>
      <w:tr>
        <w:trPr>
          <w:trHeight w:val="202"/>
        </w:trPr>
        <w:tc>
          <w:tcPr>
            <w:tcW w:w="8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80" w:type="dxa"/>
            <w:vAlign w:val="bottom"/>
            <w:tcBorders>
              <w:bottom w:val="single" w:sz="8" w:color="CFF0FC"/>
            </w:tcBorders>
            <w:shd w:val="clear" w:color="auto" w:fill="CFF0FC"/>
          </w:tcPr>
          <w:p>
            <w:pPr>
              <w:spacing w:after="0"/>
              <w:rPr>
                <w:sz w:val="17"/>
                <w:szCs w:val="17"/>
                <w:color w:val="auto"/>
              </w:rPr>
            </w:pPr>
          </w:p>
        </w:tc>
        <w:tc>
          <w:tcPr>
            <w:tcW w:w="2700" w:type="dxa"/>
            <w:vAlign w:val="bottom"/>
            <w:tcBorders>
              <w:bottom w:val="single" w:sz="8" w:color="CFF0FC"/>
            </w:tcBorders>
            <w:shd w:val="clear" w:color="auto" w:fill="CFF0FC"/>
          </w:tcPr>
          <w:p>
            <w:pPr>
              <w:spacing w:after="0"/>
              <w:rPr>
                <w:sz w:val="17"/>
                <w:szCs w:val="17"/>
                <w:color w:val="auto"/>
              </w:rPr>
            </w:pPr>
          </w:p>
        </w:tc>
      </w:t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40,040</w:t>
            </w:r>
          </w:p>
        </w:tc>
      </w:tr>
      <w:tr>
        <w:trPr>
          <w:trHeight w:val="229"/>
        </w:trPr>
        <w:tc>
          <w:tcPr>
            <w:tcW w:w="8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consideration for newly recognized sales</w:t>
            </w:r>
          </w:p>
        </w:tc>
        <w:tc>
          <w:tcPr>
            <w:tcW w:w="80" w:type="dxa"/>
            <w:vAlign w:val="bottom"/>
            <w:shd w:val="clear" w:color="auto" w:fill="CFF0FC"/>
          </w:tcPr>
          <w:p>
            <w:pPr>
              <w:spacing w:after="0"/>
              <w:rPr>
                <w:sz w:val="19"/>
                <w:szCs w:val="19"/>
                <w:color w:val="auto"/>
              </w:rPr>
            </w:pPr>
          </w:p>
        </w:tc>
        <w:tc>
          <w:tcPr>
            <w:tcW w:w="27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5,550</w:t>
            </w:r>
          </w:p>
        </w:tc>
      </w:t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Accretion to finance income</w:t>
            </w:r>
          </w:p>
        </w:tc>
        <w:tc>
          <w:tcPr>
            <w:tcW w:w="80" w:type="dxa"/>
            <w:vAlign w:val="bottom"/>
          </w:tcPr>
          <w:p>
            <w:pPr>
              <w:spacing w:after="0"/>
              <w:rPr>
                <w:sz w:val="19"/>
                <w:szCs w:val="19"/>
                <w:color w:val="auto"/>
              </w:rPr>
            </w:pPr>
          </w:p>
        </w:tc>
        <w:tc>
          <w:tcPr>
            <w:tcW w:w="2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2,133</w:t>
            </w:r>
          </w:p>
        </w:tc>
      </w:tr>
      <w:tr>
        <w:trPr>
          <w:trHeight w:val="229"/>
        </w:trPr>
        <w:tc>
          <w:tcPr>
            <w:tcW w:w="8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Transferred to receivables from variable consideration assets</w:t>
            </w:r>
          </w:p>
        </w:tc>
        <w:tc>
          <w:tcPr>
            <w:tcW w:w="80" w:type="dxa"/>
            <w:vAlign w:val="bottom"/>
            <w:shd w:val="clear" w:color="auto" w:fill="CFF0FC"/>
          </w:tcPr>
          <w:p>
            <w:pPr>
              <w:spacing w:after="0"/>
              <w:rPr>
                <w:sz w:val="19"/>
                <w:szCs w:val="19"/>
                <w:color w:val="auto"/>
              </w:rPr>
            </w:pP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(5,310)</w:t>
            </w:r>
          </w:p>
        </w:tc>
      </w:tr>
      <w:tr>
        <w:trPr>
          <w:trHeight w:val="229"/>
        </w:trPr>
        <w:tc>
          <w:tcPr>
            <w:tcW w:w="8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Allowance for credit losses (see Note 5)</w:t>
            </w:r>
          </w:p>
        </w:tc>
        <w:tc>
          <w:tcPr>
            <w:tcW w:w="8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r>
      <w:tr>
        <w:trPr>
          <w:trHeight w:val="222"/>
        </w:trPr>
        <w:tc>
          <w:tcPr>
            <w:tcW w:w="8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7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40,526</w:t>
            </w:r>
          </w:p>
        </w:tc>
      </w:tr>
      <w:tr>
        <w:trPr>
          <w:trHeight w:val="20"/>
        </w:trPr>
        <w:tc>
          <w:tcPr>
            <w:tcW w:w="8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8. Inventories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740" w:type="dxa"/>
            <w:vAlign w:val="bottom"/>
            <w:tcBorders>
              <w:bottom w:val="single" w:sz="8" w:color="CFF0FC"/>
            </w:tcBorders>
            <w:vMerge w:val="continue"/>
          </w:tcPr>
          <w:p>
            <w:pPr>
              <w:spacing w:after="0"/>
              <w:rPr>
                <w:sz w:val="13"/>
                <w:szCs w:val="13"/>
                <w:color w:val="auto"/>
              </w:rPr>
            </w:pPr>
          </w:p>
        </w:tc>
        <w:tc>
          <w:tcPr>
            <w:tcW w:w="29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5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2"/>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9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30,096</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26,538</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3,014</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4,608</w:t>
            </w: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9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6,470</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11,843</w:t>
            </w:r>
          </w:p>
        </w:tc>
        <w:tc>
          <w:tcPr>
            <w:tcW w:w="0" w:type="dxa"/>
            <w:vAlign w:val="bottom"/>
          </w:tcPr>
          <w:p>
            <w:pPr>
              <w:spacing w:after="0"/>
              <w:rPr>
                <w:sz w:val="1"/>
                <w:szCs w:val="1"/>
                <w:color w:val="auto"/>
              </w:rPr>
            </w:pPr>
          </w:p>
        </w:tc>
      </w:tr>
      <w:tr>
        <w:trPr>
          <w:trHeight w:val="222"/>
        </w:trPr>
        <w:tc>
          <w:tcPr>
            <w:tcW w:w="47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39,580</w:t>
            </w:r>
          </w:p>
        </w:tc>
        <w:tc>
          <w:tcPr>
            <w:tcW w:w="180" w:type="dxa"/>
            <w:vAlign w:val="bottom"/>
          </w:tcPr>
          <w:p>
            <w:pPr>
              <w:spacing w:after="0"/>
              <w:rPr>
                <w:sz w:val="19"/>
                <w:szCs w:val="19"/>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42,989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At December 31, 2020, inventories include finished goods of $2.1 million (December 31, 2019 — $0.7 million) for which title had passed to the customer, but the criteria for revenue recognition were not met as of the balance sheet date.</w:t>
      </w:r>
    </w:p>
    <w:p>
      <w:pPr>
        <w:spacing w:after="0" w:line="135"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2020, the Company recognized write-downs of $3.6 million (December 31, 2019 — $0.4 million), for excess and obsolete inventory based on current estimates of net realizable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Film Assets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240" w:type="dxa"/>
            <w:vAlign w:val="bottom"/>
            <w:tcBorders>
              <w:bottom w:val="single" w:sz="8" w:color="CFF0FC"/>
            </w:tcBorders>
            <w:vMerge w:val="continue"/>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5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2"/>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Completed and released films, net of accumulated amortization of</w:t>
            </w:r>
          </w:p>
        </w:tc>
        <w:tc>
          <w:tcPr>
            <w:tcW w:w="14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2,678</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7,193</w:t>
            </w:r>
          </w:p>
        </w:tc>
        <w:tc>
          <w:tcPr>
            <w:tcW w:w="0" w:type="dxa"/>
            <w:vAlign w:val="bottom"/>
          </w:tcPr>
          <w:p>
            <w:pPr>
              <w:spacing w:after="0"/>
              <w:rPr>
                <w:sz w:val="1"/>
                <w:szCs w:val="1"/>
                <w:color w:val="auto"/>
              </w:rPr>
            </w:pPr>
          </w:p>
        </w:tc>
      </w:tr>
      <w:tr>
        <w:trPr>
          <w:trHeight w:val="229"/>
        </w:trPr>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$201,832 (2019 ― $192,999)</w:t>
            </w: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Films in production</w:t>
            </w:r>
          </w:p>
        </w:tc>
        <w:tc>
          <w:tcPr>
            <w:tcW w:w="1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4,250</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Films in development</w:t>
            </w:r>
          </w:p>
        </w:tc>
        <w:tc>
          <w:tcPr>
            <w:tcW w:w="14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2,904</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6,478</w:t>
            </w:r>
          </w:p>
        </w:tc>
        <w:tc>
          <w:tcPr>
            <w:tcW w:w="0" w:type="dxa"/>
            <w:vAlign w:val="bottom"/>
          </w:tcPr>
          <w:p>
            <w:pPr>
              <w:spacing w:after="0"/>
              <w:rPr>
                <w:sz w:val="1"/>
                <w:szCs w:val="1"/>
                <w:color w:val="auto"/>
              </w:rPr>
            </w:pPr>
          </w:p>
        </w:tc>
      </w:tr>
      <w:tr>
        <w:trPr>
          <w:trHeight w:val="222"/>
        </w:trPr>
        <w:tc>
          <w:tcPr>
            <w:tcW w:w="62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5,777</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17,921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 expects to amortize film costs of $5.3 million for released films within three years from December 31, 2020 (December 31, 2019 — $11.4 million), including $4.4 million (December 31, 2019 — $7.3 million) related to completed films that are expected to be amortized within the next year. In certain film arrangements, the Company co-produces a film with a third party with the third party retaining certain rights to the film. The amount of participation payments owed to third parties related to co-produced films at December 31, 2020, is $2.7 million (2019 — $1.6 million) and is recorded on the Consolidated Balance Sheets within Accrued and Other Liabilities.</w:t>
      </w:r>
    </w:p>
    <w:p>
      <w:pPr>
        <w:spacing w:after="0" w:line="15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2020, the Company recorded impairment losses of $10.8 million (December 31, 2019 — $1.4 million) principally to write-down the carrying value of certain documentary, alternative content film assets and DMR related film assets due to a decrease in projected box office totals and related revenues based on management’s regular quarterly recoverability assessments.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10. Property, Plant and Equipment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237"/>
        </w:trPr>
        <w:tc>
          <w:tcPr>
            <w:tcW w:w="1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Net Book</w:t>
            </w:r>
          </w:p>
        </w:tc>
      </w:tr>
      <w:tr>
        <w:trPr>
          <w:trHeight w:val="214"/>
        </w:trPr>
        <w:tc>
          <w:tcPr>
            <w:tcW w:w="45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8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2"/>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leased or held for use:</w:t>
            </w:r>
          </w:p>
        </w:tc>
        <w:tc>
          <w:tcPr>
            <w:tcW w:w="1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29"/>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Theater system components</w:t>
            </w:r>
            <w:r>
              <w:rPr>
                <w:rFonts w:ascii="Times New Roman" w:cs="Times New Roman" w:eastAsia="Times New Roman" w:hAnsi="Times New Roman"/>
                <w:sz w:val="15"/>
                <w:szCs w:val="15"/>
                <w:color w:val="auto"/>
              </w:rPr>
              <w:t>(1)(2)(3)</w:t>
            </w:r>
          </w:p>
        </w:tc>
        <w:tc>
          <w:tcPr>
            <w:tcW w:w="22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337,271</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158,647</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178,624</w:t>
            </w:r>
          </w:p>
        </w:tc>
      </w:tr>
      <w:tr>
        <w:trPr>
          <w:trHeight w:val="229"/>
        </w:trPr>
        <w:tc>
          <w:tcPr>
            <w:tcW w:w="4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Camera equipment</w:t>
            </w:r>
          </w:p>
        </w:tc>
        <w:tc>
          <w:tcPr>
            <w:tcW w:w="18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5,399</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4,653</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746</w:t>
            </w:r>
          </w:p>
        </w:tc>
      </w:tr>
      <w:tr>
        <w:trPr>
          <w:trHeight w:val="222"/>
        </w:trPr>
        <w:tc>
          <w:tcPr>
            <w:tcW w:w="1460" w:type="dxa"/>
            <w:vAlign w:val="bottom"/>
            <w:tcBorders>
              <w:bottom w:val="single" w:sz="8" w:color="CFF0FC"/>
            </w:tcBorders>
          </w:tcPr>
          <w:p>
            <w:pPr>
              <w:spacing w:after="0"/>
              <w:rPr>
                <w:sz w:val="19"/>
                <w:szCs w:val="19"/>
                <w:color w:val="auto"/>
              </w:rPr>
            </w:pPr>
          </w:p>
        </w:tc>
        <w:tc>
          <w:tcPr>
            <w:tcW w:w="3120" w:type="dxa"/>
            <w:vAlign w:val="bottom"/>
            <w:tcBorders>
              <w:bottom w:val="single" w:sz="8" w:color="CFF0FC"/>
            </w:tcBorders>
          </w:tcPr>
          <w:p>
            <w:pPr>
              <w:spacing w:after="0"/>
              <w:rPr>
                <w:sz w:val="19"/>
                <w:szCs w:val="19"/>
                <w:color w:val="auto"/>
              </w:rPr>
            </w:pPr>
          </w:p>
        </w:tc>
        <w:tc>
          <w:tcPr>
            <w:tcW w:w="18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342,670</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163,300</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179,370</w:t>
            </w:r>
          </w:p>
        </w:tc>
      </w:tr>
      <w:tr>
        <w:trPr>
          <w:trHeight w:val="222"/>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under construction</w:t>
            </w:r>
            <w:r>
              <w:rPr>
                <w:rFonts w:ascii="Times New Roman" w:cs="Times New Roman" w:eastAsia="Times New Roman" w:hAnsi="Times New Roman"/>
                <w:sz w:val="15"/>
                <w:szCs w:val="15"/>
                <w:color w:val="auto"/>
              </w:rPr>
              <w:t>(4)</w:t>
            </w:r>
          </w:p>
        </w:tc>
        <w:tc>
          <w:tcPr>
            <w:tcW w:w="1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5,660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5,660</w:t>
            </w: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r>
              <w:rPr>
                <w:rFonts w:ascii="Times New Roman" w:cs="Times New Roman" w:eastAsia="Times New Roman" w:hAnsi="Times New Roman"/>
                <w:sz w:val="15"/>
                <w:szCs w:val="15"/>
                <w:color w:val="auto"/>
              </w:rPr>
              <w:t>(5)</w:t>
            </w:r>
          </w:p>
        </w:tc>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15,553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1,642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13,911</w:t>
            </w:r>
          </w:p>
        </w:tc>
      </w:tr>
      <w:tr>
        <w:trPr>
          <w:trHeight w:val="229"/>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1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29"/>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8,203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8,203</w:t>
            </w:r>
          </w:p>
        </w:tc>
      </w:tr>
      <w:tr>
        <w:trPr>
          <w:trHeight w:val="229"/>
        </w:trPr>
        <w:tc>
          <w:tcPr>
            <w:tcW w:w="4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Buildings</w:t>
            </w:r>
          </w:p>
        </w:tc>
        <w:tc>
          <w:tcPr>
            <w:tcW w:w="1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80,875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25,921</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54,954</w:t>
            </w:r>
          </w:p>
        </w:tc>
      </w:tr>
      <w:tr>
        <w:trPr>
          <w:trHeight w:val="229"/>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Office and production equipment</w:t>
            </w:r>
            <w:r>
              <w:rPr>
                <w:rFonts w:ascii="Times New Roman" w:cs="Times New Roman" w:eastAsia="Times New Roman" w:hAnsi="Times New Roman"/>
                <w:sz w:val="15"/>
                <w:szCs w:val="15"/>
                <w:color w:val="auto"/>
              </w:rPr>
              <w:t>(6)</w:t>
            </w:r>
          </w:p>
        </w:tc>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40,362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29,156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11,206</w:t>
            </w:r>
          </w:p>
        </w:tc>
      </w:tr>
      <w:tr>
        <w:trPr>
          <w:trHeight w:val="229"/>
        </w:trPr>
        <w:tc>
          <w:tcPr>
            <w:tcW w:w="4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Leasehold improvements</w:t>
            </w:r>
          </w:p>
        </w:tc>
        <w:tc>
          <w:tcPr>
            <w:tcW w:w="18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8,061</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3,968</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4,093</w:t>
            </w:r>
          </w:p>
        </w:tc>
      </w:tr>
      <w:tr>
        <w:trPr>
          <w:trHeight w:val="222"/>
        </w:trPr>
        <w:tc>
          <w:tcPr>
            <w:tcW w:w="1460" w:type="dxa"/>
            <w:vAlign w:val="bottom"/>
            <w:tcBorders>
              <w:bottom w:val="single" w:sz="8" w:color="CFF0FC"/>
            </w:tcBorders>
          </w:tcPr>
          <w:p>
            <w:pPr>
              <w:spacing w:after="0"/>
              <w:rPr>
                <w:sz w:val="19"/>
                <w:szCs w:val="19"/>
                <w:color w:val="auto"/>
              </w:rPr>
            </w:pPr>
          </w:p>
        </w:tc>
        <w:tc>
          <w:tcPr>
            <w:tcW w:w="3120" w:type="dxa"/>
            <w:vAlign w:val="bottom"/>
            <w:tcBorders>
              <w:bottom w:val="single" w:sz="8" w:color="CFF0FC"/>
            </w:tcBorders>
          </w:tcPr>
          <w:p>
            <w:pPr>
              <w:spacing w:after="0"/>
              <w:rPr>
                <w:sz w:val="19"/>
                <w:szCs w:val="19"/>
                <w:color w:val="auto"/>
              </w:rPr>
            </w:pPr>
          </w:p>
        </w:tc>
        <w:tc>
          <w:tcPr>
            <w:tcW w:w="18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137,501</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59,045</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78,456</w:t>
            </w:r>
          </w:p>
        </w:tc>
      </w:tr>
      <w:tr>
        <w:trPr>
          <w:trHeight w:val="222"/>
        </w:trPr>
        <w:tc>
          <w:tcPr>
            <w:tcW w:w="1460" w:type="dxa"/>
            <w:vAlign w:val="bottom"/>
            <w:tcBorders>
              <w:bottom w:val="single" w:sz="8" w:color="CFF0FC"/>
            </w:tcBorders>
            <w:shd w:val="clear" w:color="auto" w:fill="CFF0FC"/>
          </w:tcPr>
          <w:p>
            <w:pPr>
              <w:spacing w:after="0"/>
              <w:rPr>
                <w:sz w:val="19"/>
                <w:szCs w:val="19"/>
                <w:color w:val="auto"/>
              </w:rPr>
            </w:pPr>
          </w:p>
        </w:tc>
        <w:tc>
          <w:tcPr>
            <w:tcW w:w="312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501,384</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223,987</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277,397</w:t>
            </w:r>
          </w:p>
        </w:tc>
      </w:tr>
      <w:tr>
        <w:trPr>
          <w:trHeight w:val="20"/>
        </w:trPr>
        <w:tc>
          <w:tcPr>
            <w:tcW w:w="1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38"/>
        </w:trPr>
        <w:tc>
          <w:tcPr>
            <w:tcW w:w="1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37"/>
        </w:trPr>
        <w:tc>
          <w:tcPr>
            <w:tcW w:w="1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Net Book</w:t>
            </w:r>
          </w:p>
        </w:tc>
      </w:tr>
      <w:tr>
        <w:trPr>
          <w:trHeight w:val="214"/>
        </w:trPr>
        <w:tc>
          <w:tcPr>
            <w:tcW w:w="45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8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2"/>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leased or held for use:</w:t>
            </w:r>
          </w:p>
        </w:tc>
        <w:tc>
          <w:tcPr>
            <w:tcW w:w="1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29"/>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Theater system components</w:t>
            </w:r>
            <w:r>
              <w:rPr>
                <w:rFonts w:ascii="Times New Roman" w:cs="Times New Roman" w:eastAsia="Times New Roman" w:hAnsi="Times New Roman"/>
                <w:sz w:val="15"/>
                <w:szCs w:val="15"/>
                <w:color w:val="auto"/>
              </w:rPr>
              <w:t>(1)(2)(3)</w:t>
            </w:r>
          </w:p>
        </w:tc>
        <w:tc>
          <w:tcPr>
            <w:tcW w:w="22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322,492</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133,739</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188,753</w:t>
            </w:r>
          </w:p>
        </w:tc>
      </w:tr>
      <w:tr>
        <w:trPr>
          <w:trHeight w:val="229"/>
        </w:trPr>
        <w:tc>
          <w:tcPr>
            <w:tcW w:w="4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Camera equipment</w:t>
            </w:r>
          </w:p>
        </w:tc>
        <w:tc>
          <w:tcPr>
            <w:tcW w:w="18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5,192</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4,239</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953</w:t>
            </w:r>
          </w:p>
        </w:tc>
      </w:tr>
      <w:tr>
        <w:trPr>
          <w:trHeight w:val="222"/>
        </w:trPr>
        <w:tc>
          <w:tcPr>
            <w:tcW w:w="1460" w:type="dxa"/>
            <w:vAlign w:val="bottom"/>
            <w:tcBorders>
              <w:bottom w:val="single" w:sz="8" w:color="CFF0FC"/>
            </w:tcBorders>
          </w:tcPr>
          <w:p>
            <w:pPr>
              <w:spacing w:after="0"/>
              <w:rPr>
                <w:sz w:val="19"/>
                <w:szCs w:val="19"/>
                <w:color w:val="auto"/>
              </w:rPr>
            </w:pPr>
          </w:p>
        </w:tc>
        <w:tc>
          <w:tcPr>
            <w:tcW w:w="3120" w:type="dxa"/>
            <w:vAlign w:val="bottom"/>
            <w:tcBorders>
              <w:bottom w:val="single" w:sz="8" w:color="CFF0FC"/>
            </w:tcBorders>
          </w:tcPr>
          <w:p>
            <w:pPr>
              <w:spacing w:after="0"/>
              <w:rPr>
                <w:sz w:val="19"/>
                <w:szCs w:val="19"/>
                <w:color w:val="auto"/>
              </w:rPr>
            </w:pPr>
          </w:p>
        </w:tc>
        <w:tc>
          <w:tcPr>
            <w:tcW w:w="18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327,684</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137,978</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189,706</w:t>
            </w:r>
          </w:p>
        </w:tc>
      </w:tr>
      <w:tr>
        <w:trPr>
          <w:trHeight w:val="222"/>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under construction</w:t>
            </w:r>
            <w:r>
              <w:rPr>
                <w:rFonts w:ascii="Times New Roman" w:cs="Times New Roman" w:eastAsia="Times New Roman" w:hAnsi="Times New Roman"/>
                <w:sz w:val="15"/>
                <w:szCs w:val="15"/>
                <w:color w:val="auto"/>
              </w:rPr>
              <w:t>(4)</w:t>
            </w:r>
          </w:p>
        </w:tc>
        <w:tc>
          <w:tcPr>
            <w:tcW w:w="1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14,483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14,483</w:t>
            </w: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r>
              <w:rPr>
                <w:rFonts w:ascii="Times New Roman" w:cs="Times New Roman" w:eastAsia="Times New Roman" w:hAnsi="Times New Roman"/>
                <w:sz w:val="15"/>
                <w:szCs w:val="15"/>
                <w:color w:val="auto"/>
              </w:rPr>
              <w:t>(5)</w:t>
            </w:r>
          </w:p>
        </w:tc>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17,147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885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16,262</w:t>
            </w:r>
          </w:p>
        </w:tc>
      </w:tr>
      <w:tr>
        <w:trPr>
          <w:trHeight w:val="229"/>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1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29"/>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8,203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8,203</w:t>
            </w:r>
          </w:p>
        </w:tc>
      </w:tr>
      <w:tr>
        <w:trPr>
          <w:trHeight w:val="229"/>
        </w:trPr>
        <w:tc>
          <w:tcPr>
            <w:tcW w:w="4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Buildings</w:t>
            </w:r>
          </w:p>
        </w:tc>
        <w:tc>
          <w:tcPr>
            <w:tcW w:w="1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80,850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22,931</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57,919</w:t>
            </w:r>
          </w:p>
        </w:tc>
      </w:tr>
      <w:tr>
        <w:trPr>
          <w:trHeight w:val="229"/>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Office and production equipment</w:t>
            </w:r>
            <w:r>
              <w:rPr>
                <w:rFonts w:ascii="Times New Roman" w:cs="Times New Roman" w:eastAsia="Times New Roman" w:hAnsi="Times New Roman"/>
                <w:sz w:val="15"/>
                <w:szCs w:val="15"/>
                <w:color w:val="auto"/>
              </w:rPr>
              <w:t>(6)</w:t>
            </w:r>
          </w:p>
        </w:tc>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41,673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25,654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16,019</w:t>
            </w:r>
          </w:p>
        </w:tc>
      </w:tr>
      <w:tr>
        <w:trPr>
          <w:trHeight w:val="229"/>
        </w:trPr>
        <w:tc>
          <w:tcPr>
            <w:tcW w:w="4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Leasehold improvements</w:t>
            </w:r>
          </w:p>
        </w:tc>
        <w:tc>
          <w:tcPr>
            <w:tcW w:w="18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7,614</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3,357</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4,257</w:t>
            </w:r>
          </w:p>
        </w:tc>
      </w:tr>
      <w:tr>
        <w:trPr>
          <w:trHeight w:val="222"/>
        </w:trPr>
        <w:tc>
          <w:tcPr>
            <w:tcW w:w="1460" w:type="dxa"/>
            <w:vAlign w:val="bottom"/>
            <w:tcBorders>
              <w:bottom w:val="single" w:sz="8" w:color="CFF0FC"/>
            </w:tcBorders>
          </w:tcPr>
          <w:p>
            <w:pPr>
              <w:spacing w:after="0"/>
              <w:rPr>
                <w:sz w:val="19"/>
                <w:szCs w:val="19"/>
                <w:color w:val="auto"/>
              </w:rPr>
            </w:pPr>
          </w:p>
        </w:tc>
        <w:tc>
          <w:tcPr>
            <w:tcW w:w="3120" w:type="dxa"/>
            <w:vAlign w:val="bottom"/>
            <w:tcBorders>
              <w:bottom w:val="single" w:sz="8" w:color="CFF0FC"/>
            </w:tcBorders>
          </w:tcPr>
          <w:p>
            <w:pPr>
              <w:spacing w:after="0"/>
              <w:rPr>
                <w:sz w:val="19"/>
                <w:szCs w:val="19"/>
                <w:color w:val="auto"/>
              </w:rPr>
            </w:pPr>
          </w:p>
        </w:tc>
        <w:tc>
          <w:tcPr>
            <w:tcW w:w="18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138,340</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51,942</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86,398</w:t>
            </w:r>
          </w:p>
        </w:tc>
      </w:tr>
      <w:tr>
        <w:trPr>
          <w:trHeight w:val="222"/>
        </w:trPr>
        <w:tc>
          <w:tcPr>
            <w:tcW w:w="1460" w:type="dxa"/>
            <w:vAlign w:val="bottom"/>
            <w:tcBorders>
              <w:bottom w:val="single" w:sz="8" w:color="CFF0FC"/>
            </w:tcBorders>
            <w:shd w:val="clear" w:color="auto" w:fill="CFF0FC"/>
          </w:tcPr>
          <w:p>
            <w:pPr>
              <w:spacing w:after="0"/>
              <w:rPr>
                <w:sz w:val="19"/>
                <w:szCs w:val="19"/>
                <w:color w:val="auto"/>
              </w:rPr>
            </w:pPr>
          </w:p>
        </w:tc>
        <w:tc>
          <w:tcPr>
            <w:tcW w:w="312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497,654</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190,805</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306,849</w:t>
            </w:r>
          </w:p>
        </w:tc>
      </w:tr>
      <w:tr>
        <w:trPr>
          <w:trHeight w:val="20"/>
        </w:trPr>
        <w:tc>
          <w:tcPr>
            <w:tcW w:w="1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29"/>
        </w:trPr>
        <w:tc>
          <w:tcPr>
            <w:tcW w:w="1460" w:type="dxa"/>
            <w:vAlign w:val="bottom"/>
            <w:tcBorders>
              <w:bottom w:val="single" w:sz="8" w:color="auto"/>
            </w:tcBorders>
          </w:tcPr>
          <w:p>
            <w:pPr>
              <w:spacing w:after="0"/>
              <w:rPr>
                <w:sz w:val="11"/>
                <w:szCs w:val="11"/>
                <w:color w:val="auto"/>
              </w:rPr>
            </w:pPr>
          </w:p>
        </w:tc>
        <w:tc>
          <w:tcPr>
            <w:tcW w:w="31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r>
    </w:tbl>
    <w:p>
      <w:pPr>
        <w:spacing w:after="0" w:line="197" w:lineRule="exact"/>
        <w:rPr>
          <w:sz w:val="20"/>
          <w:szCs w:val="20"/>
          <w:color w:val="auto"/>
        </w:rPr>
      </w:pPr>
    </w:p>
    <w:p>
      <w:pPr>
        <w:ind w:left="380" w:hanging="372"/>
        <w:spacing w:after="0" w:line="281"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theater system components are assets with costs of $7.6 million (2019 — $7.6 million) and accumulated depreciation of $6.8 million (2019 — $6.7 million) that are leased to customers under operating leases.</w:t>
      </w:r>
    </w:p>
    <w:p>
      <w:pPr>
        <w:spacing w:after="0" w:line="121"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theater system components are assets with costs of $315.4 million (2019—$297.4 million) and accumulated depreciation of $144.7 million (2019 — $121.3 million) that are used in joint revenue sharing arrangements.</w:t>
      </w:r>
    </w:p>
    <w:p>
      <w:pPr>
        <w:spacing w:after="0" w:line="121" w:lineRule="exact"/>
        <w:rPr>
          <w:rFonts w:ascii="Times New Roman" w:cs="Times New Roman" w:eastAsia="Times New Roman" w:hAnsi="Times New Roman"/>
          <w:sz w:val="18"/>
          <w:szCs w:val="18"/>
          <w:color w:val="auto"/>
        </w:rPr>
      </w:pPr>
    </w:p>
    <w:p>
      <w:pPr>
        <w:jc w:val="both"/>
        <w:ind w:left="380" w:right="20" w:hanging="372"/>
        <w:spacing w:after="0" w:line="265"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Company recorded a charge of $1.8 million (2019 — $2.2 million; 2018 — $0.6 million) in Costs and Expenses Applicable to Technology Rentals principally related to the write-down of leased xenon-based digital systems which were taken out of service in connection with customer upgrades to laser-based digital systems.</w:t>
      </w:r>
    </w:p>
    <w:p>
      <w:pPr>
        <w:spacing w:after="0" w:line="135" w:lineRule="exact"/>
        <w:rPr>
          <w:rFonts w:ascii="Times New Roman" w:cs="Times New Roman" w:eastAsia="Times New Roman" w:hAnsi="Times New Roman"/>
          <w:sz w:val="18"/>
          <w:szCs w:val="18"/>
          <w:color w:val="auto"/>
        </w:rPr>
      </w:pPr>
    </w:p>
    <w:p>
      <w:pPr>
        <w:ind w:left="380" w:right="20" w:hanging="372"/>
        <w:spacing w:after="0" w:line="281"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assets under construction are components with costs of $5.3 million (2019 — $13.2 million) that will be utilized to construct assets to be used in joint revenue sharing arrangements.</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right-of-use assets mainly include operating leases for office and warehouse storage space.</w:t>
      </w:r>
    </w:p>
    <w:p>
      <w:pPr>
        <w:spacing w:after="0" w:line="183"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amortized office and production equipment is still in use by the Company. In 2020, the Company identified and wrote off $0.9 million (2019 — $4.9 million) of office and production equipment that is no longer in use and fully amortized.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09" w:name="page110"/>
    <w:bookmarkEnd w:id="109"/>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In 2020, the Company recorded a charge of $0.2 million (2019 — $0.2 million; 2018 — $0.8 million) reflecting Property, Plant and Equipment that were no longer in use.</w:t>
      </w:r>
    </w:p>
    <w:p>
      <w:pPr>
        <w:spacing w:after="0" w:line="135"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addition, as a result of the Company’s restructuring activities in 2018, certain long-lived assets were deemed to be impaired as the Company’s exit from certain activities limited the future revenue associated with these assets. In 2018, the Company recognized property, plant and equipment charges of $3.7 million. No such charge was recorded in the years ended 2020 and 2019.</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580" w:type="dxa"/>
            <w:vAlign w:val="bottom"/>
            <w:tcBorders>
              <w:bottom w:val="single" w:sz="8" w:color="CFF0FC"/>
            </w:tcBorders>
            <w:gridSpan w:val="2"/>
            <w:vMerge w:val="continue"/>
          </w:tcPr>
          <w:p>
            <w:pPr>
              <w:spacing w:after="0"/>
              <w:rPr>
                <w:sz w:val="13"/>
                <w:szCs w:val="13"/>
                <w:color w:val="auto"/>
              </w:rPr>
            </w:pPr>
          </w:p>
        </w:tc>
        <w:tc>
          <w:tcPr>
            <w:tcW w:w="20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9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2"/>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incentives provided to theaters</w:t>
            </w:r>
          </w:p>
        </w:tc>
        <w:tc>
          <w:tcPr>
            <w:tcW w:w="20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15,651</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19,125</w:t>
            </w:r>
          </w:p>
        </w:tc>
        <w:tc>
          <w:tcPr>
            <w:tcW w:w="0" w:type="dxa"/>
            <w:vAlign w:val="bottom"/>
          </w:tcPr>
          <w:p>
            <w:pPr>
              <w:spacing w:after="0"/>
              <w:rPr>
                <w:sz w:val="1"/>
                <w:szCs w:val="1"/>
                <w:color w:val="auto"/>
              </w:rPr>
            </w:pPr>
          </w:p>
        </w:tc>
      </w:tr>
      <w:tr>
        <w:trPr>
          <w:trHeight w:val="229"/>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Commissions and other deferred selling expenses</w:t>
            </w:r>
          </w:p>
        </w:tc>
        <w:tc>
          <w:tcPr>
            <w:tcW w:w="2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2,608</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investments</w:t>
            </w:r>
            <w:r>
              <w:rPr>
                <w:rFonts w:ascii="Times New Roman" w:cs="Times New Roman" w:eastAsia="Times New Roman" w:hAnsi="Times New Roman"/>
                <w:sz w:val="15"/>
                <w:szCs w:val="15"/>
                <w:color w:val="auto"/>
              </w:rPr>
              <w:t>(1)</w:t>
            </w:r>
          </w:p>
        </w:tc>
        <w:tc>
          <w:tcPr>
            <w:tcW w:w="20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29"/>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content</w:t>
            </w:r>
            <w:r>
              <w:rPr>
                <w:rFonts w:ascii="Times New Roman" w:cs="Times New Roman" w:eastAsia="Times New Roman" w:hAnsi="Times New Roman"/>
                <w:sz w:val="15"/>
                <w:szCs w:val="15"/>
                <w:color w:val="auto"/>
              </w:rPr>
              <w:t>(2)</w:t>
            </w:r>
          </w:p>
        </w:tc>
        <w:tc>
          <w:tcPr>
            <w:tcW w:w="2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0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1,979</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435</w:t>
            </w:r>
          </w:p>
        </w:tc>
        <w:tc>
          <w:tcPr>
            <w:tcW w:w="2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22"/>
        </w:trPr>
        <w:tc>
          <w:tcPr>
            <w:tcW w:w="1460" w:type="dxa"/>
            <w:vAlign w:val="bottom"/>
            <w:tcBorders>
              <w:bottom w:val="single" w:sz="8" w:color="CFF0FC"/>
            </w:tcBorders>
            <w:shd w:val="clear" w:color="auto" w:fill="CFF0FC"/>
          </w:tcPr>
          <w:p>
            <w:pPr>
              <w:spacing w:after="0"/>
              <w:rPr>
                <w:sz w:val="19"/>
                <w:szCs w:val="19"/>
                <w:color w:val="auto"/>
              </w:rPr>
            </w:pPr>
          </w:p>
        </w:tc>
        <w:tc>
          <w:tcPr>
            <w:tcW w:w="4120" w:type="dxa"/>
            <w:vAlign w:val="bottom"/>
            <w:tcBorders>
              <w:bottom w:val="single" w:sz="8" w:color="CFF0FC"/>
            </w:tcBorders>
            <w:shd w:val="clear" w:color="auto" w:fill="CFF0FC"/>
          </w:tcPr>
          <w:p>
            <w:pPr>
              <w:spacing w:after="0"/>
              <w:rPr>
                <w:sz w:val="19"/>
                <w:szCs w:val="19"/>
                <w:color w:val="auto"/>
              </w:rPr>
            </w:pPr>
          </w:p>
        </w:tc>
        <w:tc>
          <w:tcPr>
            <w:tcW w:w="20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21,673</w:t>
            </w:r>
          </w:p>
        </w:tc>
        <w:tc>
          <w:tcPr>
            <w:tcW w:w="2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25,034</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460" w:type="dxa"/>
            <w:vAlign w:val="bottom"/>
            <w:tcBorders>
              <w:bottom w:val="single" w:sz="8" w:color="auto"/>
            </w:tcBorders>
          </w:tcPr>
          <w:p>
            <w:pPr>
              <w:spacing w:after="0"/>
              <w:rPr>
                <w:sz w:val="10"/>
                <w:szCs w:val="10"/>
                <w:color w:val="auto"/>
              </w:rPr>
            </w:pPr>
          </w:p>
        </w:tc>
        <w:tc>
          <w:tcPr>
            <w:tcW w:w="4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80" w:hanging="372"/>
        <w:spacing w:after="0" w:line="281" w:lineRule="auto"/>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Company recorded a $1.5 million permanent impairment related to its investment in a debt security, which is recorded within Equity in (Losses) Income of Investees, Net of Tax in the Company’s Consolidated Statements of Operations.</w:t>
      </w:r>
    </w:p>
    <w:p>
      <w:pPr>
        <w:spacing w:after="0" w:line="134"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Company recorded $1.2 million (2019 —$nil) in write-downs of other assets, of which $1.0 million relates to the write-down of certain content-related assets which became impaired during the year.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10" w:name="page111"/>
    <w:bookmarkEnd w:id="110"/>
    <w:p>
      <w:pPr>
        <w:ind w:left="320" w:hanging="312"/>
        <w:spacing w:after="0"/>
        <w:tabs>
          <w:tab w:leader="none" w:pos="3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97" w:lineRule="exact"/>
        <w:rPr>
          <w:rFonts w:ascii="Times New Roman" w:cs="Times New Roman" w:eastAsia="Times New Roman" w:hAnsi="Times New Roman"/>
          <w:sz w:val="18"/>
          <w:szCs w:val="18"/>
          <w:b w:val="1"/>
          <w:bCs w:val="1"/>
          <w:color w:val="auto"/>
        </w:rPr>
      </w:pPr>
    </w:p>
    <w:p>
      <w:pPr>
        <w:ind w:left="580" w:hanging="357"/>
        <w:spacing w:after="0"/>
        <w:tabs>
          <w:tab w:leader="none" w:pos="580" w:val="left"/>
        </w:tabs>
        <w:numPr>
          <w:ilvl w:val="1"/>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(Loss) Income Before Taxes by Jurisdiction</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 income before taxes by tax jurisdiction for the years ended December 31, 2020, 2019 and 2018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480" w:type="dxa"/>
            <w:vAlign w:val="bottom"/>
            <w:tcBorders>
              <w:bottom w:val="single" w:sz="8" w:color="CFF0FC"/>
            </w:tcBorders>
            <w:gridSpan w:val="2"/>
            <w:vMerge w:val="continue"/>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29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(104,166)</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884</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(14,749)</w:t>
            </w:r>
          </w:p>
        </w:tc>
        <w:tc>
          <w:tcPr>
            <w:tcW w:w="0" w:type="dxa"/>
            <w:vAlign w:val="bottom"/>
          </w:tcPr>
          <w:p>
            <w:pPr>
              <w:spacing w:after="0"/>
              <w:rPr>
                <w:sz w:val="1"/>
                <w:szCs w:val="1"/>
                <w:color w:val="auto"/>
              </w:rPr>
            </w:pPr>
          </w:p>
        </w:tc>
      </w:tr>
      <w:tr>
        <w:trPr>
          <w:trHeight w:val="22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51,809</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50,446</w:t>
            </w:r>
          </w:p>
        </w:tc>
        <w:tc>
          <w:tcPr>
            <w:tcW w:w="0" w:type="dxa"/>
            <w:vAlign w:val="bottom"/>
          </w:tcPr>
          <w:p>
            <w:pPr>
              <w:spacing w:after="0"/>
              <w:rPr>
                <w:sz w:val="1"/>
                <w:szCs w:val="1"/>
                <w:color w:val="auto"/>
              </w:rPr>
            </w:pPr>
          </w:p>
        </w:tc>
      </w:tr>
      <w:tr>
        <w:trPr>
          <w:trHeight w:val="22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17,630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8,071</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5,247</w:t>
            </w: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5,916</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(129,124)</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75,336</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43,605</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  Income Tax (Expense) Benefit</w:t>
            </w: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4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440" w:type="dxa"/>
            <w:vAlign w:val="bottom"/>
            <w:gridSpan w:val="9"/>
          </w:tcPr>
          <w:p>
            <w:pPr>
              <w:ind w:left="240"/>
              <w:spacing w:after="0"/>
              <w:rPr>
                <w:sz w:val="20"/>
                <w:szCs w:val="20"/>
                <w:color w:val="auto"/>
              </w:rPr>
            </w:pPr>
            <w:r>
              <w:rPr>
                <w:rFonts w:ascii="Times New Roman" w:cs="Times New Roman" w:eastAsia="Times New Roman" w:hAnsi="Times New Roman"/>
                <w:sz w:val="18"/>
                <w:szCs w:val="18"/>
                <w:color w:val="auto"/>
              </w:rPr>
              <w:t>Income tax (expense) benefit for the years ended December 31, 2020, 2019 and 2018 consists of the following:</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480" w:type="dxa"/>
            <w:vAlign w:val="bottom"/>
            <w:tcBorders>
              <w:bottom w:val="single" w:sz="8" w:color="CFF0FC"/>
            </w:tcBorders>
            <w:gridSpan w:val="2"/>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 - current:</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555</w:t>
            </w:r>
          </w:p>
        </w:tc>
        <w:tc>
          <w:tcPr>
            <w:tcW w:w="48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488</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595</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29"/>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Ireland</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2"/>
        </w:trPr>
        <w:tc>
          <w:tcPr>
            <w:tcW w:w="6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(16,441)</w:t>
            </w:r>
          </w:p>
        </w:tc>
        <w:tc>
          <w:tcPr>
            <w:tcW w:w="0" w:type="dxa"/>
            <w:vAlign w:val="bottom"/>
          </w:tcPr>
          <w:p>
            <w:pPr>
              <w:spacing w:after="0"/>
              <w:rPr>
                <w:sz w:val="1"/>
                <w:szCs w:val="1"/>
                <w:color w:val="auto"/>
              </w:rPr>
            </w:pPr>
          </w:p>
        </w:tc>
      </w:tr>
      <w:tr>
        <w:trPr>
          <w:trHeight w:val="222"/>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 - deferred:</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Canada</w:t>
            </w:r>
            <w:r>
              <w:rPr>
                <w:rFonts w:ascii="Times New Roman" w:cs="Times New Roman" w:eastAsia="Times New Roman" w:hAnsi="Times New Roman"/>
                <w:sz w:val="15"/>
                <w:szCs w:val="15"/>
                <w:color w:val="auto"/>
              </w:rPr>
              <w:t>(1)</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5,993</w:t>
            </w:r>
          </w:p>
        </w:tc>
        <w:tc>
          <w:tcPr>
            <w:tcW w:w="0" w:type="dxa"/>
            <w:vAlign w:val="bottom"/>
          </w:tcPr>
          <w:p>
            <w:pPr>
              <w:spacing w:after="0"/>
              <w:rPr>
                <w:sz w:val="1"/>
                <w:szCs w:val="1"/>
                <w:color w:val="auto"/>
              </w:rPr>
            </w:pPr>
          </w:p>
        </w:tc>
      </w:tr>
      <w:tr>
        <w:trPr>
          <w:trHeight w:val="229"/>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2,386</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China</w:t>
            </w:r>
            <w:r>
              <w:rPr>
                <w:rFonts w:ascii="Times New Roman" w:cs="Times New Roman" w:eastAsia="Times New Roman" w:hAnsi="Times New Roman"/>
                <w:sz w:val="15"/>
                <w:szCs w:val="15"/>
                <w:color w:val="auto"/>
              </w:rPr>
              <w:t>(2)</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(15,756)</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Ireland</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2,161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2"/>
        </w:trPr>
        <w:tc>
          <w:tcPr>
            <w:tcW w:w="648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(23,618)</w:t>
            </w: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6,923</w:t>
            </w:r>
          </w:p>
        </w:tc>
        <w:tc>
          <w:tcPr>
            <w:tcW w:w="0" w:type="dxa"/>
            <w:vAlign w:val="bottom"/>
          </w:tcPr>
          <w:p>
            <w:pPr>
              <w:spacing w:after="0"/>
              <w:rPr>
                <w:sz w:val="1"/>
                <w:szCs w:val="1"/>
                <w:color w:val="auto"/>
              </w:rPr>
            </w:pPr>
          </w:p>
        </w:tc>
      </w:tr>
      <w:tr>
        <w:trPr>
          <w:trHeight w:val="222"/>
        </w:trPr>
        <w:tc>
          <w:tcPr>
            <w:tcW w:w="64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15"/>
                <w:szCs w:val="15"/>
                <w:color w:val="auto"/>
              </w:rPr>
              <w:t>(3)</w:t>
            </w:r>
          </w:p>
        </w:tc>
        <w:tc>
          <w:tcPr>
            <w:tcW w:w="340" w:type="dxa"/>
            <w:vAlign w:val="bottom"/>
            <w:tcBorders>
              <w:bottom w:val="single" w:sz="8" w:color="auto"/>
            </w:tcBorders>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(26,504)</w:t>
            </w: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460" w:type="dxa"/>
            <w:vAlign w:val="bottom"/>
            <w:tcBorders>
              <w:bottom w:val="single" w:sz="8" w:color="auto"/>
            </w:tcBorders>
          </w:tcPr>
          <w:p>
            <w:pPr>
              <w:spacing w:after="0"/>
              <w:rPr>
                <w:sz w:val="11"/>
                <w:szCs w:val="11"/>
                <w:color w:val="auto"/>
              </w:rPr>
            </w:pPr>
          </w:p>
        </w:tc>
        <w:tc>
          <w:tcPr>
            <w:tcW w:w="5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380" w:hanging="372"/>
        <w:spacing w:after="0" w:line="265"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2020, the Company recorded a $28.8 million valuation allowance against its deferred tax assets (2019 — $0.2 million). The valuation allowance was recorded in the jurisdictions where management could not reliably establish that it was more likely than not that the deferred tax assets would be realized, primarily due uncertainty around the long term impact of the COVID-19 global pandemic.</w:t>
      </w:r>
    </w:p>
    <w:p>
      <w:pPr>
        <w:spacing w:after="0" w:line="135" w:lineRule="exact"/>
        <w:rPr>
          <w:rFonts w:ascii="Times New Roman" w:cs="Times New Roman" w:eastAsia="Times New Roman" w:hAnsi="Times New Roman"/>
          <w:sz w:val="18"/>
          <w:szCs w:val="18"/>
          <w:color w:val="auto"/>
        </w:rPr>
      </w:pPr>
    </w:p>
    <w:p>
      <w:pPr>
        <w:jc w:val="both"/>
        <w:ind w:left="380" w:hanging="372"/>
        <w:spacing w:after="0" w:line="257"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the Company recognized a deferred tax liability of $19.1 million for the year for the estimated applicable foreign withholding taxes associated with these historical earnings, which will become payable upon the repatriation of any such earnings.</w:t>
      </w:r>
    </w:p>
    <w:p>
      <w:pPr>
        <w:spacing w:after="0" w:line="144" w:lineRule="exact"/>
        <w:rPr>
          <w:rFonts w:ascii="Times New Roman" w:cs="Times New Roman" w:eastAsia="Times New Roman" w:hAnsi="Times New Roman"/>
          <w:sz w:val="18"/>
          <w:szCs w:val="18"/>
          <w:color w:val="auto"/>
        </w:rPr>
      </w:pPr>
    </w:p>
    <w:p>
      <w:pPr>
        <w:ind w:left="380" w:right="20" w:hanging="372"/>
        <w:spacing w:after="0" w:line="281"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2020, Income Tax (Expense) Benefit includes deferred taxes related to amounts reclassified from Other Comprehensive Income (Loss) of $0.1 million (2019 — $0.4 million; 2018 — $0.3 million).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11" w:name="page112"/>
    <w:bookmarkEnd w:id="111"/>
    <w:p>
      <w:pPr>
        <w:ind w:left="1080" w:hanging="848"/>
        <w:spacing w:after="0"/>
        <w:tabs>
          <w:tab w:leader="none" w:pos="108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Reconciliation of Income Tax Expense to Statutory Rates</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For the years ended December 31, 2020, 2019 and 2018, income tax expense differs from the amount that would have resulted by applying the combined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federal and provincial statutory income tax rates to earnings due to the following factors: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380" w:type="dxa"/>
            <w:vAlign w:val="bottom"/>
            <w:tcBorders>
              <w:bottom w:val="single" w:sz="8" w:color="CFF0FC"/>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 at combined statutory rates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34,218</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(19,964)</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resulting from:</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NCI share of partnership losses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non-deductible/non-includable items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(28,589)</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to tax reserves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1,418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 federal and state taxes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Withholding taxes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at different rates in foreign and other provincial jurisdictions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5,019</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and other tax credits (non-refundable)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1"/>
        </w:trPr>
        <w:tc>
          <w:tcPr>
            <w:tcW w:w="6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to deferred tax assets and liabilities resulting from audit and other tax return</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 in tax benefits resulting from the vesting of share-based compensation</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Impact of changes in enhanced tax rates and other legislation</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(26,504)</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224"/>
        <w:spacing w:after="0" w:line="280" w:lineRule="auto"/>
        <w:rPr>
          <w:sz w:val="20"/>
          <w:szCs w:val="20"/>
          <w:color w:val="auto"/>
        </w:rPr>
      </w:pPr>
      <w:r>
        <w:rPr>
          <w:rFonts w:ascii="Times New Roman" w:cs="Times New Roman" w:eastAsia="Times New Roman" w:hAnsi="Times New Roman"/>
          <w:sz w:val="17"/>
          <w:szCs w:val="17"/>
          <w:color w:val="auto"/>
        </w:rPr>
        <w:t>The Company recorded income tax expense of $26.5 million for the year-ended December 31, 2020. The effective tax rate for the year of (20.5)% differs from the Canadian statutory combined Federal and Provincial rate of 26.2% primarily due to the recording of a valuation allowance against its deferred tax assets, withholding taxes associated with the reversal of the indefinite reinvestment assertion for certain foreign subsidiaries, permanent book to tax differences, jurisdictional tax rate differences, and management’s estimates of contingent liabilities related to the resolution of various tax examinations.</w:t>
      </w:r>
    </w:p>
    <w:p>
      <w:pPr>
        <w:spacing w:after="0" w:line="125" w:lineRule="exact"/>
        <w:rPr>
          <w:sz w:val="20"/>
          <w:szCs w:val="20"/>
          <w:color w:val="auto"/>
        </w:rPr>
      </w:pPr>
    </w:p>
    <w:p>
      <w:pPr>
        <w:ind w:right="60" w:firstLine="224"/>
        <w:spacing w:after="0" w:line="260" w:lineRule="auto"/>
        <w:rPr>
          <w:sz w:val="20"/>
          <w:szCs w:val="20"/>
          <w:color w:val="auto"/>
        </w:rPr>
      </w:pPr>
      <w:r>
        <w:rPr>
          <w:rFonts w:ascii="Times New Roman" w:cs="Times New Roman" w:eastAsia="Times New Roman" w:hAnsi="Times New Roman"/>
          <w:sz w:val="18"/>
          <w:szCs w:val="18"/>
          <w:color w:val="auto"/>
        </w:rPr>
        <w:t>Comparatively, the Company recorded income tax expense of $16.8 million for the year-ended December 31, 2019. The effective tax rate for the year of 22.3% was lower than the Canadian statutory combined Federal and Provincial rate of 26.2% primarily due to income earned in Greater China and Ireland at lower effective rates. The effective tax rate for the year ended December 31, 2019 was consistent with the effective tax rate for the year ended December 31, 2018 of 21.8%.</w:t>
      </w:r>
    </w:p>
    <w:p>
      <w:pPr>
        <w:spacing w:after="0" w:line="150"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Deferred Tax Assets and Deferred Tax Liability</w:t>
      </w: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2020 and 2019, the Company’s deferred tax assets and deferred tax liability consists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900" w:type="dxa"/>
            <w:vAlign w:val="bottom"/>
            <w:tcBorders>
              <w:bottom w:val="single" w:sz="8" w:color="CFF0FC"/>
            </w:tcBorders>
            <w:vMerge w:val="continue"/>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69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1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2"/>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17,120</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2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Investment tax credit and other tax credit carryforwards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1,344</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3,650</w:t>
            </w: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Write-downs of other assets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1,219</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11"/>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Excess of tax accounting basis in property, plant and equipment, inventories and other</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9,692</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6,257</w:t>
            </w: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pension liability</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6,942</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6,393</w:t>
            </w:r>
          </w:p>
        </w:tc>
        <w:tc>
          <w:tcPr>
            <w:tcW w:w="0" w:type="dxa"/>
            <w:vAlign w:val="bottom"/>
          </w:tcPr>
          <w:p>
            <w:pPr>
              <w:spacing w:after="0"/>
              <w:rPr>
                <w:sz w:val="1"/>
                <w:szCs w:val="1"/>
                <w:color w:val="auto"/>
              </w:rPr>
            </w:pPr>
          </w:p>
        </w:tc>
      </w:tr>
      <w:tr>
        <w:trPr>
          <w:trHeight w:val="22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Accrued share-based compensation</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7,350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5,360</w:t>
            </w: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recognition on net investment in leases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accrued reserves</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5,120</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4,617</w:t>
            </w:r>
          </w:p>
        </w:tc>
        <w:tc>
          <w:tcPr>
            <w:tcW w:w="0" w:type="dxa"/>
            <w:vAlign w:val="bottom"/>
          </w:tcPr>
          <w:p>
            <w:pPr>
              <w:spacing w:after="0"/>
              <w:rPr>
                <w:sz w:val="1"/>
                <w:szCs w:val="1"/>
                <w:color w:val="auto"/>
              </w:rPr>
            </w:pPr>
          </w:p>
        </w:tc>
      </w:tr>
      <w:tr>
        <w:trPr>
          <w:trHeight w:val="222"/>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46,769</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24,102</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(28,786)</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2"/>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asset net of valuation allowance</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17,983</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23,905</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tax liability</w:t>
            </w:r>
            <w:r>
              <w:rPr>
                <w:rFonts w:ascii="Times New Roman" w:cs="Times New Roman" w:eastAsia="Times New Roman" w:hAnsi="Times New Roman"/>
                <w:sz w:val="15"/>
                <w:szCs w:val="15"/>
                <w:color w:val="auto"/>
              </w:rPr>
              <w:t>(1)</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(19,134)</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23,905</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112</w:t>
            </w: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9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9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12" w:name="page113"/>
    <w:bookmarkEnd w:id="112"/>
    <w:p>
      <w:pPr>
        <w:jc w:val="both"/>
        <w:ind w:left="380" w:hanging="372"/>
        <w:spacing w:after="0" w:line="257"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9239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23925" cy="8255"/>
                    </a:xfrm>
                    <a:prstGeom prst="rect">
                      <a:avLst/>
                    </a:prstGeom>
                    <a:noFill/>
                  </pic:spPr>
                </pic:pic>
              </a:graphicData>
            </a:graphic>
          </wp:anchor>
        </w:drawing>
        <w:t>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the Company recognized a deferred tax liability of $19.1 million for the year for the estimated applicable foreign withholding taxes associated with these historical earnings, which will become payable upon the repatriation of any such earnings.</w:t>
      </w:r>
    </w:p>
    <w:p>
      <w:pPr>
        <w:spacing w:after="0" w:line="171"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gross deferred tax assets include a liability of $0.6 million (December 31, 2019 — $0.4 million) relating to the remaining tax effect resulting from the Company’s defined benefit pension plan, the related actuarial gains and losses, and unrealized net gains and losses on cash flow hedging instruments recorded in Accumulated Other Comprehensive Loss.</w:t>
      </w:r>
    </w:p>
    <w:p>
      <w:pPr>
        <w:spacing w:after="0" w:line="145" w:lineRule="exact"/>
        <w:rPr>
          <w:sz w:val="20"/>
          <w:szCs w:val="20"/>
          <w:color w:val="auto"/>
        </w:rPr>
      </w:pPr>
    </w:p>
    <w:p>
      <w:pPr>
        <w:ind w:left="1080" w:hanging="848"/>
        <w:spacing w:after="0"/>
        <w:tabs>
          <w:tab w:leader="none" w:pos="1080" w:val="left"/>
        </w:tabs>
        <w:numPr>
          <w:ilvl w:val="0"/>
          <w:numId w:val="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Operating Loss Carryforwards</w:t>
      </w:r>
    </w:p>
    <w:p>
      <w:pPr>
        <w:spacing w:after="0" w:line="188" w:lineRule="exact"/>
        <w:rPr>
          <w:sz w:val="20"/>
          <w:szCs w:val="20"/>
          <w:color w:val="auto"/>
        </w:rPr>
      </w:pPr>
    </w:p>
    <w:p>
      <w:pPr>
        <w:ind w:right="20" w:firstLine="224"/>
        <w:spacing w:after="0" w:line="281" w:lineRule="auto"/>
        <w:rPr>
          <w:sz w:val="20"/>
          <w:szCs w:val="20"/>
          <w:color w:val="auto"/>
        </w:rPr>
      </w:pPr>
      <w:r>
        <w:rPr>
          <w:rFonts w:ascii="Times New Roman" w:cs="Times New Roman" w:eastAsia="Times New Roman" w:hAnsi="Times New Roman"/>
          <w:sz w:val="18"/>
          <w:szCs w:val="18"/>
          <w:color w:val="auto"/>
        </w:rPr>
        <w:t>Estimated U.S. and Canadian net operating loss carryforwards of $72.2 million can be used to reduce taxable income through 2040 and $22.7 million can be carried forward indefinitely. Investment tax credits and other tax credits can be carried forward to reduce income taxes payable through to 2040.</w:t>
      </w:r>
    </w:p>
    <w:p>
      <w:pPr>
        <w:spacing w:after="0" w:line="117" w:lineRule="exact"/>
        <w:rPr>
          <w:sz w:val="20"/>
          <w:szCs w:val="20"/>
          <w:color w:val="auto"/>
        </w:rPr>
      </w:pPr>
    </w:p>
    <w:p>
      <w:pPr>
        <w:ind w:left="440" w:hanging="428"/>
        <w:spacing w:after="0"/>
        <w:tabs>
          <w:tab w:leader="none" w:pos="440"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Change on Indefinitely Reinvested Assertion</w:t>
      </w:r>
    </w:p>
    <w:p>
      <w:pPr>
        <w:spacing w:after="0" w:line="188"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Taxes are provided for earnings of non-Canadian affiliates and associated companies when the Company determines that such earnings are no longer indefinitely reinvested.</w:t>
      </w:r>
    </w:p>
    <w:p>
      <w:pPr>
        <w:spacing w:after="0" w:line="135"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the Company recognized a deferred tax liability of $19.1 million for the year for the estimated applicable foreign withholding taxes associated with these historical earnings, which will become payable upon the repatriation of any such earnings.</w:t>
      </w:r>
    </w:p>
    <w:p>
      <w:pPr>
        <w:spacing w:after="0" w:line="140" w:lineRule="exact"/>
        <w:rPr>
          <w:sz w:val="20"/>
          <w:szCs w:val="20"/>
          <w:color w:val="auto"/>
        </w:rPr>
      </w:pPr>
    </w:p>
    <w:p>
      <w:pPr>
        <w:ind w:left="440" w:hanging="428"/>
        <w:spacing w:after="0"/>
        <w:tabs>
          <w:tab w:leader="none" w:pos="440" w:val="left"/>
        </w:tabs>
        <w:numPr>
          <w:ilvl w:val="0"/>
          <w:numId w:val="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Valuation Allowance</w:t>
      </w:r>
    </w:p>
    <w:p>
      <w:pPr>
        <w:spacing w:after="0" w:line="18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assessed the realization of deferred income tax assets considering all available evidence, both positive and negative. On the basis of this evaluation, income tax expense for the year ended December 31, 2020 includes a $28.6 million valuation allowance (2019 — $nil) to reduce the value of deferred tax assets in certain jurisdictions. The valuation allowance was recorded in the jurisdictions where management could not reliably establish that it was more likely than not that the deferred tax assets would be realized, primarily due uncertainty around the long term impact of the COVID-19 global pandemic. The $28.8 million (2019 — $0.2 million) balance in the valuation allowance as of December 31, 2020 is primarily attributable to certain net operating loss carryovers and investment tax credits that may expire unutilized.</w:t>
      </w:r>
    </w:p>
    <w:p>
      <w:pPr>
        <w:spacing w:after="0" w:line="143"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valuation allowance recorded in 2020 is expected to reverse when the Company determines it is more likely than not that the deferred tax assets in these jurisdictions will be realized. Despite this valuation allowance, the Company remains entitled to benefit from tax attributes which currently have a valuation allowance applied.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bookmarkStart w:id="113" w:name="page114"/>
    <w:bookmarkEnd w:id="113"/>
    <w:p>
      <w:pPr>
        <w:ind w:left="460" w:hanging="448"/>
        <w:spacing w:after="0"/>
        <w:tabs>
          <w:tab w:leader="none" w:pos="460" w:val="left"/>
        </w:tabs>
        <w:numPr>
          <w:ilvl w:val="0"/>
          <w:numId w:val="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2020, the Company recorded a net increase of $2.7 million related to reserves for income taxes. As of December 31, 2020 and December 31, 2019, the Company had total tax reserves (including interest and penalties) of $17.4 million and $14.7 million, respectively, for various uncertain tax positions. While the Company believes it has adequately provided for all tax positions, amounts asserted by taxing authorities could differ from the Company's accrued liability. Accordingly, additional provisions on federal, provincial, state and foreign tax-related matters could be recorded in the future as revised estimates are made or the underlying matters are settled or otherwise resolved.</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amount of tax reserves (excluding interest and penalties)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2019 and 2018:</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7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20" w:type="dxa"/>
            <w:vAlign w:val="bottom"/>
            <w:tcBorders>
              <w:bottom w:val="single" w:sz="8" w:color="CFF0FC"/>
            </w:tcBorders>
            <w:vMerge w:val="continue"/>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14,718</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16,136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15,927</w:t>
            </w: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2,301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812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4,329</w:t>
            </w: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Reductions resulting from lapse of applicable statute of limitations and</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practices</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0" w:type="dxa"/>
            <w:vAlign w:val="bottom"/>
          </w:tcPr>
          <w:p>
            <w:pPr>
              <w:spacing w:after="0"/>
              <w:rPr>
                <w:sz w:val="1"/>
                <w:szCs w:val="1"/>
                <w:color w:val="auto"/>
              </w:rPr>
            </w:pPr>
          </w:p>
        </w:tc>
      </w:tr>
      <w:tr>
        <w:trPr>
          <w:trHeight w:val="222"/>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14,076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14,718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16,136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has elected to classify interest and penalties related to income tax liabilities, when applicable, as part of the Interest Expense in its Consolidated Statements of Operations rather than Income Tax Expense. The Company expensed $3.3 million in potential interest and penalties associated with its provision for uncertain tax positions for the years ended December 31, 2020 (2019 — $0.2 million; 2018 — less than $0.1 million).</w:t>
      </w:r>
    </w:p>
    <w:p>
      <w:pPr>
        <w:spacing w:after="0" w:line="136"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number of years with open tax audits varies depending on the tax jurisdiction. The Company's taxing jurisdictions include Canada, the province of Ontario, the United States (including multiple states), Ireland and China.</w:t>
      </w:r>
    </w:p>
    <w:p>
      <w:pPr>
        <w:spacing w:after="0" w:line="135"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Company's 2016 through 2020 tax years remain subject to examination by the IRS for U.S. federal tax purposes, and the 2016 through 2020 tax years remain subject to examination by the appropriate governmental agencies for Canadian federal tax purposes. There are other on-going audits in various other jurisdictions that are not material to the Consolidated Financial Statements.</w:t>
      </w:r>
    </w:p>
    <w:p>
      <w:pPr>
        <w:spacing w:after="0" w:line="132" w:lineRule="exact"/>
        <w:rPr>
          <w:sz w:val="20"/>
          <w:szCs w:val="20"/>
          <w:color w:val="auto"/>
        </w:rPr>
      </w:pPr>
    </w:p>
    <w:p>
      <w:pPr>
        <w:ind w:left="440" w:hanging="428"/>
        <w:spacing w:after="0"/>
        <w:tabs>
          <w:tab w:leader="none" w:pos="440" w:val="left"/>
        </w:tabs>
        <w:numPr>
          <w:ilvl w:val="0"/>
          <w:numId w:val="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 effect on Other Comprehensive (Loss) Income</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income tax benefit (expense) related to the following items included in Other Comprehensive (Loss) Income are: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defined benefit plan actuarial loss (gain)</w:t>
            </w: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Unrealized postretirement benefit plans actuarial loss (gain)</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Prior service cost arising during the period</w:t>
            </w: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change in cash flow hedging instruments</w:t>
            </w: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Realized change in cash flow hedging instruments upon settlement</w:t>
            </w:r>
          </w:p>
        </w:tc>
        <w:tc>
          <w:tcPr>
            <w:tcW w:w="1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2"/>
        </w:trPr>
        <w:tc>
          <w:tcPr>
            <w:tcW w:w="51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36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114</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51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13. Other Intangible Assets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237"/>
        </w:trPr>
        <w:tc>
          <w:tcPr>
            <w:tcW w:w="4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Net Book</w:t>
            </w:r>
          </w:p>
        </w:tc>
      </w:tr>
      <w:tr>
        <w:trPr>
          <w:trHeight w:val="214"/>
        </w:trPr>
        <w:tc>
          <w:tcPr>
            <w:tcW w:w="4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2"/>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20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12,714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8,878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3,836</w:t>
            </w: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Licenses and intellectual property</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26,168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12,182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13,986</w:t>
            </w: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use software</w:t>
            </w:r>
          </w:p>
        </w:tc>
        <w:tc>
          <w:tcPr>
            <w:tcW w:w="2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25,009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17,568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7,441</w:t>
            </w:r>
          </w:p>
        </w:tc>
      </w:tr>
      <w:tr>
        <w:trPr>
          <w:trHeight w:val="229"/>
        </w:trPr>
        <w:tc>
          <w:tcPr>
            <w:tcW w:w="4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1,445</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982</w:t>
            </w:r>
          </w:p>
        </w:tc>
      </w:tr>
      <w:tr>
        <w:trPr>
          <w:trHeight w:val="222"/>
        </w:trPr>
        <w:tc>
          <w:tcPr>
            <w:tcW w:w="4460" w:type="dxa"/>
            <w:vAlign w:val="bottom"/>
            <w:tcBorders>
              <w:bottom w:val="single" w:sz="8" w:color="CFF0FC"/>
            </w:tcBorders>
            <w:shd w:val="clear" w:color="auto" w:fill="CFF0FC"/>
          </w:tcPr>
          <w:p>
            <w:pPr>
              <w:spacing w:after="0"/>
              <w:rPr>
                <w:sz w:val="19"/>
                <w:szCs w:val="19"/>
                <w:color w:val="auto"/>
              </w:rPr>
            </w:pPr>
          </w:p>
        </w:tc>
        <w:tc>
          <w:tcPr>
            <w:tcW w:w="20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65,336</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39,091</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26,245</w:t>
            </w:r>
          </w:p>
        </w:tc>
      </w:tr>
      <w:tr>
        <w:trPr>
          <w:trHeight w:val="20"/>
        </w:trPr>
        <w:tc>
          <w:tcPr>
            <w:tcW w:w="4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38"/>
        </w:trPr>
        <w:tc>
          <w:tcPr>
            <w:tcW w:w="4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37"/>
        </w:trPr>
        <w:tc>
          <w:tcPr>
            <w:tcW w:w="4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Net Book</w:t>
            </w:r>
          </w:p>
        </w:tc>
      </w:tr>
      <w:tr>
        <w:trPr>
          <w:trHeight w:val="214"/>
        </w:trPr>
        <w:tc>
          <w:tcPr>
            <w:tcW w:w="4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2"/>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20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12,779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8,587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4,192</w:t>
            </w: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Licenses and intellectual property</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26,168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10,747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15,421</w:t>
            </w: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use software</w:t>
            </w:r>
          </w:p>
        </w:tc>
        <w:tc>
          <w:tcPr>
            <w:tcW w:w="2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23,791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13,239</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10,552</w:t>
            </w:r>
          </w:p>
        </w:tc>
      </w:tr>
      <w:tr>
        <w:trPr>
          <w:trHeight w:val="229"/>
        </w:trPr>
        <w:tc>
          <w:tcPr>
            <w:tcW w:w="4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182</w:t>
            </w:r>
          </w:p>
        </w:tc>
      </w:tr>
      <w:tr>
        <w:trPr>
          <w:trHeight w:val="222"/>
        </w:trPr>
        <w:tc>
          <w:tcPr>
            <w:tcW w:w="4460" w:type="dxa"/>
            <w:vAlign w:val="bottom"/>
            <w:tcBorders>
              <w:bottom w:val="single" w:sz="8" w:color="CFF0FC"/>
            </w:tcBorders>
            <w:shd w:val="clear" w:color="auto" w:fill="CFF0FC"/>
          </w:tcPr>
          <w:p>
            <w:pPr>
              <w:spacing w:after="0"/>
              <w:rPr>
                <w:sz w:val="19"/>
                <w:szCs w:val="19"/>
                <w:color w:val="auto"/>
              </w:rPr>
            </w:pPr>
          </w:p>
        </w:tc>
        <w:tc>
          <w:tcPr>
            <w:tcW w:w="20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63,314</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32,967</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30,347</w:t>
            </w:r>
          </w:p>
        </w:tc>
      </w:tr>
      <w:tr>
        <w:trPr>
          <w:trHeight w:val="20"/>
        </w:trPr>
        <w:tc>
          <w:tcPr>
            <w:tcW w:w="4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Fully amortized other intangible assets are still in use by the Company. In 2020, the Company identified and wrote off $0.2 million (2019 ─ $0.1 million) of patents and trademarks that are no longer in use.</w:t>
      </w:r>
    </w:p>
    <w:p>
      <w:pPr>
        <w:spacing w:after="0" w:line="121"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During 2020, the Company acquired $2.8 million in other intangible assets, mainly related to the development of internal use software, as well as additions in patents and trademark and other intangible assets. The weighted average amortization period for these additions is 6.6 years. The net book value of the other intangible assets acquired in 2020 was $2.6 million as of December 31, 2020.</w:t>
      </w:r>
    </w:p>
    <w:p>
      <w:pPr>
        <w:spacing w:after="0" w:line="149"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During 2020, the Company incurred costs of $0.4 million to renew or extend the term of acquired patents and trademarks which were recorded in selling, general and administrative expenses (2019 ─ $0.4 million).</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estimated amortization expense for each of the next five years following the December 31, 2020 balance sheet date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5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45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6,616</w:t>
            </w:r>
          </w:p>
        </w:tc>
      </w:tr>
      <w:tr>
        <w:trPr>
          <w:trHeight w:val="22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5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6,616</w:t>
            </w:r>
          </w:p>
        </w:tc>
      </w:tr>
      <w:tr>
        <w:trPr>
          <w:trHeight w:val="22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4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5,676</w:t>
            </w:r>
          </w:p>
        </w:tc>
      </w:tr>
      <w:tr>
        <w:trPr>
          <w:trHeight w:val="22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5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2,090</w:t>
            </w:r>
          </w:p>
        </w:tc>
      </w:tr>
      <w:tr>
        <w:trPr>
          <w:trHeight w:val="22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4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1,975</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Credit Facility and Other Financing Arrangements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2020 and 2019, Bank Indebtedness includes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2"/>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38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300,000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Facility</w:t>
            </w:r>
          </w:p>
        </w:tc>
        <w:tc>
          <w:tcPr>
            <w:tcW w:w="4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7,643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8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22"/>
        </w:trPr>
        <w:tc>
          <w:tcPr>
            <w:tcW w:w="39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305,676</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18,229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80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2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9"/>
                <w:szCs w:val="9"/>
                <w:color w:val="auto"/>
              </w:rPr>
            </w:pPr>
          </w:p>
        </w:tc>
        <w:tc>
          <w:tcPr>
            <w:tcW w:w="3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ind w:left="24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99"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 has a credit agreement, the Fifth Amended and Restated Credit Agreement, with Wells Fargo Bank, National Association (“Wells Fargo”), as agent, and a syndicate of lenders party thereto (the “Credit Agreement”). The Company’s obligations under the Credit Agreement are guaranteed by certain of its subsidiaries (the “Guarantors”) and are secured by first-priority security interests in substantially all the assets of the Company and the Guarantors. The Credit Facility provided by the Credit Agreement matures on June 28, 2023.</w:t>
      </w:r>
    </w:p>
    <w:p>
      <w:pPr>
        <w:spacing w:after="0" w:line="140" w:lineRule="exact"/>
        <w:rPr>
          <w:sz w:val="20"/>
          <w:szCs w:val="20"/>
          <w:color w:val="auto"/>
        </w:rPr>
      </w:pPr>
    </w:p>
    <w:p>
      <w:pPr>
        <w:jc w:val="both"/>
        <w:ind w:right="20" w:firstLine="224"/>
        <w:spacing w:after="0" w:line="265" w:lineRule="auto"/>
        <w:rPr>
          <w:sz w:val="20"/>
          <w:szCs w:val="20"/>
          <w:color w:val="auto"/>
        </w:rPr>
      </w:pPr>
      <w:r>
        <w:rPr>
          <w:rFonts w:ascii="Times New Roman" w:cs="Times New Roman" w:eastAsia="Times New Roman" w:hAnsi="Times New Roman"/>
          <w:sz w:val="18"/>
          <w:szCs w:val="18"/>
          <w:color w:val="auto"/>
        </w:rPr>
        <w:t>The Credit Agreement has a revolving borrowing capacity of $300.0 million, and contains an uncommitted accordion feature allowing the Company to further expand its borrowing capacity to $440.0 million or greater, subject to certain conditions, depending on the mix of revolving and term loans comprising the incremental facility.</w:t>
      </w:r>
    </w:p>
    <w:p>
      <w:pPr>
        <w:spacing w:after="0" w:line="136"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the first quarter of 2020, in response to uncertainties associated with the outbreak of the COVID-19 global pandemic and its impact on the Company’s business, the Company drew down $280.0 million in available borrowing capacity under the Credit Facility, resulting in total outstanding borrowings of $300.0 million.</w:t>
      </w:r>
    </w:p>
    <w:p>
      <w:pPr>
        <w:spacing w:after="0" w:line="149"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Credit Agreement contains a covenant that requires the Company to maintain a Senior Secured Net Leverage Ratio (as defined in the Credit Agreement), as of the last day of any Fiscal Quarter (as defined in the Credit Agreement) of no greater than 3.25:1.00. In addition, the Credit Agreement contains customary affirmative and negative covenants, including covenants that limit indebtedness, liens, capital expenditures, asset sales, investments and restricted payments, in each case subject to negotiated exceptions and baskets. The Credit Agreement also contains customary representations, warranties and event of default provisions.</w:t>
      </w:r>
    </w:p>
    <w:p>
      <w:pPr>
        <w:spacing w:after="0" w:line="144"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On June 10, 2020, the Company entered into the First Amendment to the Credit Agreement (the “Amendment”), which, among other things, (i) suspends the Senior Secured Net Leverage Ratio covenant through the first quarter of 2021, (ii) re-establishes the Senior Secured Net Leverage Ratio covenant thereafter, provided that for subsequent quarters that such covenant is tested, as applicable, the Company will be permitted to use its quarterly EBITDA (as defined in the Credit Agreement) from the third and fourth quarters of 2019 in lieu of the EBITDA for the corresponding quarters of 2020, (iii) adds a $75.0 million minimum liquidity covenant measured at the end of each calendar month and (iv) restricts the Company’s ability to make certain restricted payments, dispositions and investments, create or assume liens and incur debt that would otherwise have been permitted by the Credit Agreement. The modifications to the negative covenants, the minimum liquidity covenant and modifications to certain other provisions in the Credit Agreement pursuant to the Amendment were effective from the date of the Amendment until the earlier of the delivery of the compliance certificate for the fourth quarter of 2021 and the date on which the Company, in its sole discretion, elects to calculate its compliance with the Senior Secured Net Leverage Ratio by using either its actual EBITDA or annualized EBITDA (the “Designated Period”).</w:t>
      </w:r>
    </w:p>
    <w:p>
      <w:pPr>
        <w:spacing w:after="0" w:line="148"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As of December 31, 2020, the Company was in compliance with all of its requirements under the Credit Agreement, as amended. The Company’s continued compliance with the requirements of the Credit Agreement will depend on the Company’s ability to generate sufficient EBITDA to ensure compliance with the Senior Secured Net Leverage Ratio covenant throughout the next twelve months, which is dependent on the timing of when theaters in the IMAX network resume normal operations. The risk of breaching this covenant within the next twelve months increases significantly as the ongoing COVID-19 pandemic continues to adversely impact the Company’s ability to generate EBITDA. A violation of this covenant would represent an event of default under the terms of the Credit Agreement, allowing lenders to declare the principal and interest on all outstanding Credit Facility indebtedness due or payable immediately. If a breach of the Senior Secured Net Leverage Ratio covenant were to occur, however, management believes the Company would be able to either reduce a sufficient portion of the drawn amount on the Credit Facility with existing cash balances to achieve compliance, obtain additional sources of liquidity prior to the time when the repayment of its outstanding Credit Facility indebtedness would be required, or negotiate a further amendment with its lenders to the Credit Agreement to provide further covenant relief.</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Borrowings under the Credit Facility bear interest, at the Company’s option, at (i) LIBOR plus a margin ranging from 1.00% to 1.75% per annum; or</w:t>
      </w:r>
    </w:p>
    <w:p>
      <w:pPr>
        <w:spacing w:after="0" w:line="27" w:lineRule="exact"/>
        <w:rPr>
          <w:sz w:val="20"/>
          <w:szCs w:val="20"/>
          <w:color w:val="auto"/>
        </w:rPr>
      </w:pPr>
    </w:p>
    <w:p>
      <w:pPr>
        <w:jc w:val="both"/>
        <w:ind w:firstLine="8"/>
        <w:spacing w:after="0" w:line="252" w:lineRule="auto"/>
        <w:tabs>
          <w:tab w:leader="none" w:pos="2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base rate plus a margin ranging from 0.25% to 1.00% per annum, in each case depending on the Company’s Total Leverage Ratio (as defined in the Credit Agreement); provided, however, that from the effective date of the Amendment until the Company delivers a compliance certificate under the Credit Facility following the end of the Designated Period, the applicable margin for LIBOR borrowings will be 2.50% per annum and the applicable margin for U.S. base rate borrowings will be 1.75% per annum. The effective interest rate for the year ended December 31, 2020 was 2.38% (2019 — 3.43%).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16" w:name="page117"/>
    <w:bookmarkEnd w:id="116"/>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addition, the Credit Facility has standby fees ranging from 0.25% to 0.38% per annum, based on the Company’s Total Leverage Ratio with respect to the unused portion of the Credit Facility; provided, however, that from the effective date of the Amendment until the Company delivers a compliance certificate under the Credit Facility following the end of the Designated Period, the standby fee will be 0.50% per annum.</w:t>
      </w:r>
    </w:p>
    <w:p>
      <w:pPr>
        <w:spacing w:after="0" w:line="149"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Company incurred fees of approximately $1.1 million in connection with the Amendment, which are being amortized on a straight-line basis through December 31, 2021.</w:t>
      </w:r>
    </w:p>
    <w:p>
      <w:pPr>
        <w:spacing w:after="0" w:line="121"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As of December 31, 2020 and 2019, the Company did not have any letters of credit and advance payment guarantees outstanding under the Credit Facility.</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Working Capital Facility</w:t>
      </w:r>
    </w:p>
    <w:p>
      <w:pPr>
        <w:spacing w:after="0" w:line="19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On July 24, 2020, IMAX (Shanghai) Multimedia Technology Co., Ltd. (“IMAX Shanghai”), one of the Company’s majority-owned subsidiaries in China, renewed its unsecured revolving facility for up to 200.0 million Renminbi (approximately $30.6 million) to fund ongoing working capital requirements (the “Working Capital Facility”). The facility expires in July 2021. As of December 31, 2020, there was 49.9 million Renminbi ($7.6 million) in borrowings outstanding, 140.1 million Renminbi ($21.5 million) available for future borrowings and 10.0 million Renminbi ($1.5 million) available for letters of guarantees under the Working Capital Facility. There were no amounts drawn under the Working Capital facility at December 31, 2019. The amounts available for borrowing under the Working Capital Facility are not subject to a standby fee. The effective interest rate for the year ended December 31, 2020 was 4.31% (2019 — nil).</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Wells Fargo Foreign Exchange Facility</w:t>
      </w:r>
    </w:p>
    <w:p>
      <w:pPr>
        <w:spacing w:after="0" w:line="186"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Within the Credit Facility, the Company is able to purchase foreign currency forward contracts and/or other swap arrangements. The net settlement gain on its foreign currency forward contracts was $2.0 million at December 31, 2020, as the fair value of the forward contracts exceeded the notional value (December 31, 2019 — $0.5 million). As of December 31, 2020, the Company has $31.9 million in notional value of such arrangements outstanding (December 31, 2019 — $36.1 million).</w:t>
      </w:r>
    </w:p>
    <w:p>
      <w:pPr>
        <w:spacing w:after="0" w:line="1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NBC Facility</w:t>
      </w:r>
    </w:p>
    <w:p>
      <w:pPr>
        <w:spacing w:after="0" w:line="199"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On October 28, 2019, the Company entered into a $5.0 million facility with the National Bank of Canada (the “NBC Facility”) fully insured by Export Development Canada for use solely in conjunction with the issuance of performance guarantees and letters of credit. The Company did not have any letters of credit and advance payment guarantees outstanding as of December 31, 2020 and 2019 under the NBC Facility.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w:t>
      </w:r>
    </w:p>
    <w:p>
      <w:pPr>
        <w:spacing w:after="0" w:line="188"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In the ordinary course of its business, the Company enters into contractual agreements with third parties that include non-cancelable payment obligations, for which it is liable in future periods. These arrangements can include terms binding the Company to minimum payments and/or penalties if it terminates the agreement for any reason other than an event of default as described by the agreement. The following table presents a summary of the Company’s contractual obligations and commitments as of December 31, 2020:</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Fiscal Year</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211"/>
        </w:trPr>
        <w:tc>
          <w:tcPr>
            <w:tcW w:w="3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73"/>
        </w:trPr>
        <w:tc>
          <w:tcPr>
            <w:tcW w:w="3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72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22"/>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15"/>
                <w:szCs w:val="15"/>
                <w:color w:val="auto"/>
              </w:rPr>
              <w:t>(1)</w:t>
            </w: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35,348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35,247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Pension obligations</w:t>
            </w:r>
            <w:r>
              <w:rPr>
                <w:rFonts w:ascii="Times New Roman" w:cs="Times New Roman" w:eastAsia="Times New Roman" w:hAnsi="Times New Roman"/>
                <w:sz w:val="15"/>
                <w:szCs w:val="15"/>
                <w:color w:val="auto"/>
              </w:rPr>
              <w:t>(2)</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15"/>
                <w:szCs w:val="15"/>
                <w:color w:val="auto"/>
              </w:rPr>
              <w:t>(3)</w:t>
            </w: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21,493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3,715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8,330</w:t>
            </w:r>
          </w:p>
        </w:tc>
      </w:tr>
      <w:tr>
        <w:trPr>
          <w:trHeight w:val="22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Facility</w:t>
            </w:r>
            <w:r>
              <w:rPr>
                <w:rFonts w:ascii="Times New Roman" w:cs="Times New Roman" w:eastAsia="Times New Roman" w:hAnsi="Times New Roman"/>
                <w:sz w:val="15"/>
                <w:szCs w:val="15"/>
                <w:color w:val="auto"/>
              </w:rPr>
              <w:t>(4)</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 Facility</w:t>
            </w:r>
            <w:r>
              <w:rPr>
                <w:rFonts w:ascii="Times New Roman" w:cs="Times New Roman" w:eastAsia="Times New Roman" w:hAnsi="Times New Roman"/>
                <w:sz w:val="15"/>
                <w:szCs w:val="15"/>
                <w:color w:val="auto"/>
              </w:rPr>
              <w:t>(5)</w:t>
            </w: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7,643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7,643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Postretirement benefits obligations</w:t>
            </w:r>
            <w:r>
              <w:rPr>
                <w:rFonts w:ascii="Times New Roman" w:cs="Times New Roman" w:eastAsia="Times New Roman" w:hAnsi="Times New Roman"/>
                <w:sz w:val="15"/>
                <w:szCs w:val="15"/>
                <w:color w:val="auto"/>
              </w:rPr>
              <w:t>(2)</w:t>
            </w:r>
          </w:p>
        </w:tc>
        <w:tc>
          <w:tcPr>
            <w:tcW w:w="7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3,299</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w:t>
            </w:r>
          </w:p>
        </w:tc>
      </w:tr>
      <w:tr>
        <w:trPr>
          <w:trHeight w:val="222"/>
        </w:trPr>
        <w:tc>
          <w:tcPr>
            <w:tcW w:w="34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388,081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46,731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322,695</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10,983</w:t>
            </w:r>
          </w:p>
        </w:tc>
      </w:tr>
      <w:tr>
        <w:trPr>
          <w:trHeight w:val="20"/>
        </w:trPr>
        <w:tc>
          <w:tcPr>
            <w:tcW w:w="3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80" w:right="20" w:hanging="372"/>
        <w:spacing w:after="0" w:line="281"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payments to be made under binding commitments with suppliers and outstanding payments to be made for supplies ordered, but yet to be invoiced.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9239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17" w:name="page118"/>
    <w:bookmarkEnd w:id="117"/>
    <w:p>
      <w:pPr>
        <w:ind w:left="380" w:hanging="372"/>
        <w:spacing w:after="0" w:line="281" w:lineRule="auto"/>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unfunded defined benefit pension plan covering its Chief Executive Officer, as well as a postretirement plan to provide health and welfare benefits to Canadian employees meeting certain eligibility requirements. (See Note 23.)</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operating lease arrangements principally involve office and warehouse space. (See Note 6.)</w:t>
      </w:r>
    </w:p>
    <w:p>
      <w:pPr>
        <w:spacing w:after="0" w:line="237"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Credit Agreement with Wells Fargo Bank, National Association, as agent, and a syndicate of lenders party thereto. The Credit Facility provided by the Credit Agreement matures on June 28, 2023. The Company is not required to make any minimum principal payments on its Credit Facility. (See Note 14.)</w:t>
      </w:r>
    </w:p>
    <w:p>
      <w:pPr>
        <w:spacing w:after="0" w:line="189"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Shanghai, one of the Company’s majority-owned subsidiaries in China, has an unsecured revolving facility to fund ongoing working capital requirements. The facility expires in July 2021. (See Note 14.)</w:t>
      </w:r>
    </w:p>
    <w:p>
      <w:pPr>
        <w:spacing w:after="0" w:line="121"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 compensates its sales force with both fixed and variable compensation. Commissions on the sale or lease of IMAX Theater Systems are payable in graduated amounts from the time of collection of the customer’s first payment to the Company up to the collection of the customer’s last initial payment. At December 31, 2020, $1.6 million (December 31, 2019 — $0.6 million) of commissions have been accrued and will be payable in future periods.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Contingencies and Guarantees</w:t>
      </w:r>
    </w:p>
    <w:p>
      <w:pPr>
        <w:spacing w:after="0" w:line="188"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will record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expenses legal costs relating to its lawsuits, claims and proceedings as incurred.</w:t>
      </w:r>
    </w:p>
    <w:p>
      <w:pPr>
        <w:spacing w:after="0" w:line="197" w:lineRule="exact"/>
        <w:rPr>
          <w:sz w:val="20"/>
          <w:szCs w:val="20"/>
          <w:color w:val="auto"/>
        </w:rPr>
      </w:pPr>
    </w:p>
    <w:p>
      <w:pPr>
        <w:jc w:val="both"/>
        <w:ind w:firstLine="382"/>
        <w:spacing w:after="0" w:line="252" w:lineRule="auto"/>
        <w:tabs>
          <w:tab w:leader="none" w:pos="12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15, 2006, the Company initiated arbitration against Three-Dimensional Media Group, Ltd. (“3DMG”) before the International Centre for Dispute Resolution in New York (the “ICDR”), alleging breaches of the license and consulting agreements between the Company and 3DMG. On June 15, 2006, 3DMG filed an answer denying any breaches and asserting counterclaims that the Company breached the parties’ license agreement. The proceeding was suspended on May 4, 2009 due to failure of 3DMG to pay fees associated with the proceeding. The proceeding was further suspended on October 11, 2010 pending resolution of re-examination proceedings involving one of 3DMG’s patents. Following a status conference on April 27, 2016, the ICDR granted 3DMG leave to amend its answer and counterclaims, and subsequently lifted the stay in this matter. In its amended counterclaims, 3DMG sought damages for alleged unpaid royalties, damages and other fees under the license and consulting agreements, and the arbitration panel of ICDR also permitted 3DMG to advance new damage theories. The ICDR held a final hearing in July and October 2017, the parties submitted final, post-hearing briefs in December 2017, and the ICDR held closing oral arguments in March 2018. On July 11, 2018, the ICDR issued a Partial Final Award that found for 3DMG on certain claims and for the Company on other claims. As part of the Partial Final Award, the ICDR awarded damages in favor of 3DMG in the amount of $8.8 million, which is inclusive of approximately $1.8 million in pre-award interest. In August 2018, 3DMG filed a motion seeking modification and correction of portions of the award, and also filed an application to recover its attorney fees and expenses. On November 1, 2018, the ICDR issued a Final Award that denied in its entirety 3DMG’s motion for modification and correction of the award. The ICDR also granted in part 3DMG’s request for attorney fees and expenses, in the amount of $5.2 million. A charge of $11.7 million was recorded in the year ended December 31, 2018, and classified within Legal Judgment and Arbitration Awards in Consolidated Statements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both"/>
        <w:ind w:firstLine="232"/>
        <w:spacing w:after="0" w:line="25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consisting of past and future rents owed to the Company, plus interest and costs, as well as an additional $2,512 each day in interest from October 1, 2007 until the date the award is paid. In July 2008, E-City commenced a proceeding in Mumbai, India seeking an order that the ICC award may not be recognized in India and on June 10, 2013, the Bombay High Court ruled that it had jurisdiction over the proceeding filed by E-City. The Company appealed that ruling to the Supreme Court of India, and on March 10, 2017, the Supreme Court set aside the Bombay High Court’s judgment and dismissed E-City’s petition. On March 29, 2017, the Company filed an Execution Application in the Bombay High Court seeking to enforce the ICC award against E-City and several related parties. That matter is currently pending. The Company has also taken steps to enforce the ICC final award outside of India. In December 2011, the Ontario Superior Court of Justice issued an order recognizing the final award and requiring E-City to pay the Company $30,000 to cover the costs of the application, and in October 2015, the New York Supreme Court recognized the Canadian judgment and entered it as a New York judgment. The Company intends to continue pursuing its rights and seeking to enforce the award, although no assurances can be given with respect to the ultimate outcome.</w:t>
      </w:r>
    </w:p>
    <w:p>
      <w:pPr>
        <w:spacing w:after="0" w:line="162" w:lineRule="exact"/>
        <w:rPr>
          <w:rFonts w:ascii="Times New Roman" w:cs="Times New Roman" w:eastAsia="Times New Roman" w:hAnsi="Times New Roman"/>
          <w:sz w:val="18"/>
          <w:szCs w:val="18"/>
          <w:color w:val="auto"/>
        </w:rPr>
      </w:pPr>
    </w:p>
    <w:p>
      <w:pPr>
        <w:jc w:val="both"/>
        <w:ind w:firstLine="232"/>
        <w:spacing w:after="0" w:line="251" w:lineRule="auto"/>
        <w:tabs>
          <w:tab w:leader="none" w:pos="107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11, 2013, Giencourt Investments, S.A. (“Giencourt”) initiated arbitration before the International Centre for Dispute Resolution in Miami, Florida, based on alleged breaches by the Company of its theater agreement and related license agreement with Giencourt. An arbitration hearing for witness testimony was held during the week of December 14, 2015. At the hearing, Giencourt’s expert identified monetary damages of up to approximately $10.4 million, which Giencourt sought to recover from the Company. The Company asserted a counterclaim against Giencourt for breach of contract and sought to recover lost profits in excess of $24.0 million under the agreements. Subsequently, in December 2015, Giencourt made a motion to the panel seeking to enforce a purported settlement of the matter based on negotiations between Giencourt and the Company. The panel held a final hearing with closing arguments in October 2016. On February 7, 2017, the panel issued a Partial Final Award and on July 21, 2017, the panel issued a Final Award (collectively, the “Award”), which held that the parties had reached a binding settlement, and therefore the panel did not reach the merits of the dispute. The Company strongly disputes that discussions about a potential resolution of this matter amounted to an enforceable settlement. In October 2017, the Company filed a petition to vacate the arbitration award in the United States Court for the Southern District of Florida on various grounds, including that the panel exceeded its jurisdiction, and a hearing was held on June 27, 2019. On September 27, 2019, a Magistrate Judge filed a non-binding recommendation that the Company’s petition be dismissed. On October 14, 2019, the Company filed an objection to that recommendation. The Company’s petition to vacate the arbitration award was denied by the District Judge on January 10, 2020. The Company filed an appeal of this decision on February 7, 2020 with the Eleventh Circuit Court of Appeals, but such appeal was dismissed on May 29, 2020. On December 3, 2020, the District Judge entered a Final Judgment against the Company in the total amount of $11.3 million as damages under the Award. As of December 31, 2020, the Company’s Consolidated Balance Sheets include a liability within Accrued and Other Liabilities of $11.3 million related to the Final Judgment, consisting principally of $7.2 million related to amounts previously collected from or owed to Giencourt principally in respect of theater systems that were not delivered and $4.1 million recorded in the Consolidated Statements of Operations within Legal Judgment and Arbitration Awards in respect of the remaining amounts owed under the Final Judgment. The $4.1 million recorded in the Consolidated Statements of Operations within Legal Judgment and Arbitration Awards includes $3.2 million recorded in the fourth quarter of 2020 as a result of the Final Judgment. On January 4, 2021 the Company filed an appeal of this judgment with the Eleventh Circuit Court of Appeals. In addition to the above, the Company has initiated a claim against Giencourt in the Ontario Superior Court seeking damages from Giencourt with respect to contractual claims under various terminated agreements between the parties. These proceedings are in preliminary stages, and no assurances can be given with respect to the ultimate outcome of the matter, but any amounts, if awarded to the Company under these proceedings, may reduce the Company’s overall financial obligations to Giencourt.</w:t>
      </w:r>
    </w:p>
    <w:p>
      <w:pPr>
        <w:spacing w:after="0" w:line="151" w:lineRule="exact"/>
        <w:rPr>
          <w:rFonts w:ascii="Times New Roman" w:cs="Times New Roman" w:eastAsia="Times New Roman" w:hAnsi="Times New Roman"/>
          <w:sz w:val="18"/>
          <w:szCs w:val="18"/>
          <w:color w:val="auto"/>
        </w:rPr>
      </w:pPr>
    </w:p>
    <w:p>
      <w:pPr>
        <w:jc w:val="both"/>
        <w:ind w:firstLine="232"/>
        <w:spacing w:after="0" w:line="265"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matters described above, the Company is currently involved in other legal proceedings or governmental inquiries which, in the opinion of the Company’s management, will not materially affect the Company’s financial position or future operating results, although no assurance can be given with respect to the ultimate outcome of any such proceedings.</w:t>
      </w:r>
    </w:p>
    <w:p>
      <w:pPr>
        <w:spacing w:after="0" w:line="135" w:lineRule="exact"/>
        <w:rPr>
          <w:rFonts w:ascii="Times New Roman" w:cs="Times New Roman" w:eastAsia="Times New Roman" w:hAnsi="Times New Roman"/>
          <w:sz w:val="18"/>
          <w:szCs w:val="18"/>
          <w:color w:val="auto"/>
        </w:rPr>
      </w:pPr>
    </w:p>
    <w:p>
      <w:pPr>
        <w:jc w:val="both"/>
        <w:ind w:firstLine="232"/>
        <w:spacing w:after="0" w:line="257" w:lineRule="auto"/>
        <w:tabs>
          <w:tab w:leader="none" w:pos="107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normal course of business, the Company enters into agreements that may contain features that meet the definition of a guarantee. A guarantee is a contract (including an indemnity) that contingently requires the Company to make payments (either in cash, financial instruments, other assets, shares of its stock or provision of services) to a third party based on (a) changes in an underlying interest rate, foreign exchange rate, equity or commodity instrument, index or other variable, that is related to an asset, a liability or an equity security of the counterparty, (b) failure of another party to perform under an obligating agreement or (c) failure of another third party to pay its indebtedness when due.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19" w:name="page120"/>
    <w:bookmarkEnd w:id="119"/>
    <w:p>
      <w:pPr>
        <w:ind w:left="240"/>
        <w:spacing w:after="0"/>
        <w:rPr>
          <w:sz w:val="20"/>
          <w:szCs w:val="20"/>
          <w:color w:val="auto"/>
        </w:rPr>
      </w:pPr>
      <w:r>
        <w:rPr>
          <w:rFonts w:ascii="Times New Roman" w:cs="Times New Roman" w:eastAsia="Times New Roman" w:hAnsi="Times New Roman"/>
          <w:sz w:val="18"/>
          <w:szCs w:val="18"/>
          <w:i w:val="1"/>
          <w:iCs w:val="1"/>
          <w:color w:val="auto"/>
        </w:rPr>
        <w:t>Financial Guarantees</w:t>
      </w:r>
    </w:p>
    <w:p>
      <w:pPr>
        <w:spacing w:after="0" w:line="199" w:lineRule="exact"/>
        <w:rPr>
          <w:sz w:val="20"/>
          <w:szCs w:val="20"/>
          <w:color w:val="auto"/>
        </w:rPr>
      </w:pPr>
    </w:p>
    <w:p>
      <w:pPr>
        <w:ind w:left="240" w:right="1840"/>
        <w:spacing w:after="0" w:line="452" w:lineRule="auto"/>
        <w:rPr>
          <w:sz w:val="20"/>
          <w:szCs w:val="20"/>
          <w:color w:val="auto"/>
        </w:rPr>
      </w:pPr>
      <w:r>
        <w:rPr>
          <w:rFonts w:ascii="Times New Roman" w:cs="Times New Roman" w:eastAsia="Times New Roman" w:hAnsi="Times New Roman"/>
          <w:sz w:val="18"/>
          <w:szCs w:val="18"/>
          <w:color w:val="auto"/>
        </w:rPr>
        <w:t xml:space="preserve">Certain subsidiaries of the Company have provided significant financial guarantees to third parties under the Credit Agreement. </w:t>
      </w:r>
      <w:r>
        <w:rPr>
          <w:rFonts w:ascii="Times New Roman" w:cs="Times New Roman" w:eastAsia="Times New Roman" w:hAnsi="Times New Roman"/>
          <w:sz w:val="18"/>
          <w:szCs w:val="18"/>
          <w:i w:val="1"/>
          <w:iCs w:val="1"/>
          <w:color w:val="auto"/>
        </w:rPr>
        <w:t>Product Warranties</w:t>
      </w:r>
    </w:p>
    <w:p>
      <w:pPr>
        <w:spacing w:after="0" w:line="2"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Company’s accrual for product warranties, which was recorded within Accrued and Other Liabilities in the Consolidated Balance Sheets is less than $0.1 million and $0.2 million as of December 31, 2020 and 2019, respectively.</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Director/Officer Indemnifications</w:t>
      </w:r>
    </w:p>
    <w:p>
      <w:pPr>
        <w:spacing w:after="0" w:line="186"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 xml:space="preserve">The Company’s General By-law contains an indemnification of its directors/officers, former directors/officers and persons who have acted at its request to be a director/officer of an entity in which the Company is a shareholder or creditor, to indemnify them, to the extent permitted by the </w:t>
      </w:r>
      <w:r>
        <w:rPr>
          <w:rFonts w:ascii="Times New Roman" w:cs="Times New Roman" w:eastAsia="Times New Roman" w:hAnsi="Times New Roman"/>
          <w:sz w:val="18"/>
          <w:szCs w:val="18"/>
          <w:i w:val="1"/>
          <w:iCs w:val="1"/>
          <w:color w:val="auto"/>
        </w:rPr>
        <w:t>Canada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color w:val="auto"/>
        </w:rPr>
        <w:t>, against expenses (including legal fees), judgments, fines and any amounts actually and reasonably incurred by them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in the Consolidated Balance Sheets as of December 31, 2020 and December 31, 2019 with respect to this indemnity.</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Indemnification Agreements</w:t>
      </w:r>
    </w:p>
    <w:p>
      <w:pPr>
        <w:spacing w:after="0" w:line="199"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In the normal course of the Company’s operations, the Company provides indemnifications to counterparties in transactions such as: IMAX Theater System lease and sale agreements and the supervision of installation or servicing of IMAX Theater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Theater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Consolidated Financial Statements with respect to the contingent aspect of these indemnities.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Capital Stock</w:t>
      </w:r>
    </w:p>
    <w:p>
      <w:pPr>
        <w:spacing w:after="0" w:line="18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Authorized Common Shares</w:t>
      </w:r>
    </w:p>
    <w:p>
      <w:pPr>
        <w:spacing w:after="0" w:line="188"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authorized capital of the Company consists of an unlimited number of common shares. The following is a summary of the rights, privileges, restrictions, and conditions of the common shares.</w:t>
      </w:r>
    </w:p>
    <w:p>
      <w:pPr>
        <w:spacing w:after="0" w:line="135"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holders of common shares are entitled to receive dividends, if and when declared by the directors of the Company, subject to the rights of the holders of any other class of shares of the Company entitled to receive dividends in priority to the common shares.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holders of the common shares are entitled to one vote for each common share held at all meetings of the shareholders.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20" w:name="page121"/>
    <w:bookmarkEnd w:id="120"/>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Changes During the Year</w:t>
      </w:r>
    </w:p>
    <w:p>
      <w:pPr>
        <w:spacing w:after="0" w:line="18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During the years ended December 31, 2020, 2019 and 2018, the Company settled the exercise of stock options and the vesting of RSUs with its common shares. These settlements were either through newly issued common shares from treasury or through the purchase of common shares in the open market by the IMAX Long-Term Incentive Plan trustee. The following table summarizes the settlement of stock option and RSU transactions: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(Cash proceeds in thousands of U.S. Dollars)</w:t>
            </w:r>
          </w:p>
        </w:tc>
        <w:tc>
          <w:tcPr>
            <w:tcW w:w="16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860" w:type="dxa"/>
            <w:vAlign w:val="bottom"/>
            <w:tcBorders>
              <w:bottom w:val="single" w:sz="8" w:color="CFF0FC"/>
            </w:tcBorders>
            <w:vMerge w:val="continue"/>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from treasury</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19,088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12,750</w:t>
            </w: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Plan trustee purchases</w:t>
            </w:r>
          </w:p>
        </w:tc>
        <w:tc>
          <w:tcPr>
            <w:tcW w:w="16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67,840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48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stock options exercised</w:t>
            </w:r>
          </w:p>
        </w:tc>
        <w:tc>
          <w:tcPr>
            <w:tcW w:w="16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86,928</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12,750</w:t>
            </w: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proceeds from stock option exercises</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1,752</w:t>
            </w:r>
          </w:p>
        </w:tc>
        <w:tc>
          <w:tcPr>
            <w:tcW w:w="140" w:type="dxa"/>
            <w:vAlign w:val="bottom"/>
          </w:tcPr>
          <w:p>
            <w:pPr>
              <w:spacing w:after="0"/>
              <w:rPr>
                <w:sz w:val="23"/>
                <w:szCs w:val="23"/>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9"/>
        </w:trPr>
        <w:tc>
          <w:tcPr>
            <w:tcW w:w="486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RSUs</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from treasury</w:t>
            </w:r>
          </w:p>
        </w:tc>
        <w:tc>
          <w:tcPr>
            <w:tcW w:w="1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42,982</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 trustee purchases</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386,297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404,719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462,137</w:t>
            </w: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Shares withheld for tax withholdings</w:t>
            </w:r>
          </w:p>
        </w:tc>
        <w:tc>
          <w:tcPr>
            <w:tcW w:w="16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24,714</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29,577</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72,056</w:t>
            </w:r>
          </w:p>
        </w:tc>
        <w:tc>
          <w:tcPr>
            <w:tcW w:w="0" w:type="dxa"/>
            <w:vAlign w:val="bottom"/>
          </w:tcPr>
          <w:p>
            <w:pPr>
              <w:spacing w:after="0"/>
              <w:rPr>
                <w:sz w:val="1"/>
                <w:szCs w:val="1"/>
                <w:color w:val="auto"/>
              </w:rPr>
            </w:pPr>
          </w:p>
        </w:tc>
      </w:tr>
      <w:tr>
        <w:trPr>
          <w:trHeight w:val="222"/>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RSUs vested</w:t>
            </w:r>
          </w:p>
        </w:tc>
        <w:tc>
          <w:tcPr>
            <w:tcW w:w="1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453,993</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434,296</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534,193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Share-Based Compensation</w:t>
      </w:r>
    </w:p>
    <w:p>
      <w:pPr>
        <w:spacing w:after="0" w:line="201"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Company issues share-based compensation to eligible employees, directors, and consultants under the IMAX LTIP and the China LTIP, as summarized below. On June 3, 2020, the Company’s shareholders approved the IMAX LTIP at its Annual and Special Meeting.</w:t>
      </w:r>
    </w:p>
    <w:p>
      <w:pPr>
        <w:spacing w:after="0" w:line="121"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Awards under the IMAX LTIP may consist of stock options, RSUs, PSUs and other awards. Stock options are no longer granted under the Company’s previous approved Stock Option Plan (“SOP”).</w:t>
      </w:r>
    </w:p>
    <w:p>
      <w:pPr>
        <w:spacing w:after="0" w:line="121"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2020, compensation costs recorded in the Consolidated Statements of Operations for the Company’s share-based compensation plans were $21.5 million (2019 — $22.8 million; 2018 —$22.6 million). The following reflects the share-based compensation expense recorded to the respective financial statement line items: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440" w:type="dxa"/>
            <w:vAlign w:val="bottom"/>
            <w:tcBorders>
              <w:bottom w:val="single" w:sz="8" w:color="CFF0FC"/>
            </w:tcBorders>
            <w:vMerge w:val="continue"/>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and expenses applicable to revenues</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691</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1,709</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20,652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20,750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20,102</w:t>
            </w: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Executive transition costs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Exit costs, restructuring charges and associated impairments</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2"/>
        </w:trPr>
        <w:tc>
          <w:tcPr>
            <w:tcW w:w="5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21,493</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22,830</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22,585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2020, there was a decrease in share-based compensation expenses allocated to Costs and Expenses Applicable to Revenues and Research and Development, when compared to 2019, due to the lower level of revenue generating and research activities during the COVID-19 global pandemic.</w:t>
      </w:r>
    </w:p>
    <w:p>
      <w:pPr>
        <w:spacing w:after="0" w:line="136"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As of December 31, 2020, the Company has reserved a total of 15,486,807 (December 31, 2019 — 8,944,999) common shares for future issuance under the IMAX LTIP. Of this amount, 4,892,962 common shares are reserved for the future exercise of stock options (December 31, 2019 — 5,732,209), 361,844 common shares are reserved for the future vesting of PSUs (December 31, 2019 — nil), and 1,564,838 common shares are reserved for the future vesting of RSUs (December 31, 2019 — 1,065,347). At December 31, 2020 stock options in respect of 4,311,761 (December 31, 2019 — 4,801,272) common shares were vested and exercisable.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ind w:left="240"/>
        <w:spacing w:after="0"/>
        <w:rPr>
          <w:sz w:val="20"/>
          <w:szCs w:val="20"/>
          <w:color w:val="auto"/>
        </w:rPr>
      </w:pPr>
      <w:r>
        <w:rPr>
          <w:rFonts w:ascii="Times New Roman" w:cs="Times New Roman" w:eastAsia="Times New Roman" w:hAnsi="Times New Roman"/>
          <w:sz w:val="18"/>
          <w:szCs w:val="18"/>
          <w:i w:val="1"/>
          <w:iCs w:val="1"/>
          <w:color w:val="auto"/>
        </w:rPr>
        <w:t>Stock Option Plan</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Company’s policy is to issue new common shares from treasury or shares purchased in the open market to satisfy stock options which are exercised.</w:t>
      </w:r>
    </w:p>
    <w:p>
      <w:pPr>
        <w:spacing w:after="0" w:line="195"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utilizes a Binomial Model to determine the fair value of stock option awards on the grant date. The fair value determined by the Binomial Model is affected by the Company’s stock price, as well as assumptions regarding a number of highly complex and subjective variables. These variables include, but are not limited to, the Company’s expected stock price volatility over the term of the award, and actual and projected employee stock option exercise behaviors. The Binomial Model also considers the expected exercise multiple which is the multiple of exercise price to grant price at which exercises are expected to occur on average. Option-pricing models were developed for use in estimating the value of traded options that have no vesting or hedging restrictions and are fully transferable. Because the Company’s employee stock options have certain characteristics that are significantly different from traded options, and because changes in the subjective assumptions can materially affect the estimated value, in management’s opinion, the Binomial Model best provides a fair measure of the fair value of the Company’s employee stock options.</w:t>
      </w:r>
    </w:p>
    <w:p>
      <w:pPr>
        <w:spacing w:after="0" w:line="147"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All stock option awards are granted at the fair market value of the Company’s common shares on the date of grant. The fair market value of a common share on a given date is based on the higher of the closing price of a common share on either: (i) the grant date or (ii) the most recent trading date if the grant date is not a trading date on the New York Stock Exchange (“NYSE”) or such national exchange as may be designated by the Company’s Board of Directors. The stock options vest within 4 years and expire 10 years or less from the date of grant. The SOP and IMAX LTIP provide for double-trigger accelerated vesting in the event of a change in control, as defined in each plan.</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recorded the following expenses related to stock option grants issued to employees and directors under the IMAX LTIP and SOP:</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8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520" w:type="dxa"/>
            <w:vAlign w:val="bottom"/>
            <w:tcBorders>
              <w:bottom w:val="single" w:sz="8" w:color="CFF0FC"/>
            </w:tcBorders>
            <w:vMerge w:val="continue"/>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1,847</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8,329</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5,950</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2020, the Company’s Consolidated Statements of Operations includes an income tax benefit of $0.1 million related to stock option expense (2019 —$1.9 million; 2018 —$1.2 million).</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2020, 2019 and 2018, unrecognized share-based compensation expense related to non-vested employee stock options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3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FF0FC"/>
            </w:tcBorders>
            <w:vMerge w:val="continue"/>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 related to non-vested employee stock options</w:t>
            </w:r>
          </w:p>
        </w:tc>
        <w:tc>
          <w:tcPr>
            <w:tcW w:w="13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4,073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8,482</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As of December 31, 2020, 2019 and 2018, unrecognized share-based compensation expense related to non-vested employee stock options is expected to be recognized over the following weighted-average periods:</w:t>
      </w:r>
    </w:p>
    <w:p>
      <w:pPr>
        <w:spacing w:after="0" w:line="23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5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59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period (in years)</w:t>
            </w: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1.9</w:t>
            </w:r>
          </w:p>
        </w:tc>
      </w:tr>
    </w:tbl>
    <w:p>
      <w:pPr>
        <w:spacing w:after="0" w:line="157"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2020, 2019 and 2018, the weighted average fair value of stock options granted to employees and directors at the measurement date and the assumptions used to estimate the average fair value of the stock options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55"/>
        </w:trPr>
        <w:tc>
          <w:tcPr>
            <w:tcW w:w="4100" w:type="dxa"/>
            <w:vAlign w:val="bottom"/>
            <w:tcBorders>
              <w:bottom w:val="single" w:sz="8" w:color="CFF0FC"/>
            </w:tcBorders>
          </w:tcPr>
          <w:p>
            <w:pPr>
              <w:spacing w:after="0"/>
              <w:rPr>
                <w:sz w:val="13"/>
                <w:szCs w:val="13"/>
                <w:color w:val="auto"/>
              </w:rPr>
            </w:pPr>
          </w:p>
        </w:tc>
        <w:tc>
          <w:tcPr>
            <w:tcW w:w="258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ind w:left="52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center"/>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center"/>
              <w:ind w:right="5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2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fair value per share</w:t>
            </w:r>
          </w:p>
        </w:tc>
        <w:tc>
          <w:tcPr>
            <w:tcW w:w="2580" w:type="dxa"/>
            <w:vAlign w:val="bottom"/>
            <w:shd w:val="clear" w:color="auto" w:fill="CFF0FC"/>
          </w:tcPr>
          <w:p>
            <w:pPr>
              <w:spacing w:after="0"/>
              <w:rPr>
                <w:sz w:val="19"/>
                <w:szCs w:val="19"/>
                <w:color w:val="auto"/>
              </w:rPr>
            </w:pPr>
          </w:p>
        </w:tc>
        <w:tc>
          <w:tcPr>
            <w:tcW w:w="1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center"/>
              <w:ind w:right="53"/>
              <w:spacing w:after="0"/>
              <w:rPr>
                <w:sz w:val="20"/>
                <w:szCs w:val="20"/>
                <w:color w:val="auto"/>
              </w:rPr>
            </w:pPr>
            <w:r>
              <w:rPr>
                <w:rFonts w:ascii="Times New Roman" w:cs="Times New Roman" w:eastAsia="Times New Roman" w:hAnsi="Times New Roman"/>
                <w:sz w:val="18"/>
                <w:szCs w:val="18"/>
                <w:color w:val="auto"/>
                <w:w w:val="95"/>
              </w:rPr>
              <w:t>6.65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center"/>
              <w:ind w:right="53"/>
              <w:spacing w:after="0"/>
              <w:rPr>
                <w:sz w:val="20"/>
                <w:szCs w:val="20"/>
                <w:color w:val="auto"/>
              </w:rPr>
            </w:pPr>
            <w:r>
              <w:rPr>
                <w:rFonts w:ascii="Times New Roman" w:cs="Times New Roman" w:eastAsia="Times New Roman" w:hAnsi="Times New Roman"/>
                <w:sz w:val="18"/>
                <w:szCs w:val="18"/>
                <w:color w:val="auto"/>
              </w:rPr>
              <w:t>6.74</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2580" w:type="dxa"/>
            <w:vAlign w:val="bottom"/>
          </w:tcPr>
          <w:p>
            <w:pPr>
              <w:spacing w:after="0"/>
              <w:rPr>
                <w:sz w:val="19"/>
                <w:szCs w:val="19"/>
                <w:color w:val="auto"/>
              </w:rPr>
            </w:pPr>
          </w:p>
        </w:tc>
        <w:tc>
          <w:tcPr>
            <w:tcW w:w="1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spacing w:after="0"/>
              <w:rPr>
                <w:sz w:val="19"/>
                <w:szCs w:val="19"/>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8"/>
              </w:rPr>
              <w:t>2.64%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w w:val="98"/>
              </w:rPr>
              <w:t>2.67%</w:t>
            </w:r>
          </w:p>
        </w:tc>
      </w:tr>
      <w:tr>
        <w:trPr>
          <w:trHeight w:val="22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2580" w:type="dxa"/>
            <w:vAlign w:val="bottom"/>
            <w:shd w:val="clear" w:color="auto" w:fill="CFF0FC"/>
          </w:tcPr>
          <w:p>
            <w:pPr>
              <w:spacing w:after="0"/>
              <w:rPr>
                <w:sz w:val="19"/>
                <w:szCs w:val="19"/>
                <w:color w:val="auto"/>
              </w:rPr>
            </w:pPr>
          </w:p>
        </w:tc>
        <w:tc>
          <w:tcPr>
            <w:tcW w:w="1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center"/>
              <w:ind w:right="53"/>
              <w:spacing w:after="0"/>
              <w:rPr>
                <w:sz w:val="20"/>
                <w:szCs w:val="20"/>
                <w:color w:val="auto"/>
              </w:rPr>
            </w:pPr>
            <w:r>
              <w:rPr>
                <w:rFonts w:ascii="Times New Roman" w:cs="Times New Roman" w:eastAsia="Times New Roman" w:hAnsi="Times New Roman"/>
                <w:sz w:val="18"/>
                <w:szCs w:val="18"/>
                <w:color w:val="auto"/>
                <w:w w:val="98"/>
              </w:rPr>
              <w:t>6.73 - 10.00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center"/>
              <w:ind w:right="33"/>
              <w:spacing w:after="0"/>
              <w:rPr>
                <w:sz w:val="20"/>
                <w:szCs w:val="20"/>
                <w:color w:val="auto"/>
              </w:rPr>
            </w:pPr>
            <w:r>
              <w:rPr>
                <w:rFonts w:ascii="Times New Roman" w:cs="Times New Roman" w:eastAsia="Times New Roman" w:hAnsi="Times New Roman"/>
                <w:sz w:val="18"/>
                <w:szCs w:val="18"/>
                <w:color w:val="auto"/>
                <w:w w:val="99"/>
              </w:rPr>
              <w:t>5.06 - 7.00</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580" w:type="dxa"/>
            <w:vAlign w:val="bottom"/>
          </w:tcPr>
          <w:p>
            <w:pPr>
              <w:spacing w:after="0"/>
              <w:rPr>
                <w:sz w:val="19"/>
                <w:szCs w:val="19"/>
                <w:color w:val="auto"/>
              </w:rPr>
            </w:pPr>
          </w:p>
        </w:tc>
        <w:tc>
          <w:tcPr>
            <w:tcW w:w="1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spacing w:after="0"/>
              <w:rPr>
                <w:sz w:val="19"/>
                <w:szCs w:val="19"/>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580" w:type="dxa"/>
            <w:vAlign w:val="bottom"/>
            <w:shd w:val="clear" w:color="auto" w:fill="CFF0FC"/>
          </w:tcPr>
          <w:p>
            <w:pPr>
              <w:spacing w:after="0"/>
              <w:rPr>
                <w:sz w:val="19"/>
                <w:szCs w:val="19"/>
                <w:color w:val="auto"/>
              </w:rPr>
            </w:pPr>
          </w:p>
        </w:tc>
        <w:tc>
          <w:tcPr>
            <w:tcW w:w="1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center"/>
              <w:ind w:right="53"/>
              <w:spacing w:after="0"/>
              <w:rPr>
                <w:sz w:val="20"/>
                <w:szCs w:val="20"/>
                <w:color w:val="auto"/>
              </w:rPr>
            </w:pPr>
            <w:r>
              <w:rPr>
                <w:rFonts w:ascii="Times New Roman" w:cs="Times New Roman" w:eastAsia="Times New Roman" w:hAnsi="Times New Roman"/>
                <w:sz w:val="18"/>
                <w:szCs w:val="18"/>
                <w:color w:val="auto"/>
                <w:w w:val="91"/>
              </w:rPr>
              <w:t>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center"/>
              <w:ind w:right="53"/>
              <w:spacing w:after="0"/>
              <w:rPr>
                <w:sz w:val="20"/>
                <w:szCs w:val="20"/>
                <w:color w:val="auto"/>
              </w:rPr>
            </w:pPr>
            <w:r>
              <w:rPr>
                <w:rFonts w:ascii="Times New Roman" w:cs="Times New Roman" w:eastAsia="Times New Roman" w:hAnsi="Times New Roman"/>
                <w:sz w:val="18"/>
                <w:szCs w:val="18"/>
                <w:color w:val="auto"/>
                <w:w w:val="99"/>
              </w:rPr>
              <w:t>0%</w:t>
            </w:r>
          </w:p>
        </w:tc>
      </w:tr>
      <w:tr>
        <w:trPr>
          <w:trHeight w:val="647"/>
        </w:trPr>
        <w:tc>
          <w:tcPr>
            <w:tcW w:w="4100" w:type="dxa"/>
            <w:vAlign w:val="bottom"/>
          </w:tcPr>
          <w:p>
            <w:pPr>
              <w:spacing w:after="0"/>
              <w:rPr>
                <w:sz w:val="24"/>
                <w:szCs w:val="24"/>
                <w:color w:val="auto"/>
              </w:rPr>
            </w:pPr>
          </w:p>
        </w:tc>
        <w:tc>
          <w:tcPr>
            <w:tcW w:w="25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122</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410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22" w:name="page123"/>
    <w:bookmarkEnd w:id="122"/>
    <w:p>
      <w:pPr>
        <w:ind w:left="240"/>
        <w:spacing w:after="0"/>
        <w:rPr>
          <w:sz w:val="20"/>
          <w:szCs w:val="20"/>
          <w:color w:val="auto"/>
        </w:rPr>
      </w:pPr>
      <w:r>
        <w:rPr>
          <w:rFonts w:ascii="Times New Roman" w:cs="Times New Roman" w:eastAsia="Times New Roman" w:hAnsi="Times New Roman"/>
          <w:sz w:val="18"/>
          <w:szCs w:val="18"/>
          <w:i w:val="1"/>
          <w:iCs w:val="1"/>
          <w:color w:val="auto"/>
        </w:rPr>
        <w:t>Stock Option Summary</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under the SOP and IMAX LTIP for the years ended December 31, 2020, 2019 and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940" w:type="dxa"/>
            <w:vAlign w:val="bottom"/>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gridSpan w:val="3"/>
          </w:tcPr>
          <w:p>
            <w:pPr>
              <w:jc w:val="right"/>
              <w:ind w:right="31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98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beginning of year</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5,732,209</w:t>
            </w: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5,465,046</w:t>
            </w: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5,082,100</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26.82</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27.63</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1,016,882</w:t>
            </w:r>
          </w:p>
        </w:tc>
        <w:tc>
          <w:tcPr>
            <w:tcW w:w="1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1,082,123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21.95</w:t>
            </w: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(86,928)</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(336,493)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29.99</w:t>
            </w: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Expired</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(786,086)</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(299,134)</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(507,977)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27.07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31.69</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(27,164)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22"/>
        </w:trPr>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end of year</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4,892,962</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5,732,209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5,465,046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27.63</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end of year</w:t>
            </w:r>
          </w:p>
        </w:tc>
        <w:tc>
          <w:tcPr>
            <w:tcW w:w="9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27.30</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28.48</w:t>
            </w:r>
          </w:p>
        </w:tc>
        <w:tc>
          <w:tcPr>
            <w:tcW w:w="0" w:type="dxa"/>
            <w:vAlign w:val="bottom"/>
          </w:tcPr>
          <w:p>
            <w:pPr>
              <w:spacing w:after="0" w:line="20" w:lineRule="exact"/>
              <w:rPr>
                <w:sz w:val="1"/>
                <w:szCs w:val="1"/>
                <w:color w:val="auto"/>
              </w:rPr>
            </w:pPr>
          </w:p>
        </w:tc>
      </w:tr>
      <w:tr>
        <w:trPr>
          <w:trHeight w:val="209"/>
        </w:trPr>
        <w:tc>
          <w:tcPr>
            <w:tcW w:w="4620" w:type="dxa"/>
            <w:vAlign w:val="bottom"/>
            <w:vMerge w:val="continue"/>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4,311,761</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4,801,272</w:t>
            </w: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3,990,970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As of December 31, 2020, 4,892,962 options outstanding included both fully vested and unvested options with a weighted average exercise price of $26.81, an aggregate intrinsic value of $nil and a weighted average remaining contractual life of 4.1 years. As of December 31, 2020, options that are exercisable have an aggregate intrinsic value of $nil and a weighted average remaining contractual life of 4.1 years. The intrinsic value of options exercised in 2020 was $nil as no options were exercised (2019 — $0.2 million; 2018 — $0.1 million).</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186"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RSUs have been granted to employees and directors under the IMAX LTIP. Each RSU represents a contingent right to receive one common share and is the economic equivalent of one common share. The grant date fair value of each RSU is equal to the share price of the Company’s stock at the grant date. For the years ended December 31, 2020, 2019 and 2018, the Company recorded the following expenses related to RSUs issued to employees and directors in the IMAX LTIP:</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8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520" w:type="dxa"/>
            <w:vAlign w:val="bottom"/>
            <w:tcBorders>
              <w:bottom w:val="single" w:sz="8" w:color="CFF0FC"/>
            </w:tcBorders>
            <w:vMerge w:val="continue"/>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 expenses</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13,761</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12,394</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15,189</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Company’s actual tax benefits realized for the tax deductions related to the vesting of RSUs was $0.3 million for the year ended December 31, 2020 (2019 — $1.6 million; 2018 — $1.4 million).</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accrued liability for RSUs, deemed as granted, was $2.1 million as of December 31, 2020 (December 31, 2019 — $0.4 million).</w:t>
      </w:r>
    </w:p>
    <w:p>
      <w:pPr>
        <w:spacing w:after="0" w:line="197"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Total share-based compensation expense related to non-vested RSUs not yet recognized and the weighted average period over which the awards are expected to be recognized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55"/>
        </w:trPr>
        <w:tc>
          <w:tcPr>
            <w:tcW w:w="538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 related to non-vested RSUs not yet recognized</w:t>
            </w:r>
          </w:p>
        </w:tc>
        <w:tc>
          <w:tcPr>
            <w:tcW w:w="1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17,343</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23,548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18,597</w:t>
            </w:r>
          </w:p>
        </w:tc>
      </w:tr>
      <w:tr>
        <w:trPr>
          <w:trHeight w:val="229"/>
        </w:trPr>
        <w:tc>
          <w:tcPr>
            <w:tcW w:w="5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period awards are expected to be recognized (in years)</w:t>
            </w:r>
          </w:p>
        </w:tc>
        <w:tc>
          <w:tcPr>
            <w:tcW w:w="1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2.2</w:t>
            </w:r>
          </w:p>
        </w:tc>
      </w:tr>
      <w:tr>
        <w:trPr>
          <w:trHeight w:val="647"/>
        </w:trPr>
        <w:tc>
          <w:tcPr>
            <w:tcW w:w="5380" w:type="dxa"/>
            <w:vAlign w:val="bottom"/>
          </w:tcPr>
          <w:p>
            <w:pPr>
              <w:spacing w:after="0"/>
              <w:rPr>
                <w:sz w:val="24"/>
                <w:szCs w:val="24"/>
                <w:color w:val="auto"/>
              </w:rPr>
            </w:pPr>
          </w:p>
        </w:tc>
        <w:tc>
          <w:tcPr>
            <w:tcW w:w="11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123</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53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RSUs issued under the IMAX LTIP for the years ended December 31, 2020, 2019 and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2160" w:type="dxa"/>
            <w:vAlign w:val="bottom"/>
            <w:gridSpan w:val="4"/>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8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2160" w:type="dxa"/>
            <w:vAlign w:val="bottom"/>
            <w:tcBorders>
              <w:bottom w:val="single" w:sz="8" w:color="auto"/>
            </w:tcBorders>
            <w:gridSpan w:val="4"/>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6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outstanding, beginning of year</w:t>
            </w: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1,065,347</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1,033,871</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995,329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23.17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25.70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32.68</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1,050,385</w:t>
            </w:r>
          </w:p>
        </w:tc>
        <w:tc>
          <w:tcPr>
            <w:tcW w:w="8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687,475</w:t>
            </w:r>
          </w:p>
        </w:tc>
        <w:tc>
          <w:tcPr>
            <w:tcW w:w="8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659,282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15.35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20.99</w:t>
            </w: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settled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(453,993)</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(434,296)</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(534,193)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22.71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27.54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32.33</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(96,901)</w:t>
            </w:r>
          </w:p>
        </w:tc>
        <w:tc>
          <w:tcPr>
            <w:tcW w:w="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(221,703)</w:t>
            </w:r>
          </w:p>
        </w:tc>
        <w:tc>
          <w:tcPr>
            <w:tcW w:w="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(86,547)</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18.81</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jc w:val="right"/>
              <w:ind w:right="33"/>
              <w:spacing w:after="0"/>
              <w:rPr>
                <w:sz w:val="20"/>
                <w:szCs w:val="20"/>
                <w:color w:val="auto"/>
              </w:rPr>
            </w:pPr>
            <w:r>
              <w:rPr>
                <w:rFonts w:ascii="Times New Roman" w:cs="Times New Roman" w:eastAsia="Times New Roman" w:hAnsi="Times New Roman"/>
                <w:sz w:val="18"/>
                <w:szCs w:val="18"/>
                <w:color w:val="auto"/>
              </w:rPr>
              <w:t>23.68</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jc w:val="right"/>
              <w:ind w:right="33"/>
              <w:spacing w:after="0"/>
              <w:rPr>
                <w:sz w:val="20"/>
                <w:szCs w:val="20"/>
                <w:color w:val="auto"/>
              </w:rPr>
            </w:pPr>
            <w:r>
              <w:rPr>
                <w:rFonts w:ascii="Times New Roman" w:cs="Times New Roman" w:eastAsia="Times New Roman" w:hAnsi="Times New Roman"/>
                <w:sz w:val="18"/>
                <w:szCs w:val="18"/>
                <w:color w:val="auto"/>
              </w:rPr>
              <w:t>29.19</w:t>
            </w:r>
          </w:p>
        </w:tc>
        <w:tc>
          <w:tcPr>
            <w:tcW w:w="0" w:type="dxa"/>
            <w:vAlign w:val="bottom"/>
          </w:tcPr>
          <w:p>
            <w:pPr>
              <w:spacing w:after="0"/>
              <w:rPr>
                <w:sz w:val="1"/>
                <w:szCs w:val="1"/>
                <w:color w:val="auto"/>
              </w:rPr>
            </w:pPr>
          </w:p>
        </w:tc>
      </w:tr>
      <w:tr>
        <w:trPr>
          <w:trHeight w:val="222"/>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outstanding, end of year</w:t>
            </w: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1,564,838</w:t>
            </w:r>
          </w:p>
        </w:tc>
        <w:tc>
          <w:tcPr>
            <w:tcW w:w="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1,065,347</w:t>
            </w:r>
          </w:p>
        </w:tc>
        <w:tc>
          <w:tcPr>
            <w:tcW w:w="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1,033,871</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18.33</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23.17</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25.70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Historically, RSUs granted under the IMAX LTIP have vested between immediately and three years from the grant date. In connection with the second amendment and restatement of the IMAX LTIP at the Company’s annual and special meeting of the shareholders on June 3, 2020, the IMAX LTIP plan retained the minimum one-year vesting period on future RSU grants, with a carve-out for an aggregate of no more than 5% of the total number of common shares authorized for issuance under the plan that may vest on a shorter schedule. Vesting of the RSUs is subject to continued employment or service with the Company. The following table summarizes the number of RSUs issued from the carve-out balance: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Approved under the June 3, 2020 amended and restated IMAX LTIP</w:t>
            </w:r>
          </w:p>
        </w:tc>
        <w:tc>
          <w:tcPr>
            <w:tcW w:w="1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360,000</w:t>
            </w:r>
          </w:p>
        </w:tc>
      </w:tr>
      <w:tr>
        <w:trPr>
          <w:trHeight w:val="229"/>
        </w:trPr>
        <w:tc>
          <w:tcPr>
            <w:tcW w:w="9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Issued during 2020</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(81,636)</w:t>
            </w:r>
          </w:p>
        </w:tc>
      </w:tr>
      <w:tr>
        <w:trPr>
          <w:trHeight w:val="222"/>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2020</w:t>
            </w:r>
          </w:p>
        </w:tc>
        <w:tc>
          <w:tcPr>
            <w:tcW w:w="1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278,364</w:t>
            </w:r>
          </w:p>
        </w:tc>
      </w:tr>
      <w:tr>
        <w:trPr>
          <w:trHeight w:val="20"/>
        </w:trPr>
        <w:tc>
          <w:tcPr>
            <w:tcW w:w="92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Restricted Share Units to Non-Employees</w:t>
      </w:r>
    </w:p>
    <w:p>
      <w:pPr>
        <w:spacing w:after="0" w:line="186"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There were no RSU awards granted to non-employees in 2020 (2019 ― 12,580; 2018 ― nil). The Company recorded an expense of $0.1 million for the year ended December 31, 2020 (2019 ― $0.1 million; 2018 ― $nil) related to RSU grants issued to advisors and strategic partners of the Company in 2019.</w:t>
      </w:r>
    </w:p>
    <w:p>
      <w:pPr>
        <w:spacing w:after="0" w:line="1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Performance Stock Units Summary</w:t>
      </w:r>
    </w:p>
    <w:p>
      <w:pPr>
        <w:spacing w:after="0" w:line="199"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In the first quarter of 2020, the Company expanded its share-based compensation program to include PSUs. The Company grants two types of PSU awards, one which vests based on a combination of employee service and the achievement of certain EBITDA-based targets and one which vests based on a combination of employee service and the achievement of certain stock-price targets. These awards vest over a three-year performance period. The grant date fair value of PSUs with EBITDA-based targets is equal to the closing price on the date of grant or the average closing price of the Company’s common stock for five days prior to the date of grant. The grant date fair value of PSUs with stock-price targets is determined on the grant date using a Monte Carlo simulation, which is a valuation model that takes into account the likelihood of achieving the stock-price targets embedded in the award (“Monte Carlo Model”). The compensation expense attributable to each type of PSU is recognized on a straight-line basis over the requisite service period. At the conclusion of the three-year performance period, the number of PSUs that ultimately vest can range from 0% to a maximum vesting opportunity of 175% of the initial award, depending upon actual performance versus the established EBITDA and stock-price targets.</w:t>
      </w:r>
    </w:p>
    <w:p>
      <w:pPr>
        <w:spacing w:after="0" w:line="151"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fair value determined by the Monte Carlo Model is affected by the Company’s stock price, as well as assumptions regarding a number of highly complex and subjective variables. These variables include, but are not limited to, market conditions as of the grant date, the Company’s expected stock price volatility over the term of the awards, and other relevant data. The compensation expense is fixed on the date of grant based on the dollar value granted.</w:t>
      </w:r>
    </w:p>
    <w:p>
      <w:pPr>
        <w:spacing w:after="0" w:line="140"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amount and timing of compensation expense recognized for PSUs with EBITDA-based targets is dependent upon management's assessment of the likelihood and timing of achieving these targets. If, as a result of management’s assessment, it is projected that a greater number of PSUs will vest than previously anticipated, a life-to-date adjustment to increase compensation expense is recorded in the period such determination is made. Conversely, if, as a result of management’s assessment, it is projected that a lower number of PSUs will vest than previously anticipated, a life-to-date adjustment to decrease compensation expense is recorded in the period such determination is made. For the year ended December 31, 2020, the Company recognized expense of $2.6 million related to outstanding PSUs, which includes adjustments reflecting management’s estimate of the number of PSUs with EBITDA-based targets expected to vest.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The Company’s actual tax benefits realized for the tax deductions related to the vesting of PSUs was $nil for the year ended December 31, 2020 (2019 and 2018 ― $nil).</w:t>
      </w:r>
    </w:p>
    <w:p>
      <w:pPr>
        <w:spacing w:after="0" w:line="135"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As of December 31, 2020, total unrecognized share-based compensation expense related to unvested PSUs and the weighted average period over which the expense is expected to be recognized is $6.0 million and 2.1 years, respectively.</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PSUs issued under the IMAX LTIP:</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44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61"/>
              <w:spacing w:after="0" w:line="148"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73"/>
        </w:trPr>
        <w:tc>
          <w:tcPr>
            <w:tcW w:w="780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22"/>
        </w:trPr>
        <w:tc>
          <w:tcPr>
            <w:tcW w:w="780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2"/>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370,265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700" w:type="dxa"/>
            <w:vAlign w:val="bottom"/>
            <w:tcBorders>
              <w:bottom w:val="single" w:sz="8" w:color="CFF0FC"/>
            </w:tcBorders>
          </w:tcPr>
          <w:p>
            <w:pPr>
              <w:jc w:val="right"/>
              <w:ind w:right="221"/>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22"/>
        </w:trPr>
        <w:tc>
          <w:tcPr>
            <w:tcW w:w="7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PSUs outstanding, end of year</w:t>
            </w:r>
          </w:p>
        </w:tc>
        <w:tc>
          <w:tcPr>
            <w:tcW w:w="14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361,844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As of December 31, 2020, the maximum number of shares of common stock that may be issued with respect to PSUs outstanding is 633,227, assuming full achievement of the EBITDA and stock-price targets.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China Long-Term Incentive Plan</w:t>
      </w:r>
    </w:p>
    <w:p>
      <w:pPr>
        <w:spacing w:after="0" w:line="199"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Each stock option (“China Option”), RSU or PSU issued under the China LTIP represents an opportunity to participate economically in the future growth and value creation of IMAX China.</w:t>
      </w:r>
    </w:p>
    <w:p>
      <w:pPr>
        <w:spacing w:after="0" w:line="121"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connection with the IMAX China IPO and in accordance with the China LTIP, IMAX China adopted a post-IPO share option plan and a post-IPO restricted stock unit plan. Pursuant to these plans, IMAX China has issued additional China Options, China LTIP Performance Stock Units (“China PSUs”) and China LTIP Restricted Share Units (“China RSUs”).</w:t>
      </w:r>
    </w:p>
    <w:p>
      <w:pPr>
        <w:spacing w:after="0" w:line="136"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2020, 2019 and 2018, share-based compensation expense related to China Options, China RSUs and China PSUs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520" w:type="dxa"/>
            <w:vAlign w:val="bottom"/>
            <w:tcBorders>
              <w:bottom w:val="single" w:sz="8" w:color="CFF0FC"/>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 Options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875</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China RSUs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2,093</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China PSUs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22"/>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3,176</w:t>
            </w:r>
          </w:p>
        </w:tc>
        <w:tc>
          <w:tcPr>
            <w:tcW w:w="46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In 2020, IMAX China modified the terms of certain fully vested stock options to extend their contractual life by two years and recorded an associated expense of $0.7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01"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In 2017, the Company’s Board of Directors approved a new $200.0 million share repurchase program which would have expired on June 30, 2020. In June 2020, the Board of Directors approved a 12-month extension of this program which will now expire on June 30, 2021. The repurchases may be made either in the open market or through private transactions, subject to market conditions, applicable legal requirements, and other relevant factors. The Company has no obligation to repurchase shares and the share repurchase program may be suspended or discontinued by the Company at any time. In 2020, the Company repurchased 2,484,123 (2019 ― 134,384) common shares at an average price of $14.72 per share (2019 ― $19.76 per share), excluding commissions.</w:t>
      </w:r>
    </w:p>
    <w:p>
      <w:pPr>
        <w:spacing w:after="0" w:line="143"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total number of shares purchased during the years ended December 31, 2020 and 2019 does not include 200,000 and 615,000 common shares, purchased in the administration of employee share-based compensation plans, at an average price of $15.43 and $22.49 per share, respectively.</w:t>
      </w:r>
    </w:p>
    <w:p>
      <w:pPr>
        <w:spacing w:after="0" w:line="121"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As of December 31, 2020, the IMAX LTIP trustee held 723 shares purchased for less than $0.1 million in the open market to be issued upon the settlement of RSUs and certain stock options. The shares held with the trustee are recorded at cost and are reported as a reduction against Capital Stock on the Company’s Consolidated Balance Sheets.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25" w:name="page126"/>
    <w:bookmarkEnd w:id="125"/>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In 2018, IMAX China announced that its shareholders granted its Board of Directors a general mandate authorizing the Board, subject to applicable laws, to buy back shares of IMAX China in an amount not to exceed 10% of the total number of issued shares of IMAX China as of May 3, 2018 (35,818,112 shares). The share repurchase program expired on June 6, 2019. In 2019, IMAX China announced that its shareholders granted its Board of Directors a general mandate authorizing the Board, subject to applicable laws, to repurchase shares of IMAX China in an amount not to exceed 10% of the total number of issued shares of IMAX China as of June 6, 2019 (35,605,560 shares). The share purchase program expired on the date of the 2020 Annual General Meeting of IMAX China on June 11, 2020. During the 2020 Annual General Meeting, shareholders approved the repurchase of shares of IMAX China not to exceed 10% of the total number of issued shares as of June 11, 2020 (34,848,398 shares). This program will be valid until the 2021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In 2020, IMAX China repurchased 906,400 (2019 ― 8,051,500) common shares at an average price of HKD $13.13 per share (U.S. $1.69 per share) (2019 ― HKD $18.63 per share; U.S. $2.38 per share).</w:t>
      </w:r>
    </w:p>
    <w:p>
      <w:pPr>
        <w:spacing w:after="0" w:line="164" w:lineRule="exact"/>
        <w:rPr>
          <w:sz w:val="20"/>
          <w:szCs w:val="20"/>
          <w:color w:val="auto"/>
        </w:rPr>
      </w:pPr>
    </w:p>
    <w:p>
      <w:pPr>
        <w:ind w:left="1080" w:hanging="848"/>
        <w:spacing w:after="0"/>
        <w:tabs>
          <w:tab w:leader="none" w:pos="1080" w:val="left"/>
        </w:tabs>
        <w:numPr>
          <w:ilvl w:val="0"/>
          <w:numId w:val="6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Basic and Diluted Weighted Average Shares Outstanding</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reconciles the denominator of the basic and diluted weighted average share computations: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20" w:type="dxa"/>
            <w:vAlign w:val="bottom"/>
          </w:tcPr>
          <w:p>
            <w:pPr>
              <w:spacing w:after="0"/>
              <w:rPr>
                <w:sz w:val="15"/>
                <w:szCs w:val="15"/>
                <w:color w:val="auto"/>
              </w:rPr>
            </w:pPr>
          </w:p>
        </w:tc>
        <w:tc>
          <w:tcPr>
            <w:tcW w:w="298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Borders>
              <w:bottom w:val="single" w:sz="8" w:color="auto"/>
            </w:tcBorders>
          </w:tcPr>
          <w:p>
            <w:pPr>
              <w:spacing w:after="0"/>
              <w:rPr>
                <w:sz w:val="15"/>
                <w:szCs w:val="15"/>
                <w:color w:val="auto"/>
              </w:rPr>
            </w:pPr>
          </w:p>
        </w:tc>
      </w:tr>
      <w:tr>
        <w:trPr>
          <w:trHeight w:val="155"/>
        </w:trPr>
        <w:tc>
          <w:tcPr>
            <w:tcW w:w="722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4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Weighted average number of common shares (000's):</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beginning of period</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61,176</w:t>
            </w:r>
          </w:p>
        </w:tc>
        <w:tc>
          <w:tcPr>
            <w:tcW w:w="1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61,434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64,696</w:t>
            </w:r>
          </w:p>
        </w:tc>
      </w:tr>
      <w:tr>
        <w:trPr>
          <w:trHeight w:val="22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shares repurchased, net of shares issued during the period</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22"/>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used in computing basic income per share</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59,237</w:t>
            </w:r>
          </w:p>
        </w:tc>
        <w:tc>
          <w:tcPr>
            <w:tcW w:w="1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61,310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63,075</w:t>
            </w:r>
          </w:p>
        </w:tc>
      </w:tr>
      <w:tr>
        <w:trPr>
          <w:trHeight w:val="211"/>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Assumed exercise of stock options, and vesting of RSUs and PSUs, net of shares assumed</w:t>
            </w: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34"/>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repurchased, if dilutive</w:t>
            </w: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132</w:t>
            </w:r>
          </w:p>
        </w:tc>
      </w:tr>
      <w:tr>
        <w:trPr>
          <w:trHeight w:val="222"/>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used in computing diluted income per share</w:t>
            </w:r>
          </w:p>
        </w:tc>
        <w:tc>
          <w:tcPr>
            <w:tcW w:w="1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59,237</w:t>
            </w:r>
          </w:p>
        </w:tc>
        <w:tc>
          <w:tcPr>
            <w:tcW w:w="1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61,489</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63,207</w:t>
            </w:r>
          </w:p>
        </w:tc>
      </w:tr>
      <w:tr>
        <w:trPr>
          <w:trHeight w:val="20"/>
        </w:trPr>
        <w:tc>
          <w:tcPr>
            <w:tcW w:w="7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calculation of diluted earnings per share exclude 6,999,667 (2019 and 2018 ― 5,809,468 and 5,666,976, respectively) shares that are issuable upon the vesting of 1,564,838 RSUs (2019 and 2018 ― 77,259 and 277,543, respectively), the vesting of 541,867 PSUs (2019 and 2018 ― nil), and the exercise of 4,892,962 stock options (2019 and 2018 ― 5,732,209 and 5,389,433, respectively) for the years ended December 31, 2020, 2019 and 2018, as the effect would be anti-dilutive.</w:t>
      </w:r>
    </w:p>
    <w:p>
      <w:pPr>
        <w:spacing w:after="0" w:line="136" w:lineRule="exact"/>
        <w:rPr>
          <w:sz w:val="20"/>
          <w:szCs w:val="20"/>
          <w:color w:val="auto"/>
        </w:rPr>
      </w:pPr>
    </w:p>
    <w:p>
      <w:pPr>
        <w:ind w:left="320" w:hanging="312"/>
        <w:spacing w:after="0"/>
        <w:tabs>
          <w:tab w:leader="none" w:pos="3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of Operations Supplemental Information</w:t>
      </w:r>
    </w:p>
    <w:p>
      <w:pPr>
        <w:spacing w:after="0" w:line="197" w:lineRule="exact"/>
        <w:rPr>
          <w:rFonts w:ascii="Times New Roman" w:cs="Times New Roman" w:eastAsia="Times New Roman" w:hAnsi="Times New Roman"/>
          <w:sz w:val="18"/>
          <w:szCs w:val="18"/>
          <w:b w:val="1"/>
          <w:bCs w:val="1"/>
          <w:color w:val="auto"/>
        </w:rPr>
      </w:pPr>
    </w:p>
    <w:p>
      <w:pPr>
        <w:ind w:left="580" w:hanging="357"/>
        <w:spacing w:after="0"/>
        <w:tabs>
          <w:tab w:leader="none" w:pos="580" w:val="left"/>
        </w:tabs>
        <w:numPr>
          <w:ilvl w:val="1"/>
          <w:numId w:val="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Selling Expenses</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Sales commissions and other selling expenses paid prior to the recognition of the related revenue are deferred and recognized in the Consolidated Statements of Operations upon the recognition of the related theater system revenue. For the year ended December 31, 2020, the sales commissions costs recognized within Costs and Expenses Applicable to Revenues – Technology Sales was $1.3 million (2019 — $2.0 million; 2018 — $1.9 million). Direct advertising and marketing costs for each theater are expensed as incurred. For the year ended December 31, 2020, the total of all such costs recognized within Costs and Expenses Applicable to Revenues – Technology Sales was $1.1 million (2019 — $1.1 million; 2018 — $1.0 million).</w:t>
      </w:r>
    </w:p>
    <w:p>
      <w:pPr>
        <w:spacing w:after="0" w:line="144"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Sales commissions related to joint revenue sharing arrangements accounted for as operating leases are recognized as Costs and Expenses Applicable to Revenues – Technology Rentals in the month they are earned by the salesperson, which is typically the month of installation. For the year ended December 31, 2020, sales commissions related to such joint revenue sharing arrangements totaled $0.9 million (2019 — $0.4 million; 2018 — $0.9 million). Direct advertising and marketing costs for each theater are expensed as incurred. For the year ended December 31, 2020, the total of such costs recognized within Costs and Expenses Applicable to Revenues – Technology Rentals was $0.5 million (2019 — $3.0 million; 2018 — $2.1 million).</w:t>
      </w:r>
    </w:p>
    <w:p>
      <w:pPr>
        <w:spacing w:after="0" w:line="144"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Film exploitation costs, including advertising and marketing expenses, totaled $4.3 million for the year ended December 31, 2020 (2019 — $22.9 million; 2018 — $21.2 million), and are expensed as incurred within Costs and Expenses Applicable to Revenues – Image Enhancement and Maintenance Services.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26" w:name="page127"/>
    <w:bookmarkEnd w:id="126"/>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(b)</w:t>
        <w:tab/>
        <w:t>Foreign Exchange</w:t>
      </w:r>
    </w:p>
    <w:p>
      <w:pPr>
        <w:spacing w:after="0" w:line="18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Included in Selling, General and Administrative Expenses for the year ended December 31, 2020 is a net gain of $0.8 million resulting from changes in exchange rates related to foreign currency denominated monetary assets and liabilities as compared to a net loss of $0.9 million and a net loss of $1.7 million for the years ended December 31, 2019 and 2018, respectively. See Note 22(c) for additional information.</w:t>
      </w:r>
    </w:p>
    <w:p>
      <w:pPr>
        <w:spacing w:after="0" w:line="145"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Collaborative Arrangements</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Joint Revenue Sharing Arrangements</w:t>
      </w:r>
    </w:p>
    <w:p>
      <w:pPr>
        <w:spacing w:after="0" w:line="186"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The Company provides IMAX Theater Systems to customers through joint revenue sharing arrangements. Under the traditional form of these arrangements, in exchange for providing the IMAX Theater System under a long-term lease, the Company earns rent based on a percentage of contingent box office receipts and, in some cases, concession revenues, rather than requiring the customer to pay a fixed upfront fee or annual minimum payments. Under certain other joint revenue sharing arrangements, knowns as hybrid arrangements, the customer is responsible for making fixed upfront payments prior to the delivery and installation of the IMAX Theater System.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the IMAX Theater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Theater System commencing on the date specified in the arrangement’s shipping terms and ending on the date the IMAX Theater System is returned to the Company.</w:t>
      </w:r>
    </w:p>
    <w:p>
      <w:pPr>
        <w:spacing w:after="0" w:line="155"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As of December 31, 2020, the Company has signed traditional and hybrid joint revenue sharing agreements with 43 exhibitors (2019 — 39) for a total of 1,232 IMAX Theater Systems (2019 — 1,223), of which 890 theaters (2019 — 870) were operational and included in the network as of that date. The terms of these arrangements are similar in nature, rights, and obligations. The accounting policy for the Company’s joint revenue sharing arrangements is disclosed in Note 3(n).</w:t>
      </w:r>
    </w:p>
    <w:p>
      <w:pPr>
        <w:spacing w:after="0" w:line="154"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Revenues attributable to transactions arising between the Company and its customers under joint revenue sharing arrangements are recorded within Revenues – Technology Sales and Revenues – Technology Rentals. For the year ended December 31, 2020 such revenues totals $19.9 million (2019 — $92.0 million; 2018 — $86.6 million). (See Note 20(a) for a disaggregated presentation of the Company’s revenues.)</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IMAX DMR</w:t>
      </w:r>
    </w:p>
    <w:p>
      <w:pPr>
        <w:spacing w:after="0" w:line="186"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In an IMAX DMR arrangement, the Company receives a percentage of the box office receipts from a third party who owns the copyright to a film in exchange for converting the film into IMAX DMR format and distributing it through the IMAX network. In recent years, the percentage of gross box office receipts earned in IMAX DMR arrangements has averaged approximately 12.5%, except for within Greater China, where the Company receives a lower percentage of net box office receipts for certain Hollywood films.</w:t>
      </w:r>
    </w:p>
    <w:p>
      <w:pPr>
        <w:spacing w:after="0" w:line="154"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In 2020, the majority of IMAX DMR revenue was earned from the exhibition of 35 IMAX DMR films (2019 — 72) and the re-release of classic titles throughout the IMAX network. The accounting policy for the Company’s IMAX DMR arrangements is disclosed in Note 3(n).</w:t>
      </w:r>
    </w:p>
    <w:p>
      <w:pPr>
        <w:spacing w:after="0" w:line="121"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Revenues attributable to transactions arising between the Company and its customers under IMAX DMR arrangements are recorded within Revenues – Image Enhancement and Maintenance Services. For the year ended December 31, 2020 such revenues totaled $28.3 million (2019 —$120.8 million; 2018</w:t>
      </w:r>
    </w:p>
    <w:p>
      <w:pPr>
        <w:spacing w:after="0" w:line="1" w:lineRule="exact"/>
        <w:rPr>
          <w:sz w:val="20"/>
          <w:szCs w:val="20"/>
          <w:color w:val="auto"/>
        </w:rPr>
      </w:pPr>
    </w:p>
    <w:p>
      <w:pPr>
        <w:ind w:left="240" w:right="4220" w:hanging="224"/>
        <w:spacing w:after="0" w:line="449" w:lineRule="auto"/>
        <w:rPr>
          <w:sz w:val="20"/>
          <w:szCs w:val="20"/>
          <w:color w:val="auto"/>
        </w:rPr>
      </w:pPr>
      <w:r>
        <w:rPr>
          <w:rFonts w:ascii="Times New Roman" w:cs="Times New Roman" w:eastAsia="Times New Roman" w:hAnsi="Times New Roman"/>
          <w:sz w:val="18"/>
          <w:szCs w:val="18"/>
          <w:color w:val="auto"/>
        </w:rPr>
        <w:t xml:space="preserve">— $110.8 million). (See Note 20(a) for a disaggregated presentation of the Company’s revenues.) </w:t>
      </w:r>
      <w:r>
        <w:rPr>
          <w:rFonts w:ascii="Times New Roman" w:cs="Times New Roman" w:eastAsia="Times New Roman" w:hAnsi="Times New Roman"/>
          <w:sz w:val="18"/>
          <w:szCs w:val="18"/>
          <w:i w:val="1"/>
          <w:iCs w:val="1"/>
          <w:color w:val="auto"/>
        </w:rPr>
        <w:t>Co-Produced Film Arrangements</w:t>
      </w:r>
    </w:p>
    <w:p>
      <w:pPr>
        <w:spacing w:after="0" w:line="2"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certain film arrangements, the Company co-produces a film with a third party whereby the third party retains the copyright and rights to the film. In some cases, the Company obtains exclusive theatrical distribution rights to the film. Under these arrangements, both parties contribute funding to the Company’s partly-owned subsidiary for the production and distribution of the film and for associated exploitation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As of December 31, 2020, the Company has one co-produced arrangement which primarily represents the VIE total assets balance of $1.5 million and liabilities balance of $0.2 million and three other co-produced film arrangements, the terms of which are similar. The accounting policies relating to co-produced film arrangements are disclosed in Notes 3(a) and 3(n).</w:t>
      </w:r>
    </w:p>
    <w:p>
      <w:pPr>
        <w:spacing w:after="0" w:line="149" w:lineRule="exact"/>
        <w:rPr>
          <w:sz w:val="20"/>
          <w:szCs w:val="20"/>
          <w:color w:val="auto"/>
        </w:rPr>
      </w:pPr>
    </w:p>
    <w:p>
      <w:pPr>
        <w:jc w:val="both"/>
        <w:ind w:right="20" w:firstLine="224"/>
        <w:spacing w:after="0" w:line="265" w:lineRule="auto"/>
        <w:rPr>
          <w:sz w:val="20"/>
          <w:szCs w:val="20"/>
          <w:color w:val="auto"/>
        </w:rPr>
      </w:pPr>
      <w:r>
        <w:rPr>
          <w:rFonts w:ascii="Times New Roman" w:cs="Times New Roman" w:eastAsia="Times New Roman" w:hAnsi="Times New Roman"/>
          <w:sz w:val="18"/>
          <w:szCs w:val="18"/>
          <w:color w:val="auto"/>
        </w:rPr>
        <w:t>In 2020, an expense of $2.0 million (2019 — expense of $0.6 million; 2018 — recovery of $0.5 million) attributable to transactions between the Company and other parties involved in the production of the films have been included in Cost and Expenses Applicable to Revenues – Image Enhancement and Maintenance Services.</w:t>
      </w:r>
    </w:p>
    <w:p>
      <w:pPr>
        <w:spacing w:after="0" w:line="136"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In 2017, the Company participated in one significant co-produced television arrangement. This arrangement was not a VIE. For the year ended December 31, 2020, revenues of $0.3 million (2019 — $0.4 million; 2018 — $0.3 million) and Costs and Expenses Applicable to Revenues of $nil (2019</w:t>
      </w:r>
    </w:p>
    <w:p>
      <w:pPr>
        <w:spacing w:after="0" w:line="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less than $0.1 million; 2018 — $0.3 million) attributable to this collaborative arrangement were recorded within Revenue – Image Enhancement and Maintenance Services and Costs and Expenses Applicable to Revenues – Image Enhancement and Maintenance Services.</w:t>
      </w:r>
    </w:p>
    <w:p>
      <w:pPr>
        <w:spacing w:after="0" w:line="177"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of Cash Flows Supplemental Information</w:t>
      </w:r>
    </w:p>
    <w:p>
      <w:pPr>
        <w:spacing w:after="0" w:line="187" w:lineRule="exact"/>
        <w:rPr>
          <w:rFonts w:ascii="Times New Roman" w:cs="Times New Roman" w:eastAsia="Times New Roman" w:hAnsi="Times New Roman"/>
          <w:sz w:val="18"/>
          <w:szCs w:val="18"/>
          <w:b w:val="1"/>
          <w:bCs w:val="1"/>
          <w:color w:val="auto"/>
        </w:rPr>
      </w:pPr>
    </w:p>
    <w:p>
      <w:pPr>
        <w:ind w:left="580" w:hanging="357"/>
        <w:spacing w:after="0"/>
        <w:tabs>
          <w:tab w:leader="none" w:pos="5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non-cash operating assets and liabilities are comprised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(increase) in:</w:t>
            </w: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Financing receivables</w:t>
            </w:r>
          </w:p>
        </w:tc>
        <w:tc>
          <w:tcPr>
            <w:tcW w:w="156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50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w:t>
            </w: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0" w:type="dxa"/>
            <w:vAlign w:val="bottom"/>
          </w:tcPr>
          <w:p>
            <w:pPr>
              <w:spacing w:after="0"/>
              <w:rPr>
                <w:sz w:val="1"/>
                <w:szCs w:val="1"/>
                <w:color w:val="auto"/>
              </w:rPr>
            </w:pPr>
          </w:p>
        </w:tc>
      </w:tr>
      <w:tr>
        <w:trPr>
          <w:trHeight w:val="229"/>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Variable consideration receivable</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7,749</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0" w:type="dxa"/>
            <w:vAlign w:val="bottom"/>
          </w:tcPr>
          <w:p>
            <w:pPr>
              <w:spacing w:after="0"/>
              <w:rPr>
                <w:sz w:val="1"/>
                <w:szCs w:val="1"/>
                <w:color w:val="auto"/>
              </w:rPr>
            </w:pPr>
          </w:p>
        </w:tc>
      </w:tr>
      <w:tr>
        <w:trPr>
          <w:trHeight w:val="222"/>
        </w:trPr>
        <w:tc>
          <w:tcPr>
            <w:tcW w:w="528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(24,640)</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(27,008)</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(b)  Cash payments made on account of:</w:t>
            </w: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2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5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4,763</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17,298</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12,684</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w:t>
            </w:r>
          </w:p>
        </w:tc>
        <w:tc>
          <w:tcPr>
            <w:tcW w:w="15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5,773</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  Depreciation and amortization are comprised of the following:</w:t>
            </w:r>
          </w:p>
        </w:tc>
        <w:tc>
          <w:tcPr>
            <w:tcW w:w="1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80" w:type="dxa"/>
            <w:vAlign w:val="bottom"/>
            <w:tcBorders>
              <w:bottom w:val="single" w:sz="8" w:color="CFF0FC"/>
            </w:tcBorders>
            <w:vMerge w:val="continue"/>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Film assets</w:t>
            </w:r>
          </w:p>
        </w:tc>
        <w:tc>
          <w:tcPr>
            <w:tcW w:w="1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8,838</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19,176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15,679</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Joint revenue sharing arrangements</w:t>
            </w: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24,930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23,153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20,739</w:t>
            </w:r>
          </w:p>
        </w:tc>
        <w:tc>
          <w:tcPr>
            <w:tcW w:w="0" w:type="dxa"/>
            <w:vAlign w:val="bottom"/>
          </w:tcPr>
          <w:p>
            <w:pPr>
              <w:spacing w:after="0"/>
              <w:rPr>
                <w:sz w:val="1"/>
                <w:szCs w:val="1"/>
                <w:color w:val="auto"/>
              </w:rPr>
            </w:pPr>
          </w:p>
        </w:tc>
      </w:tr>
      <w:tr>
        <w:trPr>
          <w:trHeight w:val="229"/>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11,225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12,477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13,164</w:t>
            </w: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6,565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6,290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5,507</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1,146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902</w:t>
            </w:r>
          </w:p>
        </w:tc>
        <w:tc>
          <w:tcPr>
            <w:tcW w:w="1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22"/>
        </w:trPr>
        <w:tc>
          <w:tcPr>
            <w:tcW w:w="5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53,606</w:t>
            </w:r>
          </w:p>
        </w:tc>
        <w:tc>
          <w:tcPr>
            <w:tcW w:w="14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63,487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57,437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4"/>
        </w:trPr>
        <w:tc>
          <w:tcPr>
            <w:tcW w:w="528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28" w:name="page129"/>
    <w:bookmarkEnd w:id="128"/>
    <w:p>
      <w:pPr>
        <w:ind w:left="220"/>
        <w:spacing w:after="0"/>
        <w:tabs>
          <w:tab w:leader="none" w:pos="56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Write-downs, net of recoveries, are comprised of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780" w:type="dxa"/>
            <w:vAlign w:val="bottom"/>
            <w:tcBorders>
              <w:bottom w:val="single" w:sz="8" w:color="CFF0FC"/>
            </w:tcBorders>
            <w:gridSpan w:val="2"/>
            <w:vMerge w:val="continue"/>
          </w:tcPr>
          <w:p>
            <w:pPr>
              <w:spacing w:after="0"/>
              <w:rPr>
                <w:sz w:val="13"/>
                <w:szCs w:val="13"/>
                <w:color w:val="auto"/>
              </w:rPr>
            </w:pPr>
          </w:p>
        </w:tc>
        <w:tc>
          <w:tcPr>
            <w:tcW w:w="17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4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Film assets</w:t>
            </w:r>
            <w:r>
              <w:rPr>
                <w:rFonts w:ascii="Times New Roman" w:cs="Times New Roman" w:eastAsia="Times New Roman" w:hAnsi="Times New Roman"/>
                <w:sz w:val="15"/>
                <w:szCs w:val="15"/>
                <w:color w:val="auto"/>
              </w:rPr>
              <w:t>(1)</w:t>
            </w:r>
          </w:p>
        </w:tc>
        <w:tc>
          <w:tcPr>
            <w:tcW w:w="17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10,804</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15"/>
                <w:szCs w:val="15"/>
                <w:color w:val="auto"/>
              </w:rPr>
              <w:t>(2) (4)</w:t>
            </w: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2,565</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Joint revenue sharing arrangements</w:t>
            </w:r>
            <w:r>
              <w:rPr>
                <w:rFonts w:ascii="Times New Roman" w:cs="Times New Roman" w:eastAsia="Times New Roman" w:hAnsi="Times New Roman"/>
                <w:sz w:val="15"/>
                <w:szCs w:val="15"/>
                <w:color w:val="auto"/>
              </w:rPr>
              <w:t>(3) (4)</w:t>
            </w: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1,784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2,207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property, plant and equipment</w:t>
            </w:r>
            <w:r>
              <w:rPr>
                <w:rFonts w:ascii="Times New Roman" w:cs="Times New Roman" w:eastAsia="Times New Roman" w:hAnsi="Times New Roman"/>
                <w:sz w:val="15"/>
                <w:szCs w:val="15"/>
                <w:color w:val="auto"/>
              </w:rPr>
              <w:t>(4)</w:t>
            </w:r>
          </w:p>
        </w:tc>
        <w:tc>
          <w:tcPr>
            <w:tcW w:w="1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4,293</w:t>
            </w:r>
          </w:p>
        </w:tc>
        <w:tc>
          <w:tcPr>
            <w:tcW w:w="0" w:type="dxa"/>
            <w:vAlign w:val="bottom"/>
          </w:tcPr>
          <w:p>
            <w:pPr>
              <w:spacing w:after="0"/>
              <w:rPr>
                <w:sz w:val="1"/>
                <w:szCs w:val="1"/>
                <w:color w:val="auto"/>
              </w:rPr>
            </w:pPr>
          </w:p>
        </w:tc>
      </w:tr>
      <w:tr>
        <w:trPr>
          <w:trHeight w:val="229"/>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r>
              <w:rPr>
                <w:rFonts w:ascii="Times New Roman" w:cs="Times New Roman" w:eastAsia="Times New Roman" w:hAnsi="Times New Roman"/>
                <w:sz w:val="15"/>
                <w:szCs w:val="15"/>
                <w:color w:val="auto"/>
              </w:rPr>
              <w:t>(5)</w:t>
            </w: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3,632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r>
              <w:rPr>
                <w:rFonts w:ascii="Times New Roman" w:cs="Times New Roman" w:eastAsia="Times New Roman" w:hAnsi="Times New Roman"/>
                <w:sz w:val="15"/>
                <w:szCs w:val="15"/>
                <w:color w:val="auto"/>
              </w:rPr>
              <w:t>(4)</w:t>
            </w:r>
          </w:p>
        </w:tc>
        <w:tc>
          <w:tcPr>
            <w:tcW w:w="1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9"/>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2"/>
        </w:trPr>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332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17,729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4,376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8,640</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Borders>
              <w:bottom w:val="single" w:sz="8" w:color="auto"/>
            </w:tcBorders>
          </w:tcPr>
          <w:p>
            <w:pPr>
              <w:spacing w:after="0"/>
              <w:rPr>
                <w:sz w:val="18"/>
                <w:szCs w:val="18"/>
                <w:color w:val="auto"/>
              </w:rPr>
            </w:pPr>
          </w:p>
        </w:tc>
        <w:tc>
          <w:tcPr>
            <w:tcW w:w="3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left="380" w:hanging="372"/>
        <w:spacing w:after="0" w:line="256"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Company recorded impairment losses of $10.8 million (2019 — $1.4 million; 2018 — $nil) principally to write-down the carrying value of certain documentary and alternative content film assets due to a decrease in projected box office totals and related revenues based on management’s regular quarterly recoverability assessments. To a much lesser extent, the impairment losses also relate to the write-down of DMR related film assets. In 2020, following the recording of these write-downs, the Company’s film assets totaled $5.8 million, which principally consists of DMR and documentary content. There can be no assurances that there will not be additional write-downs to the carrying values of these assets as the Company continues to assess the ongoing impact of the COVID-19 pandemic (see Notes 2 and 3).</w:t>
      </w:r>
    </w:p>
    <w:p>
      <w:pPr>
        <w:spacing w:after="0" w:line="143"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Company recorded a $1.2 million (2019 — $nil; 2018 — $2.6 million) write-down of other assets, of which $1.0 million relates to the write-down of certain content-related assets which became impaired in the year.</w:t>
      </w:r>
    </w:p>
    <w:p>
      <w:pPr>
        <w:spacing w:after="0" w:line="121" w:lineRule="exact"/>
        <w:rPr>
          <w:rFonts w:ascii="Times New Roman" w:cs="Times New Roman" w:eastAsia="Times New Roman" w:hAnsi="Times New Roman"/>
          <w:sz w:val="18"/>
          <w:szCs w:val="18"/>
          <w:color w:val="auto"/>
        </w:rPr>
      </w:pPr>
    </w:p>
    <w:p>
      <w:pPr>
        <w:jc w:val="both"/>
        <w:ind w:left="380" w:hanging="372"/>
        <w:spacing w:after="0" w:line="257"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Company recorded charges of $1.8 million (2019 — $2.2 million; 2018 — $0.6 million) in Costs and Expenses Applicable to Technology Rentals principally related to the write-down of leased xenon-based digital systems which were taken out of service in connection with customer upgrades to laser-based digital systems. In 2018, the Company also recorded a charge of $0.4 million in Revenues – Technology Rentals related to the write-down of leased xenon-based digital systems which were taken out of service in connection with customer upgrades to laser-based digital systems.</w:t>
      </w:r>
    </w:p>
    <w:p>
      <w:pPr>
        <w:spacing w:after="0" w:line="144" w:lineRule="exact"/>
        <w:rPr>
          <w:rFonts w:ascii="Times New Roman" w:cs="Times New Roman" w:eastAsia="Times New Roman" w:hAnsi="Times New Roman"/>
          <w:sz w:val="18"/>
          <w:szCs w:val="18"/>
          <w:color w:val="auto"/>
        </w:rPr>
      </w:pPr>
    </w:p>
    <w:p>
      <w:pPr>
        <w:jc w:val="both"/>
        <w:ind w:left="380" w:hanging="372"/>
        <w:spacing w:after="0" w:line="257"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in connection with the strategic review of the Company’s VR initiative, the Company decided to close its remaining VR locations and as a result record an impairment charge of $3.7 million in other Property, Plant and Equipment, $2.6 million in other assets which includes a $2.5 million impairment of the VR content asset, and $0.1 million in Intangible Assets. The VR Fund is consolidated by the Company and has a third party non-controlling interest. The Company’s share of this impairment after non-controlling interest is $0.8 million. No such charge was recorded in 2019 or 2020. Additional details of the Company’s restructuring activities are discussed in Note 26.</w:t>
      </w:r>
    </w:p>
    <w:p>
      <w:pPr>
        <w:spacing w:after="0" w:line="14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Company recorded write-downs of $3.6 million (2019 — $0.4 million; 2018 — $0.3 million) related to excess inventory.</w:t>
      </w:r>
    </w:p>
    <w:p>
      <w:pPr>
        <w:spacing w:after="0" w:line="183" w:lineRule="exact"/>
        <w:rPr>
          <w:rFonts w:ascii="Times New Roman" w:cs="Times New Roman" w:eastAsia="Times New Roman" w:hAnsi="Times New Roman"/>
          <w:sz w:val="18"/>
          <w:szCs w:val="18"/>
          <w:color w:val="auto"/>
        </w:rPr>
      </w:pPr>
    </w:p>
    <w:p>
      <w:pPr>
        <w:ind w:left="580" w:hanging="357"/>
        <w:spacing w:after="0"/>
        <w:tabs>
          <w:tab w:leader="none" w:pos="5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non-cash investing and financing activities are comprised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9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640" w:type="dxa"/>
            <w:vAlign w:val="bottom"/>
            <w:tcBorders>
              <w:bottom w:val="single" w:sz="8" w:color="CFF0FC"/>
            </w:tcBorders>
            <w:vMerge w:val="continue"/>
          </w:tcPr>
          <w:p>
            <w:pPr>
              <w:spacing w:after="0"/>
              <w:rPr>
                <w:sz w:val="13"/>
                <w:szCs w:val="13"/>
                <w:color w:val="auto"/>
              </w:rPr>
            </w:pPr>
          </w:p>
        </w:tc>
        <w:tc>
          <w:tcPr>
            <w:tcW w:w="296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9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2"/>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accruals related to:</w:t>
            </w:r>
          </w:p>
        </w:tc>
        <w:tc>
          <w:tcPr>
            <w:tcW w:w="2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in joint revenue sharing arrangements</w:t>
            </w:r>
          </w:p>
        </w:tc>
        <w:tc>
          <w:tcPr>
            <w:tcW w:w="33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9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Acquisition of other intangible assets</w:t>
            </w:r>
          </w:p>
        </w:tc>
        <w:tc>
          <w:tcPr>
            <w:tcW w:w="2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792</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9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2"/>
        </w:trPr>
        <w:tc>
          <w:tcPr>
            <w:tcW w:w="4640" w:type="dxa"/>
            <w:vAlign w:val="bottom"/>
            <w:tcBorders>
              <w:bottom w:val="single" w:sz="8" w:color="CFF0FC"/>
            </w:tcBorders>
            <w:shd w:val="clear" w:color="auto" w:fill="CFF0FC"/>
          </w:tcPr>
          <w:p>
            <w:pPr>
              <w:spacing w:after="0"/>
              <w:rPr>
                <w:sz w:val="19"/>
                <w:szCs w:val="19"/>
                <w:color w:val="auto"/>
              </w:rPr>
            </w:pPr>
          </w:p>
        </w:tc>
        <w:tc>
          <w:tcPr>
            <w:tcW w:w="29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960" w:type="dxa"/>
            <w:vAlign w:val="bottom"/>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rPr>
              <w:t>129</w:t>
            </w: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46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20. Revenue from Contracts with Customers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 Disaggregated Information About Revenue</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summarize the Company’s revenues by type and reportable segment for the years ended December 31, 2020, 2019 and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Contracts with Customers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20" w:type="dxa"/>
            <w:vAlign w:val="bottom"/>
          </w:tcPr>
          <w:p>
            <w:pPr>
              <w:spacing w:after="0"/>
              <w:rPr>
                <w:sz w:val="17"/>
                <w:szCs w:val="17"/>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160" w:type="dxa"/>
            <w:vAlign w:val="bottom"/>
          </w:tcPr>
          <w:p>
            <w:pPr>
              <w:spacing w:after="0"/>
              <w:rPr>
                <w:sz w:val="17"/>
                <w:szCs w:val="17"/>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20" w:type="dxa"/>
            <w:vAlign w:val="bottom"/>
          </w:tcPr>
          <w:p>
            <w:pPr>
              <w:spacing w:after="0"/>
              <w:rPr>
                <w:sz w:val="15"/>
                <w:szCs w:val="15"/>
                <w:color w:val="auto"/>
              </w:rPr>
            </w:pPr>
          </w:p>
        </w:tc>
        <w:tc>
          <w:tcPr>
            <w:tcW w:w="11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Arrangements</w:t>
            </w: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Technology sales</w:t>
            </w:r>
          </w:p>
        </w:tc>
        <w:tc>
          <w:tcPr>
            <w:tcW w:w="3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IMAX Systems</w:t>
            </w:r>
            <w:r>
              <w:rPr>
                <w:rFonts w:ascii="Times New Roman" w:cs="Times New Roman" w:eastAsia="Times New Roman" w:hAnsi="Times New Roman"/>
                <w:sz w:val="15"/>
                <w:szCs w:val="15"/>
                <w:color w:val="auto"/>
              </w:rPr>
              <w:t>(1)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38,140</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43,939</w:t>
            </w: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Revenue Sharing Arrangements, fixed fees</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2,056</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 Theater Business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sales</w:t>
            </w:r>
            <w:r>
              <w:rPr>
                <w:rFonts w:ascii="Times New Roman" w:cs="Times New Roman" w:eastAsia="Times New Roman" w:hAnsi="Times New Roman"/>
                <w:sz w:val="15"/>
                <w:szCs w:val="15"/>
                <w:color w:val="auto"/>
              </w:rPr>
              <w:t>(2)</w:t>
            </w:r>
          </w:p>
        </w:tc>
        <w:tc>
          <w:tcPr>
            <w:tcW w:w="3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1,957</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22"/>
        </w:trPr>
        <w:tc>
          <w:tcPr>
            <w:tcW w:w="42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41,763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5,909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2,056</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49,728</w:t>
            </w:r>
          </w:p>
        </w:tc>
        <w:tc>
          <w:tcPr>
            <w:tcW w:w="0" w:type="dxa"/>
            <w:vAlign w:val="bottom"/>
          </w:tcPr>
          <w:p>
            <w:pPr>
              <w:spacing w:after="0"/>
              <w:rPr>
                <w:sz w:val="1"/>
                <w:szCs w:val="1"/>
                <w:color w:val="auto"/>
              </w:rPr>
            </w:pPr>
          </w:p>
        </w:tc>
      </w:tr>
      <w:tr>
        <w:trPr>
          <w:trHeight w:val="222"/>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Image enhancement and maintenance services</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IMAX DMR</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28,265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28,265</w:t>
            </w: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IMAX Maintenance</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21,999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21,999</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Film Post-Production</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3,878</w:t>
            </w: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Film Distribution</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1,841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4,841</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2"/>
        </w:trPr>
        <w:tc>
          <w:tcPr>
            <w:tcW w:w="424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28,877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30,441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59,318</w:t>
            </w:r>
          </w:p>
        </w:tc>
        <w:tc>
          <w:tcPr>
            <w:tcW w:w="0" w:type="dxa"/>
            <w:vAlign w:val="bottom"/>
          </w:tcPr>
          <w:p>
            <w:pPr>
              <w:spacing w:after="0"/>
              <w:rPr>
                <w:sz w:val="1"/>
                <w:szCs w:val="1"/>
                <w:color w:val="auto"/>
              </w:rPr>
            </w:pPr>
          </w:p>
        </w:tc>
      </w:tr>
      <w:tr>
        <w:trPr>
          <w:trHeight w:val="222"/>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Technology rentals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17,841</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17,841</w:t>
            </w:r>
          </w:p>
        </w:tc>
        <w:tc>
          <w:tcPr>
            <w:tcW w:w="0" w:type="dxa"/>
            <w:vAlign w:val="bottom"/>
          </w:tcPr>
          <w:p>
            <w:pPr>
              <w:spacing w:after="0"/>
              <w:rPr>
                <w:sz w:val="1"/>
                <w:szCs w:val="1"/>
                <w:color w:val="auto"/>
              </w:rPr>
            </w:pPr>
          </w:p>
        </w:tc>
      </w:tr>
      <w:tr>
        <w:trPr>
          <w:trHeight w:val="222"/>
        </w:trPr>
        <w:tc>
          <w:tcPr>
            <w:tcW w:w="42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17,841</w:t>
            </w:r>
          </w:p>
        </w:tc>
        <w:tc>
          <w:tcPr>
            <w:tcW w:w="1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17,841</w:t>
            </w:r>
          </w:p>
        </w:tc>
        <w:tc>
          <w:tcPr>
            <w:tcW w:w="0" w:type="dxa"/>
            <w:vAlign w:val="bottom"/>
          </w:tcPr>
          <w:p>
            <w:pPr>
              <w:spacing w:after="0"/>
              <w:rPr>
                <w:sz w:val="1"/>
                <w:szCs w:val="1"/>
                <w:color w:val="auto"/>
              </w:rPr>
            </w:pPr>
          </w:p>
        </w:tc>
      </w:tr>
      <w:tr>
        <w:trPr>
          <w:trHeight w:val="222"/>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IMAX Systems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10,116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10,116</w:t>
            </w:r>
          </w:p>
        </w:tc>
        <w:tc>
          <w:tcPr>
            <w:tcW w:w="0" w:type="dxa"/>
            <w:vAlign w:val="bottom"/>
          </w:tcPr>
          <w:p>
            <w:pPr>
              <w:spacing w:after="0"/>
              <w:rPr>
                <w:sz w:val="1"/>
                <w:szCs w:val="1"/>
                <w:color w:val="auto"/>
              </w:rPr>
            </w:pPr>
          </w:p>
        </w:tc>
      </w:tr>
      <w:tr>
        <w:trPr>
          <w:trHeight w:val="222"/>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70,640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36,350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19,897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10,116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137,003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949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80" w:hanging="372"/>
        <w:spacing w:after="0" w:line="281" w:lineRule="auto"/>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revenues earned from the sales or sales-type lease arrangements involving new and upgraded IMAX Theater Systems, as well as the impact on revenue of renewals and amendments to existing theater system arrangements.</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sales include revenues associated with New Business Initiatives such as IMAX Enhanced.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Contracts with Customers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20" w:type="dxa"/>
            <w:vAlign w:val="bottom"/>
          </w:tcPr>
          <w:p>
            <w:pPr>
              <w:spacing w:after="0"/>
              <w:rPr>
                <w:sz w:val="17"/>
                <w:szCs w:val="17"/>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160" w:type="dxa"/>
            <w:vAlign w:val="bottom"/>
          </w:tcPr>
          <w:p>
            <w:pPr>
              <w:spacing w:after="0"/>
              <w:rPr>
                <w:sz w:val="17"/>
                <w:szCs w:val="17"/>
                <w:color w:val="auto"/>
              </w:rPr>
            </w:pP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20" w:type="dxa"/>
            <w:vAlign w:val="bottom"/>
          </w:tcPr>
          <w:p>
            <w:pPr>
              <w:spacing w:after="0"/>
              <w:rPr>
                <w:sz w:val="15"/>
                <w:szCs w:val="15"/>
                <w:color w:val="auto"/>
              </w:rPr>
            </w:pPr>
          </w:p>
        </w:tc>
        <w:tc>
          <w:tcPr>
            <w:tcW w:w="11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Arrangements</w:t>
            </w:r>
          </w:p>
        </w:tc>
        <w:tc>
          <w:tcPr>
            <w:tcW w:w="16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2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Technology sales</w:t>
            </w:r>
          </w:p>
        </w:tc>
        <w:tc>
          <w:tcPr>
            <w:tcW w:w="3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IMAX Systems</w:t>
            </w:r>
            <w:r>
              <w:rPr>
                <w:rFonts w:ascii="Times New Roman" w:cs="Times New Roman" w:eastAsia="Times New Roman" w:hAnsi="Times New Roman"/>
                <w:sz w:val="15"/>
                <w:szCs w:val="15"/>
                <w:color w:val="auto"/>
              </w:rPr>
              <w:t>(1)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86,163</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10,247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96,410</w:t>
            </w:r>
          </w:p>
        </w:tc>
        <w:tc>
          <w:tcPr>
            <w:tcW w:w="0" w:type="dxa"/>
            <w:vAlign w:val="bottom"/>
          </w:tcPr>
          <w:p>
            <w:pPr>
              <w:spacing w:after="0"/>
              <w:rPr>
                <w:sz w:val="1"/>
                <w:szCs w:val="1"/>
                <w:color w:val="auto"/>
              </w:rPr>
            </w:pPr>
          </w:p>
        </w:tc>
      </w:tr>
      <w:tr>
        <w:trPr>
          <w:trHeight w:val="229"/>
        </w:trPr>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Revenue Sharing Arrangements, fixed fees</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11,014</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11,014</w:t>
            </w:r>
          </w:p>
        </w:tc>
        <w:tc>
          <w:tcPr>
            <w:tcW w:w="0" w:type="dxa"/>
            <w:vAlign w:val="bottom"/>
          </w:tcPr>
          <w:p>
            <w:pPr>
              <w:spacing w:after="0"/>
              <w:rPr>
                <w:sz w:val="1"/>
                <w:szCs w:val="1"/>
                <w:color w:val="auto"/>
              </w:rPr>
            </w:pPr>
          </w:p>
        </w:tc>
      </w:tr>
      <w:tr>
        <w:trPr>
          <w:trHeight w:val="229"/>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Theater Business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8,390</w:t>
            </w:r>
          </w:p>
        </w:tc>
        <w:tc>
          <w:tcPr>
            <w:tcW w:w="0" w:type="dxa"/>
            <w:vAlign w:val="bottom"/>
          </w:tcPr>
          <w:p>
            <w:pPr>
              <w:spacing w:after="0"/>
              <w:rPr>
                <w:sz w:val="1"/>
                <w:szCs w:val="1"/>
                <w:color w:val="auto"/>
              </w:rPr>
            </w:pPr>
          </w:p>
        </w:tc>
      </w:tr>
      <w:tr>
        <w:trPr>
          <w:trHeight w:val="229"/>
        </w:trPr>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sales</w:t>
            </w:r>
            <w:r>
              <w:rPr>
                <w:rFonts w:ascii="Times New Roman" w:cs="Times New Roman" w:eastAsia="Times New Roman" w:hAnsi="Times New Roman"/>
                <w:sz w:val="15"/>
                <w:szCs w:val="15"/>
                <w:color w:val="auto"/>
              </w:rPr>
              <w:t>(2)</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2,209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2,431</w:t>
            </w:r>
          </w:p>
        </w:tc>
        <w:tc>
          <w:tcPr>
            <w:tcW w:w="0" w:type="dxa"/>
            <w:vAlign w:val="bottom"/>
          </w:tcPr>
          <w:p>
            <w:pPr>
              <w:spacing w:after="0"/>
              <w:rPr>
                <w:sz w:val="1"/>
                <w:szCs w:val="1"/>
                <w:color w:val="auto"/>
              </w:rPr>
            </w:pPr>
          </w:p>
        </w:tc>
      </w:tr>
      <w:tr>
        <w:trPr>
          <w:trHeight w:val="222"/>
        </w:trPr>
        <w:tc>
          <w:tcPr>
            <w:tcW w:w="424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96,762</w:t>
            </w:r>
          </w:p>
        </w:tc>
        <w:tc>
          <w:tcPr>
            <w:tcW w:w="1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10,469</w:t>
            </w:r>
          </w:p>
        </w:tc>
        <w:tc>
          <w:tcPr>
            <w:tcW w:w="1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11,014</w:t>
            </w:r>
          </w:p>
        </w:tc>
        <w:tc>
          <w:tcPr>
            <w:tcW w:w="1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118,245</w:t>
            </w:r>
          </w:p>
        </w:tc>
        <w:tc>
          <w:tcPr>
            <w:tcW w:w="0" w:type="dxa"/>
            <w:vAlign w:val="bottom"/>
          </w:tcPr>
          <w:p>
            <w:pPr>
              <w:spacing w:after="0"/>
              <w:rPr>
                <w:sz w:val="1"/>
                <w:szCs w:val="1"/>
                <w:color w:val="auto"/>
              </w:rPr>
            </w:pPr>
          </w:p>
        </w:tc>
      </w:tr>
      <w:tr>
        <w:trPr>
          <w:trHeight w:val="222"/>
        </w:trPr>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Image enhancement and maintenance services</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IMAX DMR</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120,765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120,765</w:t>
            </w:r>
          </w:p>
        </w:tc>
        <w:tc>
          <w:tcPr>
            <w:tcW w:w="0" w:type="dxa"/>
            <w:vAlign w:val="bottom"/>
          </w:tcPr>
          <w:p>
            <w:pPr>
              <w:spacing w:after="0"/>
              <w:rPr>
                <w:sz w:val="1"/>
                <w:szCs w:val="1"/>
                <w:color w:val="auto"/>
              </w:rPr>
            </w:pPr>
          </w:p>
        </w:tc>
      </w:tr>
      <w:tr>
        <w:trPr>
          <w:trHeight w:val="229"/>
        </w:trPr>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IMAX Maintenance</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53,151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53,151</w:t>
            </w:r>
          </w:p>
        </w:tc>
        <w:tc>
          <w:tcPr>
            <w:tcW w:w="0" w:type="dxa"/>
            <w:vAlign w:val="bottom"/>
          </w:tcPr>
          <w:p>
            <w:pPr>
              <w:spacing w:after="0"/>
              <w:rPr>
                <w:sz w:val="1"/>
                <w:szCs w:val="1"/>
                <w:color w:val="auto"/>
              </w:rPr>
            </w:pPr>
          </w:p>
        </w:tc>
      </w:tr>
      <w:tr>
        <w:trPr>
          <w:trHeight w:val="229"/>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Film Post-Production</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7,392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7,392</w:t>
            </w:r>
          </w:p>
        </w:tc>
        <w:tc>
          <w:tcPr>
            <w:tcW w:w="0" w:type="dxa"/>
            <w:vAlign w:val="bottom"/>
          </w:tcPr>
          <w:p>
            <w:pPr>
              <w:spacing w:after="0"/>
              <w:rPr>
                <w:sz w:val="1"/>
                <w:szCs w:val="1"/>
                <w:color w:val="auto"/>
              </w:rPr>
            </w:pPr>
          </w:p>
        </w:tc>
      </w:tr>
      <w:tr>
        <w:trPr>
          <w:trHeight w:val="229"/>
        </w:trPr>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Film Distribution</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4,818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4,818</w:t>
            </w:r>
          </w:p>
        </w:tc>
        <w:tc>
          <w:tcPr>
            <w:tcW w:w="0" w:type="dxa"/>
            <w:vAlign w:val="bottom"/>
          </w:tcPr>
          <w:p>
            <w:pPr>
              <w:spacing w:after="0"/>
              <w:rPr>
                <w:sz w:val="1"/>
                <w:szCs w:val="1"/>
                <w:color w:val="auto"/>
              </w:rPr>
            </w:pPr>
          </w:p>
        </w:tc>
      </w:tr>
      <w:tr>
        <w:trPr>
          <w:trHeight w:val="229"/>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222"/>
        </w:trPr>
        <w:tc>
          <w:tcPr>
            <w:tcW w:w="4240" w:type="dxa"/>
            <w:vAlign w:val="bottom"/>
            <w:tcBorders>
              <w:top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60,543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128,004</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188,547</w:t>
            </w:r>
          </w:p>
        </w:tc>
        <w:tc>
          <w:tcPr>
            <w:tcW w:w="0" w:type="dxa"/>
            <w:vAlign w:val="bottom"/>
          </w:tcPr>
          <w:p>
            <w:pPr>
              <w:spacing w:after="0"/>
              <w:rPr>
                <w:sz w:val="1"/>
                <w:szCs w:val="1"/>
                <w:color w:val="auto"/>
              </w:rPr>
            </w:pPr>
          </w:p>
        </w:tc>
      </w:tr>
      <w:tr>
        <w:trPr>
          <w:trHeight w:val="222"/>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Technology rentals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76,673</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76,673</w:t>
            </w:r>
          </w:p>
        </w:tc>
        <w:tc>
          <w:tcPr>
            <w:tcW w:w="0" w:type="dxa"/>
            <w:vAlign w:val="bottom"/>
          </w:tcPr>
          <w:p>
            <w:pPr>
              <w:spacing w:after="0"/>
              <w:rPr>
                <w:sz w:val="1"/>
                <w:szCs w:val="1"/>
                <w:color w:val="auto"/>
              </w:rPr>
            </w:pPr>
          </w:p>
        </w:tc>
      </w:tr>
      <w:tr>
        <w:trPr>
          <w:trHeight w:val="229"/>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1,263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22"/>
        </w:trPr>
        <w:tc>
          <w:tcPr>
            <w:tcW w:w="4240" w:type="dxa"/>
            <w:vAlign w:val="bottom"/>
            <w:tcBorders>
              <w:top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77,936</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77,961</w:t>
            </w:r>
          </w:p>
        </w:tc>
        <w:tc>
          <w:tcPr>
            <w:tcW w:w="0" w:type="dxa"/>
            <w:vAlign w:val="bottom"/>
          </w:tcPr>
          <w:p>
            <w:pPr>
              <w:spacing w:after="0"/>
              <w:rPr>
                <w:sz w:val="1"/>
                <w:szCs w:val="1"/>
                <w:color w:val="auto"/>
              </w:rPr>
            </w:pPr>
          </w:p>
        </w:tc>
      </w:tr>
      <w:tr>
        <w:trPr>
          <w:trHeight w:val="222"/>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IMAX Systems</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10,911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10,911</w:t>
            </w:r>
          </w:p>
        </w:tc>
        <w:tc>
          <w:tcPr>
            <w:tcW w:w="0" w:type="dxa"/>
            <w:vAlign w:val="bottom"/>
          </w:tcPr>
          <w:p>
            <w:pPr>
              <w:spacing w:after="0"/>
              <w:rPr>
                <w:sz w:val="1"/>
                <w:szCs w:val="1"/>
                <w:color w:val="auto"/>
              </w:rPr>
            </w:pPr>
          </w:p>
        </w:tc>
      </w:tr>
      <w:tr>
        <w:trPr>
          <w:trHeight w:val="222"/>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157,305</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138,498</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88,950</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10,911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395,664</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2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80" w:hanging="372"/>
        <w:spacing w:after="0" w:line="281"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revenues earned from the sales or sales-type lease arrangements involving new and upgraded IMAX Theater Systems, as well as the impact on revenue of renewals and amendments to existing theater system arrangements.</w:t>
      </w:r>
    </w:p>
    <w:p>
      <w:pPr>
        <w:spacing w:after="0" w:line="13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sales include revenues associated with New Business Initiatives such as IMAX Enhanced.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Contracts with Customers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7"/>
                <w:szCs w:val="17"/>
                <w:color w:val="auto"/>
              </w:rPr>
            </w:pPr>
          </w:p>
        </w:tc>
        <w:tc>
          <w:tcPr>
            <w:tcW w:w="10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160" w:type="dxa"/>
            <w:vAlign w:val="bottom"/>
          </w:tcPr>
          <w:p>
            <w:pPr>
              <w:spacing w:after="0"/>
              <w:rPr>
                <w:sz w:val="17"/>
                <w:szCs w:val="17"/>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220" w:type="dxa"/>
            <w:vAlign w:val="bottom"/>
          </w:tcPr>
          <w:p>
            <w:pPr>
              <w:spacing w:after="0"/>
              <w:rPr>
                <w:sz w:val="17"/>
                <w:szCs w:val="17"/>
                <w:color w:val="auto"/>
              </w:rPr>
            </w:pPr>
          </w:p>
        </w:tc>
        <w:tc>
          <w:tcPr>
            <w:tcW w:w="94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Arrangements</w:t>
            </w:r>
          </w:p>
        </w:tc>
        <w:tc>
          <w:tcPr>
            <w:tcW w:w="16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5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Technology sales</w:t>
            </w: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IMAX Systems</w:t>
            </w:r>
            <w:r>
              <w:rPr>
                <w:rFonts w:ascii="Times New Roman" w:cs="Times New Roman" w:eastAsia="Times New Roman" w:hAnsi="Times New Roman"/>
                <w:sz w:val="15"/>
                <w:szCs w:val="15"/>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81,442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6,990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88,432</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Revenue Sharing Arrangements, fixed fees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9,706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9,706</w:t>
            </w:r>
          </w:p>
        </w:tc>
        <w:tc>
          <w:tcPr>
            <w:tcW w:w="0" w:type="dxa"/>
            <w:vAlign w:val="bottom"/>
          </w:tcPr>
          <w:p>
            <w:pPr>
              <w:spacing w:after="0"/>
              <w:rPr>
                <w:sz w:val="1"/>
                <w:szCs w:val="1"/>
                <w:color w:val="auto"/>
              </w:rPr>
            </w:pP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Theater Business</w:t>
            </w:r>
          </w:p>
        </w:tc>
        <w:tc>
          <w:tcPr>
            <w:tcW w:w="1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8,358</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sales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2"/>
        </w:trPr>
        <w:tc>
          <w:tcPr>
            <w:tcW w:w="458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89,800</w:t>
            </w:r>
          </w:p>
        </w:tc>
        <w:tc>
          <w:tcPr>
            <w:tcW w:w="1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7,085</w:t>
            </w:r>
          </w:p>
        </w:tc>
        <w:tc>
          <w:tcPr>
            <w:tcW w:w="1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9,706</w:t>
            </w: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106,591</w:t>
            </w:r>
          </w:p>
        </w:tc>
        <w:tc>
          <w:tcPr>
            <w:tcW w:w="0" w:type="dxa"/>
            <w:vAlign w:val="bottom"/>
          </w:tcPr>
          <w:p>
            <w:pPr>
              <w:spacing w:after="0"/>
              <w:rPr>
                <w:sz w:val="1"/>
                <w:szCs w:val="1"/>
                <w:color w:val="auto"/>
              </w:rPr>
            </w:pPr>
          </w:p>
        </w:tc>
      </w:tr>
      <w:tr>
        <w:trPr>
          <w:trHeight w:val="222"/>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Image enhancement and maintenance services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IMAX DMR</w:t>
            </w:r>
          </w:p>
        </w:tc>
        <w:tc>
          <w:tcPr>
            <w:tcW w:w="1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110,793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110,793</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IMAX Maintenance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49,684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49,684</w:t>
            </w:r>
          </w:p>
        </w:tc>
        <w:tc>
          <w:tcPr>
            <w:tcW w:w="0" w:type="dxa"/>
            <w:vAlign w:val="bottom"/>
          </w:tcPr>
          <w:p>
            <w:pPr>
              <w:spacing w:after="0"/>
              <w:rPr>
                <w:sz w:val="1"/>
                <w:szCs w:val="1"/>
                <w:color w:val="auto"/>
              </w:rPr>
            </w:pP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Film Post-Production</w:t>
            </w:r>
          </w:p>
        </w:tc>
        <w:tc>
          <w:tcPr>
            <w:tcW w:w="1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9,516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9,516</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Film Distribution</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3,446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3,446</w:t>
            </w:r>
          </w:p>
        </w:tc>
        <w:tc>
          <w:tcPr>
            <w:tcW w:w="0" w:type="dxa"/>
            <w:vAlign w:val="bottom"/>
          </w:tcPr>
          <w:p>
            <w:pPr>
              <w:spacing w:after="0"/>
              <w:rPr>
                <w:sz w:val="1"/>
                <w:szCs w:val="1"/>
                <w:color w:val="auto"/>
              </w:rPr>
            </w:pP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8,301</w:t>
            </w:r>
          </w:p>
        </w:tc>
        <w:tc>
          <w:tcPr>
            <w:tcW w:w="0" w:type="dxa"/>
            <w:vAlign w:val="bottom"/>
          </w:tcPr>
          <w:p>
            <w:pPr>
              <w:spacing w:after="0"/>
              <w:rPr>
                <w:sz w:val="1"/>
                <w:szCs w:val="1"/>
                <w:color w:val="auto"/>
              </w:rPr>
            </w:pPr>
          </w:p>
        </w:tc>
      </w:tr>
      <w:tr>
        <w:trPr>
          <w:trHeight w:val="222"/>
        </w:trPr>
        <w:tc>
          <w:tcPr>
            <w:tcW w:w="4580" w:type="dxa"/>
            <w:vAlign w:val="bottom"/>
            <w:tcBorders>
              <w:top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59,200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122,540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181,740</w:t>
            </w:r>
          </w:p>
        </w:tc>
        <w:tc>
          <w:tcPr>
            <w:tcW w:w="0" w:type="dxa"/>
            <w:vAlign w:val="bottom"/>
          </w:tcPr>
          <w:p>
            <w:pPr>
              <w:spacing w:after="0"/>
              <w:rPr>
                <w:sz w:val="1"/>
                <w:szCs w:val="1"/>
                <w:color w:val="auto"/>
              </w:rPr>
            </w:pPr>
          </w:p>
        </w:tc>
      </w:tr>
      <w:tr>
        <w:trPr>
          <w:trHeight w:val="222"/>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Technology rentals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73,997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73,997</w:t>
            </w:r>
          </w:p>
        </w:tc>
        <w:tc>
          <w:tcPr>
            <w:tcW w:w="0" w:type="dxa"/>
            <w:vAlign w:val="bottom"/>
          </w:tcPr>
          <w:p>
            <w:pPr>
              <w:spacing w:after="0"/>
              <w:rPr>
                <w:sz w:val="1"/>
                <w:szCs w:val="1"/>
                <w:color w:val="auto"/>
              </w:rPr>
            </w:pP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22"/>
        </w:trPr>
        <w:tc>
          <w:tcPr>
            <w:tcW w:w="4580" w:type="dxa"/>
            <w:vAlign w:val="bottom"/>
            <w:tcBorders>
              <w:top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74,201</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74,472</w:t>
            </w:r>
          </w:p>
        </w:tc>
        <w:tc>
          <w:tcPr>
            <w:tcW w:w="0" w:type="dxa"/>
            <w:vAlign w:val="bottom"/>
          </w:tcPr>
          <w:p>
            <w:pPr>
              <w:spacing w:after="0"/>
              <w:rPr>
                <w:sz w:val="1"/>
                <w:szCs w:val="1"/>
                <w:color w:val="auto"/>
              </w:rPr>
            </w:pPr>
          </w:p>
        </w:tc>
      </w:tr>
      <w:tr>
        <w:trPr>
          <w:trHeight w:val="222"/>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IMAX Systems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11,598</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11,598</w:t>
            </w:r>
          </w:p>
        </w:tc>
        <w:tc>
          <w:tcPr>
            <w:tcW w:w="0" w:type="dxa"/>
            <w:vAlign w:val="bottom"/>
          </w:tcPr>
          <w:p>
            <w:pPr>
              <w:spacing w:after="0"/>
              <w:rPr>
                <w:sz w:val="1"/>
                <w:szCs w:val="1"/>
                <w:color w:val="auto"/>
              </w:rPr>
            </w:pPr>
          </w:p>
        </w:tc>
      </w:tr>
      <w:tr>
        <w:trPr>
          <w:trHeight w:val="222"/>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149,000</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129,896</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83,907</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11,598</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374,401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80" w:hanging="372"/>
        <w:spacing w:after="0" w:line="281"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revenues earned from the sales or sales-type lease arrangements involving new and upgraded IMAX Theater Systems, as well as the impact on revenue of renewals and amendments to existing theater system arrangements.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 Deferred Revenue</w:t>
      </w:r>
    </w:p>
    <w:p>
      <w:pPr>
        <w:spacing w:after="0" w:line="188"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IMAX Theater System sale and lease arrangements include a requirement for the Company to provide maintenance services over the life of the arrangement, subject to a consumer price index adjustment each year. In circumstances where customers prepay the entire term’s maintenance fee, additional payments are due to the Company for the years after its extended warranty and maintenance obligations expire. Payments upon renewal each year are either prepaid or made in arrears and can vary in frequency from monthly to annually. At December 31, 2020, $21.6 million of consideration has been deferred in relation to outstanding maintenance services to be provided on existing maintenance contracts (December 31, 2019 — $17.7 million and 2018 —$21.9 million). Maintenance revenue is recognized evenly over the contract term which coincides with the period over which maintenance services are provided. In the event of customer default, any payments made by the customer may be retained by the Company.</w:t>
      </w:r>
    </w:p>
    <w:p>
      <w:pPr>
        <w:spacing w:after="0" w:line="144"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In instances where the Company receives consideration prior to satisfying its performance obligations, the recognition of revenue is deferred. The majority of the deferred revenue balance relates to payments received by the Company for IMAX Theater Systems where control of the system has not transferred to the customer. The deferred revenue balance related to an individual theater increases as progress payments are made and is then derecognized when control of the system is transferred to the customer. Recognition dates are variable and depend on numerous factors, including some outside of the Company’s control.</w:t>
      </w:r>
    </w:p>
    <w:p>
      <w:pPr>
        <w:spacing w:after="0" w:line="158"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(See Note 2 for information on the current impacts of and uncertainties relating to the COVID-19 global pandemic which are impacting Company’s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96"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21. Segment Reporting</w:t>
      </w:r>
    </w:p>
    <w:p>
      <w:pPr>
        <w:spacing w:after="0" w:line="188"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Company’s Chief Executive Officer (“CEO”) is its Chief Operating Decision Maker (“CODM”), as such term is defined under U.S. GAAP. The CODM, along with other members of management, assess segment performance based on segment revenues and gross margins. Selling, general and administrative expenses, research and development costs, the amortization of intangible assets, provisions for (recoveries of) current expected credit losses, certain write-downs, interest income, interest expense and income tax (expense) benefit are not allocated to the Company’s segments.</w:t>
      </w:r>
    </w:p>
    <w:p>
      <w:pPr>
        <w:spacing w:after="0" w:line="154"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has the following reportable segments: (i) IMAX DMR; (ii) Joint Revenue Sharing Arrangements; (iii) IMAX Systems, (iv) IMAX Maintenance; (v) Other Theater Business; (vi) New Business Initiatives; (vii) Film Distribution; and (viii) Film Post-Production. The Company’s reportable segments are organized into the following four categories, identified by the nature of the product sold or service provided:</w:t>
      </w:r>
    </w:p>
    <w:p>
      <w:pPr>
        <w:spacing w:after="0" w:line="176" w:lineRule="exact"/>
        <w:rPr>
          <w:sz w:val="20"/>
          <w:szCs w:val="20"/>
          <w:color w:val="auto"/>
        </w:rPr>
      </w:pPr>
    </w:p>
    <w:p>
      <w:pPr>
        <w:ind w:left="1120" w:hanging="749"/>
        <w:spacing w:after="0" w:line="281" w:lineRule="auto"/>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Technology Network, which earns revenue based on contingent box office receipts and includes the IMAX DMR segment and contingent rent from the Joint Revenue Sharing Arrangement (“JRSA”) segment;</w:t>
      </w:r>
    </w:p>
    <w:p>
      <w:pPr>
        <w:spacing w:after="0" w:line="161" w:lineRule="exact"/>
        <w:rPr>
          <w:rFonts w:ascii="Times New Roman" w:cs="Times New Roman" w:eastAsia="Times New Roman" w:hAnsi="Times New Roman"/>
          <w:sz w:val="18"/>
          <w:szCs w:val="18"/>
          <w:color w:val="auto"/>
        </w:rPr>
      </w:pPr>
    </w:p>
    <w:p>
      <w:pPr>
        <w:ind w:left="1120" w:right="20" w:hanging="749"/>
        <w:spacing w:after="0" w:line="281" w:lineRule="auto"/>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Technology Sales and Maintenance, which includes results from the IMAX Systems, IMAX Maintenance and Other Theater Business segments, as well as fixed revenues from the JRSA segment;</w:t>
      </w:r>
    </w:p>
    <w:p>
      <w:pPr>
        <w:spacing w:after="0" w:line="161" w:lineRule="exact"/>
        <w:rPr>
          <w:rFonts w:ascii="Times New Roman" w:cs="Times New Roman" w:eastAsia="Times New Roman" w:hAnsi="Times New Roman"/>
          <w:sz w:val="18"/>
          <w:szCs w:val="18"/>
          <w:color w:val="auto"/>
        </w:rPr>
      </w:pPr>
    </w:p>
    <w:p>
      <w:pPr>
        <w:ind w:left="1120" w:hanging="749"/>
        <w:spacing w:after="0" w:line="281" w:lineRule="auto"/>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Business Initiatives, which is a segment that includes activities related to the exploration of new lines of business and new initiatives outside of the Company’s core business; and</w:t>
      </w:r>
    </w:p>
    <w:p>
      <w:pPr>
        <w:spacing w:after="0" w:line="175" w:lineRule="exact"/>
        <w:rPr>
          <w:rFonts w:ascii="Times New Roman" w:cs="Times New Roman" w:eastAsia="Times New Roman" w:hAnsi="Times New Roman"/>
          <w:sz w:val="18"/>
          <w:szCs w:val="18"/>
          <w:color w:val="auto"/>
        </w:rPr>
      </w:pPr>
    </w:p>
    <w:p>
      <w:pPr>
        <w:jc w:val="both"/>
        <w:ind w:left="1120" w:hanging="749"/>
        <w:spacing w:after="0" w:line="265" w:lineRule="auto"/>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Film Distribution and Post-Production, which includes activities related to the licensing of film content, and the distribution of films primarily for the Company’s institutional theater partners (through the Film Distribution segment) and the provision of film post-production and quality control services (through the Film Post-Production segment).</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is presenting information at a disaggregated level to provide more relevant information to readers.</w:t>
      </w:r>
    </w:p>
    <w:p>
      <w:pPr>
        <w:spacing w:after="0" w:line="184" w:lineRule="exact"/>
        <w:rPr>
          <w:sz w:val="20"/>
          <w:szCs w:val="20"/>
          <w:color w:val="auto"/>
        </w:rPr>
      </w:pPr>
    </w:p>
    <w:p>
      <w:pPr>
        <w:ind w:firstLine="224"/>
        <w:spacing w:after="0" w:line="281" w:lineRule="auto"/>
        <w:rPr>
          <w:sz w:val="20"/>
          <w:szCs w:val="20"/>
          <w:color w:val="auto"/>
        </w:rPr>
      </w:pPr>
      <w:r>
        <w:rPr>
          <w:rFonts w:ascii="Times New Roman" w:cs="Times New Roman" w:eastAsia="Times New Roman" w:hAnsi="Times New Roman"/>
          <w:sz w:val="18"/>
          <w:szCs w:val="18"/>
          <w:color w:val="auto"/>
        </w:rPr>
        <w:t>Transactions between the film production and IMAX DMR segment and the Film Post-Production segment are valued at exchange value. Inter-segment profits are eliminated upon consolidation, as well as for the disclosures below.</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(a)</w:t>
        <w:tab/>
        <w:t>Segment Financial Information</w:t>
      </w:r>
    </w:p>
    <w:p>
      <w:pPr>
        <w:spacing w:after="0" w:line="188" w:lineRule="exact"/>
        <w:rPr>
          <w:sz w:val="20"/>
          <w:szCs w:val="20"/>
          <w:color w:val="auto"/>
        </w:rPr>
      </w:pPr>
    </w:p>
    <w:p>
      <w:pPr>
        <w:ind w:firstLine="224"/>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breakdown of revenue and gross margin (loss) by category and segment for the years ended December 31, 2020, 2019 and 2018:</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36"/>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2"/>
                <w:szCs w:val="12"/>
                <w:b w:val="1"/>
                <w:bCs w:val="1"/>
                <w:color w:val="auto"/>
              </w:rPr>
              <w:t>(1)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Gross Margin (Margin Loss)</w:t>
            </w:r>
            <w:r>
              <w:rPr>
                <w:rFonts w:ascii="Times New Roman" w:cs="Times New Roman" w:eastAsia="Times New Roman" w:hAnsi="Times New Roman"/>
                <w:sz w:val="12"/>
                <w:szCs w:val="12"/>
                <w:b w:val="1"/>
                <w:bCs w:val="1"/>
                <w:color w:val="auto"/>
              </w:rPr>
              <w:t>(4)</w:t>
            </w:r>
          </w:p>
        </w:tc>
        <w:tc>
          <w:tcPr>
            <w:tcW w:w="880" w:type="dxa"/>
            <w:vAlign w:val="bottom"/>
            <w:tcBorders>
              <w:bottom w:val="single" w:sz="8" w:color="auto"/>
            </w:tcBorders>
          </w:tcPr>
          <w:p>
            <w:pPr>
              <w:spacing w:after="0"/>
              <w:rPr>
                <w:sz w:val="20"/>
                <w:szCs w:val="20"/>
                <w:color w:val="auto"/>
              </w:rPr>
            </w:pPr>
          </w:p>
        </w:tc>
      </w:tr>
      <w:tr>
        <w:trPr>
          <w:trHeight w:val="195"/>
        </w:trPr>
        <w:tc>
          <w:tcPr>
            <w:tcW w:w="3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IMAX Technology Network</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29"/>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IMAX DMR</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28,265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120,765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110,793</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13,731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78,592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72,773</w:t>
            </w:r>
          </w:p>
        </w:tc>
      </w:tr>
      <w:tr>
        <w:trPr>
          <w:trHeight w:val="211"/>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Joint revenue sharing arrangements, contingent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34"/>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rent</w:t>
            </w:r>
          </w:p>
        </w:tc>
        <w:tc>
          <w:tcPr>
            <w:tcW w:w="1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17,841</w:t>
            </w:r>
          </w:p>
        </w:tc>
        <w:tc>
          <w:tcPr>
            <w:tcW w:w="1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76,673</w:t>
            </w:r>
          </w:p>
        </w:tc>
        <w:tc>
          <w:tcPr>
            <w:tcW w:w="1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73,997</w:t>
            </w:r>
          </w:p>
        </w:tc>
        <w:tc>
          <w:tcPr>
            <w:tcW w:w="1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48,446</w:t>
            </w:r>
          </w:p>
        </w:tc>
        <w:tc>
          <w:tcPr>
            <w:tcW w:w="12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49,292</w:t>
            </w:r>
          </w:p>
        </w:tc>
      </w:tr>
      <w:tr>
        <w:trPr>
          <w:trHeight w:val="222"/>
        </w:trPr>
        <w:tc>
          <w:tcPr>
            <w:tcW w:w="36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46,106</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197,438</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184,790</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4,231</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127,038</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122,065</w:t>
            </w:r>
          </w:p>
        </w:tc>
      </w:tr>
      <w:tr>
        <w:trPr>
          <w:trHeight w:val="222"/>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29"/>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IMAX Systems</w:t>
            </w:r>
            <w:r>
              <w:rPr>
                <w:rFonts w:ascii="Times New Roman" w:cs="Times New Roman" w:eastAsia="Times New Roman" w:hAnsi="Times New Roman"/>
                <w:sz w:val="15"/>
                <w:szCs w:val="15"/>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54,055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107,321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100,030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24,816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58,168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59,583</w:t>
            </w:r>
          </w:p>
        </w:tc>
      </w:tr>
      <w:tr>
        <w:trPr>
          <w:trHeight w:val="229"/>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Joint revenue sharing arrangements, fixed fees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2,056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11,014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9,706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2,613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1,982</w:t>
            </w:r>
          </w:p>
        </w:tc>
      </w:tr>
      <w:tr>
        <w:trPr>
          <w:trHeight w:val="229"/>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IMAX Maintenance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21,999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53,151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49,684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21,991</w:t>
            </w:r>
          </w:p>
        </w:tc>
      </w:tr>
      <w:tr>
        <w:trPr>
          <w:trHeight w:val="229"/>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Theater Business</w:t>
            </w:r>
            <w:r>
              <w:rPr>
                <w:rFonts w:ascii="Times New Roman" w:cs="Times New Roman" w:eastAsia="Times New Roman" w:hAnsi="Times New Roman"/>
                <w:sz w:val="15"/>
                <w:szCs w:val="15"/>
                <w:color w:val="auto"/>
              </w:rPr>
              <w:t>(3)</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1,666</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8,390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8,358</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2,624</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1,806</w:t>
            </w:r>
          </w:p>
        </w:tc>
      </w:tr>
      <w:tr>
        <w:trPr>
          <w:trHeight w:val="222"/>
        </w:trPr>
        <w:tc>
          <w:tcPr>
            <w:tcW w:w="36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79,776</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179,876</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167,778</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27,975</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86,415</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85,362</w:t>
            </w:r>
          </w:p>
        </w:tc>
      </w:tr>
      <w:tr>
        <w:trPr>
          <w:trHeight w:val="222"/>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Business Initiatives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2,226</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2,754</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5,769</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1,878</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2"/>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Film Distribution</w:t>
            </w:r>
            <w:r>
              <w:rPr>
                <w:rFonts w:ascii="Times New Roman" w:cs="Times New Roman" w:eastAsia="Times New Roman" w:hAnsi="Times New Roman"/>
                <w:sz w:val="15"/>
                <w:szCs w:val="15"/>
                <w:color w:val="auto"/>
              </w:rPr>
              <w:t>(5)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4,841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4,818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3,446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29"/>
        </w:trPr>
        <w:tc>
          <w:tcPr>
            <w:tcW w:w="36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Post-Production</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3,878</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7,392</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9,516</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3,107</w:t>
            </w:r>
          </w:p>
        </w:tc>
      </w:tr>
      <w:tr>
        <w:trPr>
          <w:trHeight w:val="222"/>
        </w:trPr>
        <w:tc>
          <w:tcPr>
            <w:tcW w:w="3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8,719</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12,210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12,962</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1,763</w:t>
            </w:r>
          </w:p>
        </w:tc>
      </w:tr>
      <w:tr>
        <w:trPr>
          <w:trHeight w:val="22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136,827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392,278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371,299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214,297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208,840</w:t>
            </w:r>
          </w:p>
        </w:tc>
      </w:tr>
      <w:tr>
        <w:trPr>
          <w:trHeight w:val="22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3,386</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3,102</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2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137,003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395,664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374,401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21,540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214,172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207,929</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the breakdown of assets by category and segment as of December 31, 2020 and 2019:</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tcBorders>
              <w:bottom w:val="single" w:sz="8" w:color="auto"/>
            </w:tcBorders>
          </w:tcPr>
          <w:p>
            <w:pPr>
              <w:spacing w:after="0"/>
              <w:rPr>
                <w:sz w:val="15"/>
                <w:szCs w:val="15"/>
                <w:color w:val="auto"/>
              </w:rPr>
            </w:pPr>
          </w:p>
        </w:tc>
      </w:tr>
      <w:tr>
        <w:trPr>
          <w:trHeight w:val="222"/>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2"/>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IMAX Technology Network</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IMAX DMR</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29,672</w:t>
            </w:r>
          </w:p>
        </w:tc>
        <w:tc>
          <w:tcPr>
            <w:tcW w:w="200" w:type="dxa"/>
            <w:vAlign w:val="bottom"/>
          </w:tcPr>
          <w:p>
            <w:pPr>
              <w:spacing w:after="0"/>
              <w:rPr>
                <w:sz w:val="19"/>
                <w:szCs w:val="19"/>
                <w:color w:val="auto"/>
              </w:rPr>
            </w:pP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46,417</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195,822</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231,626</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IMAX Systems</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240,972</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277,720</w:t>
            </w: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Joint revenue sharing arrangements, fixed fees</w:t>
            </w:r>
          </w:p>
        </w:tc>
        <w:tc>
          <w:tcPr>
            <w:tcW w:w="34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27,778</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27,189</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IMAX Maintenance</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36,949</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22,869</w:t>
            </w: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Theater Business</w:t>
            </w:r>
          </w:p>
        </w:tc>
        <w:tc>
          <w:tcPr>
            <w:tcW w:w="34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2,042</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Business Initiatives</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1,196</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Film Distribution</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35,526</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14,831</w:t>
            </w: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Post-Production</w:t>
            </w:r>
          </w:p>
        </w:tc>
        <w:tc>
          <w:tcPr>
            <w:tcW w:w="34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5,984</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36,562</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20,307</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23,809</w:t>
            </w:r>
          </w:p>
        </w:tc>
      </w:tr>
      <w:tr>
        <w:trPr>
          <w:trHeight w:val="22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Corporate and other non-segment specific assets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403,438</w:t>
            </w:r>
          </w:p>
        </w:tc>
        <w:tc>
          <w:tcPr>
            <w:tcW w:w="2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206,004</w:t>
            </w:r>
          </w:p>
        </w:tc>
      </w:tr>
      <w:tr>
        <w:trPr>
          <w:trHeight w:val="222"/>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997,750</w:t>
            </w:r>
          </w:p>
        </w:tc>
        <w:tc>
          <w:tcPr>
            <w:tcW w:w="2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889,069</w:t>
            </w: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ind w:right="20" w:firstLine="224"/>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breakdown of depreciation and amortization by category and segment for the years ended December 31, 2020, 2019 and 2018:</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22"/>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IMAX Technology Network</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IMAX DMR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5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16,117</w:t>
            </w:r>
          </w:p>
        </w:tc>
        <w:tc>
          <w:tcPr>
            <w:tcW w:w="100" w:type="dxa"/>
            <w:vAlign w:val="bottom"/>
          </w:tcPr>
          <w:p>
            <w:pPr>
              <w:spacing w:after="0"/>
              <w:rPr>
                <w:sz w:val="19"/>
                <w:szCs w:val="19"/>
                <w:color w:val="auto"/>
              </w:rPr>
            </w:pPr>
          </w:p>
        </w:tc>
        <w:tc>
          <w:tcPr>
            <w:tcW w:w="3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13,602</w:t>
            </w:r>
          </w:p>
        </w:tc>
      </w:tr>
      <w:tr>
        <w:trPr>
          <w:trHeight w:val="22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25,036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21,970</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IMAX Systems</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3,615</w:t>
            </w:r>
          </w:p>
        </w:tc>
      </w:tr>
      <w:tr>
        <w:trPr>
          <w:trHeight w:val="229"/>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IMAX Maintenance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Business Initiatives</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2,519</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Film Distribution</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2,225</w:t>
            </w:r>
          </w:p>
        </w:tc>
      </w:tr>
      <w:tr>
        <w:trPr>
          <w:trHeight w:val="229"/>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Post-Production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790</w:t>
            </w:r>
          </w:p>
        </w:tc>
      </w:tr>
      <w:tr>
        <w:trPr>
          <w:trHeight w:val="229"/>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Corporate and other non-segment specific assets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10,394</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12,157</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11,052</w:t>
            </w:r>
          </w:p>
        </w:tc>
      </w:tr>
      <w:tr>
        <w:trPr>
          <w:trHeight w:val="222"/>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53,606</w:t>
            </w: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63,487</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57,437</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breakdown of write-downs, including asset impairments and credit loss expense, by category and segment for the years ended December 31, 2020, 2019 and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9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IMAX Technology Network</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IMAX DMR</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IMAX Systems</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IMAX Maintenance</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Business Initiatives</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Film Distribution</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Post-Production</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 non-segment specific assets</w:t>
            </w:r>
            <w:r>
              <w:rPr>
                <w:rFonts w:ascii="Times New Roman" w:cs="Times New Roman" w:eastAsia="Times New Roman" w:hAnsi="Times New Roman"/>
                <w:sz w:val="15"/>
                <w:szCs w:val="15"/>
                <w:color w:val="auto"/>
              </w:rPr>
              <w:t>(6)</w:t>
            </w:r>
          </w:p>
        </w:tc>
        <w:tc>
          <w:tcPr>
            <w:tcW w:w="19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20,065</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36,337</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90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7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35" w:name="page136"/>
    <w:bookmarkEnd w:id="135"/>
    <w:p>
      <w:pPr>
        <w:ind w:firstLine="224"/>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breakdown of purchases of Property, Plant and Equipment by category and segment for the years ended December 31, 2020, 2019 and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22"/>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IMAX Technology Network</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IMAX DMR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40,489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34,810</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IMAX Systems</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2,813</w:t>
            </w:r>
          </w:p>
        </w:tc>
      </w:tr>
      <w:tr>
        <w:trPr>
          <w:trHeight w:val="229"/>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IMAX Maintenance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527</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Business Initiatives</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342</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Film Distribution</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Post-Production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1,067</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Corporate and other non-segment specific assets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4,845</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8,371</w:t>
            </w:r>
          </w:p>
        </w:tc>
      </w:tr>
      <w:tr>
        <w:trPr>
          <w:trHeight w:val="222"/>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47,910</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48,178</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9239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380" w:hanging="372"/>
        <w:spacing w:after="0"/>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largest customer represents 16.4% of total revenues as of December 31, 2020 (2019 ― 16.5%; 2018 ― 17.1%).</w:t>
      </w:r>
    </w:p>
    <w:p>
      <w:pPr>
        <w:spacing w:after="0" w:line="183"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initial upfront payments and the present value of fixed minimum payments from sales and sales-type lease arrangements of IMAX Theater Systems, and the present value of estimated variable consideration from sales of IMAX Theater Systems. To a lesser extent, also includes finance income associated with these revenue streams.</w:t>
      </w:r>
    </w:p>
    <w:p>
      <w:pPr>
        <w:spacing w:after="0" w:line="13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Principally includes after-market sales of IMAX projection system parts and 3D glasses.</w:t>
      </w:r>
    </w:p>
    <w:p>
      <w:pPr>
        <w:spacing w:after="0" w:line="183" w:lineRule="exact"/>
        <w:rPr>
          <w:rFonts w:ascii="Times New Roman" w:cs="Times New Roman" w:eastAsia="Times New Roman" w:hAnsi="Times New Roman"/>
          <w:sz w:val="18"/>
          <w:szCs w:val="18"/>
          <w:color w:val="auto"/>
        </w:rPr>
      </w:pPr>
    </w:p>
    <w:p>
      <w:pPr>
        <w:jc w:val="both"/>
        <w:ind w:left="380" w:hanging="372"/>
        <w:spacing w:after="0" w:line="257" w:lineRule="auto"/>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DMR segment margins include marketing costs of $3.4 million, $22.5 million, and $16.5 million in 2020, 2019 and 2018, respectively. Joint revenue sharing arrangements segment margins include advertising, marketing, and commission costs of $1.8 million, $4.5 million and $3.6 million in 2020, 2019 and 2018, respectively. IMAX Systems segment margins include marketing and commission costs of $2.0 million, $2.0 million and $2.4 million in 2020, 2019 and 2018, respectively. Film Distribution segment margins includes marketing expense of $0.7 million, 0.4 million and $2.2 million in 2020, 2019 and 2018, respectively.</w:t>
      </w:r>
    </w:p>
    <w:p>
      <w:pPr>
        <w:spacing w:after="0" w:line="144"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2020, Film Distribution segment results were significantly influenced by impairment losses of $10.0 million, respectively, to write-down the carrying value of certain documentary and alternative content film assets due to a decrease in projected box office totals and related revenues based on management’s regular quarterly recoverability assessments (2019 ― $1.4 million; 2018 ― $nil).</w:t>
      </w:r>
    </w:p>
    <w:p>
      <w:pPr>
        <w:spacing w:after="0" w:line="135"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2020, the Corporate and other non-segment specific write-downs included $18.6 million in current expected credit loss expense excluded from the Company’s segment allocations.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36" w:name="page137"/>
    <w:bookmarkEnd w:id="136"/>
    <w:p>
      <w:pPr>
        <w:ind w:left="1000" w:hanging="768"/>
        <w:spacing w:after="0"/>
        <w:tabs>
          <w:tab w:leader="none" w:pos="1000" w:val="left"/>
        </w:tabs>
        <w:numPr>
          <w:ilvl w:val="0"/>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8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Revenue by geographic area is based on the location of the customer. Revenue related to IMAX DMR is presented based upon the geographic location of the theaters that exhibit the remastered films. IMAX DMR revenue is generated through contractual relationships with studios and other third parties and these may not be in the same geographical location as the theater.</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22"/>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52,331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124,294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117,520</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121,264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118,495</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48,386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46,858</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Western Europe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46,911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40,497</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9,438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12,952</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Russia &amp; the CIS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10,133</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9,220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10,507</w:t>
            </w:r>
          </w:p>
        </w:tc>
      </w:tr>
      <w:tr>
        <w:trPr>
          <w:trHeight w:val="229"/>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20,027</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17,439</w:t>
            </w:r>
          </w:p>
        </w:tc>
      </w:tr>
      <w:tr>
        <w:trPr>
          <w:trHeight w:val="222"/>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137,003</w:t>
            </w: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395,664</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374,401</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No single country in the Rest of the World, Western Europe, Latin America and Asia (excluding Greater China) classifications comprise more than 10% of total revenue.</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presents the breakdown of Property, Plant and Equipment by geography as of December 31,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tcBorders>
              <w:bottom w:val="single" w:sz="8" w:color="auto"/>
            </w:tcBorders>
          </w:tcPr>
          <w:p>
            <w:pPr>
              <w:spacing w:after="0"/>
              <w:rPr>
                <w:sz w:val="15"/>
                <w:szCs w:val="15"/>
                <w:color w:val="auto"/>
              </w:rPr>
            </w:pPr>
          </w:p>
        </w:tc>
      </w:tr>
      <w:tr>
        <w:trPr>
          <w:trHeight w:val="209"/>
        </w:trPr>
        <w:tc>
          <w:tcPr>
            <w:tcW w:w="7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2"/>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100,495</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109,240</w:t>
            </w:r>
          </w:p>
        </w:tc>
      </w:tr>
      <w:tr>
        <w:trPr>
          <w:trHeight w:val="229"/>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34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104,731</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105,312</w:t>
            </w:r>
          </w:p>
        </w:tc>
      </w:tr>
      <w:tr>
        <w:trPr>
          <w:trHeight w:val="229"/>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31,624</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47,837</w:t>
            </w:r>
          </w:p>
        </w:tc>
      </w:tr>
      <w:tr>
        <w:trPr>
          <w:trHeight w:val="229"/>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Western Europe</w:t>
            </w:r>
          </w:p>
        </w:tc>
        <w:tc>
          <w:tcPr>
            <w:tcW w:w="34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25,487</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27,748</w:t>
            </w:r>
          </w:p>
        </w:tc>
      </w:tr>
      <w:tr>
        <w:trPr>
          <w:trHeight w:val="229"/>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9,930</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9,948</w:t>
            </w:r>
          </w:p>
        </w:tc>
      </w:tr>
      <w:tr>
        <w:trPr>
          <w:trHeight w:val="229"/>
        </w:trPr>
        <w:tc>
          <w:tcPr>
            <w:tcW w:w="7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5,130</w:t>
            </w:r>
          </w:p>
        </w:tc>
        <w:tc>
          <w:tcPr>
            <w:tcW w:w="1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6,764</w:t>
            </w:r>
          </w:p>
        </w:tc>
      </w:tr>
      <w:tr>
        <w:trPr>
          <w:trHeight w:val="222"/>
        </w:trPr>
        <w:tc>
          <w:tcPr>
            <w:tcW w:w="7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277,397</w:t>
            </w: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306,849</w:t>
            </w:r>
          </w:p>
        </w:tc>
      </w:tr>
      <w:tr>
        <w:trPr>
          <w:trHeight w:val="20"/>
        </w:trPr>
        <w:tc>
          <w:tcPr>
            <w:tcW w:w="7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ind w:left="320" w:hanging="312"/>
        <w:spacing w:after="0"/>
        <w:tabs>
          <w:tab w:leader="none" w:pos="3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83" w:lineRule="exact"/>
        <w:rPr>
          <w:rFonts w:ascii="Times New Roman" w:cs="Times New Roman" w:eastAsia="Times New Roman" w:hAnsi="Times New Roman"/>
          <w:sz w:val="18"/>
          <w:szCs w:val="18"/>
          <w:b w:val="1"/>
          <w:bCs w:val="1"/>
          <w:color w:val="auto"/>
        </w:rPr>
      </w:pPr>
    </w:p>
    <w:p>
      <w:pPr>
        <w:ind w:left="580" w:hanging="357"/>
        <w:spacing w:after="0"/>
        <w:tabs>
          <w:tab w:leader="none" w:pos="580" w:val="left"/>
        </w:tabs>
        <w:numPr>
          <w:ilvl w:val="1"/>
          <w:numId w:val="7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Instruments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maintains cash with various major financial institutions. The Company’s cash is invested with highly rated financial institutions.</w:t>
      </w:r>
    </w:p>
    <w:p>
      <w:pPr>
        <w:spacing w:after="0" w:line="193"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Fair Value Measurements</w:t>
      </w:r>
    </w:p>
    <w:p>
      <w:pPr>
        <w:spacing w:after="0" w:line="18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carrying values of the Company’s Cash and Cash Equivalents, Accounts Receivable, Accounts Payable and Accrued Liabilities due within one year approximate their fair values due to the short-term maturity of these instruments. Including these instruments, the Company’s financial instruments consist of the following: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0" w:type="dxa"/>
            <w:vAlign w:val="bottom"/>
          </w:tcPr>
          <w:p>
            <w:pPr>
              <w:spacing w:after="0"/>
              <w:rPr>
                <w:sz w:val="1"/>
                <w:szCs w:val="1"/>
                <w:color w:val="auto"/>
              </w:rPr>
            </w:pPr>
          </w:p>
        </w:tc>
      </w:tr>
      <w:tr>
        <w:trPr>
          <w:trHeight w:val="130"/>
        </w:trPr>
        <w:tc>
          <w:tcPr>
            <w:tcW w:w="5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ind w:right="31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right"/>
              <w:ind w:right="293"/>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jc w:val="center"/>
              <w:ind w:right="62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1"/>
                <w:szCs w:val="11"/>
                <w:color w:val="auto"/>
              </w:rPr>
            </w:pPr>
          </w:p>
        </w:tc>
        <w:tc>
          <w:tcPr>
            <w:tcW w:w="980" w:type="dxa"/>
            <w:vAlign w:val="bottom"/>
          </w:tcPr>
          <w:p>
            <w:pPr>
              <w:jc w:val="right"/>
              <w:ind w:right="213"/>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500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2"/>
        </w:trPr>
        <w:tc>
          <w:tcPr>
            <w:tcW w:w="56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9"/>
              </w:rPr>
              <w:t>Level 1</w:t>
            </w:r>
          </w:p>
        </w:tc>
        <w:tc>
          <w:tcPr>
            <w:tcW w:w="444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8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CFF0FC"/>
            </w:tcBorders>
            <w:shd w:val="clear" w:color="auto" w:fill="CFF0FC"/>
          </w:tcPr>
          <w:p>
            <w:pPr>
              <w:spacing w:after="0"/>
              <w:rPr>
                <w:sz w:val="17"/>
                <w:szCs w:val="17"/>
                <w:color w:val="auto"/>
              </w:rPr>
            </w:pPr>
          </w:p>
        </w:tc>
        <w:tc>
          <w:tcPr>
            <w:tcW w:w="3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15"/>
                <w:szCs w:val="15"/>
                <w:color w:val="auto"/>
              </w:rPr>
              <w:t>(1)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317,379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317,379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109,484</w:t>
            </w: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109,484</w:t>
            </w:r>
          </w:p>
        </w:tc>
        <w:tc>
          <w:tcPr>
            <w:tcW w:w="0" w:type="dxa"/>
            <w:vAlign w:val="bottom"/>
          </w:tcPr>
          <w:p>
            <w:pPr>
              <w:spacing w:after="0"/>
              <w:rPr>
                <w:sz w:val="1"/>
                <w:szCs w:val="1"/>
                <w:color w:val="auto"/>
              </w:rPr>
            </w:pPr>
          </w:p>
        </w:tc>
      </w:tr>
      <w:tr>
        <w:trPr>
          <w:trHeight w:val="229"/>
        </w:trPr>
        <w:tc>
          <w:tcPr>
            <w:tcW w:w="50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15"/>
                <w:szCs w:val="15"/>
                <w:color w:val="auto"/>
              </w:rPr>
              <w:t>(3)</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13,633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13,633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15,685</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15,685</w:t>
            </w:r>
          </w:p>
        </w:tc>
        <w:tc>
          <w:tcPr>
            <w:tcW w:w="0" w:type="dxa"/>
            <w:vAlign w:val="bottom"/>
          </w:tcPr>
          <w:p>
            <w:pPr>
              <w:spacing w:after="0"/>
              <w:rPr>
                <w:sz w:val="1"/>
                <w:szCs w:val="1"/>
                <w:color w:val="auto"/>
              </w:rPr>
            </w:pPr>
          </w:p>
        </w:tc>
      </w:tr>
      <w:tr>
        <w:trPr>
          <w:trHeight w:val="189"/>
        </w:trPr>
        <w:tc>
          <w:tcPr>
            <w:tcW w:w="50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Level 2</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financed sales receivables</w:t>
            </w:r>
            <w:r>
              <w:rPr>
                <w:rFonts w:ascii="Times New Roman" w:cs="Times New Roman" w:eastAsia="Times New Roman" w:hAnsi="Times New Roman"/>
                <w:sz w:val="15"/>
                <w:szCs w:val="15"/>
                <w:color w:val="auto"/>
              </w:rPr>
              <w:t>(2)</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112,396</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112,603</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112,432</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111,441</w:t>
            </w:r>
          </w:p>
        </w:tc>
        <w:tc>
          <w:tcPr>
            <w:tcW w:w="0" w:type="dxa"/>
            <w:vAlign w:val="bottom"/>
          </w:tcPr>
          <w:p>
            <w:pPr>
              <w:spacing w:after="0"/>
              <w:rPr>
                <w:sz w:val="1"/>
                <w:szCs w:val="1"/>
                <w:color w:val="auto"/>
              </w:rPr>
            </w:pPr>
          </w:p>
        </w:tc>
      </w:tr>
      <w:tr>
        <w:trPr>
          <w:trHeight w:val="229"/>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Net investment in sales-type leases </w:t>
            </w:r>
            <w:r>
              <w:rPr>
                <w:rFonts w:ascii="Times New Roman" w:cs="Times New Roman" w:eastAsia="Times New Roman" w:hAnsi="Times New Roman"/>
                <w:sz w:val="15"/>
                <w:szCs w:val="15"/>
                <w:color w:val="auto"/>
              </w:rPr>
              <w:t>(2)</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19,414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15,606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15,309</w:t>
            </w:r>
          </w:p>
        </w:tc>
        <w:tc>
          <w:tcPr>
            <w:tcW w:w="0" w:type="dxa"/>
            <w:vAlign w:val="bottom"/>
          </w:tcPr>
          <w:p>
            <w:pPr>
              <w:spacing w:after="0"/>
              <w:rPr>
                <w:sz w:val="1"/>
                <w:szCs w:val="1"/>
                <w:color w:val="auto"/>
              </w:rPr>
            </w:pPr>
          </w:p>
        </w:tc>
      </w:tr>
      <w:tr>
        <w:trPr>
          <w:trHeight w:val="229"/>
        </w:trPr>
        <w:tc>
          <w:tcPr>
            <w:tcW w:w="50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loan receivable</w:t>
            </w:r>
            <w:r>
              <w:rPr>
                <w:rFonts w:ascii="Times New Roman" w:cs="Times New Roman" w:eastAsia="Times New Roman" w:hAnsi="Times New Roman"/>
                <w:sz w:val="15"/>
                <w:szCs w:val="15"/>
                <w:color w:val="auto"/>
              </w:rPr>
              <w:t>(2)</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1,500</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9"/>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15"/>
                <w:szCs w:val="15"/>
                <w:color w:val="auto"/>
              </w:rPr>
              <w:t>(1)</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50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COLI</w:t>
            </w:r>
            <w:r>
              <w:rPr>
                <w:rFonts w:ascii="Times New Roman" w:cs="Times New Roman" w:eastAsia="Times New Roman" w:hAnsi="Times New Roman"/>
                <w:sz w:val="15"/>
                <w:szCs w:val="15"/>
                <w:color w:val="auto"/>
              </w:rPr>
              <w:t>(4)</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3,155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3,155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3,150</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29"/>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exchange contracts — designated forwards</w:t>
            </w:r>
            <w:r>
              <w:rPr>
                <w:rFonts w:ascii="Times New Roman" w:cs="Times New Roman" w:eastAsia="Times New Roman" w:hAnsi="Times New Roman"/>
                <w:sz w:val="15"/>
                <w:szCs w:val="15"/>
                <w:color w:val="auto"/>
              </w:rPr>
              <w:t>(3)</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1,635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9"/>
        </w:trPr>
        <w:tc>
          <w:tcPr>
            <w:tcW w:w="50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 — non-designated forwards</w:t>
            </w:r>
            <w:r>
              <w:rPr>
                <w:rFonts w:ascii="Times New Roman" w:cs="Times New Roman" w:eastAsia="Times New Roman" w:hAnsi="Times New Roman"/>
                <w:sz w:val="15"/>
                <w:szCs w:val="15"/>
                <w:color w:val="auto"/>
              </w:rPr>
              <w:t>(3)</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indebtedness - under the Working Capital Facility</w:t>
            </w:r>
            <w:r>
              <w:rPr>
                <w:rFonts w:ascii="Times New Roman" w:cs="Times New Roman" w:eastAsia="Times New Roman" w:hAnsi="Times New Roman"/>
                <w:sz w:val="15"/>
                <w:szCs w:val="15"/>
                <w:color w:val="auto"/>
              </w:rPr>
              <w:t>(1)</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Bank indebtedness - under the Credit Facility</w:t>
            </w:r>
            <w:r>
              <w:rPr>
                <w:rFonts w:ascii="Times New Roman" w:cs="Times New Roman" w:eastAsia="Times New Roman" w:hAnsi="Times New Roman"/>
                <w:sz w:val="15"/>
                <w:szCs w:val="15"/>
                <w:color w:val="auto"/>
              </w:rPr>
              <w:t>(1)</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135"/>
        </w:trPr>
        <w:tc>
          <w:tcPr>
            <w:tcW w:w="5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80" w:hanging="372"/>
        <w:spacing w:after="0"/>
        <w:tabs>
          <w:tab w:leader="none" w:pos="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at cost, which approximates fair value.</w:t>
      </w:r>
    </w:p>
    <w:p>
      <w:pPr>
        <w:spacing w:after="0" w:line="18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based on discounting future cash flows at currently available interest rates with comparable terms.</w:t>
      </w:r>
    </w:p>
    <w:p>
      <w:pPr>
        <w:spacing w:after="0" w:line="18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determined using quoted prices in active markets.</w:t>
      </w:r>
    </w:p>
    <w:p>
      <w:pPr>
        <w:spacing w:after="0" w:line="18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Measured at cash surrender value, which approximates fair value.</w:t>
      </w:r>
    </w:p>
    <w:p>
      <w:pPr>
        <w:spacing w:after="0" w:line="184"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When a determination is made to classify an asset or liability within Level 3, the determination is based upon the significance of the unobservable inputs to the overall fair value measurement. There were no transfers in or out of the Company’s Level 3 assets during the year ended December 31, 2020 and 2019.</w:t>
      </w:r>
    </w:p>
    <w:p>
      <w:pPr>
        <w:spacing w:after="0" w:line="145"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(c)</w:t>
        <w:tab/>
        <w:t>Foreign Exchange Risk Management</w:t>
      </w:r>
    </w:p>
    <w:p>
      <w:pPr>
        <w:spacing w:after="0" w:line="188"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is exposed to market risk from changes in foreign currency rates. A majority of the Company’s revenues is denominated in U.S. Dollars while a substantial portion of its costs and expenses is denominated in Canadian Dollars. A portion of the net U.S. Dollar cash flows of the Company is periodically converted to Canadian Dollars to fund Canadian Dollar expenses through the spot market. In China and Japan, the Company has ongoing operating expenses related to its operations in Chinese Renminbi and Japanese Yen, respectively. Net cash flows are converted to and from U.S. Dollars through the spot market. The Company also has cash receipts under leases denominated in Chinese Renminbi, Japanese Yen, Canadian Dollars and Euros which are converted to U.S. Dollars through the spot market. In addition, because IMAX films generate box office in 84 different countries, unfavourable exchange rates between applicable local currencies and the U.S. Dollar affect the Company’s reported gross box-office and revenues, further impacting the Company’s results of operations. The Company’s policy is to not use any financial instruments for trading or other speculative purposes.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The Company entered into a series of foreign currency forward contracts to manage the Company’s risks associated with the volatility of foreign currencies. Certain of these foreign currency forward contracts met the criteria required for hedge accounting under the Derivatives and Hedging Topic of the FASB ASC at inception, and continue to meet hedge effectiveness tests at December 31, 2020 (the “Foreign Currency Hedges”), with settlement dates throughout 2021. Foreign currency derivatives are recognized and measured in the Consolidated Balance Sheets at fair value. Changes in the fair value (gains or losses) are recognized in the Consolidated Statements of Operations except for derivatives designated and qualifying as foreign currency cash flow hedging instruments. The Company currently has cash flow hedging instruments associated with selling, general and administrative expenses and inventories. For foreign currency cash flow hedging instruments related to selling, general and administrative expenses, the effective portion of the gain or loss in a hedge of a forecasted transaction is reported in Other Comprehensive Income and reclassified to the Consolidated Statements of Operations when the forecasted transaction occurs. For foreign currency cash flow hedging instruments related to inventories, the effective portion of the gain or loss in a hedge of a forecasted transaction is reported in Other Comprehensive Income and reclassified to Inventories in the Consolidated Balance Sheets when the forecasted transaction occurs. Any ineffective portion is recognized immediately in the Consolidated Statements of Operations.</w:t>
      </w:r>
    </w:p>
    <w:p>
      <w:pPr>
        <w:spacing w:after="0" w:line="16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On April 28, 2020, the FASB staff issued a question-and-answer document (Q&amp;A) to respond to frequently asked questions about the disruptive effects of COVID-19 on cash flow hedge accounting. FASB Accounting Standards Codification Topic 815, Derivative and Hedging, provides guidance on when to discontinue cash flow hedge accounting and when and how to reclassify amounts deferred in Accumulated Other Comprehensive Income (AOCI) to earnings. The Q&amp;A document addresses how the postponement or cancellation of forecasted transactions related to the effects of the COVID-19 pandemic should be considered when applying cash flow hedge accounting under Topic 815. The Company has considered the Q&amp;A document when applying cash hedge flow accounting under Topic 815. The guidance did not have a material impact to the Company’s Consolidated Financial Statements.</w:t>
      </w:r>
    </w:p>
    <w:p>
      <w:pPr>
        <w:spacing w:after="0" w:line="143"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The following tabular disclosures reflect the impact that derivative instruments and hedging activities have on the Company’s Consolidated Financial Statements: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Notional value of foreign exchange contracts</w:t>
      </w:r>
      <w:r>
        <w:rPr>
          <w:rFonts w:ascii="Times New Roman" w:cs="Times New Roman" w:eastAsia="Times New Roman" w:hAnsi="Times New Roman"/>
          <w:sz w:val="18"/>
          <w:szCs w:val="18"/>
          <w:color w:val="auto"/>
        </w:rPr>
        <w: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6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2"/>
        </w:trPr>
        <w:tc>
          <w:tcPr>
            <w:tcW w:w="4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26,358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36,052</w:t>
            </w:r>
          </w:p>
        </w:tc>
        <w:tc>
          <w:tcPr>
            <w:tcW w:w="0" w:type="dxa"/>
            <w:vAlign w:val="bottom"/>
          </w:tcPr>
          <w:p>
            <w:pPr>
              <w:spacing w:after="0"/>
              <w:rPr>
                <w:sz w:val="1"/>
                <w:szCs w:val="1"/>
                <w:color w:val="auto"/>
              </w:rPr>
            </w:pPr>
          </w:p>
        </w:tc>
      </w:tr>
      <w:tr>
        <w:trPr>
          <w:trHeight w:val="229"/>
        </w:trPr>
        <w:tc>
          <w:tcPr>
            <w:tcW w:w="4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2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FF0FC"/>
            </w:tcBorders>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26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5,552</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240" w:type="dxa"/>
            <w:vAlign w:val="bottom"/>
            <w:tcBorders>
              <w:bottom w:val="single" w:sz="8" w:color="CFF0FC"/>
            </w:tcBorders>
            <w:shd w:val="clear" w:color="auto" w:fill="CFF0FC"/>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6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31,910</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36,052</w:t>
            </w: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Fair value of derivatives in foreign exchange contracts:</w:t>
            </w: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960" w:type="dxa"/>
            <w:vAlign w:val="bottom"/>
            <w:gridSpan w:val="3"/>
            <w:vMerge w:val="continue"/>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40" w:type="dxa"/>
            <w:vAlign w:val="bottom"/>
          </w:tcPr>
          <w:p>
            <w:pPr>
              <w:spacing w:after="0"/>
              <w:rPr>
                <w:sz w:val="21"/>
                <w:szCs w:val="21"/>
                <w:color w:val="auto"/>
              </w:rPr>
            </w:pPr>
          </w:p>
        </w:tc>
        <w:tc>
          <w:tcPr>
            <w:tcW w:w="3900" w:type="dxa"/>
            <w:vAlign w:val="bottom"/>
            <w:tcBorders>
              <w:top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2"/>
        </w:trPr>
        <w:tc>
          <w:tcPr>
            <w:tcW w:w="496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1,635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29"/>
        </w:trPr>
        <w:tc>
          <w:tcPr>
            <w:tcW w:w="240" w:type="dxa"/>
            <w:vAlign w:val="bottom"/>
            <w:shd w:val="clear" w:color="auto" w:fill="CFF0FC"/>
          </w:tcPr>
          <w:p>
            <w:pPr>
              <w:spacing w:after="0"/>
              <w:rPr>
                <w:sz w:val="19"/>
                <w:szCs w:val="19"/>
                <w:color w:val="auto"/>
              </w:rPr>
            </w:pPr>
          </w:p>
        </w:tc>
        <w:tc>
          <w:tcPr>
            <w:tcW w:w="39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2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344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9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6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1,979</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2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39" w:name="page140"/>
    <w:bookmarkEnd w:id="139"/>
    <w:p>
      <w:pPr>
        <w:ind w:left="240"/>
        <w:spacing w:after="0"/>
        <w:rPr>
          <w:sz w:val="20"/>
          <w:szCs w:val="20"/>
          <w:color w:val="auto"/>
        </w:rPr>
      </w:pPr>
      <w:r>
        <w:rPr>
          <w:rFonts w:ascii="Times New Roman" w:cs="Times New Roman" w:eastAsia="Times New Roman" w:hAnsi="Times New Roman"/>
          <w:sz w:val="18"/>
          <w:szCs w:val="18"/>
          <w:u w:val="single" w:color="auto"/>
          <w:color w:val="auto"/>
        </w:rPr>
        <w:t>Derivatives in foreign currency hedging relationships are as follows</w:t>
      </w:r>
      <w:r>
        <w:rPr>
          <w:rFonts w:ascii="Times New Roman" w:cs="Times New Roman" w:eastAsia="Times New Roman" w:hAnsi="Times New Roman"/>
          <w:sz w:val="18"/>
          <w:szCs w:val="18"/>
          <w:color w:val="auto"/>
        </w:rPr>
        <w: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1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60" w:type="dxa"/>
            <w:vAlign w:val="bottom"/>
            <w:tcBorders>
              <w:bottom w:val="single" w:sz="8" w:color="CFF0FC"/>
            </w:tcBorders>
          </w:tcPr>
          <w:p>
            <w:pPr>
              <w:spacing w:after="0"/>
              <w:rPr>
                <w:sz w:val="19"/>
                <w:szCs w:val="19"/>
                <w:color w:val="auto"/>
              </w:rPr>
            </w:pPr>
          </w:p>
        </w:tc>
        <w:tc>
          <w:tcPr>
            <w:tcW w:w="5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1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Gain (Loss)</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Forwards</w:t>
            </w: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Recognized in OCI</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19"/>
                <w:szCs w:val="19"/>
                <w:color w:val="auto"/>
              </w:rPr>
            </w:pPr>
          </w:p>
        </w:tc>
        <w:tc>
          <w:tcPr>
            <w:tcW w:w="31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(Effective Portion)</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550</w:t>
            </w:r>
          </w:p>
        </w:tc>
        <w:tc>
          <w:tcPr>
            <w:tcW w:w="5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552</w:t>
            </w:r>
          </w:p>
        </w:tc>
        <w:tc>
          <w:tcPr>
            <w:tcW w:w="50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0"/>
        </w:trPr>
        <w:tc>
          <w:tcPr>
            <w:tcW w:w="240" w:type="dxa"/>
            <w:vAlign w:val="bottom"/>
            <w:tcBorders>
              <w:top w:val="single" w:sz="8" w:color="CFF0FC"/>
            </w:tcBorders>
          </w:tcPr>
          <w:p>
            <w:pPr>
              <w:spacing w:after="0" w:line="20" w:lineRule="exact"/>
              <w:rPr>
                <w:sz w:val="1"/>
                <w:szCs w:val="1"/>
                <w:color w:val="auto"/>
              </w:rPr>
            </w:pPr>
          </w:p>
        </w:tc>
        <w:tc>
          <w:tcPr>
            <w:tcW w:w="2920" w:type="dxa"/>
            <w:vAlign w:val="bottom"/>
            <w:tcBorders>
              <w:top w:val="single" w:sz="8" w:color="CFF0FC"/>
            </w:tcBorders>
          </w:tcPr>
          <w:p>
            <w:pPr>
              <w:spacing w:after="0" w:line="20" w:lineRule="exact"/>
              <w:rPr>
                <w:sz w:val="1"/>
                <w:szCs w:val="1"/>
                <w:color w:val="auto"/>
              </w:rPr>
            </w:pPr>
          </w:p>
        </w:tc>
        <w:tc>
          <w:tcPr>
            <w:tcW w:w="3120" w:type="dxa"/>
            <w:vAlign w:val="bottom"/>
            <w:tcBorders>
              <w:top w:val="single" w:sz="8" w:color="CFF0FC"/>
              <w:bottom w:val="single" w:sz="8" w:color="CFF0FC"/>
            </w:tcBorders>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Location of Derivative (Loss) Gain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12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Reclassified from AOCI</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1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340" w:type="dxa"/>
            <w:vAlign w:val="bottom"/>
          </w:tcPr>
          <w:p>
            <w:pPr>
              <w:spacing w:after="0"/>
              <w:rPr>
                <w:sz w:val="19"/>
                <w:szCs w:val="19"/>
                <w:color w:val="auto"/>
              </w:rPr>
            </w:pPr>
          </w:p>
        </w:tc>
        <w:tc>
          <w:tcPr>
            <w:tcW w:w="120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31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Forwards</w:t>
            </w: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administrative expenses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5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9"/>
        </w:trPr>
        <w:tc>
          <w:tcPr>
            <w:tcW w:w="24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19"/>
                <w:szCs w:val="19"/>
                <w:color w:val="auto"/>
              </w:rPr>
            </w:pPr>
          </w:p>
        </w:tc>
        <w:tc>
          <w:tcPr>
            <w:tcW w:w="31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0" w:type="dxa"/>
            <w:vAlign w:val="bottom"/>
            <w:tcBorders>
              <w:bottom w:val="single" w:sz="8" w:color="CFF0FC"/>
            </w:tcBorders>
          </w:tcPr>
          <w:p>
            <w:pPr>
              <w:spacing w:after="0"/>
              <w:rPr>
                <w:sz w:val="19"/>
                <w:szCs w:val="19"/>
                <w:color w:val="auto"/>
              </w:rPr>
            </w:pPr>
          </w:p>
        </w:tc>
        <w:tc>
          <w:tcPr>
            <w:tcW w:w="2920" w:type="dxa"/>
            <w:vAlign w:val="bottom"/>
            <w:tcBorders>
              <w:bottom w:val="single" w:sz="8" w:color="CFF0FC"/>
            </w:tcBorders>
          </w:tcPr>
          <w:p>
            <w:pPr>
              <w:spacing w:after="0"/>
              <w:rPr>
                <w:sz w:val="19"/>
                <w:szCs w:val="19"/>
                <w:color w:val="auto"/>
              </w:rPr>
            </w:pPr>
          </w:p>
        </w:tc>
        <w:tc>
          <w:tcPr>
            <w:tcW w:w="312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240" w:type="dxa"/>
            <w:vAlign w:val="bottom"/>
            <w:tcBorders>
              <w:bottom w:val="single" w:sz="8" w:color="CFF0FC"/>
            </w:tcBorders>
            <w:shd w:val="clear" w:color="auto" w:fill="CFF0FC"/>
          </w:tcPr>
          <w:p>
            <w:pPr>
              <w:spacing w:after="0"/>
              <w:rPr>
                <w:sz w:val="19"/>
                <w:szCs w:val="19"/>
                <w:color w:val="auto"/>
              </w:rPr>
            </w:pPr>
          </w:p>
        </w:tc>
        <w:tc>
          <w:tcPr>
            <w:tcW w:w="2920" w:type="dxa"/>
            <w:vAlign w:val="bottom"/>
            <w:tcBorders>
              <w:bottom w:val="single" w:sz="8" w:color="CFF0FC"/>
            </w:tcBorders>
            <w:shd w:val="clear" w:color="auto" w:fill="CFF0FC"/>
          </w:tcPr>
          <w:p>
            <w:pPr>
              <w:spacing w:after="0"/>
              <w:rPr>
                <w:sz w:val="19"/>
                <w:szCs w:val="19"/>
                <w:color w:val="auto"/>
              </w:rPr>
            </w:pPr>
          </w:p>
        </w:tc>
        <w:tc>
          <w:tcPr>
            <w:tcW w:w="24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60" w:type="dxa"/>
            <w:vAlign w:val="bottom"/>
            <w:tcBorders>
              <w:bottom w:val="single" w:sz="8" w:color="CFF0FC"/>
            </w:tcBorders>
          </w:tcPr>
          <w:p>
            <w:pPr>
              <w:spacing w:after="0"/>
              <w:rPr>
                <w:sz w:val="19"/>
                <w:szCs w:val="19"/>
                <w:color w:val="auto"/>
              </w:rPr>
            </w:pPr>
          </w:p>
        </w:tc>
        <w:tc>
          <w:tcPr>
            <w:tcW w:w="5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1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Gain (Loss)</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Forwards</w:t>
            </w: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Recognized In</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19"/>
                <w:szCs w:val="19"/>
                <w:color w:val="auto"/>
              </w:rPr>
            </w:pPr>
          </w:p>
        </w:tc>
        <w:tc>
          <w:tcPr>
            <w:tcW w:w="31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and Out of OCI</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0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6280" w:type="dxa"/>
            <w:vAlign w:val="bottom"/>
            <w:tcBorders>
              <w:top w:val="single" w:sz="8" w:color="CFF0FC"/>
              <w:bottom w:val="single" w:sz="8" w:color="CFF0FC"/>
            </w:tcBorders>
            <w:gridSpan w:val="5"/>
            <w:vMerge w:val="restart"/>
          </w:tcPr>
          <w:p>
            <w:pPr>
              <w:ind w:left="240"/>
              <w:spacing w:after="0"/>
              <w:rPr>
                <w:sz w:val="20"/>
                <w:szCs w:val="20"/>
                <w:color w:val="auto"/>
              </w:rPr>
            </w:pPr>
            <w:r>
              <w:rPr>
                <w:rFonts w:ascii="Times New Roman" w:cs="Times New Roman" w:eastAsia="Times New Roman" w:hAnsi="Times New Roman"/>
                <w:sz w:val="18"/>
                <w:szCs w:val="18"/>
                <w:color w:val="auto"/>
              </w:rPr>
              <w:t>Non-designated derivatives in foreign currency relationships are as follows: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280" w:type="dxa"/>
            <w:vAlign w:val="bottom"/>
            <w:gridSpan w:val="5"/>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40" w:type="dxa"/>
            <w:vAlign w:val="bottom"/>
          </w:tcPr>
          <w:p>
            <w:pPr>
              <w:spacing w:after="0"/>
              <w:rPr>
                <w:sz w:val="21"/>
                <w:szCs w:val="21"/>
                <w:color w:val="auto"/>
              </w:rPr>
            </w:pPr>
          </w:p>
        </w:tc>
        <w:tc>
          <w:tcPr>
            <w:tcW w:w="2920" w:type="dxa"/>
            <w:vAlign w:val="bottom"/>
            <w:tcBorders>
              <w:top w:val="single" w:sz="8" w:color="auto"/>
            </w:tcBorders>
          </w:tcPr>
          <w:p>
            <w:pPr>
              <w:spacing w:after="0"/>
              <w:rPr>
                <w:sz w:val="21"/>
                <w:szCs w:val="21"/>
                <w:color w:val="auto"/>
              </w:rPr>
            </w:pPr>
          </w:p>
        </w:tc>
        <w:tc>
          <w:tcPr>
            <w:tcW w:w="2460" w:type="dxa"/>
            <w:vAlign w:val="bottom"/>
            <w:tcBorders>
              <w:top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1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120" w:type="dxa"/>
            <w:vAlign w:val="bottom"/>
            <w:tcBorders>
              <w:bottom w:val="single" w:sz="8" w:color="CFF0FC"/>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Location of Derivative Gain</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1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Forwards</w:t>
            </w: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administrative expenses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344</w:t>
            </w:r>
          </w:p>
        </w:tc>
        <w:tc>
          <w:tcPr>
            <w:tcW w:w="5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0" w:type="dxa"/>
            <w:vAlign w:val="bottom"/>
            <w:tcBorders>
              <w:top w:val="single" w:sz="8" w:color="CFF0FC"/>
            </w:tcBorders>
          </w:tcPr>
          <w:p>
            <w:pPr>
              <w:spacing w:after="0" w:line="20" w:lineRule="exact"/>
              <w:rPr>
                <w:sz w:val="1"/>
                <w:szCs w:val="1"/>
                <w:color w:val="auto"/>
              </w:rPr>
            </w:pPr>
          </w:p>
        </w:tc>
        <w:tc>
          <w:tcPr>
            <w:tcW w:w="2920" w:type="dxa"/>
            <w:vAlign w:val="bottom"/>
            <w:tcBorders>
              <w:top w:val="single" w:sz="8" w:color="CFF0FC"/>
            </w:tcBorders>
          </w:tcPr>
          <w:p>
            <w:pPr>
              <w:spacing w:after="0" w:line="20" w:lineRule="exact"/>
              <w:rPr>
                <w:sz w:val="1"/>
                <w:szCs w:val="1"/>
                <w:color w:val="auto"/>
              </w:rPr>
            </w:pPr>
          </w:p>
        </w:tc>
        <w:tc>
          <w:tcPr>
            <w:tcW w:w="24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The Company's estimated net amount of the existing gains as of December 31, 2020 is $2.0 million, which is expected to be reclassified to earnings within the next twelve months.</w:t>
      </w:r>
    </w:p>
    <w:p>
      <w:pPr>
        <w:spacing w:after="0" w:line="117"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(d)</w:t>
        <w:tab/>
        <w:t>Investments in Equity Securities</w:t>
      </w:r>
    </w:p>
    <w:p>
      <w:pPr>
        <w:spacing w:after="0" w:line="188"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As of December 31, 2020, the Consolidated Balance Sheets includes $13.6 million (December 31, 2019 — $15.7 million) of investments in equity securities.</w:t>
      </w:r>
    </w:p>
    <w:p>
      <w:pPr>
        <w:spacing w:after="0" w:line="135"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On January 17, 2019, IMAX China (Hong Kong), Limited, a wholly-owned subsidiary of IMAX China, as an investor entered into a cornerstone investment agreement with Maoyan Entertainment (“Maoyan”) (as the issuer) and Morgan Stanley Asia Limited (as a sponsor, underwriter and the underwriters’ representative). Pursuant to this agreement, IMAX China (Hong Kong), Limited agreed to invest $15.2 million to subscribe for a certain number of shares of Maoyan at the final offer price pursuant to the global offering of the share capital of Maoyan, and this investment would be subject to a lock-up period of six months following the date of the global offering. On February 4, 2019, Maoyan completed its global offering, upon which, IMAX China (Hong Kong), Limited became a less than 1% shareholder in Maoyan. This investment is classified as an equity security, with a readily determinable market value through the Hong Kong Stock Exchange. The changes in fair value are recorded in Gain (Loss) in Fair Value of Investment in the Company’s Consolidated Statements of Operations. As of December 31, 2020, the value of the Company’s investment in Maoyan was $12.6 million (December 31, 2019 — $14.6 million). For the year ended December 31, 2020, the Company has recorded a net unrealized loss of $2.1 million (2019 — loss of $0.5 million). In February 2021, IMAX China (Hong Kong) sold all of its 7,949,000 shares of Maoyan for gross proceeds of $17.8 million, which represents a $2.6 million gain relative to the Company’s acquisition cost. No shares of Maoyan are currently held by IMAX China (Hong Kong).</w:t>
      </w:r>
    </w:p>
    <w:p>
      <w:pPr>
        <w:spacing w:after="0" w:line="155"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The Company has an investment of $1.1 million (December 31, 2019 — $1.0 million) in the shares of an exchange traded fund. This investment is classified as an equity investment.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As of December 31, 2020, the Company held investments in the preferred shares of enterprises which meet the criteria for classification as an equity security under FASB ASC 325, carried at historical cost, net of impairment charges. The carrying value of these equity security investments was $1.0 million at December 31, 2020 (December 31, 2019 — $1.0 million) and is recorded in Other Assets.</w:t>
      </w:r>
    </w:p>
    <w:p>
      <w:pPr>
        <w:spacing w:after="0" w:line="145" w:lineRule="exact"/>
        <w:rPr>
          <w:sz w:val="20"/>
          <w:szCs w:val="20"/>
          <w:color w:val="auto"/>
        </w:rPr>
      </w:pPr>
    </w:p>
    <w:p>
      <w:pPr>
        <w:ind w:left="320" w:hanging="312"/>
        <w:spacing w:after="0"/>
        <w:tabs>
          <w:tab w:leader="none" w:pos="3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 Pension and Postretirement Benefits</w:t>
      </w:r>
    </w:p>
    <w:p>
      <w:pPr>
        <w:spacing w:after="0" w:line="183" w:lineRule="exact"/>
        <w:rPr>
          <w:rFonts w:ascii="Times New Roman" w:cs="Times New Roman" w:eastAsia="Times New Roman" w:hAnsi="Times New Roman"/>
          <w:sz w:val="18"/>
          <w:szCs w:val="18"/>
          <w:b w:val="1"/>
          <w:bCs w:val="1"/>
          <w:color w:val="auto"/>
        </w:rPr>
      </w:pPr>
    </w:p>
    <w:p>
      <w:pPr>
        <w:ind w:left="580" w:hanging="357"/>
        <w:spacing w:after="0"/>
        <w:tabs>
          <w:tab w:leader="none" w:pos="580" w:val="left"/>
        </w:tabs>
        <w:numPr>
          <w:ilvl w:val="1"/>
          <w:numId w:val="7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Defined Benefit Plan</w:t>
      </w:r>
    </w:p>
    <w:p>
      <w:pPr>
        <w:spacing w:after="0" w:line="188"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Company has an unfunded defined benefit pension plan, the SERP, covering its CEO, Richard L. Gelfond. Under the terms of the SERP, if Mr. Gelfond’s employment terminated other than for cause (as defined in his employment agreement), he is entitled to receive SERP benefits in the form of a lump sum payment. SERP benefit payments to Mr. Gelfond are subject to a deferral for six months after the termination of his employment, at which time Mr. Gelfond will be entitled to receive interest on the deferred amount credited at the applicable federal rate for short-term obligations. Pursuant to an amendment to his employment agreement dated November 1, 2019, the term of Mr. Gelfond’s employment was extended through December 31, 2022, although Mr. Gelfond has not informed the Company that he intends to retire at that time. Under the terms of this amendment to his employment agreement, the total benefit payable to Mr. Gelfond under the SERP was fixed at $20.3 million.</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2020 and 2019, the amounts recorded on the Company’s Consolidated Balance Sheets related to the SERP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55"/>
        </w:trPr>
        <w:tc>
          <w:tcPr>
            <w:tcW w:w="6060" w:type="dxa"/>
            <w:vAlign w:val="bottom"/>
            <w:tcBorders>
              <w:bottom w:val="single" w:sz="8" w:color="CFF0FC"/>
            </w:tcBorders>
            <w:vMerge w:val="continue"/>
          </w:tcPr>
          <w:p>
            <w:pPr>
              <w:spacing w:after="0"/>
              <w:rPr>
                <w:sz w:val="13"/>
                <w:szCs w:val="13"/>
                <w:color w:val="auto"/>
              </w:rPr>
            </w:pPr>
          </w:p>
        </w:tc>
        <w:tc>
          <w:tcPr>
            <w:tcW w:w="16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2"/>
        </w:trPr>
        <w:tc>
          <w:tcPr>
            <w:tcW w:w="6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Obligation, beginning of period</w:t>
            </w:r>
          </w:p>
        </w:tc>
        <w:tc>
          <w:tcPr>
            <w:tcW w:w="16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18,840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17,977</w:t>
            </w:r>
          </w:p>
        </w:tc>
        <w:tc>
          <w:tcPr>
            <w:tcW w:w="0" w:type="dxa"/>
            <w:vAlign w:val="bottom"/>
          </w:tcPr>
          <w:p>
            <w:pPr>
              <w:spacing w:after="0"/>
              <w:rPr>
                <w:sz w:val="1"/>
                <w:szCs w:val="1"/>
                <w:color w:val="auto"/>
              </w:rPr>
            </w:pPr>
          </w:p>
        </w:tc>
      </w:tr>
      <w:tr>
        <w:trPr>
          <w:trHeight w:val="229"/>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Prior service cost</w:t>
            </w:r>
          </w:p>
        </w:tc>
        <w:tc>
          <w:tcPr>
            <w:tcW w:w="1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cost</w:t>
            </w:r>
          </w:p>
        </w:tc>
        <w:tc>
          <w:tcPr>
            <w:tcW w:w="1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Actuarial loss (gain)</w:t>
            </w:r>
          </w:p>
        </w:tc>
        <w:tc>
          <w:tcPr>
            <w:tcW w:w="16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897</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2"/>
        </w:trPr>
        <w:tc>
          <w:tcPr>
            <w:tcW w:w="6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Obligation, end of period and unfunded status</w:t>
            </w:r>
            <w:r>
              <w:rPr>
                <w:rFonts w:ascii="Times New Roman" w:cs="Times New Roman" w:eastAsia="Times New Roman" w:hAnsi="Times New Roman"/>
                <w:sz w:val="15"/>
                <w:szCs w:val="15"/>
                <w:color w:val="auto"/>
              </w:rPr>
              <w:t>(1)</w:t>
            </w:r>
          </w:p>
        </w:tc>
        <w:tc>
          <w:tcPr>
            <w:tcW w:w="1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20,116</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18,840</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6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2"/>
        </w:trPr>
        <w:tc>
          <w:tcPr>
            <w:tcW w:w="6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amount recognized in the consolidated balance sheets</w:t>
            </w:r>
          </w:p>
        </w:tc>
        <w:tc>
          <w:tcPr>
            <w:tcW w:w="16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20,294</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19,828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accumulated benefit obligation for the SERP was $20.1 million at December 31, 2020 (2019 — $18.8 million).</w:t>
      </w:r>
    </w:p>
    <w:p>
      <w:pPr>
        <w:spacing w:after="0" w:line="197"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increase in the SERP obligation resulting from the November 1, 2019 amendment to Mr. Gelfond’s employment agreement was recognized as a prior service cost within Other Comprehensive Income. This prior service cost is being amortized on a straight-line basis over the remaining employment agreement term of 36 months. The related amortization expense, as well as interest cost, is recorded within Retirement Benefits Non-Service Expense in the Consolidated Statements of Operations.</w:t>
      </w:r>
    </w:p>
    <w:p>
      <w:pPr>
        <w:spacing w:after="0" w:line="140"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As of December 31, 2020, 2019 and 2018, the following amounts related to the SERP were recorded on the Company’s Consolidated Balance Sheets within Accumulated Other Comprehensive Loss and will be recognized as components of net periodic benefit cost in future periods: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520" w:type="dxa"/>
            <w:vAlign w:val="bottom"/>
            <w:tcBorders>
              <w:bottom w:val="single" w:sz="8" w:color="CFF0FC"/>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7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1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actuarial gain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Unamortized prior service cost</w:t>
            </w:r>
          </w:p>
        </w:tc>
        <w:tc>
          <w:tcPr>
            <w:tcW w:w="16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periodic benefit costs to be recognized in future periods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0"/>
        </w:trPr>
        <w:tc>
          <w:tcPr>
            <w:tcW w:w="65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the years ended December 31, 2020, 2019 and 2018, the components of pension expense related to the SERP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5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60" w:type="dxa"/>
            <w:vAlign w:val="bottom"/>
            <w:tcBorders>
              <w:bottom w:val="single" w:sz="8" w:color="CFF0FC"/>
            </w:tcBorders>
            <w:vMerge w:val="continue"/>
          </w:tcPr>
          <w:p>
            <w:pPr>
              <w:spacing w:after="0"/>
              <w:rPr>
                <w:sz w:val="13"/>
                <w:szCs w:val="13"/>
                <w:color w:val="auto"/>
              </w:rPr>
            </w:pPr>
          </w:p>
        </w:tc>
        <w:tc>
          <w:tcPr>
            <w:tcW w:w="25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5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expense</w:t>
            </w:r>
          </w:p>
        </w:tc>
        <w:tc>
          <w:tcPr>
            <w:tcW w:w="25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56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6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41" w:name="page142"/>
    <w:bookmarkEnd w:id="141"/>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following assumptions were used to determine the SERP obligation and any related costs as of and for the years ended December 31, 2020, 2019 and 2018:</w:t>
      </w:r>
    </w:p>
    <w:p>
      <w:pPr>
        <w:spacing w:after="0" w:line="169"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20" w:type="dxa"/>
            <w:vAlign w:val="bottom"/>
          </w:tcPr>
          <w:p>
            <w:pPr>
              <w:spacing w:after="0"/>
              <w:rPr>
                <w:sz w:val="13"/>
                <w:szCs w:val="13"/>
                <w:color w:val="auto"/>
              </w:rPr>
            </w:pPr>
          </w:p>
        </w:tc>
        <w:tc>
          <w:tcPr>
            <w:tcW w:w="86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40" w:type="dxa"/>
            <w:vAlign w:val="bottom"/>
            <w:tcBorders>
              <w:top w:val="single" w:sz="8" w:color="auto"/>
            </w:tcBorders>
            <w:gridSpan w:val="3"/>
          </w:tcPr>
          <w:p>
            <w:pPr>
              <w:ind w:left="126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ind w:left="50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6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8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0.36%</w:t>
            </w: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3.14%</w:t>
            </w:r>
          </w:p>
        </w:tc>
      </w:tr>
      <w:tr>
        <w:trPr>
          <w:trHeight w:val="229"/>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Lump sum interest rate:</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First 25 years</w:t>
            </w:r>
          </w:p>
        </w:tc>
        <w:tc>
          <w:tcPr>
            <w:tcW w:w="16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7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First 20 years</w:t>
            </w: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3.09%</w:t>
            </w:r>
          </w:p>
        </w:tc>
      </w:tr>
      <w:tr>
        <w:trPr>
          <w:trHeight w:val="229"/>
        </w:trPr>
        <w:tc>
          <w:tcPr>
            <w:tcW w:w="7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Thereafter</w:t>
            </w:r>
          </w:p>
        </w:tc>
        <w:tc>
          <w:tcPr>
            <w:tcW w:w="16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2.84%</w:t>
            </w:r>
          </w:p>
        </w:tc>
      </w:tr>
      <w:tr>
        <w:trPr>
          <w:trHeight w:val="234"/>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living adjustment on benefits</w:t>
            </w: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20"/>
                <w:szCs w:val="20"/>
                <w:color w:val="auto"/>
              </w:rPr>
            </w:pPr>
          </w:p>
        </w:tc>
        <w:tc>
          <w:tcPr>
            <w:tcW w:w="1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1.20%</w:t>
            </w:r>
          </w:p>
        </w:tc>
      </w:tr>
    </w:tbl>
    <w:p>
      <w:pPr>
        <w:spacing w:after="0" w:line="192"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No contributions were made for the SERP during 2020. The Company expects interest costs of $0.1 million to be recognized as a component of pension cost in for the year ended December 31, 2021.</w:t>
      </w:r>
    </w:p>
    <w:p>
      <w:pPr>
        <w:spacing w:after="0" w:line="158"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(b)</w:t>
        <w:tab/>
        <w:t>Defined Contribution Pension Plan</w:t>
      </w:r>
    </w:p>
    <w:p>
      <w:pPr>
        <w:spacing w:after="0" w:line="201"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 also maintains defined contribution pension plans for its employees, including its executive officers. The Company makes contributions to these plans on behalf of employees in an amount up to 5% of their base salary subject to certain prescribed maximums. During 2020, the Company contributed and expensed an aggregate of $1.1 million (2019 — $1.2 million; 2018 — $1.2 million) to its Canadian plan and an aggregate of $0.6 million (2019 —$0.6 million; 2018 —$0.5 million) to its defined contribution employee pension plan under Section 401(k) of the U.S. Internal Revenue Code.</w:t>
      </w:r>
    </w:p>
    <w:p>
      <w:pPr>
        <w:spacing w:after="0" w:line="136"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(c)</w:t>
        <w:tab/>
        <w:t>Postretirement Benefits - Executives</w:t>
      </w:r>
    </w:p>
    <w:p>
      <w:pPr>
        <w:spacing w:after="0" w:line="188"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Company has an unfunded postretirement plan for Messrs. Gelfond and Bradley J. Wechsler, Chairman of the Company’s Board of Directors (the “Executive Postretirement Benefit Plan”). The Executive Postretirement Benefit Plan provides that the Company will maintain health benefits for Messrs. Gelfond and Wechsler until they become eligible for Medicare and, thereafter, the Company will provide Medicare supplemental coverage as selected by Messrs. Gelfond and Wechsler.</w:t>
      </w:r>
    </w:p>
    <w:p>
      <w:pPr>
        <w:spacing w:after="0" w:line="140"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As of December 31, 2020 and 2019, the Company’s Consolidated Balance Sheets include the following amounts within Accrued and Other Liabilities related to the Executive Postretirement Benefit Plan: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7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880" w:type="dxa"/>
            <w:vAlign w:val="bottom"/>
            <w:tcBorders>
              <w:bottom w:val="single" w:sz="8" w:color="CFF0FC"/>
            </w:tcBorders>
            <w:vMerge w:val="continue"/>
          </w:tcPr>
          <w:p>
            <w:pPr>
              <w:spacing w:after="0"/>
              <w:rPr>
                <w:sz w:val="13"/>
                <w:szCs w:val="13"/>
                <w:color w:val="auto"/>
              </w:rPr>
            </w:pPr>
          </w:p>
        </w:tc>
        <w:tc>
          <w:tcPr>
            <w:tcW w:w="27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2"/>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Obligation, beginning of year</w:t>
            </w:r>
          </w:p>
        </w:tc>
        <w:tc>
          <w:tcPr>
            <w:tcW w:w="27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665</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2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27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Obligation, end of year</w:t>
            </w:r>
          </w:p>
        </w:tc>
        <w:tc>
          <w:tcPr>
            <w:tcW w:w="27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2020, 2019 and 2018, the components of pension expense related to the Executive Postretirement Benefit Plan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9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40" w:type="dxa"/>
            <w:vAlign w:val="bottom"/>
            <w:tcBorders>
              <w:bottom w:val="single" w:sz="8" w:color="CFF0FC"/>
            </w:tcBorders>
            <w:vMerge w:val="continue"/>
          </w:tcPr>
          <w:p>
            <w:pPr>
              <w:spacing w:after="0"/>
              <w:rPr>
                <w:sz w:val="13"/>
                <w:szCs w:val="13"/>
                <w:color w:val="auto"/>
              </w:rPr>
            </w:pPr>
          </w:p>
        </w:tc>
        <w:tc>
          <w:tcPr>
            <w:tcW w:w="298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9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3860" w:type="dxa"/>
            <w:vAlign w:val="bottom"/>
            <w:gridSpan w:val="2"/>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expense</w:t>
            </w:r>
          </w:p>
        </w:tc>
        <w:tc>
          <w:tcPr>
            <w:tcW w:w="298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98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142</w:t>
            </w: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384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42" w:name="page143"/>
    <w:bookmarkEnd w:id="142"/>
    <w:p>
      <w:pPr>
        <w:ind w:right="20" w:firstLine="224"/>
        <w:spacing w:after="0" w:line="281" w:lineRule="auto"/>
        <w:rPr>
          <w:sz w:val="20"/>
          <w:szCs w:val="20"/>
          <w:color w:val="auto"/>
        </w:rPr>
      </w:pPr>
      <w:r>
        <w:rPr>
          <w:rFonts w:ascii="Times New Roman" w:cs="Times New Roman" w:eastAsia="Times New Roman" w:hAnsi="Times New Roman"/>
          <w:sz w:val="18"/>
          <w:szCs w:val="18"/>
          <w:color w:val="auto"/>
        </w:rPr>
        <w:t>As of December 31, 2020, 2019 and 2018, the following amounts related to the Executive Postretirement Benefit Plan were recorded on the Company’s Consolidated Balance Sheets within Accumulated Other Comprehensive Loss and will be recognized as components of net pension cost in future periods: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9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680" w:type="dxa"/>
            <w:vAlign w:val="bottom"/>
            <w:tcBorders>
              <w:bottom w:val="single" w:sz="8" w:color="CFF0FC"/>
            </w:tcBorders>
            <w:vMerge w:val="continue"/>
          </w:tcPr>
          <w:p>
            <w:pPr>
              <w:spacing w:after="0"/>
              <w:rPr>
                <w:sz w:val="13"/>
                <w:szCs w:val="13"/>
                <w:color w:val="auto"/>
              </w:rPr>
            </w:pPr>
          </w:p>
        </w:tc>
        <w:tc>
          <w:tcPr>
            <w:tcW w:w="940" w:type="dxa"/>
            <w:vAlign w:val="bottom"/>
            <w:tcBorders>
              <w:bottom w:val="single" w:sz="8" w:color="auto"/>
            </w:tcBorders>
          </w:tcPr>
          <w:p>
            <w:pPr>
              <w:jc w:val="right"/>
              <w:ind w:right="8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actuarial loss (gain)</w:t>
            </w:r>
          </w:p>
        </w:tc>
        <w:tc>
          <w:tcPr>
            <w:tcW w:w="940" w:type="dxa"/>
            <w:vAlign w:val="bottom"/>
            <w:tcBorders>
              <w:bottom w:val="single" w:sz="8" w:color="auto"/>
            </w:tcBorders>
            <w:shd w:val="clear" w:color="auto" w:fill="CFF0FC"/>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As of December 31, 2020, 2019 and 2018, the weighted average assumptions used to determine the benefit obligation related to the Executive Postretirement Benefit Plan are as follows:</w:t>
      </w:r>
    </w:p>
    <w:p>
      <w:pPr>
        <w:spacing w:after="0" w:line="236"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2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61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61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r>
    </w:tbl>
    <w:p>
      <w:pPr>
        <w:spacing w:after="0" w:line="197"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2020, 2019 and 2018, the weighted average assumptions used to determine the net postretirement benefit expense related to the Executive Postretirement Benefit Plan are as follows:</w:t>
      </w:r>
    </w:p>
    <w:p>
      <w:pPr>
        <w:spacing w:after="0" w:line="23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2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61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61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r>
    </w:tbl>
    <w:p>
      <w:pPr>
        <w:spacing w:after="0" w:line="197"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following benefit payments are expected to be made as per the current plan assumptions for the Executive Postretirement Benefit Plan in each of the next five years following the December 31, 2020 balance sheet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8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9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9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9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981</w:t>
            </w:r>
          </w:p>
        </w:tc>
      </w:tr>
      <w:tr>
        <w:trPr>
          <w:trHeight w:val="222"/>
        </w:trPr>
        <w:tc>
          <w:tcPr>
            <w:tcW w:w="9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1,057</w:t>
            </w:r>
          </w:p>
        </w:tc>
      </w:tr>
      <w:tr>
        <w:trPr>
          <w:trHeight w:val="20"/>
        </w:trPr>
        <w:tc>
          <w:tcPr>
            <w:tcW w:w="9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Postretirement Benefits – Canadian Employees</w:t>
      </w:r>
    </w:p>
    <w:p>
      <w:pPr>
        <w:spacing w:after="0" w:line="188"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The Company has an unfunded postretirement plan for its Canadian employees who meet certain specific eligibility requirements (the “Canadian Postretirement Benefit Plan”). The Company will provide eligible participants, upon retirement, with health and welfare benefits.</w:t>
      </w:r>
    </w:p>
    <w:p>
      <w:pPr>
        <w:spacing w:after="0" w:line="135"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As of December 31, 2020, 2019 and 2018, the Company’s Consolidated Balance Sheets include the following amounts within Accrued and Other Liabilities related to the Canadian Postretirement Benefit Plan: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7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40" w:type="dxa"/>
            <w:vAlign w:val="bottom"/>
            <w:tcBorders>
              <w:bottom w:val="single" w:sz="8" w:color="CFF0FC"/>
            </w:tcBorders>
            <w:vMerge w:val="continue"/>
          </w:tcPr>
          <w:p>
            <w:pPr>
              <w:spacing w:after="0"/>
              <w:rPr>
                <w:sz w:val="13"/>
                <w:szCs w:val="13"/>
                <w:color w:val="auto"/>
              </w:rPr>
            </w:pPr>
          </w:p>
        </w:tc>
        <w:tc>
          <w:tcPr>
            <w:tcW w:w="37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2"/>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Obligation, beginning of year</w:t>
            </w:r>
          </w:p>
        </w:tc>
        <w:tc>
          <w:tcPr>
            <w:tcW w:w="37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1,581</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3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3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foreign exchange loss</w:t>
            </w:r>
          </w:p>
        </w:tc>
        <w:tc>
          <w:tcPr>
            <w:tcW w:w="37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Obligation, end of year</w:t>
            </w:r>
          </w:p>
        </w:tc>
        <w:tc>
          <w:tcPr>
            <w:tcW w:w="37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1,862</w:t>
            </w:r>
          </w:p>
        </w:tc>
        <w:tc>
          <w:tcPr>
            <w:tcW w:w="180" w:type="dxa"/>
            <w:vAlign w:val="bottom"/>
          </w:tcPr>
          <w:p>
            <w:pPr>
              <w:spacing w:after="0"/>
              <w:rPr>
                <w:sz w:val="19"/>
                <w:szCs w:val="19"/>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700" w:type="dxa"/>
            <w:vAlign w:val="bottom"/>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143</w:t>
            </w: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394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ind w:firstLine="224"/>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2020, 2019 and 2018, the components of pension expense related to the Canadian Postretirement Benefit Plan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9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680" w:type="dxa"/>
            <w:vAlign w:val="bottom"/>
            <w:tcBorders>
              <w:bottom w:val="single" w:sz="8" w:color="CFF0FC"/>
            </w:tcBorders>
            <w:vMerge w:val="continue"/>
          </w:tcPr>
          <w:p>
            <w:pPr>
              <w:spacing w:after="0"/>
              <w:rPr>
                <w:sz w:val="13"/>
                <w:szCs w:val="13"/>
                <w:color w:val="auto"/>
              </w:rPr>
            </w:pPr>
          </w:p>
        </w:tc>
        <w:tc>
          <w:tcPr>
            <w:tcW w:w="940" w:type="dxa"/>
            <w:vAlign w:val="bottom"/>
            <w:tcBorders>
              <w:bottom w:val="single" w:sz="8" w:color="auto"/>
            </w:tcBorders>
          </w:tcPr>
          <w:p>
            <w:pPr>
              <w:jc w:val="right"/>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940" w:type="dxa"/>
            <w:vAlign w:val="bottom"/>
            <w:tcBorders>
              <w:bottom w:val="single" w:sz="8" w:color="auto"/>
            </w:tcBorders>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2"/>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Pension expense</w:t>
            </w:r>
          </w:p>
        </w:tc>
        <w:tc>
          <w:tcPr>
            <w:tcW w:w="9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expects interest costs of less than $0.1 million to be recognized as a component of benefit cost for the year ended December 31, 2021.</w:t>
      </w:r>
    </w:p>
    <w:p>
      <w:pPr>
        <w:spacing w:after="0" w:line="224"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As of December 31, 2020, 2019 and 2018, the following amounts related to the Canadian Postretirement Benefit Plan were recorded on the Company’s Consolidated Balance Sheets within Accumulated Other Comprehensive Loss and will be recognized as components of net pension cost in future periods: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680" w:type="dxa"/>
            <w:vAlign w:val="bottom"/>
            <w:tcBorders>
              <w:bottom w:val="single" w:sz="8" w:color="CFF0FC"/>
            </w:tcBorders>
            <w:vMerge w:val="continue"/>
          </w:tcPr>
          <w:p>
            <w:pPr>
              <w:spacing w:after="0"/>
              <w:rPr>
                <w:sz w:val="13"/>
                <w:szCs w:val="13"/>
                <w:color w:val="auto"/>
              </w:rPr>
            </w:pPr>
          </w:p>
        </w:tc>
        <w:tc>
          <w:tcPr>
            <w:tcW w:w="900" w:type="dxa"/>
            <w:vAlign w:val="bottom"/>
            <w:tcBorders>
              <w:bottom w:val="single" w:sz="8" w:color="auto"/>
            </w:tcBorders>
          </w:tcPr>
          <w:p>
            <w:pPr>
              <w:jc w:val="right"/>
              <w:ind w:right="4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actuarial loss (gain)</w:t>
            </w:r>
          </w:p>
        </w:tc>
        <w:tc>
          <w:tcPr>
            <w:tcW w:w="900" w:type="dxa"/>
            <w:vAlign w:val="bottom"/>
            <w:tcBorders>
              <w:bottom w:val="single" w:sz="8" w:color="auto"/>
            </w:tcBorders>
            <w:shd w:val="clear" w:color="auto" w:fill="CFF0FC"/>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As December 31, 2020, 2019 and 2018, the weighted average assumptions used to determine the benefit obligation related to the Canadian Postretirement Benefit Plan are as follows:</w:t>
      </w:r>
    </w:p>
    <w:p>
      <w:pPr>
        <w:spacing w:after="0" w:line="236"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2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61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61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r>
    </w:tbl>
    <w:p>
      <w:pPr>
        <w:spacing w:after="0" w:line="197"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2020, 2019 and 2018, the weighted average assumptions used to determine the net postretirement benefit expense related to the Canadian Postretirement Benefit Plan are as follows:</w:t>
      </w:r>
    </w:p>
    <w:p>
      <w:pPr>
        <w:spacing w:after="0" w:line="23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2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61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61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r>
    </w:tbl>
    <w:p>
      <w:pPr>
        <w:spacing w:after="0" w:line="197"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following benefit payments are expected to be made as per the current plan assumptions for the Canadian Postretirement Benefit Plan in each of the next five years following the December 31, 2020 balance sheet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694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6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6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6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22"/>
        </w:trPr>
        <w:tc>
          <w:tcPr>
            <w:tcW w:w="3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220" w:type="dxa"/>
            <w:vAlign w:val="bottom"/>
            <w:vMerge w:val="restart"/>
          </w:tcPr>
          <w:p>
            <w:pPr>
              <w:jc w:val="right"/>
              <w:ind w:right="3490"/>
              <w:spacing w:after="0"/>
              <w:rPr>
                <w:sz w:val="20"/>
                <w:szCs w:val="20"/>
                <w:color w:val="auto"/>
              </w:rPr>
            </w:pPr>
            <w:r>
              <w:rPr>
                <w:rFonts w:ascii="Times New Roman" w:cs="Times New Roman" w:eastAsia="Times New Roman" w:hAnsi="Times New Roman"/>
                <w:sz w:val="18"/>
                <w:szCs w:val="18"/>
                <w:color w:val="auto"/>
              </w:rPr>
              <w:t>144</w:t>
            </w: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12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bottom w:val="single" w:sz="8" w:color="9A9A9A"/>
            </w:tcBorders>
          </w:tcPr>
          <w:p>
            <w:pPr>
              <w:spacing w:after="0"/>
              <w:rPr>
                <w:sz w:val="9"/>
                <w:szCs w:val="9"/>
                <w:color w:val="auto"/>
              </w:rPr>
            </w:pPr>
          </w:p>
        </w:tc>
        <w:tc>
          <w:tcPr>
            <w:tcW w:w="62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(e)</w:t>
        <w:tab/>
        <w:t>Deferred Compensation Benefit Plan</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the fourth quarter of 2018, the executive incurred a separation from service from the Company, and as such, the Retirement Plan benefits became fully vested as of December 31, 2018 and the accelerated costs were recognized and reflected in Executive Transition Costs in the Consolidated Statements of Operations.</w:t>
      </w:r>
    </w:p>
    <w:p>
      <w:pPr>
        <w:spacing w:after="0" w:line="158"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As of December 31, 2020, the benefit obligation related to the Retirement Plan was $3.7 million (December 31, 2019 — $3.6 million) and is recorded on the Company’s Consolidated Balance Sheets within Accrued and Other Liabilities. As the Retirement Plan is fully vested, the benefit obligation is measured at the present value of the benefits expected to be paid in the future with the accretion of interest recognized in the Consolidated Statements of Operations within Retirement Benefits Non-Service Expenses.</w:t>
      </w:r>
    </w:p>
    <w:p>
      <w:pPr>
        <w:spacing w:after="0" w:line="140"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Retirement Plan is funded by an investment in company-owned life insurance (“COLI”), which is recorded at its fair value on the Company’s Consolidated Balance Sheets within Prepaid Expenses. As of December 31, 2020, fair value of the COLI asset was $3.2 million (December 31, 2019 — $3.2 million). Gains and losses resulting from changes in the cash surrender value of the COLI asset are recognized in the Consolidated Statements of Operations within Gain (Loss) In Fair Value of Investments.</w:t>
      </w:r>
    </w:p>
    <w:p>
      <w:pPr>
        <w:spacing w:after="0" w:line="177" w:lineRule="exact"/>
        <w:rPr>
          <w:sz w:val="20"/>
          <w:szCs w:val="20"/>
          <w:color w:val="auto"/>
        </w:rPr>
      </w:pPr>
    </w:p>
    <w:p>
      <w:pPr>
        <w:ind w:left="320" w:hanging="312"/>
        <w:spacing w:after="0"/>
        <w:tabs>
          <w:tab w:leader="none" w:pos="3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Interests</w:t>
      </w:r>
    </w:p>
    <w:p>
      <w:pPr>
        <w:spacing w:after="0" w:line="183" w:lineRule="exact"/>
        <w:rPr>
          <w:rFonts w:ascii="Times New Roman" w:cs="Times New Roman" w:eastAsia="Times New Roman" w:hAnsi="Times New Roman"/>
          <w:sz w:val="18"/>
          <w:szCs w:val="18"/>
          <w:b w:val="1"/>
          <w:bCs w:val="1"/>
          <w:color w:val="auto"/>
        </w:rPr>
      </w:pPr>
    </w:p>
    <w:p>
      <w:pPr>
        <w:ind w:left="580" w:hanging="357"/>
        <w:spacing w:after="0"/>
        <w:tabs>
          <w:tab w:leader="none" w:pos="580" w:val="left"/>
        </w:tabs>
        <w:numPr>
          <w:ilvl w:val="1"/>
          <w:numId w:val="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IMAX China Non-Controlling Interest</w:t>
      </w:r>
    </w:p>
    <w:p>
      <w:pPr>
        <w:spacing w:after="0" w:line="188"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The Company indirectly owns 69.89% of IMAX China, whose shares trade on the Hong Kong Stock Exchange. IMAX China remains a consolidated subsidiary of the Company. The balance of non-controlling interest in IMAX China as of December 31, 2020 is $78.5 million. The net loss attributable to the Company’s non-controlling interest in IMAX China for the year ended December 31, 2020 is $(8.6) million.</w:t>
      </w:r>
    </w:p>
    <w:p>
      <w:pPr>
        <w:spacing w:after="0" w:line="145"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Other Non-Controlling Interests</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Company’s Original Film Fund was established in 2014 to co-finance a portfolio of 10 original large-format films. The initial investment in the Original Film Fund was committed by a third party in the amount of $25.0 million, with the possibility of contributing additional funds. The Company has contributed $9.0 million to the Original Film Fund since 2014, and has reached its maximum contribution. Through December 31, 2020, the Original Film Fund has invested $22.3 million toward the development of original films. The related production, financing and distribution agreement includes put and call rights relating to change of control of the rights, title and interest in the co-financed pictures.</w:t>
      </w:r>
    </w:p>
    <w:p>
      <w:pPr>
        <w:spacing w:after="0" w:line="144"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Company also established its VR Fund among the Company, its subsidiary IMAX China and other strategic investors to help finance the creation of interactive VR content experiences for use across all VR platforms, including in the pilot IMAX VR Centers. The VR Fund helped finance the production of one interactive VR experience, which debuted exclusively in the pilot IMAX VR Centers in November 2017 before being made available to other VR platforms. Through December 31, 2018, the Company had invested $4.0 million toward the development of VR content. In December 2018, the Company announced, in connection with its strategic review of its VR pilot initiative, that it had decided to close its remaining VR locations and write-off certain VR content investments. The Company has decided dissolve the VR Fund and will no longer actively pursue any additional VR opportunities at this time. For additional details see Note 26.</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5" w:name="page146"/>
    <w:bookmarkEnd w:id="145"/>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Non-Controlling Interest in Temporary Equity</w:t>
      </w:r>
    </w:p>
    <w:p>
      <w:pPr>
        <w:spacing w:after="0" w:line="188"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The following summarizes the movement of the non-controlling interest in temporary equity, in the Original Film Fund for the years ended December 31, 2020, 2019 and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January 1, 2018</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1,353</w:t>
            </w:r>
          </w:p>
        </w:tc>
      </w:tr>
      <w:tr>
        <w:trPr>
          <w:trHeight w:val="22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subsidiary shares to non-controlling interests</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7,796</w:t>
            </w:r>
          </w:p>
        </w:tc>
      </w:tr>
      <w:tr>
        <w:trPr>
          <w:trHeight w:val="22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w:t>
            </w:r>
          </w:p>
        </w:tc>
      </w:tr>
      <w:tr>
        <w:trPr>
          <w:trHeight w:val="22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6,439</w:t>
            </w:r>
          </w:p>
        </w:tc>
      </w:tr>
      <w:tr>
        <w:trPr>
          <w:trHeight w:val="22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Return of capital to non-controlling interests</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costs from the issuance of subsidiary shares to a non-controlling interest</w:t>
            </w:r>
          </w:p>
        </w:tc>
        <w:tc>
          <w:tcPr>
            <w:tcW w:w="7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1,350</w:t>
            </w:r>
          </w:p>
        </w:tc>
      </w:tr>
      <w:tr>
        <w:trPr>
          <w:trHeight w:val="22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w:t>
            </w:r>
          </w:p>
        </w:tc>
      </w:tr>
      <w:tr>
        <w:trPr>
          <w:trHeight w:val="22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5,908</w:t>
            </w:r>
          </w:p>
        </w:tc>
      </w:tr>
      <w:tr>
        <w:trPr>
          <w:trHeight w:val="22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Return of capital to non-controlling interests</w:t>
            </w:r>
          </w:p>
        </w:tc>
        <w:tc>
          <w:tcPr>
            <w:tcW w:w="7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9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w:t>
            </w:r>
          </w:p>
        </w:tc>
      </w:tr>
      <w:tr>
        <w:trPr>
          <w:trHeight w:val="222"/>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759</w:t>
            </w:r>
          </w:p>
        </w:tc>
      </w:tr>
      <w:tr>
        <w:trPr>
          <w:trHeight w:val="20"/>
        </w:trPr>
        <w:tc>
          <w:tcPr>
            <w:tcW w:w="9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Executive Transition Costs</w:t>
      </w:r>
    </w:p>
    <w:p>
      <w:pPr>
        <w:spacing w:after="0" w:line="201"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In 2018, the Company recognized Executive Transition Costs of $3.0 million associated with the separation from service of the former CEO of IMAX Entertainment and Senior Executive Vice President of the Company. These costs include $1.9 million of accelerated costs related to retirement benefits which became vested in full upon the separation from service. In addition, expenses of $1.1 million were recorded within Executive Transition Costs for severance, bonus and share-based compensation relating to the exit of this and other executives. No such charges were incurred in the years ended December 31, 2020 and 2019.</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Exit Costs, Restructuring Charges and Associated Impairments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recognized the following charges in its Consolidated Statements of Operations for the years ended December 31, 2020, 2019 and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94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6"/>
                <w:szCs w:val="16"/>
                <w:color w:val="auto"/>
              </w:rPr>
            </w:pPr>
          </w:p>
        </w:tc>
        <w:tc>
          <w:tcPr>
            <w:tcW w:w="108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52"/>
        </w:trPr>
        <w:tc>
          <w:tcPr>
            <w:tcW w:w="66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940" w:type="dxa"/>
            <w:vAlign w:val="bottom"/>
            <w:tcBorders>
              <w:top w:val="single" w:sz="8" w:color="auto"/>
            </w:tcBorders>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2,405</w:t>
            </w: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940" w:type="dxa"/>
            <w:vAlign w:val="bottom"/>
          </w:tcPr>
          <w:p>
            <w:pPr>
              <w:spacing w:after="0"/>
              <w:rPr>
                <w:sz w:val="19"/>
                <w:szCs w:val="19"/>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6,432</w:t>
            </w: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to exit lease and restore facilities</w:t>
            </w: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2"/>
        </w:trPr>
        <w:tc>
          <w:tcPr>
            <w:tcW w:w="66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9,542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Costs to exit an operating lease</w:t>
      </w:r>
    </w:p>
    <w:p>
      <w:pPr>
        <w:spacing w:after="0" w:line="201"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December 2018, the Company announced that it would be closing all remaining VR locations and, as a result, recognized New Business Initiatives segment expense of $0.2 million and $0.6 million for the years ended December 31, 2019 and 2018, respectively, reflecting the value of the remaining non-cancelable lease obligations for the closed VR location. No such costs were incurred in 2020.</w:t>
      </w:r>
    </w:p>
    <w:p>
      <w:pPr>
        <w:spacing w:after="0" w:line="132"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(b)</w:t>
        <w:tab/>
        <w:t>Restructuring charges</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Restructuring charges are comprised of employee severance costs including benefits and share-based compensation, costs of consolidating facilities and contract termination costs. Restructuring charges are based upon plans that have been committed to by the Company, but may be refined in subsequent periods. A liability for a cost associated with an exit or disposal activity is recognized and measured at its fair value in the Company’s Consolidated Statements of Operations in the period in which the liability is incurred. When estimating the value of facility restructuring activities, assumptions are applied regarding estimated sub-lease payments to be received, which can differ from actual results.</w:t>
      </w:r>
    </w:p>
    <w:p>
      <w:pPr>
        <w:spacing w:after="0" w:line="144"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In December 2018, the Company performed a strategic review of its virtual reality pilot initiative and decided to close its remaining VR locations. In addition, as part of the Company’s ongoing efforts to decrease costs, the Company reduced certain functions and realigned resources.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6" w:name="page147"/>
    <w:bookmarkEnd w:id="146"/>
    <w:p>
      <w:pPr>
        <w:jc w:val="both"/>
        <w:ind w:right="20" w:firstLine="224"/>
        <w:spacing w:after="0" w:line="265" w:lineRule="auto"/>
        <w:rPr>
          <w:sz w:val="20"/>
          <w:szCs w:val="20"/>
          <w:color w:val="auto"/>
        </w:rPr>
      </w:pPr>
      <w:r>
        <w:rPr>
          <w:rFonts w:ascii="Times New Roman" w:cs="Times New Roman" w:eastAsia="Times New Roman" w:hAnsi="Times New Roman"/>
          <w:sz w:val="18"/>
          <w:szCs w:val="18"/>
          <w:color w:val="auto"/>
        </w:rPr>
        <w:t>In connection with these restructuring initiatives, the Company incurred $0.6 million and $2.4 million in restructuring charges for the years ended December 31, 2019 and December 31, 2018, respectively. No such costs were incurred in 2020. A summary of the restructuring costs incurred during the years ended December 31, 2020, 2019 and 2018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Pr>
          <w:p>
            <w:pPr>
              <w:spacing w:after="0"/>
              <w:rPr>
                <w:sz w:val="17"/>
                <w:szCs w:val="17"/>
                <w:color w:val="auto"/>
              </w:rPr>
            </w:pPr>
          </w:p>
        </w:tc>
        <w:tc>
          <w:tcPr>
            <w:tcW w:w="11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1,529</w:t>
            </w: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New Business Initiatives</w:t>
            </w:r>
          </w:p>
        </w:tc>
        <w:tc>
          <w:tcPr>
            <w:tcW w:w="300" w:type="dxa"/>
            <w:vAlign w:val="bottom"/>
          </w:tcPr>
          <w:p>
            <w:pPr>
              <w:spacing w:after="0"/>
              <w:rPr>
                <w:sz w:val="19"/>
                <w:szCs w:val="19"/>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611</w:t>
            </w: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215</w:t>
            </w:r>
          </w:p>
        </w:tc>
      </w:tr>
      <w:tr>
        <w:trPr>
          <w:trHeight w:val="229"/>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IMAX DMR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r>
      <w:tr>
        <w:trPr>
          <w:trHeight w:val="222"/>
        </w:trPr>
        <w:tc>
          <w:tcPr>
            <w:tcW w:w="66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2,405</w:t>
            </w: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sets forth a summary of restructuring accrual activities for the years ended December 31, 2020 and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Pr>
          <w:p>
            <w:pPr>
              <w:spacing w:after="0"/>
              <w:rPr>
                <w:sz w:val="13"/>
                <w:szCs w:val="13"/>
                <w:color w:val="auto"/>
              </w:rPr>
            </w:pPr>
          </w:p>
        </w:tc>
        <w:tc>
          <w:tcPr>
            <w:tcW w:w="1760" w:type="dxa"/>
            <w:vAlign w:val="bottom"/>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0" w:type="dxa"/>
            <w:vAlign w:val="bottom"/>
          </w:tcPr>
          <w:p>
            <w:pPr>
              <w:spacing w:after="0"/>
              <w:rPr>
                <w:sz w:val="1"/>
                <w:szCs w:val="1"/>
                <w:color w:val="auto"/>
              </w:rPr>
            </w:pPr>
          </w:p>
        </w:tc>
      </w:tr>
      <w:tr>
        <w:trPr>
          <w:trHeight w:val="148"/>
        </w:trPr>
        <w:tc>
          <w:tcPr>
            <w:tcW w:w="91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tcPr>
          <w:p>
            <w:pPr>
              <w:jc w:val="center"/>
              <w:ind w:right="356"/>
              <w:spacing w:after="0" w:line="148" w:lineRule="exact"/>
              <w:rPr>
                <w:sz w:val="20"/>
                <w:szCs w:val="20"/>
                <w:color w:val="auto"/>
              </w:rPr>
            </w:pPr>
            <w:r>
              <w:rPr>
                <w:rFonts w:ascii="Times New Roman" w:cs="Times New Roman" w:eastAsia="Times New Roman" w:hAnsi="Times New Roman"/>
                <w:sz w:val="14"/>
                <w:szCs w:val="14"/>
                <w:b w:val="1"/>
                <w:bCs w:val="1"/>
                <w:color w:val="auto"/>
              </w:rPr>
              <w:t>Severance and</w:t>
            </w:r>
          </w:p>
        </w:tc>
        <w:tc>
          <w:tcPr>
            <w:tcW w:w="0" w:type="dxa"/>
            <w:vAlign w:val="bottom"/>
          </w:tcPr>
          <w:p>
            <w:pPr>
              <w:spacing w:after="0"/>
              <w:rPr>
                <w:sz w:val="1"/>
                <w:szCs w:val="1"/>
                <w:color w:val="auto"/>
              </w:rPr>
            </w:pPr>
          </w:p>
        </w:tc>
      </w:tr>
      <w:tr>
        <w:trPr>
          <w:trHeight w:val="173"/>
        </w:trPr>
        <w:tc>
          <w:tcPr>
            <w:tcW w:w="916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376"/>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22"/>
        </w:trPr>
        <w:tc>
          <w:tcPr>
            <w:tcW w:w="9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1,936</w:t>
            </w:r>
          </w:p>
        </w:tc>
        <w:tc>
          <w:tcPr>
            <w:tcW w:w="0" w:type="dxa"/>
            <w:vAlign w:val="bottom"/>
          </w:tcPr>
          <w:p>
            <w:pPr>
              <w:spacing w:after="0"/>
              <w:rPr>
                <w:sz w:val="1"/>
                <w:szCs w:val="1"/>
                <w:color w:val="auto"/>
              </w:rPr>
            </w:pPr>
          </w:p>
        </w:tc>
      </w:tr>
      <w:tr>
        <w:trPr>
          <w:trHeight w:val="229"/>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320" w:type="dxa"/>
            <w:vAlign w:val="bottom"/>
          </w:tcPr>
          <w:p>
            <w:pPr>
              <w:spacing w:after="0"/>
              <w:rPr>
                <w:sz w:val="19"/>
                <w:szCs w:val="19"/>
                <w:color w:val="auto"/>
              </w:rPr>
            </w:pPr>
          </w:p>
        </w:tc>
        <w:tc>
          <w:tcPr>
            <w:tcW w:w="17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29"/>
        </w:trPr>
        <w:tc>
          <w:tcPr>
            <w:tcW w:w="9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32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22"/>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9"/>
        </w:trPr>
        <w:tc>
          <w:tcPr>
            <w:tcW w:w="9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32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2"/>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Associated Impairments</w:t>
      </w:r>
    </w:p>
    <w:p>
      <w:pPr>
        <w:spacing w:after="0" w:line="201"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As a result of the cost reduction plan discussed above, the Company recognized costs associated with the retirement of certain long-lived assets. The following impairments for the year ended December 31, 2018 are a direct result of the exit activities described in (a) above. In the years ended December 31, 2020 and 2019, the Company did not recognize any associated impairments.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3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3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3,680</w:t>
            </w: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2,565</w:t>
            </w: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2"/>
        </w:trPr>
        <w:tc>
          <w:tcPr>
            <w:tcW w:w="38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6,432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3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147</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38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27. Selected Quarterly Financial Information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share amounts)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Q1</w:t>
            </w:r>
          </w:p>
        </w:tc>
        <w:tc>
          <w:tcPr>
            <w:tcW w:w="280" w:type="dxa"/>
            <w:vAlign w:val="bottom"/>
          </w:tcPr>
          <w:p>
            <w:pPr>
              <w:spacing w:after="0"/>
              <w:rPr>
                <w:sz w:val="13"/>
                <w:szCs w:val="13"/>
                <w:color w:val="auto"/>
              </w:rPr>
            </w:pPr>
          </w:p>
        </w:tc>
        <w:tc>
          <w:tcPr>
            <w:tcW w:w="112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Q2</w:t>
            </w:r>
          </w:p>
        </w:tc>
        <w:tc>
          <w:tcPr>
            <w:tcW w:w="280" w:type="dxa"/>
            <w:vAlign w:val="bottom"/>
          </w:tcPr>
          <w:p>
            <w:pPr>
              <w:spacing w:after="0"/>
              <w:rPr>
                <w:sz w:val="13"/>
                <w:szCs w:val="13"/>
                <w:color w:val="auto"/>
              </w:rPr>
            </w:pPr>
          </w:p>
        </w:tc>
        <w:tc>
          <w:tcPr>
            <w:tcW w:w="110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Q3</w:t>
            </w:r>
          </w:p>
        </w:tc>
        <w:tc>
          <w:tcPr>
            <w:tcW w:w="280" w:type="dxa"/>
            <w:vAlign w:val="bottom"/>
          </w:tcPr>
          <w:p>
            <w:pPr>
              <w:spacing w:after="0"/>
              <w:rPr>
                <w:sz w:val="13"/>
                <w:szCs w:val="13"/>
                <w:color w:val="auto"/>
              </w:rPr>
            </w:pPr>
          </w:p>
        </w:tc>
        <w:tc>
          <w:tcPr>
            <w:tcW w:w="1000" w:type="dxa"/>
            <w:vAlign w:val="bottom"/>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Q4</w:t>
            </w:r>
          </w:p>
        </w:tc>
        <w:tc>
          <w:tcPr>
            <w:tcW w:w="0" w:type="dxa"/>
            <w:vAlign w:val="bottom"/>
          </w:tcPr>
          <w:p>
            <w:pPr>
              <w:spacing w:after="0"/>
              <w:rPr>
                <w:sz w:val="1"/>
                <w:szCs w:val="1"/>
                <w:color w:val="auto"/>
              </w:rPr>
            </w:pPr>
          </w:p>
        </w:tc>
      </w:tr>
      <w:tr>
        <w:trPr>
          <w:trHeight w:val="222"/>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34,902</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8,855</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37,256</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55,990</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Costs and expenses applicable to revenues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29,816</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16,543</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33,427</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35,677</w:t>
            </w:r>
          </w:p>
        </w:tc>
        <w:tc>
          <w:tcPr>
            <w:tcW w:w="0" w:type="dxa"/>
            <w:vAlign w:val="bottom"/>
          </w:tcPr>
          <w:p>
            <w:pPr>
              <w:spacing w:after="0"/>
              <w:rPr>
                <w:sz w:val="1"/>
                <w:szCs w:val="1"/>
                <w:color w:val="auto"/>
              </w:rPr>
            </w:pPr>
          </w:p>
        </w:tc>
      </w:tr>
      <w:tr>
        <w:trPr>
          <w:trHeight w:val="222"/>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 (margin loss)</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5,086</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3,829</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20,313</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2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(59,411)</w:t>
            </w:r>
          </w:p>
        </w:tc>
        <w:tc>
          <w:tcPr>
            <w:tcW w:w="1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(30,047)</w:t>
            </w: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(48,484)</w:t>
            </w: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(19,544)</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(49,354)</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(25,967)</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(47,209)</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shareholders: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40" w:type="dxa"/>
            <w:vAlign w:val="bottom"/>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439"/>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share amounts)</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Q1</w:t>
            </w:r>
          </w:p>
        </w:tc>
        <w:tc>
          <w:tcPr>
            <w:tcW w:w="280" w:type="dxa"/>
            <w:vAlign w:val="bottom"/>
          </w:tcPr>
          <w:p>
            <w:pPr>
              <w:spacing w:after="0"/>
              <w:rPr>
                <w:sz w:val="13"/>
                <w:szCs w:val="13"/>
                <w:color w:val="auto"/>
              </w:rPr>
            </w:pPr>
          </w:p>
        </w:tc>
        <w:tc>
          <w:tcPr>
            <w:tcW w:w="112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Q2</w:t>
            </w:r>
          </w:p>
        </w:tc>
        <w:tc>
          <w:tcPr>
            <w:tcW w:w="280" w:type="dxa"/>
            <w:vAlign w:val="bottom"/>
          </w:tcPr>
          <w:p>
            <w:pPr>
              <w:spacing w:after="0"/>
              <w:rPr>
                <w:sz w:val="13"/>
                <w:szCs w:val="13"/>
                <w:color w:val="auto"/>
              </w:rPr>
            </w:pPr>
          </w:p>
        </w:tc>
        <w:tc>
          <w:tcPr>
            <w:tcW w:w="110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Q3</w:t>
            </w:r>
          </w:p>
        </w:tc>
        <w:tc>
          <w:tcPr>
            <w:tcW w:w="280" w:type="dxa"/>
            <w:vAlign w:val="bottom"/>
          </w:tcPr>
          <w:p>
            <w:pPr>
              <w:spacing w:after="0"/>
              <w:rPr>
                <w:sz w:val="13"/>
                <w:szCs w:val="13"/>
                <w:color w:val="auto"/>
              </w:rPr>
            </w:pPr>
          </w:p>
        </w:tc>
        <w:tc>
          <w:tcPr>
            <w:tcW w:w="1000" w:type="dxa"/>
            <w:vAlign w:val="bottom"/>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Q4</w:t>
            </w:r>
          </w:p>
        </w:tc>
        <w:tc>
          <w:tcPr>
            <w:tcW w:w="0" w:type="dxa"/>
            <w:vAlign w:val="bottom"/>
          </w:tcPr>
          <w:p>
            <w:pPr>
              <w:spacing w:after="0"/>
              <w:rPr>
                <w:sz w:val="1"/>
                <w:szCs w:val="1"/>
                <w:color w:val="auto"/>
              </w:rPr>
            </w:pPr>
          </w:p>
        </w:tc>
      </w:tr>
      <w:tr>
        <w:trPr>
          <w:trHeight w:val="222"/>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80,198</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104,797</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86,390</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124,279</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Costs and expenses applicable to revenues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35,058</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45,244</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39,270</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61,920</w:t>
            </w:r>
          </w:p>
        </w:tc>
        <w:tc>
          <w:tcPr>
            <w:tcW w:w="0" w:type="dxa"/>
            <w:vAlign w:val="bottom"/>
          </w:tcPr>
          <w:p>
            <w:pPr>
              <w:spacing w:after="0"/>
              <w:rPr>
                <w:sz w:val="1"/>
                <w:szCs w:val="1"/>
                <w:color w:val="auto"/>
              </w:rPr>
            </w:pPr>
          </w:p>
        </w:tc>
      </w:tr>
      <w:tr>
        <w:trPr>
          <w:trHeight w:val="222"/>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45,140</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59,553</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47,120</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62,359</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2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12,487</w:t>
            </w:r>
          </w:p>
        </w:tc>
        <w:tc>
          <w:tcPr>
            <w:tcW w:w="1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13,836</w:t>
            </w: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10,896</w:t>
            </w: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21,352</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8,265</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11,397</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9,033</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18,171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common shareholders: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basic &amp; 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28. Reclassification of Prior Year Amounts</w:t>
      </w:r>
    </w:p>
    <w:p>
      <w:pPr>
        <w:spacing w:after="0" w:line="201"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In the current year, the Company presented Credit Loss Expense separately from Write-downs on the Consolidated Statements of Cash Flows. In addition, in the current year, Loss From Equity-Accounted Investments and (Gain) Loss on Non-Cash Contribution to Equity-Accounted Investees have been combined into Equity in Losses (Income) of Investees on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maintains disclosure controls and procedures designed to ensure that information required to be disclosed in reports filed under the Securities Exchange Act of 1934, as amended, is recorded, processed, summarized and reported within the specified time periods and that such information is accumulated and communicated to management, including the CEO and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57"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Company’s management, with the participation of its CEO and its CFO, has evaluated the effectiveness of the Company’s “disclosure controls and procedures” (as defined in the Securities Exchange Act of 1934 Rules 13a-15(e) or 15d-15(e)) as of December 31, 2020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for the Company.</w:t>
      </w:r>
    </w:p>
    <w:p>
      <w:pPr>
        <w:spacing w:after="0" w:line="197"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Management has used the Committee of Sponsoring Organizations of the Treadway Commission (“COSO”) framework in Internal Control-Integrated Framework (2013) to assess the effectiveness of the Company’s internal control over financial reporting.</w:t>
      </w:r>
    </w:p>
    <w:p>
      <w:pPr>
        <w:spacing w:after="0" w:line="121" w:lineRule="exact"/>
        <w:rPr>
          <w:sz w:val="20"/>
          <w:szCs w:val="20"/>
          <w:color w:val="auto"/>
        </w:rPr>
      </w:pPr>
    </w:p>
    <w:p>
      <w:pPr>
        <w:jc w:val="both"/>
        <w:ind w:right="20" w:firstLine="224"/>
        <w:spacing w:after="0" w:line="281" w:lineRule="auto"/>
        <w:rPr>
          <w:sz w:val="20"/>
          <w:szCs w:val="20"/>
          <w:color w:val="auto"/>
        </w:rPr>
      </w:pPr>
      <w:r>
        <w:rPr>
          <w:rFonts w:ascii="Times New Roman" w:cs="Times New Roman" w:eastAsia="Times New Roman" w:hAnsi="Times New Roman"/>
          <w:sz w:val="18"/>
          <w:szCs w:val="18"/>
          <w:color w:val="auto"/>
        </w:rPr>
        <w:t>Management has assessed the effectiveness of the Company’s internal control over financial reporting, as of December 31, 2020, and has concluded that such internal control over financial reporting were effective as of that date.</w:t>
      </w:r>
    </w:p>
    <w:p>
      <w:pPr>
        <w:spacing w:after="0" w:line="121"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audited the effectiveness of the Company’s internal control over financial reporting as of December 31, 2020, as stated in their report, which appears in Part II, Item 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which occurred during the three months ended December 31, 2020, that have materially affected, or are reasonably likely to materially affect, the Company’s internal control over financial reporting. The Company has not experienced any material impact to its internal control over financial reporting despite the fact that most of its employees are working remotely due to the COVID-19 pandemic. The Company will continue to monitor the evolving COVID-19 situation to minimize its impact on the design and operating effectiveness of the Company’s internal control.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 xml:space="preserve">Item 9 B. </w:t>
      </w:r>
      <w:r>
        <w:rPr>
          <w:rFonts w:ascii="Times New Roman" w:cs="Times New Roman" w:eastAsia="Times New Roman" w:hAnsi="Times New Roman"/>
          <w:sz w:val="18"/>
          <w:szCs w:val="18"/>
          <w:b w:val="1"/>
          <w:bCs w:val="1"/>
          <w:i w:val="1"/>
          <w:iCs w:val="1"/>
          <w:color w:val="auto"/>
        </w:rPr>
        <w:t>Other Information</w:t>
      </w:r>
    </w:p>
    <w:p>
      <w:pPr>
        <w:spacing w:after="0" w:line="201"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Our Amended and Restated By-Law No. 1 became effective on March 4, 2021, following approval by our board of directors on the same date. By-Law No. 1 was amended by the Amended and Restated By-Law No. 1 to (i) include provisions to allow us to hold shareholder meetings by means of a telephonic, electronic or other communication facility, and for shareholders to be present at such meeting by such means for purposes of establishing a quorum, (ii) require that a nominating shareholder include the country of residence of a director, including their Canadian residency status, in the notice nominating a director for election, (iii) specify that attendance at a meeting by a person constitutes a waiver of notice of the meeting, except where the attendance is for the express purpose of objecting to the transaction of any business on the ground that the meeting is not lawfully called, and (iv) include certain other clarifying updates. The amendment is subject to confirmation by majority vote of our shareholders at the next annual general meeting to be held in June 2021. Absent such confirmation, the Amended and Restated By-Law No. 1 will cease to be effective and we will become subject to By-Law No.1 as it was in effect prior to March 4, 2021.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01" w:lineRule="exact"/>
        <w:rPr>
          <w:sz w:val="20"/>
          <w:szCs w:val="20"/>
          <w:color w:val="auto"/>
        </w:rPr>
      </w:pPr>
    </w:p>
    <w:p>
      <w:pPr>
        <w:jc w:val="both"/>
        <w:ind w:right="20" w:firstLine="224"/>
        <w:spacing w:after="0" w:line="265" w:lineRule="auto"/>
        <w:rPr>
          <w:sz w:val="20"/>
          <w:szCs w:val="20"/>
          <w:color w:val="auto"/>
        </w:rPr>
      </w:pPr>
      <w:r>
        <w:rPr>
          <w:rFonts w:ascii="Times New Roman" w:cs="Times New Roman" w:eastAsia="Times New Roman" w:hAnsi="Times New Roman"/>
          <w:sz w:val="18"/>
          <w:szCs w:val="18"/>
          <w:color w:val="auto"/>
        </w:rPr>
        <w:t>The information required by Item 10 is incorporated by reference from the information under the following captions in the Company’s Proxy Statement: “Item No. 1 – Election of Directors;” “Executive Officers;” “Section 16(a) Beneficial Ownership Reporting Compliance;” “Code of Business Conduct and Ethics;” and “Audit Committee.”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88"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8"/>
          <w:szCs w:val="18"/>
          <w:color w:val="auto"/>
        </w:rPr>
        <w:t>The information required by Item 11 is incorporated by reference from the information under the following captions in the Company’s Proxy Statement: “Compensation Discussion and Analysis;” “Summary Compensation Table;” “Grants of Plan-Based Awards;” “Outstanding Equity Awards at Fiscal Year-End;” “Option Exercise and Stock Vested;” “Pension Benefits;” “Employment Agreements and Potential Payments upon Termination or Change-in-Control;” “Compensation of Directors;” and “Compensation Committee Interlocks and Insider Participation.”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information required by Item 12 is incorporated by reference from the information under the following captions in the Company’s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“Principal Shareholders of Voting Shares;” and “Security Ownership of Directors and Management.”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information required by Item 13 is incorporated by reference from the information under the following caption in the Company’s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Relationships and Related Transactions,” “Review, Approval or Ratification of Transactions with Related Persons,” and “Director Independence.”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information required by Item 14 is incorporated by reference from the information under the following captions in the Company’s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Fees;” “Audit-Related Fees;” “Tax Fees;” “All Other Fees;” and “Audit Committee’s Pre-Approval Policies and Procedures.”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Consolidated Financial Statements filed as part of this Report are included under Item 8 in Part II.</w:t>
      </w:r>
    </w:p>
    <w:p>
      <w:pPr>
        <w:spacing w:after="0" w:line="184" w:lineRule="exact"/>
        <w:rPr>
          <w:sz w:val="20"/>
          <w:szCs w:val="20"/>
          <w:color w:val="auto"/>
        </w:rPr>
      </w:pPr>
    </w:p>
    <w:p>
      <w:pPr>
        <w:ind w:firstLine="224"/>
        <w:spacing w:after="0" w:line="281" w:lineRule="auto"/>
        <w:rPr>
          <w:sz w:val="20"/>
          <w:szCs w:val="20"/>
          <w:color w:val="auto"/>
        </w:rPr>
      </w:pPr>
      <w:r>
        <w:rPr>
          <w:rFonts w:ascii="Times New Roman" w:cs="Times New Roman" w:eastAsia="Times New Roman" w:hAnsi="Times New Roman"/>
          <w:sz w:val="18"/>
          <w:szCs w:val="18"/>
          <w:color w:val="auto"/>
        </w:rPr>
        <w:t>Report of Independent Registered Public Accounting Firm, which covers the financial statements, the financial statement schedule in (a)(2) and the Company’s internal control over financial reporting, is included under Part II, Item 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Financial statement schedule for each year in the three-year period ended December 31, 2020.</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II. Valuation and Qualifying Accounts.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items listed as Exhibits 10.1 to 10.43, 10.47, 10.48 and 10.51 relate to management contracts or compensatory plans or arrangements.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90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vMerge w:val="restart"/>
          </w:tcPr>
          <w:p>
            <w:pPr>
              <w:spacing w:after="0"/>
              <w:rPr>
                <w:sz w:val="13"/>
                <w:szCs w:val="13"/>
                <w:color w:val="auto"/>
              </w:rPr>
            </w:pP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3"/>
                <w:szCs w:val="13"/>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73"/>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5"/>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3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tcPr>
          <w:p>
            <w:pPr>
              <w:spacing w:after="0"/>
              <w:rPr>
                <w:sz w:val="24"/>
                <w:szCs w:val="24"/>
                <w:color w:val="auto"/>
              </w:rPr>
            </w:pPr>
          </w:p>
        </w:tc>
        <w:tc>
          <w:tcPr>
            <w:tcW w:w="6120" w:type="dxa"/>
            <w:vAlign w:val="bottom"/>
            <w:gridSpan w:val="12"/>
          </w:tcPr>
          <w:p>
            <w:pPr>
              <w:spacing w:after="0"/>
              <w:rPr>
                <w:rFonts w:ascii="Times New Roman" w:cs="Times New Roman" w:eastAsia="Times New Roman" w:hAnsi="Times New Roman"/>
                <w:sz w:val="18"/>
                <w:szCs w:val="18"/>
                <w:u w:val="single" w:color="auto"/>
                <w:color w:val="0000EE"/>
              </w:rPr>
            </w:pPr>
            <w:hyperlink r:id="rId201">
              <w:r>
                <w:rPr>
                  <w:rFonts w:ascii="Times New Roman" w:cs="Times New Roman" w:eastAsia="Times New Roman" w:hAnsi="Times New Roman"/>
                  <w:sz w:val="18"/>
                  <w:szCs w:val="18"/>
                  <w:u w:val="single" w:color="auto"/>
                  <w:color w:val="0000EE"/>
                </w:rPr>
                <w:t>Restated Articles of Incorporation of IMAX Corporation, dated July 30, 2013.</w:t>
              </w:r>
            </w:hyperlink>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10/24/13</w:t>
            </w:r>
          </w:p>
        </w:tc>
        <w:tc>
          <w:tcPr>
            <w:tcW w:w="0" w:type="dxa"/>
            <w:vAlign w:val="bottom"/>
          </w:tcPr>
          <w:p>
            <w:pPr>
              <w:spacing w:after="0"/>
              <w:rPr>
                <w:sz w:val="1"/>
                <w:szCs w:val="1"/>
                <w:color w:val="auto"/>
              </w:rPr>
            </w:pP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tcPr>
          <w:p>
            <w:pPr>
              <w:spacing w:after="0"/>
              <w:rPr>
                <w:sz w:val="24"/>
                <w:szCs w:val="24"/>
                <w:color w:val="auto"/>
              </w:rPr>
            </w:pPr>
          </w:p>
        </w:tc>
        <w:tc>
          <w:tcPr>
            <w:tcW w:w="60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w:anchor="page158">
              <w:r>
                <w:rPr>
                  <w:rFonts w:ascii="Times New Roman" w:cs="Times New Roman" w:eastAsia="Times New Roman" w:hAnsi="Times New Roman"/>
                  <w:sz w:val="18"/>
                  <w:szCs w:val="18"/>
                  <w:color w:val="0000EE"/>
                </w:rPr>
                <w:t>Amended and Restated By-Law No. 1 of IMAX Corporation, enacted on March 4,</w:t>
              </w:r>
            </w:hyperlink>
          </w:p>
        </w:tc>
        <w:tc>
          <w:tcPr>
            <w:tcW w:w="10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440" w:type="dxa"/>
            <w:vAlign w:val="bottom"/>
            <w:gridSpan w:val="3"/>
          </w:tcPr>
          <w:p>
            <w:pPr>
              <w:ind w:left="1040"/>
              <w:spacing w:after="0" w:line="195" w:lineRule="exact"/>
              <w:rPr>
                <w:rFonts w:ascii="Times New Roman" w:cs="Times New Roman" w:eastAsia="Times New Roman" w:hAnsi="Times New Roman"/>
                <w:sz w:val="18"/>
                <w:szCs w:val="18"/>
                <w:color w:val="0000EE"/>
                <w:w w:val="93"/>
              </w:rPr>
            </w:pPr>
            <w:hyperlink w:anchor="page158">
              <w:r>
                <w:rPr>
                  <w:rFonts w:ascii="Times New Roman" w:cs="Times New Roman" w:eastAsia="Times New Roman" w:hAnsi="Times New Roman"/>
                  <w:sz w:val="18"/>
                  <w:szCs w:val="18"/>
                  <w:color w:val="0000EE"/>
                  <w:w w:val="93"/>
                </w:rPr>
                <w:t>2021.</w:t>
              </w:r>
            </w:hyperlink>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40" w:type="dxa"/>
            <w:vAlign w:val="bottom"/>
          </w:tcPr>
          <w:p>
            <w:pPr>
              <w:spacing w:after="0"/>
              <w:rPr>
                <w:sz w:val="24"/>
                <w:szCs w:val="24"/>
                <w:color w:val="auto"/>
              </w:rPr>
            </w:pPr>
          </w:p>
        </w:tc>
        <w:tc>
          <w:tcPr>
            <w:tcW w:w="60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Shareholders’ Agreement, dated as of January 3, 1994, among WGIM Acquisition</w:t>
              </w:r>
            </w:hyperlink>
          </w:p>
        </w:tc>
        <w:tc>
          <w:tcPr>
            <w:tcW w:w="100" w:type="dxa"/>
            <w:vAlign w:val="bottom"/>
            <w:gridSpan w:val="4"/>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2/21/13</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20" w:type="dxa"/>
            <w:vAlign w:val="bottom"/>
            <w:gridSpan w:val="12"/>
          </w:tcPr>
          <w:p>
            <w:pPr>
              <w:spacing w:after="0" w:line="195"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Corporation, the Selling Shareholders as defined therein, Wasserstein Perella</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20" w:type="dxa"/>
            <w:vAlign w:val="bottom"/>
            <w:tcBorders>
              <w:top w:val="single" w:sz="8" w:color="0000EE"/>
              <w:bottom w:val="single" w:sz="8" w:color="0000EE"/>
            </w:tcBorders>
            <w:gridSpan w:val="8"/>
          </w:tcPr>
          <w:p>
            <w:pPr>
              <w:spacing w:after="0" w:line="195"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Partners, L.P., Wasserstein Perella Offshore Partners, L.P., Bradley J. Wechsler,</w:t>
              </w:r>
            </w:hyperlink>
          </w:p>
        </w:tc>
        <w:tc>
          <w:tcPr>
            <w:tcW w:w="10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20" w:type="dxa"/>
            <w:vAlign w:val="bottom"/>
            <w:gridSpan w:val="12"/>
          </w:tcPr>
          <w:p>
            <w:pPr>
              <w:spacing w:after="0"/>
              <w:rPr>
                <w:rFonts w:ascii="Times New Roman" w:cs="Times New Roman" w:eastAsia="Times New Roman" w:hAnsi="Times New Roman"/>
                <w:sz w:val="18"/>
                <w:szCs w:val="18"/>
                <w:u w:val="single" w:color="auto"/>
                <w:color w:val="0000EE"/>
              </w:rPr>
            </w:pPr>
            <w:hyperlink r:id="rId202">
              <w:r>
                <w:rPr>
                  <w:rFonts w:ascii="Times New Roman" w:cs="Times New Roman" w:eastAsia="Times New Roman" w:hAnsi="Times New Roman"/>
                  <w:sz w:val="18"/>
                  <w:szCs w:val="18"/>
                  <w:u w:val="single" w:color="auto"/>
                  <w:color w:val="0000EE"/>
                </w:rPr>
                <w:t>Richard  L.  Gelfond  and  Douglas  Trumbull  (the  “Selling  Shareholders’</w:t>
              </w:r>
            </w:hyperlink>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120" w:type="dxa"/>
            <w:vAlign w:val="bottom"/>
            <w:gridSpan w:val="12"/>
          </w:tcPr>
          <w:p>
            <w:pPr>
              <w:spacing w:after="0"/>
              <w:rPr>
                <w:rFonts w:ascii="Times New Roman" w:cs="Times New Roman" w:eastAsia="Times New Roman" w:hAnsi="Times New Roman"/>
                <w:sz w:val="18"/>
                <w:szCs w:val="18"/>
                <w:u w:val="single" w:color="auto"/>
                <w:color w:val="0000EE"/>
              </w:rPr>
            </w:pPr>
            <w:hyperlink r:id="rId202">
              <w:r>
                <w:rPr>
                  <w:rFonts w:ascii="Times New Roman" w:cs="Times New Roman" w:eastAsia="Times New Roman" w:hAnsi="Times New Roman"/>
                  <w:sz w:val="18"/>
                  <w:szCs w:val="18"/>
                  <w:u w:val="single" w:color="auto"/>
                  <w:color w:val="0000EE"/>
                </w:rPr>
                <w:t>Agreement”).</w:t>
              </w:r>
            </w:hyperlink>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40" w:type="dxa"/>
            <w:vAlign w:val="bottom"/>
          </w:tcPr>
          <w:p>
            <w:pPr>
              <w:spacing w:after="0"/>
              <w:rPr>
                <w:sz w:val="24"/>
                <w:szCs w:val="24"/>
                <w:color w:val="auto"/>
              </w:rPr>
            </w:pPr>
          </w:p>
        </w:tc>
        <w:tc>
          <w:tcPr>
            <w:tcW w:w="6120" w:type="dxa"/>
            <w:vAlign w:val="bottom"/>
            <w:gridSpan w:val="12"/>
          </w:tcPr>
          <w:p>
            <w:pPr>
              <w:spacing w:after="0"/>
              <w:rPr>
                <w:rFonts w:ascii="Times New Roman" w:cs="Times New Roman" w:eastAsia="Times New Roman" w:hAnsi="Times New Roman"/>
                <w:sz w:val="18"/>
                <w:szCs w:val="18"/>
                <w:u w:val="single" w:color="auto"/>
                <w:color w:val="0000EE"/>
              </w:rPr>
            </w:pPr>
            <w:hyperlink r:id="rId203">
              <w:r>
                <w:rPr>
                  <w:rFonts w:ascii="Times New Roman" w:cs="Times New Roman" w:eastAsia="Times New Roman" w:hAnsi="Times New Roman"/>
                  <w:sz w:val="18"/>
                  <w:szCs w:val="18"/>
                  <w:u w:val="single" w:color="auto"/>
                  <w:color w:val="0000EE"/>
                </w:rPr>
                <w:t>Amendment, dated as of March 1, 1994, to the Selling Shareholders’ Agreement.</w:t>
              </w:r>
            </w:hyperlink>
          </w:p>
        </w:tc>
        <w:tc>
          <w:tcPr>
            <w:tcW w:w="16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10-K   001-35066</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2/21/13</w:t>
            </w:r>
          </w:p>
        </w:tc>
        <w:tc>
          <w:tcPr>
            <w:tcW w:w="0" w:type="dxa"/>
            <w:vAlign w:val="bottom"/>
          </w:tcPr>
          <w:p>
            <w:pPr>
              <w:spacing w:after="0"/>
              <w:rPr>
                <w:sz w:val="1"/>
                <w:szCs w:val="1"/>
                <w:color w:val="auto"/>
              </w:rPr>
            </w:pP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40" w:type="dxa"/>
            <w:vAlign w:val="bottom"/>
          </w:tcPr>
          <w:p>
            <w:pPr>
              <w:spacing w:after="0"/>
              <w:rPr>
                <w:sz w:val="24"/>
                <w:szCs w:val="24"/>
                <w:color w:val="auto"/>
              </w:rPr>
            </w:pPr>
          </w:p>
        </w:tc>
        <w:tc>
          <w:tcPr>
            <w:tcW w:w="60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Registration Rights Agreement, dated as of February 9, 1999, by and among IMAX</w:t>
              </w:r>
            </w:hyperlink>
          </w:p>
        </w:tc>
        <w:tc>
          <w:tcPr>
            <w:tcW w:w="100" w:type="dxa"/>
            <w:vAlign w:val="bottom"/>
            <w:gridSpan w:val="4"/>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2/21/13</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60" w:type="dxa"/>
            <w:vAlign w:val="bottom"/>
            <w:tcBorders>
              <w:bottom w:val="single" w:sz="8" w:color="0000EE"/>
            </w:tcBorders>
            <w:gridSpan w:val="10"/>
          </w:tcPr>
          <w:p>
            <w:pPr>
              <w:spacing w:after="0" w:line="195"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Corporation, Wasserstein Perella Partners, L.P., Wasserstein Perella Offshore</w:t>
              </w:r>
            </w:hyperlink>
          </w:p>
        </w:tc>
        <w:tc>
          <w:tcPr>
            <w:tcW w:w="6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20" w:type="dxa"/>
            <w:vAlign w:val="bottom"/>
            <w:gridSpan w:val="12"/>
          </w:tcPr>
          <w:p>
            <w:pPr>
              <w:spacing w:after="0" w:line="195"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Partners, L.P., WPPN Inc., the Michael J. Biondi Voting Trust, Bradley J. Wechsler</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20" w:type="dxa"/>
            <w:vAlign w:val="bottom"/>
            <w:tcBorders>
              <w:top w:val="single" w:sz="8" w:color="0000EE"/>
            </w:tcBorders>
            <w:gridSpan w:val="8"/>
          </w:tcPr>
          <w:p>
            <w:pPr>
              <w:spacing w:after="0" w:line="195"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and Richard L. Gelfond.</w:t>
              </w:r>
            </w:hyperlink>
          </w:p>
        </w:tc>
        <w:tc>
          <w:tcPr>
            <w:tcW w:w="10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40" w:type="dxa"/>
            <w:vAlign w:val="bottom"/>
          </w:tcPr>
          <w:p>
            <w:pPr>
              <w:spacing w:after="0"/>
              <w:rPr>
                <w:sz w:val="24"/>
                <w:szCs w:val="24"/>
                <w:color w:val="auto"/>
              </w:rPr>
            </w:pPr>
          </w:p>
        </w:tc>
        <w:tc>
          <w:tcPr>
            <w:tcW w:w="60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Description of IMAX Corporation’s Securities Registered Pursuant to Section 12 of</w:t>
              </w:r>
            </w:hyperlink>
          </w:p>
        </w:tc>
        <w:tc>
          <w:tcPr>
            <w:tcW w:w="100" w:type="dxa"/>
            <w:vAlign w:val="bottom"/>
            <w:gridSpan w:val="4"/>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2/19/20</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20" w:type="dxa"/>
            <w:vAlign w:val="bottom"/>
            <w:gridSpan w:val="12"/>
          </w:tcPr>
          <w:p>
            <w:pPr>
              <w:spacing w:after="0" w:line="195"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the Securities Exchange Act of 1934.</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spacing w:after="0"/>
              <w:rPr>
                <w:sz w:val="24"/>
                <w:szCs w:val="24"/>
                <w:color w:val="auto"/>
              </w:rPr>
            </w:pPr>
          </w:p>
        </w:tc>
        <w:tc>
          <w:tcPr>
            <w:tcW w:w="6120" w:type="dxa"/>
            <w:vAlign w:val="bottom"/>
            <w:gridSpan w:val="12"/>
          </w:tcPr>
          <w:p>
            <w:pPr>
              <w:spacing w:after="0"/>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u w:val="single" w:color="auto"/>
                  <w:color w:val="0000EE"/>
                </w:rPr>
                <w:t>Stock Option Plan of IMAX Corporation, dated June 18, 2008</w:t>
              </w:r>
              <w:r>
                <w:rPr>
                  <w:rFonts w:ascii="Times New Roman" w:cs="Times New Roman" w:eastAsia="Times New Roman" w:hAnsi="Times New Roman"/>
                  <w:sz w:val="18"/>
                  <w:szCs w:val="18"/>
                  <w:color w:val="0000EE"/>
                </w:rPr>
                <w:t>.</w:t>
              </w:r>
            </w:hyperlink>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2/24/16</w:t>
            </w:r>
          </w:p>
        </w:tc>
        <w:tc>
          <w:tcPr>
            <w:tcW w:w="0" w:type="dxa"/>
            <w:vAlign w:val="bottom"/>
          </w:tcPr>
          <w:p>
            <w:pPr>
              <w:spacing w:after="0"/>
              <w:rPr>
                <w:sz w:val="1"/>
                <w:szCs w:val="1"/>
                <w:color w:val="auto"/>
              </w:rPr>
            </w:pP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40" w:type="dxa"/>
            <w:vAlign w:val="bottom"/>
          </w:tcPr>
          <w:p>
            <w:pPr>
              <w:spacing w:after="0"/>
              <w:rPr>
                <w:sz w:val="24"/>
                <w:szCs w:val="24"/>
                <w:color w:val="auto"/>
              </w:rPr>
            </w:pPr>
          </w:p>
        </w:tc>
        <w:tc>
          <w:tcPr>
            <w:tcW w:w="60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IMAX Corporation Amended and Restated Long Term Incentive Plan, dated June</w:t>
              </w:r>
            </w:hyperlink>
          </w:p>
        </w:tc>
        <w:tc>
          <w:tcPr>
            <w:tcW w:w="100" w:type="dxa"/>
            <w:vAlign w:val="bottom"/>
            <w:gridSpan w:val="4"/>
          </w:tcPr>
          <w:p>
            <w:pPr>
              <w:spacing w:after="0"/>
              <w:rPr>
                <w:sz w:val="24"/>
                <w:szCs w:val="24"/>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6/7/16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620" w:type="dxa"/>
            <w:vAlign w:val="bottom"/>
            <w:gridSpan w:val="4"/>
          </w:tcPr>
          <w:p>
            <w:pPr>
              <w:ind w:left="1040"/>
              <w:spacing w:after="0" w:line="195" w:lineRule="exact"/>
              <w:rPr>
                <w:rFonts w:ascii="Times New Roman" w:cs="Times New Roman" w:eastAsia="Times New Roman" w:hAnsi="Times New Roman"/>
                <w:sz w:val="18"/>
                <w:szCs w:val="18"/>
                <w:color w:val="0000EE"/>
                <w:w w:val="95"/>
              </w:rPr>
            </w:pPr>
            <w:hyperlink r:id="rId207">
              <w:r>
                <w:rPr>
                  <w:rFonts w:ascii="Times New Roman" w:cs="Times New Roman" w:eastAsia="Times New Roman" w:hAnsi="Times New Roman"/>
                  <w:sz w:val="18"/>
                  <w:szCs w:val="18"/>
                  <w:color w:val="0000EE"/>
                  <w:w w:val="95"/>
                </w:rPr>
                <w:t>6, 2016.</w:t>
              </w:r>
            </w:hyperlink>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40" w:type="dxa"/>
            <w:vAlign w:val="bottom"/>
          </w:tcPr>
          <w:p>
            <w:pPr>
              <w:spacing w:after="0"/>
              <w:rPr>
                <w:sz w:val="24"/>
                <w:szCs w:val="24"/>
                <w:color w:val="auto"/>
              </w:rPr>
            </w:pPr>
          </w:p>
        </w:tc>
        <w:tc>
          <w:tcPr>
            <w:tcW w:w="60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IMAX Corporation Second Amended and Restated Long-Term Incentive Plan,</w:t>
              </w:r>
            </w:hyperlink>
          </w:p>
        </w:tc>
        <w:tc>
          <w:tcPr>
            <w:tcW w:w="80" w:type="dxa"/>
            <w:vAlign w:val="bottom"/>
            <w:gridSpan w:val="3"/>
          </w:tcPr>
          <w:p>
            <w:pPr>
              <w:spacing w:after="0"/>
              <w:rPr>
                <w:sz w:val="24"/>
                <w:szCs w:val="24"/>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6/5/20</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20" w:type="dxa"/>
            <w:vAlign w:val="bottom"/>
            <w:gridSpan w:val="12"/>
          </w:tcPr>
          <w:p>
            <w:pPr>
              <w:spacing w:after="0" w:line="195"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dated June 3, 2020.</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4"/>
                <w:szCs w:val="24"/>
                <w:color w:val="auto"/>
              </w:rPr>
            </w:pPr>
          </w:p>
        </w:tc>
        <w:tc>
          <w:tcPr>
            <w:tcW w:w="6120" w:type="dxa"/>
            <w:vAlign w:val="bottom"/>
            <w:gridSpan w:val="12"/>
          </w:tcPr>
          <w:p>
            <w:pPr>
              <w:spacing w:after="0"/>
              <w:rPr>
                <w:rFonts w:ascii="Times New Roman" w:cs="Times New Roman" w:eastAsia="Times New Roman" w:hAnsi="Times New Roman"/>
                <w:sz w:val="18"/>
                <w:szCs w:val="18"/>
                <w:u w:val="single" w:color="auto"/>
                <w:color w:val="0000EE"/>
              </w:rPr>
            </w:pPr>
            <w:hyperlink r:id="rId209">
              <w:r>
                <w:rPr>
                  <w:rFonts w:ascii="Times New Roman" w:cs="Times New Roman" w:eastAsia="Times New Roman" w:hAnsi="Times New Roman"/>
                  <w:sz w:val="18"/>
                  <w:szCs w:val="18"/>
                  <w:u w:val="single" w:color="auto"/>
                  <w:color w:val="0000EE"/>
                </w:rPr>
                <w:t>IMAX Corporation Form of Stock Option Award Agreement.</w:t>
              </w:r>
            </w:hyperlink>
          </w:p>
        </w:tc>
        <w:tc>
          <w:tcPr>
            <w:tcW w:w="16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10-Q   001-35066</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10.41</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7/20/16</w:t>
            </w:r>
          </w:p>
        </w:tc>
        <w:tc>
          <w:tcPr>
            <w:tcW w:w="0" w:type="dxa"/>
            <w:vAlign w:val="bottom"/>
          </w:tcPr>
          <w:p>
            <w:pPr>
              <w:spacing w:after="0"/>
              <w:rPr>
                <w:sz w:val="1"/>
                <w:szCs w:val="1"/>
                <w:color w:val="auto"/>
              </w:rPr>
            </w:pPr>
          </w:p>
        </w:tc>
      </w:tr>
      <w:tr>
        <w:trPr>
          <w:trHeight w:val="33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40" w:type="dxa"/>
            <w:vAlign w:val="bottom"/>
          </w:tcPr>
          <w:p>
            <w:pPr>
              <w:spacing w:after="0"/>
              <w:rPr>
                <w:sz w:val="24"/>
                <w:szCs w:val="24"/>
                <w:color w:val="auto"/>
              </w:rPr>
            </w:pPr>
          </w:p>
        </w:tc>
        <w:tc>
          <w:tcPr>
            <w:tcW w:w="6120" w:type="dxa"/>
            <w:vAlign w:val="bottom"/>
            <w:gridSpan w:val="12"/>
          </w:tcPr>
          <w:p>
            <w:pPr>
              <w:spacing w:after="0"/>
              <w:rPr>
                <w:rFonts w:ascii="Times New Roman" w:cs="Times New Roman" w:eastAsia="Times New Roman" w:hAnsi="Times New Roman"/>
                <w:sz w:val="18"/>
                <w:szCs w:val="18"/>
                <w:u w:val="single" w:color="auto"/>
                <w:color w:val="0000EE"/>
              </w:rPr>
            </w:pPr>
            <w:hyperlink r:id="rId210">
              <w:r>
                <w:rPr>
                  <w:rFonts w:ascii="Times New Roman" w:cs="Times New Roman" w:eastAsia="Times New Roman" w:hAnsi="Times New Roman"/>
                  <w:sz w:val="18"/>
                  <w:szCs w:val="18"/>
                  <w:u w:val="single" w:color="auto"/>
                  <w:color w:val="0000EE"/>
                </w:rPr>
                <w:t>IMAX Corporation Form of Restricted Stock Unit Award Agreement.</w:t>
              </w:r>
            </w:hyperlink>
          </w:p>
        </w:tc>
        <w:tc>
          <w:tcPr>
            <w:tcW w:w="16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10-K   001-35066</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2/19/20</w:t>
            </w:r>
          </w:p>
        </w:tc>
        <w:tc>
          <w:tcPr>
            <w:tcW w:w="0" w:type="dxa"/>
            <w:vAlign w:val="bottom"/>
          </w:tcPr>
          <w:p>
            <w:pPr>
              <w:spacing w:after="0"/>
              <w:rPr>
                <w:sz w:val="1"/>
                <w:szCs w:val="1"/>
                <w:color w:val="auto"/>
              </w:rPr>
            </w:pPr>
          </w:p>
        </w:tc>
      </w:tr>
      <w:tr>
        <w:trPr>
          <w:trHeight w:val="33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40" w:type="dxa"/>
            <w:vAlign w:val="bottom"/>
          </w:tcPr>
          <w:p>
            <w:pPr>
              <w:spacing w:after="0"/>
              <w:rPr>
                <w:sz w:val="24"/>
                <w:szCs w:val="24"/>
                <w:color w:val="auto"/>
              </w:rPr>
            </w:pPr>
          </w:p>
        </w:tc>
        <w:tc>
          <w:tcPr>
            <w:tcW w:w="6120" w:type="dxa"/>
            <w:vAlign w:val="bottom"/>
            <w:gridSpan w:val="12"/>
          </w:tcPr>
          <w:p>
            <w:pPr>
              <w:spacing w:after="0"/>
              <w:rPr>
                <w:rFonts w:ascii="Times New Roman" w:cs="Times New Roman" w:eastAsia="Times New Roman" w:hAnsi="Times New Roman"/>
                <w:sz w:val="18"/>
                <w:szCs w:val="18"/>
                <w:u w:val="single" w:color="auto"/>
                <w:color w:val="0000EE"/>
              </w:rPr>
            </w:pPr>
            <w:hyperlink r:id="rId211">
              <w:r>
                <w:rPr>
                  <w:rFonts w:ascii="Times New Roman" w:cs="Times New Roman" w:eastAsia="Times New Roman" w:hAnsi="Times New Roman"/>
                  <w:sz w:val="18"/>
                  <w:szCs w:val="18"/>
                  <w:u w:val="single" w:color="auto"/>
                  <w:color w:val="0000EE"/>
                </w:rPr>
                <w:t>IMAX Corporation Form of Performance Stock Unit Award Agreement.</w:t>
              </w:r>
            </w:hyperlink>
          </w:p>
        </w:tc>
        <w:tc>
          <w:tcPr>
            <w:tcW w:w="16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10-K   001-35066</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2/19/20</w:t>
            </w:r>
          </w:p>
        </w:tc>
        <w:tc>
          <w:tcPr>
            <w:tcW w:w="0" w:type="dxa"/>
            <w:vAlign w:val="bottom"/>
          </w:tcPr>
          <w:p>
            <w:pPr>
              <w:spacing w:after="0"/>
              <w:rPr>
                <w:sz w:val="1"/>
                <w:szCs w:val="1"/>
                <w:color w:val="auto"/>
              </w:rPr>
            </w:pP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40" w:type="dxa"/>
            <w:vAlign w:val="bottom"/>
          </w:tcPr>
          <w:p>
            <w:pPr>
              <w:spacing w:after="0"/>
              <w:rPr>
                <w:sz w:val="24"/>
                <w:szCs w:val="24"/>
                <w:color w:val="auto"/>
              </w:rPr>
            </w:pPr>
          </w:p>
        </w:tc>
        <w:tc>
          <w:tcPr>
            <w:tcW w:w="6120" w:type="dxa"/>
            <w:vAlign w:val="bottom"/>
            <w:gridSpan w:val="12"/>
          </w:tcPr>
          <w:p>
            <w:pPr>
              <w:spacing w:after="0"/>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IMAX Corporation Supplemental Executive Retirement Plan, as amended and</w:t>
              </w:r>
            </w:hyperlink>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2/21/13</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20" w:type="dxa"/>
            <w:vAlign w:val="bottom"/>
            <w:tcBorders>
              <w:top w:val="single" w:sz="8" w:color="0000EE"/>
            </w:tcBorders>
            <w:gridSpan w:val="8"/>
          </w:tcPr>
          <w:p>
            <w:pPr>
              <w:spacing w:after="0" w:line="195"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restated as of January 1, 2006.</w:t>
              </w:r>
            </w:hyperlink>
          </w:p>
        </w:tc>
        <w:tc>
          <w:tcPr>
            <w:tcW w:w="10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3"/>
        </w:trPr>
        <w:tc>
          <w:tcPr>
            <w:tcW w:w="82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2160" w:type="dxa"/>
            <w:vAlign w:val="bottom"/>
            <w:tcBorders>
              <w:top w:val="single" w:sz="8" w:color="0000EE"/>
            </w:tcBorders>
            <w:gridSpan w:val="5"/>
          </w:tcPr>
          <w:p>
            <w:pPr>
              <w:spacing w:after="0"/>
              <w:rPr>
                <w:sz w:val="24"/>
                <w:szCs w:val="24"/>
                <w:color w:val="auto"/>
              </w:rPr>
            </w:pPr>
          </w:p>
        </w:tc>
        <w:tc>
          <w:tcPr>
            <w:tcW w:w="384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vMerge w:val="restart"/>
          </w:tcPr>
          <w:p>
            <w:pPr>
              <w:spacing w:after="0"/>
              <w:rPr>
                <w:sz w:val="13"/>
                <w:szCs w:val="13"/>
                <w:color w:val="auto"/>
              </w:rPr>
            </w:pP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0" w:type="dxa"/>
            <w:vAlign w:val="bottom"/>
          </w:tcPr>
          <w:p>
            <w:pPr>
              <w:spacing w:after="0"/>
              <w:rPr>
                <w:sz w:val="1"/>
                <w:szCs w:val="1"/>
                <w:color w:val="auto"/>
              </w:rPr>
            </w:pPr>
          </w:p>
        </w:tc>
      </w:tr>
      <w:tr>
        <w:trPr>
          <w:trHeight w:val="173"/>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6"/>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40" w:type="dxa"/>
            <w:vAlign w:val="bottom"/>
          </w:tcPr>
          <w:p>
            <w:pPr>
              <w:spacing w:after="0"/>
              <w:rPr>
                <w:sz w:val="24"/>
                <w:szCs w:val="24"/>
                <w:color w:val="auto"/>
              </w:rPr>
            </w:pPr>
          </w:p>
        </w:tc>
        <w:tc>
          <w:tcPr>
            <w:tcW w:w="60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Employment Agreement, dated July 1, 1998, between IMAX Corporation and</w:t>
              </w:r>
            </w:hyperlink>
          </w:p>
        </w:tc>
        <w:tc>
          <w:tcPr>
            <w:tcW w:w="100" w:type="dxa"/>
            <w:vAlign w:val="bottom"/>
            <w:gridSpan w:val="4"/>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20" w:type="dxa"/>
            <w:vAlign w:val="bottom"/>
            <w:gridSpan w:val="13"/>
          </w:tcPr>
          <w:p>
            <w:pPr>
              <w:spacing w:after="0" w:line="195"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Bradley J. Wechsler.</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40" w:type="dxa"/>
            <w:vAlign w:val="bottom"/>
          </w:tcPr>
          <w:p>
            <w:pPr>
              <w:spacing w:after="0"/>
              <w:rPr>
                <w:sz w:val="24"/>
                <w:szCs w:val="24"/>
                <w:color w:val="auto"/>
              </w:rPr>
            </w:pPr>
          </w:p>
        </w:tc>
        <w:tc>
          <w:tcPr>
            <w:tcW w:w="6720" w:type="dxa"/>
            <w:vAlign w:val="bottom"/>
            <w:gridSpan w:val="15"/>
          </w:tcPr>
          <w:p>
            <w:pPr>
              <w:spacing w:after="0"/>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 xml:space="preserve">Amended  Employment  Agreement,  dated  July  12,  2000,  between  IMAX  </w:t>
              </w:r>
            </w:hyperlink>
            <w:r>
              <w:rPr>
                <w:rFonts w:ascii="Times New Roman" w:cs="Times New Roman" w:eastAsia="Times New Roman" w:hAnsi="Times New Roman"/>
                <w:sz w:val="18"/>
                <w:szCs w:val="18"/>
                <w:color w:val="000000"/>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8"/>
          </w:tcPr>
          <w:p>
            <w:pPr>
              <w:spacing w:after="0" w:line="195"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Corporation and Bradley J. Wechsler.</w:t>
              </w:r>
            </w:hyperlink>
          </w:p>
        </w:tc>
        <w:tc>
          <w:tcPr>
            <w:tcW w:w="3320" w:type="dxa"/>
            <w:vAlign w:val="bottom"/>
            <w:tcBorders>
              <w:top w:val="single" w:sz="8" w:color="0000EE"/>
            </w:tcBorders>
            <w:gridSpan w:val="2"/>
          </w:tcPr>
          <w:p>
            <w:pPr>
              <w:spacing w:after="0"/>
              <w:rPr>
                <w:sz w:val="17"/>
                <w:szCs w:val="17"/>
                <w:color w:val="auto"/>
              </w:rPr>
            </w:pPr>
          </w:p>
        </w:tc>
        <w:tc>
          <w:tcPr>
            <w:tcW w:w="8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40" w:type="dxa"/>
            <w:vAlign w:val="bottom"/>
          </w:tcPr>
          <w:p>
            <w:pPr>
              <w:spacing w:after="0"/>
              <w:rPr>
                <w:sz w:val="24"/>
                <w:szCs w:val="24"/>
                <w:color w:val="auto"/>
              </w:rPr>
            </w:pPr>
          </w:p>
        </w:tc>
        <w:tc>
          <w:tcPr>
            <w:tcW w:w="60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Amended  Employment  Agreement,  dated  March  8,  2006,  between  IMAX</w:t>
              </w:r>
            </w:hyperlink>
          </w:p>
        </w:tc>
        <w:tc>
          <w:tcPr>
            <w:tcW w:w="80" w:type="dxa"/>
            <w:vAlign w:val="bottom"/>
            <w:gridSpan w:val="3"/>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00" w:type="dxa"/>
            <w:vAlign w:val="bottom"/>
            <w:tcBorders>
              <w:bottom w:val="single" w:sz="8" w:color="0000EE"/>
            </w:tcBorders>
            <w:gridSpan w:val="7"/>
          </w:tcPr>
          <w:p>
            <w:pPr>
              <w:spacing w:after="0" w:line="195" w:lineRule="exact"/>
              <w:rPr>
                <w:rFonts w:ascii="Times New Roman" w:cs="Times New Roman" w:eastAsia="Times New Roman" w:hAnsi="Times New Roman"/>
                <w:sz w:val="18"/>
                <w:szCs w:val="18"/>
                <w:color w:val="0000EE"/>
                <w:w w:val="98"/>
              </w:rPr>
            </w:pPr>
            <w:hyperlink r:id="rId217">
              <w:r>
                <w:rPr>
                  <w:rFonts w:ascii="Times New Roman" w:cs="Times New Roman" w:eastAsia="Times New Roman" w:hAnsi="Times New Roman"/>
                  <w:sz w:val="18"/>
                  <w:szCs w:val="18"/>
                  <w:color w:val="0000EE"/>
                  <w:w w:val="98"/>
                </w:rPr>
                <w:t>Corporation and Bradley J. Wechsler.</w:t>
              </w:r>
            </w:hyperlink>
          </w:p>
        </w:tc>
        <w:tc>
          <w:tcPr>
            <w:tcW w:w="342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40" w:type="dxa"/>
            <w:vAlign w:val="bottom"/>
          </w:tcPr>
          <w:p>
            <w:pPr>
              <w:spacing w:after="0"/>
              <w:rPr>
                <w:sz w:val="24"/>
                <w:szCs w:val="24"/>
                <w:color w:val="auto"/>
              </w:rPr>
            </w:pPr>
          </w:p>
        </w:tc>
        <w:tc>
          <w:tcPr>
            <w:tcW w:w="60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Amended Employment Agreement, dated February 15, 2007, between IMAX</w:t>
              </w:r>
            </w:hyperlink>
          </w:p>
        </w:tc>
        <w:tc>
          <w:tcPr>
            <w:tcW w:w="80" w:type="dxa"/>
            <w:vAlign w:val="bottom"/>
            <w:gridSpan w:val="3"/>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00" w:type="dxa"/>
            <w:vAlign w:val="bottom"/>
            <w:tcBorders>
              <w:bottom w:val="single" w:sz="8" w:color="0000EE"/>
            </w:tcBorders>
            <w:gridSpan w:val="7"/>
          </w:tcPr>
          <w:p>
            <w:pPr>
              <w:spacing w:after="0" w:line="195" w:lineRule="exact"/>
              <w:rPr>
                <w:rFonts w:ascii="Times New Roman" w:cs="Times New Roman" w:eastAsia="Times New Roman" w:hAnsi="Times New Roman"/>
                <w:sz w:val="18"/>
                <w:szCs w:val="18"/>
                <w:color w:val="0000EE"/>
                <w:w w:val="98"/>
              </w:rPr>
            </w:pPr>
            <w:hyperlink r:id="rId218">
              <w:r>
                <w:rPr>
                  <w:rFonts w:ascii="Times New Roman" w:cs="Times New Roman" w:eastAsia="Times New Roman" w:hAnsi="Times New Roman"/>
                  <w:sz w:val="18"/>
                  <w:szCs w:val="18"/>
                  <w:color w:val="0000EE"/>
                  <w:w w:val="98"/>
                </w:rPr>
                <w:t>Corporation and Bradley J. Wechsler.</w:t>
              </w:r>
            </w:hyperlink>
          </w:p>
        </w:tc>
        <w:tc>
          <w:tcPr>
            <w:tcW w:w="342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40" w:type="dxa"/>
            <w:vAlign w:val="bottom"/>
          </w:tcPr>
          <w:p>
            <w:pPr>
              <w:spacing w:after="0"/>
              <w:rPr>
                <w:sz w:val="24"/>
                <w:szCs w:val="24"/>
                <w:color w:val="auto"/>
              </w:rPr>
            </w:pPr>
          </w:p>
        </w:tc>
        <w:tc>
          <w:tcPr>
            <w:tcW w:w="60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Amended Employment Agreement, dated December 31, 2007, between IMAX</w:t>
              </w:r>
            </w:hyperlink>
          </w:p>
        </w:tc>
        <w:tc>
          <w:tcPr>
            <w:tcW w:w="100" w:type="dxa"/>
            <w:vAlign w:val="bottom"/>
            <w:gridSpan w:val="4"/>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20" w:type="dxa"/>
            <w:vAlign w:val="bottom"/>
            <w:tcBorders>
              <w:bottom w:val="single" w:sz="8" w:color="0000EE"/>
            </w:tcBorders>
            <w:gridSpan w:val="8"/>
          </w:tcPr>
          <w:p>
            <w:pPr>
              <w:spacing w:after="0" w:line="195"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Corporation and Bradley J. Wechsler.</w:t>
              </w:r>
            </w:hyperlink>
          </w:p>
        </w:tc>
        <w:tc>
          <w:tcPr>
            <w:tcW w:w="340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40" w:type="dxa"/>
            <w:vAlign w:val="bottom"/>
          </w:tcPr>
          <w:p>
            <w:pPr>
              <w:spacing w:after="0"/>
              <w:rPr>
                <w:sz w:val="24"/>
                <w:szCs w:val="24"/>
                <w:color w:val="auto"/>
              </w:rPr>
            </w:pPr>
          </w:p>
        </w:tc>
        <w:tc>
          <w:tcPr>
            <w:tcW w:w="60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Services Agreement, dated December 11, 2008, between IMAX Corporation and</w:t>
              </w:r>
            </w:hyperlink>
          </w:p>
        </w:tc>
        <w:tc>
          <w:tcPr>
            <w:tcW w:w="100" w:type="dxa"/>
            <w:vAlign w:val="bottom"/>
            <w:gridSpan w:val="4"/>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20" w:type="dxa"/>
            <w:vAlign w:val="bottom"/>
            <w:gridSpan w:val="13"/>
          </w:tcPr>
          <w:p>
            <w:pPr>
              <w:spacing w:after="0" w:line="195"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Bradley J. Wechsler.</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40" w:type="dxa"/>
            <w:vAlign w:val="bottom"/>
          </w:tcPr>
          <w:p>
            <w:pPr>
              <w:spacing w:after="0"/>
              <w:rPr>
                <w:sz w:val="24"/>
                <w:szCs w:val="24"/>
                <w:color w:val="auto"/>
              </w:rPr>
            </w:pPr>
          </w:p>
        </w:tc>
        <w:tc>
          <w:tcPr>
            <w:tcW w:w="60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Services Agreement Amendment, dated February 14, 2011, between IMAX</w:t>
              </w:r>
            </w:hyperlink>
          </w:p>
        </w:tc>
        <w:tc>
          <w:tcPr>
            <w:tcW w:w="80" w:type="dxa"/>
            <w:vAlign w:val="bottom"/>
            <w:gridSpan w:val="3"/>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20" w:type="dxa"/>
            <w:vAlign w:val="bottom"/>
            <w:tcBorders>
              <w:bottom w:val="single" w:sz="8" w:color="0000EE"/>
            </w:tcBorders>
            <w:gridSpan w:val="8"/>
          </w:tcPr>
          <w:p>
            <w:pPr>
              <w:spacing w:after="0" w:line="195"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Corporation and Bradley J. Wechsler.</w:t>
              </w:r>
            </w:hyperlink>
          </w:p>
        </w:tc>
        <w:tc>
          <w:tcPr>
            <w:tcW w:w="340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40" w:type="dxa"/>
            <w:vAlign w:val="bottom"/>
          </w:tcPr>
          <w:p>
            <w:pPr>
              <w:spacing w:after="0"/>
              <w:rPr>
                <w:sz w:val="24"/>
                <w:szCs w:val="24"/>
                <w:color w:val="auto"/>
              </w:rPr>
            </w:pPr>
          </w:p>
        </w:tc>
        <w:tc>
          <w:tcPr>
            <w:tcW w:w="60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Services Agreement Amendment, dated April 1, 2013, between IMAX Corporation</w:t>
              </w:r>
            </w:hyperlink>
          </w:p>
        </w:tc>
        <w:tc>
          <w:tcPr>
            <w:tcW w:w="60" w:type="dxa"/>
            <w:vAlign w:val="bottom"/>
            <w:gridSpan w:val="2"/>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20" w:type="dxa"/>
            <w:vAlign w:val="bottom"/>
            <w:gridSpan w:val="13"/>
          </w:tcPr>
          <w:p>
            <w:pPr>
              <w:spacing w:after="0" w:line="195"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and Bradley J. Wechsler.</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40" w:type="dxa"/>
            <w:vAlign w:val="bottom"/>
          </w:tcPr>
          <w:p>
            <w:pPr>
              <w:spacing w:after="0"/>
              <w:rPr>
                <w:sz w:val="24"/>
                <w:szCs w:val="24"/>
                <w:color w:val="auto"/>
              </w:rPr>
            </w:pPr>
          </w:p>
        </w:tc>
        <w:tc>
          <w:tcPr>
            <w:tcW w:w="60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Employment Agreement, dated July 1, 1998, between IMAX Corporation and</w:t>
              </w:r>
            </w:hyperlink>
          </w:p>
        </w:tc>
        <w:tc>
          <w:tcPr>
            <w:tcW w:w="100" w:type="dxa"/>
            <w:vAlign w:val="bottom"/>
            <w:gridSpan w:val="4"/>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6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0000EE"/>
                <w:w w:val="97"/>
              </w:rPr>
            </w:pPr>
            <w:hyperlink r:id="rId223">
              <w:r>
                <w:rPr>
                  <w:rFonts w:ascii="Times New Roman" w:cs="Times New Roman" w:eastAsia="Times New Roman" w:hAnsi="Times New Roman"/>
                  <w:sz w:val="18"/>
                  <w:szCs w:val="18"/>
                  <w:color w:val="0000EE"/>
                  <w:w w:val="97"/>
                </w:rPr>
                <w:t>Richard L. Gelfond.</w:t>
              </w:r>
            </w:hyperlink>
          </w:p>
        </w:tc>
        <w:tc>
          <w:tcPr>
            <w:tcW w:w="4660" w:type="dxa"/>
            <w:vAlign w:val="bottom"/>
            <w:gridSpan w:val="10"/>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40" w:type="dxa"/>
            <w:vAlign w:val="bottom"/>
          </w:tcPr>
          <w:p>
            <w:pPr>
              <w:spacing w:after="0"/>
              <w:rPr>
                <w:sz w:val="24"/>
                <w:szCs w:val="24"/>
                <w:color w:val="auto"/>
              </w:rPr>
            </w:pPr>
          </w:p>
        </w:tc>
        <w:tc>
          <w:tcPr>
            <w:tcW w:w="6720" w:type="dxa"/>
            <w:vAlign w:val="bottom"/>
            <w:gridSpan w:val="15"/>
          </w:tcPr>
          <w:p>
            <w:pPr>
              <w:spacing w:after="0"/>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 xml:space="preserve">Amended  Employment  Agreement,  dated  July  12,  2000,  between  IMAX  </w:t>
              </w:r>
            </w:hyperlink>
            <w:r>
              <w:rPr>
                <w:rFonts w:ascii="Times New Roman" w:cs="Times New Roman" w:eastAsia="Times New Roman" w:hAnsi="Times New Roman"/>
                <w:sz w:val="18"/>
                <w:szCs w:val="18"/>
                <w:color w:val="000000"/>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6"/>
          </w:tcPr>
          <w:p>
            <w:pPr>
              <w:spacing w:after="0" w:line="195"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Corporation and Richard L. Gelfond.</w:t>
              </w:r>
            </w:hyperlink>
          </w:p>
        </w:tc>
        <w:tc>
          <w:tcPr>
            <w:tcW w:w="3360" w:type="dxa"/>
            <w:vAlign w:val="bottom"/>
            <w:tcBorders>
              <w:top w:val="single" w:sz="8" w:color="0000EE"/>
            </w:tcBorders>
            <w:gridSpan w:val="4"/>
          </w:tcPr>
          <w:p>
            <w:pPr>
              <w:spacing w:after="0"/>
              <w:rPr>
                <w:sz w:val="17"/>
                <w:szCs w:val="17"/>
                <w:color w:val="auto"/>
              </w:rPr>
            </w:pPr>
          </w:p>
        </w:tc>
        <w:tc>
          <w:tcPr>
            <w:tcW w:w="8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40" w:type="dxa"/>
            <w:vAlign w:val="bottom"/>
          </w:tcPr>
          <w:p>
            <w:pPr>
              <w:spacing w:after="0"/>
              <w:rPr>
                <w:sz w:val="24"/>
                <w:szCs w:val="24"/>
                <w:color w:val="auto"/>
              </w:rPr>
            </w:pPr>
          </w:p>
        </w:tc>
        <w:tc>
          <w:tcPr>
            <w:tcW w:w="60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Amended  Employment  Agreement,  dated  March  8,  2006,  between  IMAX</w:t>
              </w:r>
            </w:hyperlink>
          </w:p>
        </w:tc>
        <w:tc>
          <w:tcPr>
            <w:tcW w:w="80" w:type="dxa"/>
            <w:vAlign w:val="bottom"/>
            <w:gridSpan w:val="3"/>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Borders>
              <w:bottom w:val="single" w:sz="8" w:color="0000EE"/>
            </w:tcBorders>
            <w:gridSpan w:val="6"/>
          </w:tcPr>
          <w:p>
            <w:pPr>
              <w:spacing w:after="0" w:line="195"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Corporation and Richard L. Gelfond.</w:t>
              </w:r>
            </w:hyperlink>
          </w:p>
        </w:tc>
        <w:tc>
          <w:tcPr>
            <w:tcW w:w="344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40" w:type="dxa"/>
            <w:vAlign w:val="bottom"/>
          </w:tcPr>
          <w:p>
            <w:pPr>
              <w:spacing w:after="0"/>
              <w:rPr>
                <w:sz w:val="24"/>
                <w:szCs w:val="24"/>
                <w:color w:val="auto"/>
              </w:rPr>
            </w:pPr>
          </w:p>
        </w:tc>
        <w:tc>
          <w:tcPr>
            <w:tcW w:w="60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Amended Employment Agreement, dated February 15, 2007, between IMAX</w:t>
              </w:r>
            </w:hyperlink>
          </w:p>
        </w:tc>
        <w:tc>
          <w:tcPr>
            <w:tcW w:w="80" w:type="dxa"/>
            <w:vAlign w:val="bottom"/>
            <w:gridSpan w:val="3"/>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6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0000EE"/>
                <w:w w:val="98"/>
              </w:rPr>
            </w:pPr>
            <w:hyperlink r:id="rId226">
              <w:r>
                <w:rPr>
                  <w:rFonts w:ascii="Times New Roman" w:cs="Times New Roman" w:eastAsia="Times New Roman" w:hAnsi="Times New Roman"/>
                  <w:sz w:val="18"/>
                  <w:szCs w:val="18"/>
                  <w:color w:val="0000EE"/>
                  <w:w w:val="98"/>
                </w:rPr>
                <w:t>Corporation and Richard L. Gelfond.</w:t>
              </w:r>
            </w:hyperlink>
          </w:p>
        </w:tc>
        <w:tc>
          <w:tcPr>
            <w:tcW w:w="346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40" w:type="dxa"/>
            <w:vAlign w:val="bottom"/>
          </w:tcPr>
          <w:p>
            <w:pPr>
              <w:spacing w:after="0"/>
              <w:rPr>
                <w:sz w:val="24"/>
                <w:szCs w:val="24"/>
                <w:color w:val="auto"/>
              </w:rPr>
            </w:pPr>
          </w:p>
        </w:tc>
        <w:tc>
          <w:tcPr>
            <w:tcW w:w="60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Amended Employment Agreement, dated December 31, 2007, between IMAX</w:t>
              </w:r>
            </w:hyperlink>
          </w:p>
        </w:tc>
        <w:tc>
          <w:tcPr>
            <w:tcW w:w="100" w:type="dxa"/>
            <w:vAlign w:val="bottom"/>
            <w:gridSpan w:val="4"/>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6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0000EE"/>
                <w:w w:val="98"/>
              </w:rPr>
            </w:pPr>
            <w:hyperlink r:id="rId227">
              <w:r>
                <w:rPr>
                  <w:rFonts w:ascii="Times New Roman" w:cs="Times New Roman" w:eastAsia="Times New Roman" w:hAnsi="Times New Roman"/>
                  <w:sz w:val="18"/>
                  <w:szCs w:val="18"/>
                  <w:color w:val="0000EE"/>
                  <w:w w:val="98"/>
                </w:rPr>
                <w:t>Corporation and Richard L. Gelfond.</w:t>
              </w:r>
            </w:hyperlink>
          </w:p>
        </w:tc>
        <w:tc>
          <w:tcPr>
            <w:tcW w:w="346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40" w:type="dxa"/>
            <w:vAlign w:val="bottom"/>
          </w:tcPr>
          <w:p>
            <w:pPr>
              <w:spacing w:after="0"/>
              <w:rPr>
                <w:sz w:val="24"/>
                <w:szCs w:val="24"/>
                <w:color w:val="auto"/>
              </w:rPr>
            </w:pPr>
          </w:p>
        </w:tc>
        <w:tc>
          <w:tcPr>
            <w:tcW w:w="60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Amended Employment Agreement, dated December 11, 2008, between IMAX</w:t>
              </w:r>
            </w:hyperlink>
          </w:p>
        </w:tc>
        <w:tc>
          <w:tcPr>
            <w:tcW w:w="80" w:type="dxa"/>
            <w:vAlign w:val="bottom"/>
            <w:gridSpan w:val="3"/>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6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0000EE"/>
                <w:w w:val="98"/>
              </w:rPr>
            </w:pPr>
            <w:hyperlink r:id="rId228">
              <w:r>
                <w:rPr>
                  <w:rFonts w:ascii="Times New Roman" w:cs="Times New Roman" w:eastAsia="Times New Roman" w:hAnsi="Times New Roman"/>
                  <w:sz w:val="18"/>
                  <w:szCs w:val="18"/>
                  <w:color w:val="0000EE"/>
                  <w:w w:val="98"/>
                </w:rPr>
                <w:t>Corporation and Richard L. Gelfond.</w:t>
              </w:r>
            </w:hyperlink>
          </w:p>
        </w:tc>
        <w:tc>
          <w:tcPr>
            <w:tcW w:w="346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40" w:type="dxa"/>
            <w:vAlign w:val="bottom"/>
          </w:tcPr>
          <w:p>
            <w:pPr>
              <w:spacing w:after="0"/>
              <w:rPr>
                <w:sz w:val="24"/>
                <w:szCs w:val="24"/>
                <w:color w:val="auto"/>
              </w:rPr>
            </w:pPr>
          </w:p>
        </w:tc>
        <w:tc>
          <w:tcPr>
            <w:tcW w:w="60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Amended Employment Agreement, dated December 20, 2010, between IMAX</w:t>
              </w:r>
            </w:hyperlink>
          </w:p>
        </w:tc>
        <w:tc>
          <w:tcPr>
            <w:tcW w:w="100" w:type="dxa"/>
            <w:vAlign w:val="bottom"/>
            <w:gridSpan w:val="4"/>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6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0000EE"/>
                <w:w w:val="98"/>
              </w:rPr>
            </w:pPr>
            <w:hyperlink r:id="rId229">
              <w:r>
                <w:rPr>
                  <w:rFonts w:ascii="Times New Roman" w:cs="Times New Roman" w:eastAsia="Times New Roman" w:hAnsi="Times New Roman"/>
                  <w:sz w:val="18"/>
                  <w:szCs w:val="18"/>
                  <w:color w:val="0000EE"/>
                  <w:w w:val="98"/>
                </w:rPr>
                <w:t>Corporation and Richard L. Gelfond.</w:t>
              </w:r>
            </w:hyperlink>
          </w:p>
        </w:tc>
        <w:tc>
          <w:tcPr>
            <w:tcW w:w="346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40" w:type="dxa"/>
            <w:vAlign w:val="bottom"/>
          </w:tcPr>
          <w:p>
            <w:pPr>
              <w:spacing w:after="0"/>
              <w:rPr>
                <w:sz w:val="24"/>
                <w:szCs w:val="24"/>
                <w:color w:val="auto"/>
              </w:rPr>
            </w:pPr>
          </w:p>
        </w:tc>
        <w:tc>
          <w:tcPr>
            <w:tcW w:w="60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Amended Employment Agreement, dated December 12, 2011, between IMAX</w:t>
              </w:r>
            </w:hyperlink>
          </w:p>
        </w:tc>
        <w:tc>
          <w:tcPr>
            <w:tcW w:w="80" w:type="dxa"/>
            <w:vAlign w:val="bottom"/>
            <w:gridSpan w:val="3"/>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Borders>
              <w:bottom w:val="single" w:sz="8" w:color="0000EE"/>
            </w:tcBorders>
            <w:gridSpan w:val="6"/>
          </w:tcPr>
          <w:p>
            <w:pPr>
              <w:spacing w:after="0" w:line="195"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Corporation and Richard L. Gelfond.</w:t>
              </w:r>
            </w:hyperlink>
          </w:p>
        </w:tc>
        <w:tc>
          <w:tcPr>
            <w:tcW w:w="344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40" w:type="dxa"/>
            <w:vAlign w:val="bottom"/>
          </w:tcPr>
          <w:p>
            <w:pPr>
              <w:spacing w:after="0"/>
              <w:rPr>
                <w:sz w:val="24"/>
                <w:szCs w:val="24"/>
                <w:color w:val="auto"/>
              </w:rPr>
            </w:pPr>
          </w:p>
        </w:tc>
        <w:tc>
          <w:tcPr>
            <w:tcW w:w="60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Employment Agreement, dated January 1, 2014, between IMAX Corporation and</w:t>
              </w:r>
            </w:hyperlink>
          </w:p>
        </w:tc>
        <w:tc>
          <w:tcPr>
            <w:tcW w:w="80" w:type="dxa"/>
            <w:vAlign w:val="bottom"/>
            <w:gridSpan w:val="3"/>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6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0000EE"/>
                <w:w w:val="97"/>
              </w:rPr>
            </w:pPr>
            <w:hyperlink r:id="rId231">
              <w:r>
                <w:rPr>
                  <w:rFonts w:ascii="Times New Roman" w:cs="Times New Roman" w:eastAsia="Times New Roman" w:hAnsi="Times New Roman"/>
                  <w:sz w:val="18"/>
                  <w:szCs w:val="18"/>
                  <w:color w:val="0000EE"/>
                  <w:w w:val="97"/>
                </w:rPr>
                <w:t>Richard L. Gelfond.</w:t>
              </w:r>
            </w:hyperlink>
          </w:p>
        </w:tc>
        <w:tc>
          <w:tcPr>
            <w:tcW w:w="4660" w:type="dxa"/>
            <w:vAlign w:val="bottom"/>
            <w:gridSpan w:val="10"/>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40" w:type="dxa"/>
            <w:vAlign w:val="bottom"/>
          </w:tcPr>
          <w:p>
            <w:pPr>
              <w:spacing w:after="0"/>
              <w:rPr>
                <w:sz w:val="24"/>
                <w:szCs w:val="24"/>
                <w:color w:val="auto"/>
              </w:rPr>
            </w:pPr>
          </w:p>
        </w:tc>
        <w:tc>
          <w:tcPr>
            <w:tcW w:w="60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First Amending Agreement, dated December 9, 2015, between IMAX Corporation</w:t>
              </w:r>
            </w:hyperlink>
          </w:p>
        </w:tc>
        <w:tc>
          <w:tcPr>
            <w:tcW w:w="100" w:type="dxa"/>
            <w:vAlign w:val="bottom"/>
            <w:gridSpan w:val="4"/>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20" w:type="dxa"/>
            <w:vAlign w:val="bottom"/>
            <w:gridSpan w:val="13"/>
          </w:tcPr>
          <w:p>
            <w:pPr>
              <w:spacing w:after="0" w:line="195"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and Richard L. Gelfond.</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40" w:type="dxa"/>
            <w:vAlign w:val="bottom"/>
          </w:tcPr>
          <w:p>
            <w:pPr>
              <w:spacing w:after="0"/>
              <w:rPr>
                <w:sz w:val="24"/>
                <w:szCs w:val="24"/>
                <w:color w:val="auto"/>
              </w:rPr>
            </w:pPr>
          </w:p>
        </w:tc>
        <w:tc>
          <w:tcPr>
            <w:tcW w:w="60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Employment Agreement, dated November 8, 2016, between IMAX Corporation</w:t>
              </w:r>
            </w:hyperlink>
          </w:p>
        </w:tc>
        <w:tc>
          <w:tcPr>
            <w:tcW w:w="80" w:type="dxa"/>
            <w:vAlign w:val="bottom"/>
            <w:gridSpan w:val="3"/>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20" w:type="dxa"/>
            <w:vAlign w:val="bottom"/>
            <w:gridSpan w:val="13"/>
          </w:tcPr>
          <w:p>
            <w:pPr>
              <w:spacing w:after="0" w:line="195"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and Richard L. Gelfond.</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40" w:type="dxa"/>
            <w:vAlign w:val="bottom"/>
          </w:tcPr>
          <w:p>
            <w:pPr>
              <w:spacing w:after="0"/>
              <w:rPr>
                <w:sz w:val="24"/>
                <w:szCs w:val="24"/>
                <w:color w:val="auto"/>
              </w:rPr>
            </w:pPr>
          </w:p>
        </w:tc>
        <w:tc>
          <w:tcPr>
            <w:tcW w:w="60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Amendment to Employment Agreement, dated November 1, 2019, between IMAX</w:t>
              </w:r>
            </w:hyperlink>
          </w:p>
        </w:tc>
        <w:tc>
          <w:tcPr>
            <w:tcW w:w="80" w:type="dxa"/>
            <w:vAlign w:val="bottom"/>
            <w:gridSpan w:val="3"/>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Borders>
              <w:bottom w:val="single" w:sz="8" w:color="0000EE"/>
            </w:tcBorders>
            <w:gridSpan w:val="6"/>
          </w:tcPr>
          <w:p>
            <w:pPr>
              <w:spacing w:after="0" w:line="195" w:lineRule="exact"/>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Corporation and Richard L. Gelfond.</w:t>
              </w:r>
            </w:hyperlink>
          </w:p>
        </w:tc>
        <w:tc>
          <w:tcPr>
            <w:tcW w:w="344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40" w:type="dxa"/>
            <w:vAlign w:val="bottom"/>
          </w:tcPr>
          <w:p>
            <w:pPr>
              <w:spacing w:after="0"/>
              <w:rPr>
                <w:sz w:val="24"/>
                <w:szCs w:val="24"/>
                <w:color w:val="auto"/>
              </w:rPr>
            </w:pPr>
          </w:p>
        </w:tc>
        <w:tc>
          <w:tcPr>
            <w:tcW w:w="60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Employment Agreement, dated September 1, 2016, between IMAX Corporation</w:t>
              </w:r>
            </w:hyperlink>
          </w:p>
        </w:tc>
        <w:tc>
          <w:tcPr>
            <w:tcW w:w="100" w:type="dxa"/>
            <w:vAlign w:val="bottom"/>
            <w:gridSpan w:val="4"/>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20" w:type="dxa"/>
            <w:vAlign w:val="bottom"/>
            <w:gridSpan w:val="13"/>
          </w:tcPr>
          <w:p>
            <w:pPr>
              <w:spacing w:after="0" w:line="195"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and Greg Foster.</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3"/>
        </w:trPr>
        <w:tc>
          <w:tcPr>
            <w:tcW w:w="82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4840" w:type="dxa"/>
            <w:vAlign w:val="bottom"/>
            <w:gridSpan w:val="7"/>
          </w:tcPr>
          <w:p>
            <w:pPr>
              <w:jc w:val="right"/>
              <w:ind w:right="2120"/>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95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920"/>
        <w:spacing w:after="0"/>
        <w:rPr>
          <w:sz w:val="20"/>
          <w:szCs w:val="20"/>
          <w:color w:val="auto"/>
        </w:rPr>
      </w:pPr>
      <w:r>
        <w:rPr>
          <w:rFonts w:ascii="Times New Roman" w:cs="Times New Roman" w:eastAsia="Times New Roman" w:hAnsi="Times New Roman"/>
          <w:sz w:val="14"/>
          <w:szCs w:val="14"/>
          <w:b w:val="1"/>
          <w:bCs w:val="1"/>
          <w:color w:val="auto"/>
        </w:rPr>
        <w:t>Filing</w:t>
      </w:r>
    </w:p>
    <w:p>
      <w:pPr>
        <w:spacing w:after="0" w:line="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-3175</wp:posOffset>
            </wp:positionV>
            <wp:extent cx="10521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7">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spacing w:after="0" w:line="90"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2/21/13</w:t>
      </w:r>
    </w:p>
    <w:p>
      <w:pPr>
        <w:spacing w:after="0" w:line="345"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2/21/13</w:t>
      </w:r>
    </w:p>
    <w:p>
      <w:pPr>
        <w:spacing w:after="0" w:line="345"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2/24/12</w:t>
      </w:r>
    </w:p>
    <w:p>
      <w:pPr>
        <w:spacing w:after="0" w:line="345"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2/24/12</w:t>
      </w:r>
    </w:p>
    <w:p>
      <w:pPr>
        <w:spacing w:after="0" w:line="345"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2/20/14</w:t>
      </w:r>
    </w:p>
    <w:p>
      <w:pPr>
        <w:spacing w:after="0" w:line="345"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2/19/15</w:t>
      </w:r>
    </w:p>
    <w:p>
      <w:pPr>
        <w:spacing w:after="0" w:line="345"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color w:val="auto"/>
        </w:rPr>
        <w:t>2/24/16</w:t>
      </w:r>
    </w:p>
    <w:p>
      <w:pPr>
        <w:spacing w:after="0" w:line="345"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2/20/14</w:t>
      </w:r>
    </w:p>
    <w:p>
      <w:pPr>
        <w:spacing w:after="0" w:line="345"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color w:val="auto"/>
        </w:rPr>
        <w:t>2/21/13</w:t>
      </w:r>
    </w:p>
    <w:p>
      <w:pPr>
        <w:spacing w:after="0" w:line="345"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2/21/13</w:t>
      </w:r>
    </w:p>
    <w:p>
      <w:pPr>
        <w:spacing w:after="0" w:line="345"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2/24/12</w:t>
      </w:r>
    </w:p>
    <w:p>
      <w:pPr>
        <w:spacing w:after="0" w:line="345"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color w:val="auto"/>
        </w:rPr>
        <w:t>2/24/12</w:t>
      </w:r>
    </w:p>
    <w:p>
      <w:pPr>
        <w:spacing w:after="0" w:line="345"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8"/>
          <w:szCs w:val="18"/>
          <w:color w:val="auto"/>
        </w:rPr>
        <w:t>2/20/14</w:t>
      </w:r>
    </w:p>
    <w:p>
      <w:pPr>
        <w:spacing w:after="0" w:line="345"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2/19/15</w:t>
      </w:r>
    </w:p>
    <w:p>
      <w:pPr>
        <w:spacing w:after="0" w:line="345"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color w:val="auto"/>
        </w:rPr>
        <w:t>2/24/16</w:t>
      </w:r>
    </w:p>
    <w:p>
      <w:pPr>
        <w:spacing w:after="0" w:line="345"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2/24/12</w:t>
      </w:r>
    </w:p>
    <w:p>
      <w:pPr>
        <w:spacing w:after="0" w:line="345"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color w:val="auto"/>
        </w:rPr>
        <w:t>10/23/14</w:t>
      </w:r>
    </w:p>
    <w:p>
      <w:pPr>
        <w:spacing w:after="0" w:line="345"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8"/>
          <w:szCs w:val="18"/>
          <w:color w:val="auto"/>
        </w:rPr>
        <w:t>2/24/16</w:t>
      </w:r>
    </w:p>
    <w:p>
      <w:pPr>
        <w:spacing w:after="0" w:line="345"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8"/>
          <w:szCs w:val="18"/>
          <w:color w:val="auto"/>
        </w:rPr>
        <w:t>2/23/17</w:t>
      </w:r>
    </w:p>
    <w:p>
      <w:pPr>
        <w:spacing w:after="0" w:line="345"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18"/>
          <w:szCs w:val="18"/>
          <w:color w:val="auto"/>
        </w:rPr>
        <w:t>2/19/20</w:t>
      </w:r>
    </w:p>
    <w:p>
      <w:pPr>
        <w:spacing w:after="0" w:line="345"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10.43</w:t>
      </w:r>
      <w:r>
        <w:rPr>
          <w:sz w:val="20"/>
          <w:szCs w:val="20"/>
          <w:color w:val="auto"/>
        </w:rPr>
        <w:tab/>
      </w:r>
      <w:r>
        <w:rPr>
          <w:rFonts w:ascii="Times New Roman" w:cs="Times New Roman" w:eastAsia="Times New Roman" w:hAnsi="Times New Roman"/>
          <w:sz w:val="17"/>
          <w:szCs w:val="17"/>
          <w:color w:val="auto"/>
        </w:rPr>
        <w:t>10/23/16</w:t>
      </w:r>
    </w:p>
    <w:p>
      <w:pPr>
        <w:sectPr>
          <w:pgSz w:w="11900" w:h="16838" w:orient="portrait"/>
          <w:cols w:equalWidth="0" w:num="2">
            <w:col w:w="9480" w:space="240"/>
            <w:col w:w="1420"/>
          </w:cols>
          <w:pgMar w:left="320" w:top="102" w:right="4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60" w:type="dxa"/>
            <w:vAlign w:val="bottom"/>
            <w:gridSpan w:val="10"/>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vMerge w:val="restart"/>
          </w:tcPr>
          <w:p>
            <w:pPr>
              <w:spacing w:after="0"/>
              <w:rPr>
                <w:sz w:val="13"/>
                <w:szCs w:val="13"/>
                <w:color w:val="auto"/>
              </w:rPr>
            </w:pP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vMerge w:val="restart"/>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73"/>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10"/>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9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40" w:type="dxa"/>
            <w:vAlign w:val="bottom"/>
          </w:tcPr>
          <w:p>
            <w:pPr>
              <w:spacing w:after="0"/>
              <w:rPr>
                <w:sz w:val="24"/>
                <w:szCs w:val="24"/>
                <w:color w:val="auto"/>
              </w:rPr>
            </w:pPr>
          </w:p>
        </w:tc>
        <w:tc>
          <w:tcPr>
            <w:tcW w:w="60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First Amending Agreement, dated January 25, 2018, between IMAX Corporation</w:t>
              </w:r>
            </w:hyperlink>
          </w:p>
        </w:tc>
        <w:tc>
          <w:tcPr>
            <w:tcW w:w="40" w:type="dxa"/>
            <w:vAlign w:val="bottom"/>
            <w:gridSpan w:val="4"/>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2/27/18</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20" w:type="dxa"/>
            <w:vAlign w:val="bottom"/>
            <w:gridSpan w:val="22"/>
          </w:tcPr>
          <w:p>
            <w:pPr>
              <w:spacing w:after="0" w:line="195"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and Greg Foster.</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40" w:type="dxa"/>
            <w:vAlign w:val="bottom"/>
          </w:tcPr>
          <w:p>
            <w:pPr>
              <w:spacing w:after="0"/>
              <w:rPr>
                <w:sz w:val="24"/>
                <w:szCs w:val="24"/>
                <w:color w:val="auto"/>
              </w:rPr>
            </w:pPr>
          </w:p>
        </w:tc>
        <w:tc>
          <w:tcPr>
            <w:tcW w:w="60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Letter of Agreement, dated December 7, 2018, between IMAX Corporation and</w:t>
              </w:r>
            </w:hyperlink>
          </w:p>
        </w:tc>
        <w:tc>
          <w:tcPr>
            <w:tcW w:w="80" w:type="dxa"/>
            <w:vAlign w:val="bottom"/>
            <w:gridSpan w:val="2"/>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10.40</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4/26/19</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0000EE"/>
                <w:w w:val="97"/>
              </w:rPr>
            </w:pPr>
            <w:hyperlink r:id="rId239">
              <w:r>
                <w:rPr>
                  <w:rFonts w:ascii="Times New Roman" w:cs="Times New Roman" w:eastAsia="Times New Roman" w:hAnsi="Times New Roman"/>
                  <w:sz w:val="18"/>
                  <w:szCs w:val="18"/>
                  <w:color w:val="0000EE"/>
                  <w:w w:val="97"/>
                </w:rPr>
                <w:t>Greg Foster.</w:t>
              </w:r>
            </w:hyperlink>
          </w:p>
        </w:tc>
        <w:tc>
          <w:tcPr>
            <w:tcW w:w="5220" w:type="dxa"/>
            <w:vAlign w:val="bottom"/>
            <w:gridSpan w:val="17"/>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40" w:type="dxa"/>
            <w:vAlign w:val="bottom"/>
          </w:tcPr>
          <w:p>
            <w:pPr>
              <w:spacing w:after="0"/>
              <w:rPr>
                <w:sz w:val="24"/>
                <w:szCs w:val="24"/>
                <w:color w:val="auto"/>
              </w:rPr>
            </w:pPr>
          </w:p>
        </w:tc>
        <w:tc>
          <w:tcPr>
            <w:tcW w:w="60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Nonqualified Retirement Plan Agreement, dated June 6, 2017, between IMAX</w:t>
              </w:r>
            </w:hyperlink>
          </w:p>
        </w:tc>
        <w:tc>
          <w:tcPr>
            <w:tcW w:w="80" w:type="dxa"/>
            <w:vAlign w:val="bottom"/>
            <w:gridSpan w:val="2"/>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10.42</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7/26/17</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00" w:type="dxa"/>
            <w:vAlign w:val="bottom"/>
            <w:tcBorders>
              <w:bottom w:val="single" w:sz="8" w:color="0000EE"/>
            </w:tcBorders>
            <w:gridSpan w:val="10"/>
          </w:tcPr>
          <w:p>
            <w:pPr>
              <w:spacing w:after="0" w:line="195" w:lineRule="exact"/>
              <w:rPr>
                <w:rFonts w:ascii="Times New Roman" w:cs="Times New Roman" w:eastAsia="Times New Roman" w:hAnsi="Times New Roman"/>
                <w:sz w:val="18"/>
                <w:szCs w:val="18"/>
                <w:color w:val="0000EE"/>
                <w:w w:val="98"/>
              </w:rPr>
            </w:pPr>
            <w:hyperlink r:id="rId240">
              <w:r>
                <w:rPr>
                  <w:rFonts w:ascii="Times New Roman" w:cs="Times New Roman" w:eastAsia="Times New Roman" w:hAnsi="Times New Roman"/>
                  <w:sz w:val="18"/>
                  <w:szCs w:val="18"/>
                  <w:color w:val="0000EE"/>
                  <w:w w:val="98"/>
                </w:rPr>
                <w:t>Corporation and Greg Foster.</w:t>
              </w:r>
            </w:hyperlink>
          </w:p>
        </w:tc>
        <w:tc>
          <w:tcPr>
            <w:tcW w:w="4020" w:type="dxa"/>
            <w:vAlign w:val="bottom"/>
            <w:gridSpan w:val="12"/>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40" w:type="dxa"/>
            <w:vAlign w:val="bottom"/>
          </w:tcPr>
          <w:p>
            <w:pPr>
              <w:spacing w:after="0"/>
              <w:rPr>
                <w:sz w:val="24"/>
                <w:szCs w:val="24"/>
                <w:color w:val="auto"/>
              </w:rPr>
            </w:pPr>
          </w:p>
        </w:tc>
        <w:tc>
          <w:tcPr>
            <w:tcW w:w="60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Amendment No. 1 to Nonqualified Retirement Plan Agreement, dated September</w:t>
              </w:r>
            </w:hyperlink>
          </w:p>
        </w:tc>
        <w:tc>
          <w:tcPr>
            <w:tcW w:w="100" w:type="dxa"/>
            <w:vAlign w:val="bottom"/>
            <w:gridSpan w:val="7"/>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10.43</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10/26/17</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20" w:type="dxa"/>
            <w:vAlign w:val="bottom"/>
            <w:gridSpan w:val="22"/>
          </w:tcPr>
          <w:p>
            <w:pPr>
              <w:spacing w:after="0" w:line="195"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27, 2017, between IMAX Corporation and Greg Foster.</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40" w:type="dxa"/>
            <w:vAlign w:val="bottom"/>
          </w:tcPr>
          <w:p>
            <w:pPr>
              <w:spacing w:after="0"/>
              <w:rPr>
                <w:sz w:val="24"/>
                <w:szCs w:val="24"/>
                <w:color w:val="auto"/>
              </w:rPr>
            </w:pPr>
          </w:p>
        </w:tc>
        <w:tc>
          <w:tcPr>
            <w:tcW w:w="6120" w:type="dxa"/>
            <w:vAlign w:val="bottom"/>
            <w:gridSpan w:val="22"/>
          </w:tcPr>
          <w:p>
            <w:pPr>
              <w:spacing w:after="0"/>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Split-Dollar Agreement, dated July 1, 2017, between IMAX Corporation and Greg</w:t>
              </w:r>
            </w:hyperlink>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10.44</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10/26/17</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Borders>
              <w:top w:val="single" w:sz="8" w:color="0000EE"/>
              <w:bottom w:val="single" w:sz="8" w:color="0000EE"/>
            </w:tcBorders>
            <w:gridSpan w:val="3"/>
          </w:tcPr>
          <w:p>
            <w:pPr>
              <w:spacing w:after="0" w:line="195" w:lineRule="exact"/>
              <w:rPr>
                <w:rFonts w:ascii="Times New Roman" w:cs="Times New Roman" w:eastAsia="Times New Roman" w:hAnsi="Times New Roman"/>
                <w:sz w:val="18"/>
                <w:szCs w:val="18"/>
                <w:color w:val="0000EE"/>
                <w:w w:val="92"/>
              </w:rPr>
            </w:pPr>
            <w:hyperlink r:id="rId242">
              <w:r>
                <w:rPr>
                  <w:rFonts w:ascii="Times New Roman" w:cs="Times New Roman" w:eastAsia="Times New Roman" w:hAnsi="Times New Roman"/>
                  <w:sz w:val="18"/>
                  <w:szCs w:val="18"/>
                  <w:color w:val="0000EE"/>
                  <w:w w:val="92"/>
                </w:rPr>
                <w:t>Foster.</w:t>
              </w:r>
            </w:hyperlink>
          </w:p>
        </w:tc>
        <w:tc>
          <w:tcPr>
            <w:tcW w:w="5540" w:type="dxa"/>
            <w:vAlign w:val="bottom"/>
            <w:tcBorders>
              <w:top w:val="single" w:sz="8" w:color="0000EE"/>
            </w:tcBorders>
            <w:gridSpan w:val="16"/>
          </w:tcPr>
          <w:p>
            <w:pPr>
              <w:spacing w:after="0"/>
              <w:rPr>
                <w:sz w:val="17"/>
                <w:szCs w:val="17"/>
                <w:color w:val="auto"/>
              </w:rPr>
            </w:pPr>
          </w:p>
        </w:tc>
        <w:tc>
          <w:tcPr>
            <w:tcW w:w="10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040" w:type="dxa"/>
            <w:vAlign w:val="bottom"/>
          </w:tcPr>
          <w:p>
            <w:pPr>
              <w:spacing w:after="0"/>
              <w:rPr>
                <w:sz w:val="24"/>
                <w:szCs w:val="24"/>
                <w:color w:val="auto"/>
              </w:rPr>
            </w:pPr>
          </w:p>
        </w:tc>
        <w:tc>
          <w:tcPr>
            <w:tcW w:w="60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Employment Agreement, dated December 18, 2017, between IMAX Corporation</w:t>
              </w:r>
            </w:hyperlink>
          </w:p>
        </w:tc>
        <w:tc>
          <w:tcPr>
            <w:tcW w:w="40" w:type="dxa"/>
            <w:vAlign w:val="bottom"/>
            <w:gridSpan w:val="4"/>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2/27/18</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20" w:type="dxa"/>
            <w:vAlign w:val="bottom"/>
            <w:gridSpan w:val="22"/>
          </w:tcPr>
          <w:p>
            <w:pPr>
              <w:spacing w:after="0" w:line="195"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and Robert D. Lister.</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40" w:type="dxa"/>
            <w:vAlign w:val="bottom"/>
          </w:tcPr>
          <w:p>
            <w:pPr>
              <w:spacing w:after="0"/>
              <w:rPr>
                <w:sz w:val="24"/>
                <w:szCs w:val="24"/>
                <w:color w:val="auto"/>
              </w:rPr>
            </w:pPr>
          </w:p>
        </w:tc>
        <w:tc>
          <w:tcPr>
            <w:tcW w:w="60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First Amending Agreement, dated March 11, 2020, between IMAX Corporation</w:t>
              </w:r>
            </w:hyperlink>
          </w:p>
        </w:tc>
        <w:tc>
          <w:tcPr>
            <w:tcW w:w="60" w:type="dxa"/>
            <w:vAlign w:val="bottom"/>
            <w:gridSpan w:val="5"/>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10.47</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4/30/20</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20" w:type="dxa"/>
            <w:vAlign w:val="bottom"/>
            <w:gridSpan w:val="22"/>
          </w:tcPr>
          <w:p>
            <w:pPr>
              <w:spacing w:after="0" w:line="195"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and Robert D. Lister.</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40" w:type="dxa"/>
            <w:vAlign w:val="bottom"/>
          </w:tcPr>
          <w:p>
            <w:pPr>
              <w:spacing w:after="0"/>
              <w:rPr>
                <w:sz w:val="24"/>
                <w:szCs w:val="24"/>
                <w:color w:val="auto"/>
              </w:rPr>
            </w:pPr>
          </w:p>
        </w:tc>
        <w:tc>
          <w:tcPr>
            <w:tcW w:w="6120" w:type="dxa"/>
            <w:vAlign w:val="bottom"/>
            <w:gridSpan w:val="22"/>
          </w:tcPr>
          <w:p>
            <w:pPr>
              <w:spacing w:after="0"/>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Employment Agreement, dated June 6, 2016 between IMAX Corporation and</w:t>
              </w:r>
            </w:hyperlink>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10.40</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7/20/16</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8"/>
          </w:tcPr>
          <w:p>
            <w:pPr>
              <w:spacing w:after="0" w:line="195" w:lineRule="exact"/>
              <w:rPr>
                <w:rFonts w:ascii="Times New Roman" w:cs="Times New Roman" w:eastAsia="Times New Roman" w:hAnsi="Times New Roman"/>
                <w:sz w:val="18"/>
                <w:szCs w:val="18"/>
                <w:color w:val="0000EE"/>
                <w:w w:val="99"/>
              </w:rPr>
            </w:pPr>
            <w:hyperlink r:id="rId245">
              <w:r>
                <w:rPr>
                  <w:rFonts w:ascii="Times New Roman" w:cs="Times New Roman" w:eastAsia="Times New Roman" w:hAnsi="Times New Roman"/>
                  <w:sz w:val="18"/>
                  <w:szCs w:val="18"/>
                  <w:color w:val="0000EE"/>
                  <w:w w:val="99"/>
                </w:rPr>
                <w:t>Patrick McClymont.</w:t>
              </w:r>
            </w:hyperlink>
          </w:p>
        </w:tc>
        <w:tc>
          <w:tcPr>
            <w:tcW w:w="4520" w:type="dxa"/>
            <w:vAlign w:val="bottom"/>
            <w:tcBorders>
              <w:top w:val="single" w:sz="8" w:color="0000EE"/>
            </w:tcBorders>
            <w:gridSpan w:val="11"/>
          </w:tcPr>
          <w:p>
            <w:pPr>
              <w:spacing w:after="0"/>
              <w:rPr>
                <w:sz w:val="17"/>
                <w:szCs w:val="17"/>
                <w:color w:val="auto"/>
              </w:rPr>
            </w:pPr>
          </w:p>
        </w:tc>
        <w:tc>
          <w:tcPr>
            <w:tcW w:w="10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40" w:type="dxa"/>
            <w:vAlign w:val="bottom"/>
          </w:tcPr>
          <w:p>
            <w:pPr>
              <w:spacing w:after="0"/>
              <w:rPr>
                <w:sz w:val="24"/>
                <w:szCs w:val="24"/>
                <w:color w:val="auto"/>
              </w:rPr>
            </w:pPr>
          </w:p>
        </w:tc>
        <w:tc>
          <w:tcPr>
            <w:tcW w:w="6120" w:type="dxa"/>
            <w:vAlign w:val="bottom"/>
            <w:gridSpan w:val="22"/>
          </w:tcPr>
          <w:p>
            <w:pPr>
              <w:spacing w:after="0"/>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Amendment to Employment Agreement, dated August 2, 2019, between IMAX</w:t>
              </w:r>
            </w:hyperlink>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10.41</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10/31/19</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12"/>
          </w:tcPr>
          <w:p>
            <w:pPr>
              <w:spacing w:after="0" w:line="195" w:lineRule="exact"/>
              <w:rPr>
                <w:rFonts w:ascii="Times New Roman" w:cs="Times New Roman" w:eastAsia="Times New Roman" w:hAnsi="Times New Roman"/>
                <w:sz w:val="18"/>
                <w:szCs w:val="18"/>
                <w:color w:val="0000EE"/>
                <w:w w:val="98"/>
              </w:rPr>
            </w:pPr>
            <w:hyperlink r:id="rId246">
              <w:r>
                <w:rPr>
                  <w:rFonts w:ascii="Times New Roman" w:cs="Times New Roman" w:eastAsia="Times New Roman" w:hAnsi="Times New Roman"/>
                  <w:sz w:val="18"/>
                  <w:szCs w:val="18"/>
                  <w:color w:val="0000EE"/>
                  <w:w w:val="98"/>
                </w:rPr>
                <w:t>Corporation and Patrick McClymont.</w:t>
              </w:r>
            </w:hyperlink>
          </w:p>
        </w:tc>
        <w:tc>
          <w:tcPr>
            <w:tcW w:w="3340" w:type="dxa"/>
            <w:vAlign w:val="bottom"/>
            <w:tcBorders>
              <w:top w:val="single" w:sz="8" w:color="0000EE"/>
            </w:tcBorders>
            <w:gridSpan w:val="7"/>
          </w:tcPr>
          <w:p>
            <w:pPr>
              <w:spacing w:after="0"/>
              <w:rPr>
                <w:sz w:val="17"/>
                <w:szCs w:val="17"/>
                <w:color w:val="auto"/>
              </w:rPr>
            </w:pPr>
          </w:p>
        </w:tc>
        <w:tc>
          <w:tcPr>
            <w:tcW w:w="10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040" w:type="dxa"/>
            <w:vAlign w:val="bottom"/>
          </w:tcPr>
          <w:p>
            <w:pPr>
              <w:spacing w:after="0"/>
              <w:rPr>
                <w:sz w:val="24"/>
                <w:szCs w:val="24"/>
                <w:color w:val="auto"/>
              </w:rPr>
            </w:pPr>
          </w:p>
        </w:tc>
        <w:tc>
          <w:tcPr>
            <w:tcW w:w="6120" w:type="dxa"/>
            <w:vAlign w:val="bottom"/>
            <w:gridSpan w:val="22"/>
          </w:tcPr>
          <w:p>
            <w:pPr>
              <w:spacing w:after="0"/>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Second Amendment to Employment Agreement, dated October 21, 2019, between</w:t>
              </w:r>
            </w:hyperlink>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10.42</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10/31/19</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3"/>
          </w:tcPr>
          <w:p>
            <w:pPr>
              <w:spacing w:after="0" w:line="195" w:lineRule="exact"/>
              <w:rPr>
                <w:rFonts w:ascii="Times New Roman" w:cs="Times New Roman" w:eastAsia="Times New Roman" w:hAnsi="Times New Roman"/>
                <w:sz w:val="18"/>
                <w:szCs w:val="18"/>
                <w:color w:val="0000EE"/>
                <w:w w:val="98"/>
              </w:rPr>
            </w:pPr>
            <w:hyperlink r:id="rId247">
              <w:r>
                <w:rPr>
                  <w:rFonts w:ascii="Times New Roman" w:cs="Times New Roman" w:eastAsia="Times New Roman" w:hAnsi="Times New Roman"/>
                  <w:sz w:val="18"/>
                  <w:szCs w:val="18"/>
                  <w:color w:val="0000EE"/>
                  <w:w w:val="98"/>
                </w:rPr>
                <w:t>IMAX Corporation and Patrick McClymont.</w:t>
              </w:r>
            </w:hyperlink>
          </w:p>
        </w:tc>
        <w:tc>
          <w:tcPr>
            <w:tcW w:w="2820" w:type="dxa"/>
            <w:vAlign w:val="bottom"/>
            <w:tcBorders>
              <w:top w:val="single" w:sz="8" w:color="0000EE"/>
            </w:tcBorders>
            <w:gridSpan w:val="6"/>
          </w:tcPr>
          <w:p>
            <w:pPr>
              <w:spacing w:after="0"/>
              <w:rPr>
                <w:sz w:val="17"/>
                <w:szCs w:val="17"/>
                <w:color w:val="auto"/>
              </w:rPr>
            </w:pPr>
          </w:p>
        </w:tc>
        <w:tc>
          <w:tcPr>
            <w:tcW w:w="10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040" w:type="dxa"/>
            <w:vAlign w:val="bottom"/>
          </w:tcPr>
          <w:p>
            <w:pPr>
              <w:spacing w:after="0"/>
              <w:rPr>
                <w:sz w:val="24"/>
                <w:szCs w:val="24"/>
                <w:color w:val="auto"/>
              </w:rPr>
            </w:pPr>
          </w:p>
        </w:tc>
        <w:tc>
          <w:tcPr>
            <w:tcW w:w="60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Third Amendment to Employment Agreement, dated December 5, 2019, between</w:t>
              </w:r>
            </w:hyperlink>
          </w:p>
        </w:tc>
        <w:tc>
          <w:tcPr>
            <w:tcW w:w="100" w:type="dxa"/>
            <w:vAlign w:val="bottom"/>
            <w:gridSpan w:val="7"/>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2/19/20</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0" w:type="dxa"/>
            <w:vAlign w:val="bottom"/>
            <w:tcBorders>
              <w:bottom w:val="single" w:sz="8" w:color="0000EE"/>
            </w:tcBorders>
            <w:gridSpan w:val="13"/>
          </w:tcPr>
          <w:p>
            <w:pPr>
              <w:spacing w:after="0" w:line="195" w:lineRule="exact"/>
              <w:rPr>
                <w:rFonts w:ascii="Times New Roman" w:cs="Times New Roman" w:eastAsia="Times New Roman" w:hAnsi="Times New Roman"/>
                <w:sz w:val="18"/>
                <w:szCs w:val="18"/>
                <w:color w:val="0000EE"/>
                <w:w w:val="98"/>
              </w:rPr>
            </w:pPr>
            <w:hyperlink r:id="rId248">
              <w:r>
                <w:rPr>
                  <w:rFonts w:ascii="Times New Roman" w:cs="Times New Roman" w:eastAsia="Times New Roman" w:hAnsi="Times New Roman"/>
                  <w:sz w:val="18"/>
                  <w:szCs w:val="18"/>
                  <w:color w:val="0000EE"/>
                  <w:w w:val="98"/>
                </w:rPr>
                <w:t>IMAX Corporation and Patrick McClymont.</w:t>
              </w:r>
            </w:hyperlink>
          </w:p>
        </w:tc>
        <w:tc>
          <w:tcPr>
            <w:tcW w:w="2920" w:type="dxa"/>
            <w:vAlign w:val="bottom"/>
            <w:gridSpan w:val="9"/>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1040" w:type="dxa"/>
            <w:vAlign w:val="bottom"/>
          </w:tcPr>
          <w:p>
            <w:pPr>
              <w:spacing w:after="0"/>
              <w:rPr>
                <w:sz w:val="24"/>
                <w:szCs w:val="24"/>
                <w:color w:val="auto"/>
              </w:rPr>
            </w:pPr>
          </w:p>
        </w:tc>
        <w:tc>
          <w:tcPr>
            <w:tcW w:w="60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Employment Agreement, dated December 17, 2019, between IMAX Corporation</w:t>
              </w:r>
            </w:hyperlink>
          </w:p>
        </w:tc>
        <w:tc>
          <w:tcPr>
            <w:tcW w:w="40" w:type="dxa"/>
            <w:vAlign w:val="bottom"/>
            <w:gridSpan w:val="4"/>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2/19/20</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20" w:type="dxa"/>
            <w:vAlign w:val="bottom"/>
            <w:gridSpan w:val="22"/>
          </w:tcPr>
          <w:p>
            <w:pPr>
              <w:spacing w:after="0" w:line="195"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and Patrick McClymont.</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040" w:type="dxa"/>
            <w:vAlign w:val="bottom"/>
          </w:tcPr>
          <w:p>
            <w:pPr>
              <w:spacing w:after="0"/>
              <w:rPr>
                <w:sz w:val="24"/>
                <w:szCs w:val="24"/>
                <w:color w:val="auto"/>
              </w:rPr>
            </w:pPr>
          </w:p>
        </w:tc>
        <w:tc>
          <w:tcPr>
            <w:tcW w:w="60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Employment Agreement, dated October 10, 2018, between IMAX Corporation and</w:t>
              </w:r>
            </w:hyperlink>
          </w:p>
        </w:tc>
        <w:tc>
          <w:tcPr>
            <w:tcW w:w="60" w:type="dxa"/>
            <w:vAlign w:val="bottom"/>
            <w:gridSpan w:val="5"/>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10.48</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7/28/20</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Borders>
              <w:bottom w:val="single" w:sz="8" w:color="0000EE"/>
            </w:tcBorders>
            <w:gridSpan w:val="7"/>
          </w:tcPr>
          <w:p>
            <w:pPr>
              <w:spacing w:after="0" w:line="195" w:lineRule="exact"/>
              <w:rPr>
                <w:rFonts w:ascii="Times New Roman" w:cs="Times New Roman" w:eastAsia="Times New Roman" w:hAnsi="Times New Roman"/>
                <w:sz w:val="18"/>
                <w:szCs w:val="18"/>
                <w:color w:val="0000EE"/>
                <w:w w:val="97"/>
              </w:rPr>
            </w:pPr>
            <w:hyperlink r:id="rId250">
              <w:r>
                <w:rPr>
                  <w:rFonts w:ascii="Times New Roman" w:cs="Times New Roman" w:eastAsia="Times New Roman" w:hAnsi="Times New Roman"/>
                  <w:sz w:val="18"/>
                  <w:szCs w:val="18"/>
                  <w:color w:val="0000EE"/>
                  <w:w w:val="97"/>
                </w:rPr>
                <w:t>Megan Colligan.</w:t>
              </w:r>
            </w:hyperlink>
          </w:p>
        </w:tc>
        <w:tc>
          <w:tcPr>
            <w:tcW w:w="4920" w:type="dxa"/>
            <w:vAlign w:val="bottom"/>
            <w:gridSpan w:val="15"/>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1040" w:type="dxa"/>
            <w:vAlign w:val="bottom"/>
          </w:tcPr>
          <w:p>
            <w:pPr>
              <w:spacing w:after="0"/>
              <w:rPr>
                <w:sz w:val="24"/>
                <w:szCs w:val="24"/>
                <w:color w:val="auto"/>
              </w:rPr>
            </w:pPr>
          </w:p>
        </w:tc>
        <w:tc>
          <w:tcPr>
            <w:tcW w:w="6720" w:type="dxa"/>
            <w:vAlign w:val="bottom"/>
            <w:gridSpan w:val="24"/>
          </w:tcPr>
          <w:p>
            <w:pPr>
              <w:spacing w:after="0"/>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 xml:space="preserve">Employment  Memorandum,  dated  September  18,  2020,  between  IMAX  </w:t>
              </w:r>
            </w:hyperlink>
            <w:r>
              <w:rPr>
                <w:rFonts w:ascii="Times New Roman" w:cs="Times New Roman" w:eastAsia="Times New Roman" w:hAnsi="Times New Roman"/>
                <w:sz w:val="18"/>
                <w:szCs w:val="18"/>
                <w:color w:val="000000"/>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10.52</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10/29/20</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60" w:type="dxa"/>
            <w:vAlign w:val="bottom"/>
            <w:tcBorders>
              <w:top w:val="single" w:sz="8" w:color="0000EE"/>
            </w:tcBorders>
            <w:gridSpan w:val="17"/>
          </w:tcPr>
          <w:p>
            <w:pPr>
              <w:spacing w:after="0" w:line="195"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Corporation and Mark Welton.</w:t>
              </w:r>
            </w:hyperlink>
          </w:p>
        </w:tc>
        <w:tc>
          <w:tcPr>
            <w:tcW w:w="6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320" w:type="dxa"/>
            <w:vAlign w:val="bottom"/>
            <w:tcBorders>
              <w:right w:val="single" w:sz="8" w:color="0000EE"/>
            </w:tcBorders>
            <w:gridSpan w:val="7"/>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1040" w:type="dxa"/>
            <w:vAlign w:val="bottom"/>
          </w:tcPr>
          <w:p>
            <w:pPr>
              <w:spacing w:after="0"/>
              <w:rPr>
                <w:sz w:val="24"/>
                <w:szCs w:val="24"/>
                <w:color w:val="auto"/>
              </w:rPr>
            </w:pPr>
          </w:p>
        </w:tc>
        <w:tc>
          <w:tcPr>
            <w:tcW w:w="6120" w:type="dxa"/>
            <w:vAlign w:val="bottom"/>
            <w:gridSpan w:val="22"/>
          </w:tcPr>
          <w:p>
            <w:pPr>
              <w:spacing w:after="0"/>
              <w:rPr>
                <w:rFonts w:ascii="Times New Roman" w:cs="Times New Roman" w:eastAsia="Times New Roman" w:hAnsi="Times New Roman"/>
                <w:sz w:val="18"/>
                <w:szCs w:val="18"/>
                <w:u w:val="single" w:color="auto"/>
                <w:color w:val="0000EE"/>
              </w:rPr>
            </w:pPr>
            <w:hyperlink w:anchor="page167">
              <w:r>
                <w:rPr>
                  <w:rFonts w:ascii="Times New Roman" w:cs="Times New Roman" w:eastAsia="Times New Roman" w:hAnsi="Times New Roman"/>
                  <w:sz w:val="18"/>
                  <w:szCs w:val="18"/>
                  <w:u w:val="single" w:color="auto"/>
                  <w:color w:val="0000EE"/>
                </w:rPr>
                <w:t>Statement of Directors’ Compensation, dated January 12, 2021.</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040" w:type="dxa"/>
            <w:vAlign w:val="bottom"/>
          </w:tcPr>
          <w:p>
            <w:pPr>
              <w:spacing w:after="0"/>
              <w:rPr>
                <w:sz w:val="24"/>
                <w:szCs w:val="24"/>
                <w:color w:val="auto"/>
              </w:rPr>
            </w:pPr>
          </w:p>
        </w:tc>
        <w:tc>
          <w:tcPr>
            <w:tcW w:w="60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Construction Loan  Agreement,  dated  October 6,  2014,  between IMAX PV</w:t>
              </w:r>
            </w:hyperlink>
          </w:p>
        </w:tc>
        <w:tc>
          <w:tcPr>
            <w:tcW w:w="60" w:type="dxa"/>
            <w:vAlign w:val="bottom"/>
            <w:gridSpan w:val="5"/>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10.45</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10/23/14</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2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Development, Inc., Wells Fargo Bank, National Association and the financial</w:t>
              </w:r>
            </w:hyperlink>
          </w:p>
        </w:tc>
        <w:tc>
          <w:tcPr>
            <w:tcW w:w="10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0" w:type="dxa"/>
            <w:vAlign w:val="bottom"/>
            <w:tcBorders>
              <w:bottom w:val="single" w:sz="8" w:color="0000EE"/>
            </w:tcBorders>
            <w:gridSpan w:val="11"/>
          </w:tcPr>
          <w:p>
            <w:pPr>
              <w:spacing w:after="0" w:line="195" w:lineRule="exact"/>
              <w:rPr>
                <w:rFonts w:ascii="Times New Roman" w:cs="Times New Roman" w:eastAsia="Times New Roman" w:hAnsi="Times New Roman"/>
                <w:sz w:val="18"/>
                <w:szCs w:val="18"/>
                <w:color w:val="0000EE"/>
                <w:w w:val="98"/>
              </w:rPr>
            </w:pPr>
            <w:hyperlink r:id="rId252">
              <w:r>
                <w:rPr>
                  <w:rFonts w:ascii="Times New Roman" w:cs="Times New Roman" w:eastAsia="Times New Roman" w:hAnsi="Times New Roman"/>
                  <w:sz w:val="18"/>
                  <w:szCs w:val="18"/>
                  <w:color w:val="0000EE"/>
                  <w:w w:val="98"/>
                </w:rPr>
                <w:t>institutions referred to therein.</w:t>
              </w:r>
            </w:hyperlink>
          </w:p>
        </w:tc>
        <w:tc>
          <w:tcPr>
            <w:tcW w:w="3920" w:type="dxa"/>
            <w:vAlign w:val="bottom"/>
            <w:gridSpan w:val="11"/>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1040" w:type="dxa"/>
            <w:vAlign w:val="bottom"/>
          </w:tcPr>
          <w:p>
            <w:pPr>
              <w:spacing w:after="0"/>
              <w:rPr>
                <w:sz w:val="24"/>
                <w:szCs w:val="24"/>
                <w:color w:val="auto"/>
              </w:rPr>
            </w:pPr>
          </w:p>
        </w:tc>
        <w:tc>
          <w:tcPr>
            <w:tcW w:w="60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Securities Purchase Agreement, dated as of May 5, 2008, by and between IMAX</w:t>
              </w:r>
            </w:hyperlink>
          </w:p>
        </w:tc>
        <w:tc>
          <w:tcPr>
            <w:tcW w:w="100" w:type="dxa"/>
            <w:vAlign w:val="bottom"/>
            <w:gridSpan w:val="7"/>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10.43</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2/20/14</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20" w:type="dxa"/>
            <w:vAlign w:val="bottom"/>
            <w:gridSpan w:val="22"/>
          </w:tcPr>
          <w:p>
            <w:pPr>
              <w:spacing w:after="0" w:line="195"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Corporation, Douglas Family Trust, James Douglas and Jean Douglas Irrevocable</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20" w:type="dxa"/>
            <w:vAlign w:val="bottom"/>
            <w:tcBorders>
              <w:top w:val="single" w:sz="8" w:color="0000EE"/>
            </w:tcBorders>
            <w:gridSpan w:val="19"/>
          </w:tcPr>
          <w:p>
            <w:pPr>
              <w:spacing w:after="0"/>
              <w:rPr>
                <w:rFonts w:ascii="Times New Roman" w:cs="Times New Roman" w:eastAsia="Times New Roman" w:hAnsi="Times New Roman"/>
                <w:sz w:val="18"/>
                <w:szCs w:val="18"/>
                <w:u w:val="single" w:color="auto"/>
                <w:color w:val="0000EE"/>
              </w:rPr>
            </w:pPr>
            <w:hyperlink r:id="rId253">
              <w:r>
                <w:rPr>
                  <w:rFonts w:ascii="Times New Roman" w:cs="Times New Roman" w:eastAsia="Times New Roman" w:hAnsi="Times New Roman"/>
                  <w:sz w:val="18"/>
                  <w:szCs w:val="18"/>
                  <w:u w:val="single" w:color="auto"/>
                  <w:color w:val="0000EE"/>
                </w:rPr>
                <w:t>Descendants’ Trust, James E. Douglas, III, and K&amp;M Douglas Trust.</w:t>
              </w:r>
            </w:hyperlink>
          </w:p>
        </w:tc>
        <w:tc>
          <w:tcPr>
            <w:tcW w:w="100" w:type="dxa"/>
            <w:vAlign w:val="bottom"/>
            <w:gridSpan w:val="3"/>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1040" w:type="dxa"/>
            <w:vAlign w:val="bottom"/>
          </w:tcPr>
          <w:p>
            <w:pPr>
              <w:spacing w:after="0"/>
              <w:rPr>
                <w:sz w:val="24"/>
                <w:szCs w:val="24"/>
                <w:color w:val="auto"/>
              </w:rPr>
            </w:pPr>
          </w:p>
        </w:tc>
        <w:tc>
          <w:tcPr>
            <w:tcW w:w="60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Amendment No. 1 to Securities Purchase Agreement, dated December 1, 2008, by</w:t>
              </w:r>
            </w:hyperlink>
          </w:p>
        </w:tc>
        <w:tc>
          <w:tcPr>
            <w:tcW w:w="80" w:type="dxa"/>
            <w:vAlign w:val="bottom"/>
            <w:gridSpan w:val="6"/>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2/19/15</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40" w:type="dxa"/>
            <w:vAlign w:val="bottom"/>
            <w:tcBorders>
              <w:bottom w:val="single" w:sz="8" w:color="0000EE"/>
            </w:tcBorders>
            <w:gridSpan w:val="16"/>
          </w:tcPr>
          <w:p>
            <w:pPr>
              <w:spacing w:after="0" w:line="195"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and between IMAX Corporation, Douglas Family Trust, James Douglas and Jean</w:t>
              </w:r>
            </w:hyperlink>
          </w:p>
        </w:tc>
        <w:tc>
          <w:tcPr>
            <w:tcW w:w="8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2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w w:val="99"/>
              </w:rPr>
            </w:pPr>
            <w:hyperlink r:id="rId254">
              <w:r>
                <w:rPr>
                  <w:rFonts w:ascii="Times New Roman" w:cs="Times New Roman" w:eastAsia="Times New Roman" w:hAnsi="Times New Roman"/>
                  <w:sz w:val="18"/>
                  <w:szCs w:val="18"/>
                  <w:color w:val="0000EE"/>
                  <w:w w:val="99"/>
                </w:rPr>
                <w:t>Douglas Irrevocable Descendants’ Trust, James E. Douglas, III, and K&amp;M Douglas</w:t>
              </w:r>
            </w:hyperlink>
          </w:p>
        </w:tc>
        <w:tc>
          <w:tcPr>
            <w:tcW w:w="10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5" w:lineRule="exact"/>
              <w:rPr>
                <w:rFonts w:ascii="Times New Roman" w:cs="Times New Roman" w:eastAsia="Times New Roman" w:hAnsi="Times New Roman"/>
                <w:sz w:val="18"/>
                <w:szCs w:val="18"/>
                <w:color w:val="0000EE"/>
                <w:w w:val="93"/>
              </w:rPr>
            </w:pPr>
            <w:hyperlink r:id="rId254">
              <w:r>
                <w:rPr>
                  <w:rFonts w:ascii="Times New Roman" w:cs="Times New Roman" w:eastAsia="Times New Roman" w:hAnsi="Times New Roman"/>
                  <w:sz w:val="18"/>
                  <w:szCs w:val="18"/>
                  <w:color w:val="0000EE"/>
                  <w:w w:val="93"/>
                </w:rPr>
                <w:t>Trust.</w:t>
              </w:r>
            </w:hyperlink>
          </w:p>
        </w:tc>
        <w:tc>
          <w:tcPr>
            <w:tcW w:w="5700" w:type="dxa"/>
            <w:vAlign w:val="bottom"/>
            <w:gridSpan w:val="20"/>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1040" w:type="dxa"/>
            <w:vAlign w:val="bottom"/>
          </w:tcPr>
          <w:p>
            <w:pPr>
              <w:spacing w:after="0"/>
              <w:rPr>
                <w:sz w:val="24"/>
                <w:szCs w:val="24"/>
                <w:color w:val="auto"/>
              </w:rPr>
            </w:pPr>
          </w:p>
        </w:tc>
        <w:tc>
          <w:tcPr>
            <w:tcW w:w="60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Employment Agreement, dated March 23, 2018, between IMAX Corporation and</w:t>
              </w:r>
            </w:hyperlink>
          </w:p>
        </w:tc>
        <w:tc>
          <w:tcPr>
            <w:tcW w:w="100" w:type="dxa"/>
            <w:vAlign w:val="bottom"/>
            <w:gridSpan w:val="7"/>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5/1/18</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20" w:type="dxa"/>
            <w:vAlign w:val="bottom"/>
            <w:gridSpan w:val="22"/>
          </w:tcPr>
          <w:p>
            <w:pPr>
              <w:spacing w:after="0" w:line="195"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Don Savant.</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8"/>
        </w:trPr>
        <w:tc>
          <w:tcPr>
            <w:tcW w:w="82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860" w:type="dxa"/>
            <w:vAlign w:val="bottom"/>
            <w:tcBorders>
              <w:top w:val="single" w:sz="8" w:color="0000EE"/>
            </w:tcBorders>
            <w:gridSpan w:val="3"/>
          </w:tcPr>
          <w:p>
            <w:pPr>
              <w:spacing w:after="0"/>
              <w:rPr>
                <w:sz w:val="24"/>
                <w:szCs w:val="24"/>
                <w:color w:val="auto"/>
              </w:rPr>
            </w:pPr>
          </w:p>
        </w:tc>
        <w:tc>
          <w:tcPr>
            <w:tcW w:w="3100" w:type="dxa"/>
            <w:vAlign w:val="bottom"/>
            <w:gridSpan w:val="10"/>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3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94967237"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61"/>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2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vMerge w:val="restart"/>
          </w:tcPr>
          <w:p>
            <w:pPr>
              <w:spacing w:after="0"/>
              <w:rPr>
                <w:sz w:val="13"/>
                <w:szCs w:val="13"/>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3"/>
                <w:szCs w:val="13"/>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7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7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0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gridSpan w:val="3"/>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1040" w:type="dxa"/>
            <w:vAlign w:val="bottom"/>
          </w:tcPr>
          <w:p>
            <w:pPr>
              <w:spacing w:after="0"/>
              <w:rPr>
                <w:sz w:val="24"/>
                <w:szCs w:val="24"/>
                <w:color w:val="auto"/>
              </w:rPr>
            </w:pPr>
          </w:p>
        </w:tc>
        <w:tc>
          <w:tcPr>
            <w:tcW w:w="6100" w:type="dxa"/>
            <w:vAlign w:val="bottom"/>
            <w:gridSpan w:val="7"/>
          </w:tcPr>
          <w:p>
            <w:pPr>
              <w:spacing w:after="0"/>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Amended Employment Agreement, dated September 28, 2018, between IMAX</w:t>
              </w:r>
            </w:hyperlink>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99"/>
              </w:rPr>
              <w:t>10/25/18</w:t>
            </w:r>
          </w:p>
        </w:tc>
        <w:tc>
          <w:tcPr>
            <w:tcW w:w="0" w:type="dxa"/>
            <w:vAlign w:val="bottom"/>
          </w:tcPr>
          <w:p>
            <w:pPr>
              <w:spacing w:after="0"/>
              <w:rPr>
                <w:sz w:val="1"/>
                <w:szCs w:val="1"/>
                <w:color w:val="auto"/>
              </w:rPr>
            </w:pPr>
          </w:p>
        </w:tc>
      </w:tr>
      <w:tr>
        <w:trPr>
          <w:trHeight w:val="195"/>
        </w:trPr>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3"/>
          </w:tcPr>
          <w:p>
            <w:pPr>
              <w:spacing w:after="0" w:line="195" w:lineRule="exact"/>
              <w:rPr>
                <w:rFonts w:ascii="Times New Roman" w:cs="Times New Roman" w:eastAsia="Times New Roman" w:hAnsi="Times New Roman"/>
                <w:sz w:val="18"/>
                <w:szCs w:val="18"/>
                <w:color w:val="0000EE"/>
                <w:w w:val="99"/>
              </w:rPr>
            </w:pPr>
            <w:hyperlink r:id="rId258">
              <w:r>
                <w:rPr>
                  <w:rFonts w:ascii="Times New Roman" w:cs="Times New Roman" w:eastAsia="Times New Roman" w:hAnsi="Times New Roman"/>
                  <w:sz w:val="18"/>
                  <w:szCs w:val="18"/>
                  <w:color w:val="0000EE"/>
                  <w:w w:val="99"/>
                </w:rPr>
                <w:t>Corporation and Don Savant.</w:t>
              </w:r>
            </w:hyperlink>
          </w:p>
        </w:tc>
        <w:tc>
          <w:tcPr>
            <w:tcW w:w="3880" w:type="dxa"/>
            <w:vAlign w:val="bottom"/>
            <w:tcBorders>
              <w:top w:val="single" w:sz="8" w:color="0000EE"/>
            </w:tcBorders>
          </w:tcPr>
          <w:p>
            <w:pPr>
              <w:spacing w:after="0"/>
              <w:rPr>
                <w:sz w:val="17"/>
                <w:szCs w:val="17"/>
                <w:color w:val="auto"/>
              </w:rPr>
            </w:pPr>
          </w:p>
        </w:tc>
        <w:tc>
          <w:tcPr>
            <w:tcW w:w="10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1040" w:type="dxa"/>
            <w:vAlign w:val="bottom"/>
          </w:tcPr>
          <w:p>
            <w:pPr>
              <w:spacing w:after="0"/>
              <w:rPr>
                <w:sz w:val="24"/>
                <w:szCs w:val="24"/>
                <w:color w:val="auto"/>
              </w:rPr>
            </w:pPr>
          </w:p>
        </w:tc>
        <w:tc>
          <w:tcPr>
            <w:tcW w:w="60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Fifth Amended and Restated Credit Agreement, dated June 28, 2018, by and</w:t>
              </w:r>
            </w:hyperlink>
          </w:p>
        </w:tc>
        <w:tc>
          <w:tcPr>
            <w:tcW w:w="80" w:type="dxa"/>
            <w:vAlign w:val="bottom"/>
            <w:gridSpan w:val="2"/>
          </w:tcPr>
          <w:p>
            <w:pPr>
              <w:spacing w:after="0"/>
              <w:rPr>
                <w:sz w:val="24"/>
                <w:szCs w:val="24"/>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rPr>
              <w:t>7/25/18</w:t>
            </w:r>
          </w:p>
        </w:tc>
        <w:tc>
          <w:tcPr>
            <w:tcW w:w="0" w:type="dxa"/>
            <w:vAlign w:val="bottom"/>
          </w:tcPr>
          <w:p>
            <w:pPr>
              <w:spacing w:after="0"/>
              <w:rPr>
                <w:sz w:val="1"/>
                <w:szCs w:val="1"/>
                <w:color w:val="auto"/>
              </w:rPr>
            </w:pPr>
          </w:p>
        </w:tc>
      </w:tr>
      <w:tr>
        <w:trPr>
          <w:trHeight w:val="195"/>
        </w:trPr>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00" w:type="dxa"/>
            <w:vAlign w:val="bottom"/>
            <w:gridSpan w:val="7"/>
          </w:tcPr>
          <w:p>
            <w:pPr>
              <w:spacing w:after="0" w:line="195"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between IMAX Corporation, the Guarantors referred to therein, the Lenders</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7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2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referred to therein, and Wells Fargo Bank, National Association, as Administrative</w:t>
              </w:r>
            </w:hyperlink>
          </w:p>
        </w:tc>
        <w:tc>
          <w:tcPr>
            <w:tcW w:w="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Borders>
              <w:bottom w:val="single" w:sz="8" w:color="0000EE"/>
            </w:tcBorders>
          </w:tcPr>
          <w:p>
            <w:pPr>
              <w:spacing w:after="0" w:line="195" w:lineRule="exact"/>
              <w:rPr>
                <w:rFonts w:ascii="Times New Roman" w:cs="Times New Roman" w:eastAsia="Times New Roman" w:hAnsi="Times New Roman"/>
                <w:sz w:val="18"/>
                <w:szCs w:val="18"/>
                <w:color w:val="0000EE"/>
                <w:w w:val="98"/>
              </w:rPr>
            </w:pPr>
            <w:hyperlink r:id="rId259">
              <w:r>
                <w:rPr>
                  <w:rFonts w:ascii="Times New Roman" w:cs="Times New Roman" w:eastAsia="Times New Roman" w:hAnsi="Times New Roman"/>
                  <w:sz w:val="18"/>
                  <w:szCs w:val="18"/>
                  <w:color w:val="0000EE"/>
                  <w:w w:val="98"/>
                </w:rPr>
                <w:t>Agent.</w:t>
              </w:r>
            </w:hyperlink>
          </w:p>
        </w:tc>
        <w:tc>
          <w:tcPr>
            <w:tcW w:w="560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1040" w:type="dxa"/>
            <w:vAlign w:val="bottom"/>
          </w:tcPr>
          <w:p>
            <w:pPr>
              <w:spacing w:after="0"/>
              <w:rPr>
                <w:sz w:val="24"/>
                <w:szCs w:val="24"/>
                <w:color w:val="auto"/>
              </w:rPr>
            </w:pPr>
          </w:p>
        </w:tc>
        <w:tc>
          <w:tcPr>
            <w:tcW w:w="6100" w:type="dxa"/>
            <w:vAlign w:val="bottom"/>
            <w:gridSpan w:val="7"/>
          </w:tcPr>
          <w:p>
            <w:pPr>
              <w:spacing w:after="0"/>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First Amendment to Fifth Amendment and Restated Credit Agreement entered into</w:t>
              </w:r>
            </w:hyperlink>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6/11/20</w:t>
            </w:r>
          </w:p>
        </w:tc>
        <w:tc>
          <w:tcPr>
            <w:tcW w:w="0" w:type="dxa"/>
            <w:vAlign w:val="bottom"/>
          </w:tcPr>
          <w:p>
            <w:pPr>
              <w:spacing w:after="0"/>
              <w:rPr>
                <w:sz w:val="1"/>
                <w:szCs w:val="1"/>
                <w:color w:val="auto"/>
              </w:rPr>
            </w:pPr>
          </w:p>
        </w:tc>
      </w:tr>
      <w:tr>
        <w:trPr>
          <w:trHeight w:val="195"/>
        </w:trPr>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5" w:lineRule="exact"/>
              <w:rPr>
                <w:rFonts w:ascii="Times New Roman" w:cs="Times New Roman" w:eastAsia="Times New Roman" w:hAnsi="Times New Roman"/>
                <w:sz w:val="18"/>
                <w:szCs w:val="18"/>
                <w:color w:val="0000EE"/>
                <w:w w:val="98"/>
              </w:rPr>
            </w:pPr>
            <w:hyperlink r:id="rId260">
              <w:r>
                <w:rPr>
                  <w:rFonts w:ascii="Times New Roman" w:cs="Times New Roman" w:eastAsia="Times New Roman" w:hAnsi="Times New Roman"/>
                  <w:sz w:val="18"/>
                  <w:szCs w:val="18"/>
                  <w:color w:val="0000EE"/>
                  <w:w w:val="98"/>
                </w:rPr>
                <w:t>on June 10, 2020.</w:t>
              </w:r>
            </w:hyperlink>
          </w:p>
        </w:tc>
        <w:tc>
          <w:tcPr>
            <w:tcW w:w="4720" w:type="dxa"/>
            <w:vAlign w:val="bottom"/>
            <w:tcBorders>
              <w:top w:val="single" w:sz="8" w:color="0000EE"/>
            </w:tcBorders>
            <w:gridSpan w:val="2"/>
          </w:tcPr>
          <w:p>
            <w:pPr>
              <w:spacing w:after="0"/>
              <w:rPr>
                <w:sz w:val="17"/>
                <w:szCs w:val="17"/>
                <w:color w:val="auto"/>
              </w:rPr>
            </w:pPr>
          </w:p>
        </w:tc>
        <w:tc>
          <w:tcPr>
            <w:tcW w:w="10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1040" w:type="dxa"/>
            <w:vAlign w:val="bottom"/>
          </w:tcPr>
          <w:p>
            <w:pPr>
              <w:spacing w:after="0"/>
              <w:rPr>
                <w:sz w:val="24"/>
                <w:szCs w:val="24"/>
                <w:color w:val="auto"/>
              </w:rPr>
            </w:pPr>
          </w:p>
        </w:tc>
        <w:tc>
          <w:tcPr>
            <w:tcW w:w="6100" w:type="dxa"/>
            <w:vAlign w:val="bottom"/>
            <w:gridSpan w:val="7"/>
          </w:tcPr>
          <w:p>
            <w:pPr>
              <w:spacing w:after="0"/>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u w:val="single" w:color="auto"/>
                  <w:color w:val="0000EE"/>
                </w:rPr>
                <w:t>Form of Director Indemnification Agreement</w:t>
              </w:r>
              <w:r>
                <w:rPr>
                  <w:rFonts w:ascii="Times New Roman" w:cs="Times New Roman" w:eastAsia="Times New Roman" w:hAnsi="Times New Roman"/>
                  <w:sz w:val="18"/>
                  <w:szCs w:val="18"/>
                  <w:color w:val="0000EE"/>
                </w:rPr>
                <w:t>.</w:t>
              </w:r>
            </w:hyperlink>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rPr>
              <w:t>7/25/18</w:t>
            </w:r>
          </w:p>
        </w:tc>
        <w:tc>
          <w:tcPr>
            <w:tcW w:w="0" w:type="dxa"/>
            <w:vAlign w:val="bottom"/>
          </w:tcPr>
          <w:p>
            <w:pPr>
              <w:spacing w:after="0"/>
              <w:rPr>
                <w:sz w:val="1"/>
                <w:szCs w:val="1"/>
                <w:color w:val="auto"/>
              </w:rPr>
            </w:pPr>
          </w:p>
        </w:tc>
      </w:tr>
      <w:tr>
        <w:trPr>
          <w:trHeight w:val="3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tcPr>
          <w:p>
            <w:pPr>
              <w:spacing w:after="0"/>
              <w:rPr>
                <w:sz w:val="24"/>
                <w:szCs w:val="24"/>
                <w:color w:val="auto"/>
              </w:rPr>
            </w:pPr>
          </w:p>
        </w:tc>
        <w:tc>
          <w:tcPr>
            <w:tcW w:w="6100" w:type="dxa"/>
            <w:vAlign w:val="bottom"/>
            <w:gridSpan w:val="7"/>
          </w:tcPr>
          <w:p>
            <w:pPr>
              <w:spacing w:after="0"/>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Subsidiaries of IMAX Corporation.</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40" w:type="dxa"/>
            <w:vAlign w:val="bottom"/>
          </w:tcPr>
          <w:p>
            <w:pPr>
              <w:spacing w:after="0"/>
              <w:rPr>
                <w:sz w:val="24"/>
                <w:szCs w:val="24"/>
                <w:color w:val="auto"/>
              </w:rPr>
            </w:pPr>
          </w:p>
        </w:tc>
        <w:tc>
          <w:tcPr>
            <w:tcW w:w="6100" w:type="dxa"/>
            <w:vAlign w:val="bottom"/>
            <w:gridSpan w:val="7"/>
          </w:tcPr>
          <w:p>
            <w:pPr>
              <w:spacing w:after="0"/>
              <w:rPr>
                <w:rFonts w:ascii="Times New Roman" w:cs="Times New Roman" w:eastAsia="Times New Roman" w:hAnsi="Times New Roman"/>
                <w:sz w:val="18"/>
                <w:szCs w:val="18"/>
                <w:u w:val="single" w:color="auto"/>
                <w:color w:val="0000EE"/>
              </w:rPr>
            </w:pPr>
            <w:hyperlink w:anchor="page170">
              <w:r>
                <w:rPr>
                  <w:rFonts w:ascii="Times New Roman" w:cs="Times New Roman" w:eastAsia="Times New Roman" w:hAnsi="Times New Roman"/>
                  <w:sz w:val="18"/>
                  <w:szCs w:val="18"/>
                  <w:u w:val="single" w:color="auto"/>
                  <w:color w:val="0000EE"/>
                </w:rPr>
                <w:t>Consent of PricewaterhouseCoopers LLP.</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040" w:type="dxa"/>
            <w:vAlign w:val="bottom"/>
          </w:tcPr>
          <w:p>
            <w:pPr>
              <w:spacing w:after="0"/>
              <w:rPr>
                <w:sz w:val="24"/>
                <w:szCs w:val="24"/>
                <w:color w:val="auto"/>
              </w:rPr>
            </w:pPr>
          </w:p>
        </w:tc>
        <w:tc>
          <w:tcPr>
            <w:tcW w:w="6100" w:type="dxa"/>
            <w:vAlign w:val="bottom"/>
            <w:gridSpan w:val="7"/>
          </w:tcPr>
          <w:p>
            <w:pPr>
              <w:spacing w:after="0"/>
              <w:rPr>
                <w:rFonts w:ascii="Times New Roman" w:cs="Times New Roman" w:eastAsia="Times New Roman" w:hAnsi="Times New Roman"/>
                <w:sz w:val="18"/>
                <w:szCs w:val="18"/>
                <w:u w:val="single" w:color="auto"/>
                <w:color w:val="0000EE"/>
              </w:rPr>
            </w:pPr>
            <w:hyperlink w:anchor="page171">
              <w:r>
                <w:rPr>
                  <w:rFonts w:ascii="Times New Roman" w:cs="Times New Roman" w:eastAsia="Times New Roman" w:hAnsi="Times New Roman"/>
                  <w:sz w:val="18"/>
                  <w:szCs w:val="18"/>
                  <w:u w:val="single" w:color="auto"/>
                  <w:color w:val="0000EE"/>
                </w:rPr>
                <w:t>Power of Attorney of certain directors.</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40" w:type="dxa"/>
            <w:vAlign w:val="bottom"/>
          </w:tcPr>
          <w:p>
            <w:pPr>
              <w:spacing w:after="0"/>
              <w:rPr>
                <w:sz w:val="24"/>
                <w:szCs w:val="24"/>
                <w:color w:val="auto"/>
              </w:rPr>
            </w:pPr>
          </w:p>
        </w:tc>
        <w:tc>
          <w:tcPr>
            <w:tcW w:w="8600" w:type="dxa"/>
            <w:vAlign w:val="bottom"/>
            <w:gridSpan w:val="14"/>
          </w:tcPr>
          <w:p>
            <w:pPr>
              <w:spacing w:after="0"/>
              <w:rPr>
                <w:rFonts w:ascii="Times New Roman" w:cs="Times New Roman" w:eastAsia="Times New Roman" w:hAnsi="Times New Roman"/>
                <w:sz w:val="18"/>
                <w:szCs w:val="18"/>
                <w:u w:val="single" w:color="auto"/>
                <w:color w:val="0000EE"/>
              </w:rPr>
            </w:pPr>
            <w:hyperlink w:anchor="page172">
              <w:r>
                <w:rPr>
                  <w:rFonts w:ascii="Times New Roman" w:cs="Times New Roman" w:eastAsia="Times New Roman" w:hAnsi="Times New Roman"/>
                  <w:sz w:val="18"/>
                  <w:szCs w:val="18"/>
                  <w:u w:val="single" w:color="auto"/>
                  <w:color w:val="0000EE"/>
                </w:rPr>
                <w:t>Certification Pursuant to Section 302 of the Sarbanes-Oxley Act of 2002, dated March 4, 2021, by Richard L. Gelfond.</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40" w:type="dxa"/>
            <w:vAlign w:val="bottom"/>
          </w:tcPr>
          <w:p>
            <w:pPr>
              <w:spacing w:after="0"/>
              <w:rPr>
                <w:sz w:val="24"/>
                <w:szCs w:val="24"/>
                <w:color w:val="auto"/>
              </w:rPr>
            </w:pPr>
          </w:p>
        </w:tc>
        <w:tc>
          <w:tcPr>
            <w:tcW w:w="8600" w:type="dxa"/>
            <w:vAlign w:val="bottom"/>
            <w:gridSpan w:val="14"/>
          </w:tcPr>
          <w:p>
            <w:pPr>
              <w:spacing w:after="0"/>
              <w:rPr>
                <w:rFonts w:ascii="Times New Roman" w:cs="Times New Roman" w:eastAsia="Times New Roman" w:hAnsi="Times New Roman"/>
                <w:sz w:val="18"/>
                <w:szCs w:val="18"/>
                <w:u w:val="single" w:color="auto"/>
                <w:color w:val="0000EE"/>
                <w:w w:val="99"/>
              </w:rPr>
            </w:pPr>
            <w:hyperlink w:anchor="page173">
              <w:r>
                <w:rPr>
                  <w:rFonts w:ascii="Times New Roman" w:cs="Times New Roman" w:eastAsia="Times New Roman" w:hAnsi="Times New Roman"/>
                  <w:sz w:val="18"/>
                  <w:szCs w:val="18"/>
                  <w:u w:val="single" w:color="auto"/>
                  <w:color w:val="0000EE"/>
                  <w:w w:val="99"/>
                </w:rPr>
                <w:t>Certification Pursuant to Section 302 of the Sarbanes-Oxley Act of 2002, dated March 4, 2021, by Patrick McClymont.</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40" w:type="dxa"/>
            <w:vAlign w:val="bottom"/>
          </w:tcPr>
          <w:p>
            <w:pPr>
              <w:spacing w:after="0"/>
              <w:rPr>
                <w:sz w:val="24"/>
                <w:szCs w:val="24"/>
                <w:color w:val="auto"/>
              </w:rPr>
            </w:pPr>
          </w:p>
        </w:tc>
        <w:tc>
          <w:tcPr>
            <w:tcW w:w="8600" w:type="dxa"/>
            <w:vAlign w:val="bottom"/>
            <w:gridSpan w:val="14"/>
          </w:tcPr>
          <w:p>
            <w:pPr>
              <w:spacing w:after="0"/>
              <w:rPr>
                <w:rFonts w:ascii="Times New Roman" w:cs="Times New Roman" w:eastAsia="Times New Roman" w:hAnsi="Times New Roman"/>
                <w:sz w:val="18"/>
                <w:szCs w:val="18"/>
                <w:u w:val="single" w:color="auto"/>
                <w:color w:val="0000EE"/>
              </w:rPr>
            </w:pPr>
            <w:hyperlink w:anchor="page174">
              <w:r>
                <w:rPr>
                  <w:rFonts w:ascii="Times New Roman" w:cs="Times New Roman" w:eastAsia="Times New Roman" w:hAnsi="Times New Roman"/>
                  <w:sz w:val="18"/>
                  <w:szCs w:val="18"/>
                  <w:u w:val="single" w:color="auto"/>
                  <w:color w:val="0000EE"/>
                </w:rPr>
                <w:t>Certification Pursuant to Section 906 of the Sarbanes-Oxley Act of 2002, dated March 4, 2021, by Richard L. Gelfond.</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40" w:type="dxa"/>
            <w:vAlign w:val="bottom"/>
          </w:tcPr>
          <w:p>
            <w:pPr>
              <w:spacing w:after="0"/>
              <w:rPr>
                <w:sz w:val="24"/>
                <w:szCs w:val="24"/>
                <w:color w:val="auto"/>
              </w:rPr>
            </w:pPr>
          </w:p>
        </w:tc>
        <w:tc>
          <w:tcPr>
            <w:tcW w:w="8600" w:type="dxa"/>
            <w:vAlign w:val="bottom"/>
            <w:gridSpan w:val="14"/>
          </w:tcPr>
          <w:p>
            <w:pPr>
              <w:spacing w:after="0"/>
              <w:rPr>
                <w:rFonts w:ascii="Times New Roman" w:cs="Times New Roman" w:eastAsia="Times New Roman" w:hAnsi="Times New Roman"/>
                <w:sz w:val="18"/>
                <w:szCs w:val="18"/>
                <w:u w:val="single" w:color="auto"/>
                <w:color w:val="0000EE"/>
                <w:w w:val="99"/>
              </w:rPr>
            </w:pPr>
            <w:hyperlink w:anchor="page175">
              <w:r>
                <w:rPr>
                  <w:rFonts w:ascii="Times New Roman" w:cs="Times New Roman" w:eastAsia="Times New Roman" w:hAnsi="Times New Roman"/>
                  <w:sz w:val="18"/>
                  <w:szCs w:val="18"/>
                  <w:u w:val="single" w:color="auto"/>
                  <w:color w:val="0000EE"/>
                  <w:w w:val="99"/>
                </w:rPr>
                <w:t>Certification Pursuant to Section 906 of the Sarbanes-Oxley Act of 2002, dated March 4, 2021, by Patrick McClymont.</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3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4"/>
                <w:szCs w:val="24"/>
                <w:color w:val="auto"/>
              </w:rPr>
            </w:pPr>
          </w:p>
        </w:tc>
        <w:tc>
          <w:tcPr>
            <w:tcW w:w="6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left="740" w:hanging="732"/>
        <w:spacing w:after="0"/>
        <w:tabs>
          <w:tab w:leader="none" w:pos="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4541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2">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1" w:lineRule="exact"/>
        <w:rPr>
          <w:sz w:val="20"/>
          <w:szCs w:val="20"/>
          <w:color w:val="auto"/>
        </w:rPr>
      </w:pPr>
    </w:p>
    <w:p>
      <w:pPr>
        <w:ind w:right="100" w:firstLine="22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IMAX CORPORATION</w:t>
      </w:r>
    </w:p>
    <w:p>
      <w:pPr>
        <w:spacing w:after="0" w:line="278"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PATRICK MCCLYMONT</w:t>
            </w:r>
          </w:p>
        </w:tc>
      </w:tr>
      <w:tr>
        <w:trPr>
          <w:trHeight w:val="27"/>
        </w:trPr>
        <w:tc>
          <w:tcPr>
            <w:tcW w:w="4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18"/>
        </w:trPr>
        <w:tc>
          <w:tcPr>
            <w:tcW w:w="44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Patrick McClymont</w:t>
            </w:r>
          </w:p>
        </w:tc>
      </w:tr>
      <w:tr>
        <w:trPr>
          <w:trHeight w:val="234"/>
        </w:trPr>
        <w:tc>
          <w:tcPr>
            <w:tcW w:w="44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&amp; Executive Vice President</w:t>
            </w: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2021</w:t>
      </w:r>
    </w:p>
    <w:p>
      <w:pPr>
        <w:spacing w:after="0" w:line="224" w:lineRule="exact"/>
        <w:rPr>
          <w:sz w:val="20"/>
          <w:szCs w:val="20"/>
          <w:color w:val="auto"/>
        </w:rPr>
      </w:pPr>
    </w:p>
    <w:p>
      <w:pPr>
        <w:ind w:right="580" w:firstLine="22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March 4,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 RICHARD L. GELFOND</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PATRICK MCCLYMONT</w:t>
            </w:r>
          </w:p>
        </w:tc>
        <w:tc>
          <w:tcPr>
            <w:tcW w:w="34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KEVIN M. DELANEY</w:t>
            </w:r>
          </w:p>
        </w:tc>
      </w:tr>
      <w:tr>
        <w:trPr>
          <w:trHeight w:val="191"/>
        </w:trPr>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Richard L. Gelfond</w:t>
            </w:r>
          </w:p>
        </w:tc>
        <w:tc>
          <w:tcPr>
            <w:tcW w:w="360" w:type="dxa"/>
            <w:vAlign w:val="bottom"/>
          </w:tcPr>
          <w:p>
            <w:pPr>
              <w:spacing w:after="0"/>
              <w:rPr>
                <w:sz w:val="16"/>
                <w:szCs w:val="16"/>
                <w:color w:val="auto"/>
              </w:rPr>
            </w:pPr>
          </w:p>
        </w:tc>
        <w:tc>
          <w:tcPr>
            <w:tcW w:w="3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Patrick McClymont</w:t>
            </w:r>
          </w:p>
        </w:tc>
        <w:tc>
          <w:tcPr>
            <w:tcW w:w="34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Kevin M. Delaney</w:t>
            </w:r>
          </w:p>
        </w:tc>
      </w:tr>
      <w:tr>
        <w:trPr>
          <w:trHeight w:val="215"/>
        </w:trPr>
        <w:tc>
          <w:tcPr>
            <w:tcW w:w="3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Chief Executive Officer &amp;</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&amp; Executive Vice</w:t>
            </w:r>
          </w:p>
        </w:tc>
        <w:tc>
          <w:tcPr>
            <w:tcW w:w="34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Finance &amp;</w:t>
            </w:r>
          </w:p>
        </w:tc>
      </w:tr>
      <w:tr>
        <w:trPr>
          <w:trHeight w:val="215"/>
        </w:trPr>
        <w:tc>
          <w:tcPr>
            <w:tcW w:w="3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Director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c>
          <w:tcPr>
            <w:tcW w:w="34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Controller</w:t>
            </w:r>
          </w:p>
        </w:tc>
      </w:tr>
      <w:tr>
        <w:trPr>
          <w:trHeight w:val="234"/>
        </w:trPr>
        <w:tc>
          <w:tcPr>
            <w:tcW w:w="3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34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r>
      <w:tr>
        <w:trPr>
          <w:trHeight w:val="431"/>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88"/>
              </w:rPr>
              <w:t>*</w:t>
            </w:r>
          </w:p>
        </w:tc>
      </w:tr>
      <w:tr>
        <w:trPr>
          <w:trHeight w:val="191"/>
        </w:trPr>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Bradley J. Wechsler</w:t>
            </w:r>
          </w:p>
        </w:tc>
        <w:tc>
          <w:tcPr>
            <w:tcW w:w="360" w:type="dxa"/>
            <w:vAlign w:val="bottom"/>
          </w:tcPr>
          <w:p>
            <w:pPr>
              <w:spacing w:after="0"/>
              <w:rPr>
                <w:sz w:val="16"/>
                <w:szCs w:val="16"/>
                <w:color w:val="auto"/>
              </w:rPr>
            </w:pPr>
          </w:p>
        </w:tc>
        <w:tc>
          <w:tcPr>
            <w:tcW w:w="3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Neil S. Braun</w:t>
            </w:r>
          </w:p>
        </w:tc>
        <w:tc>
          <w:tcPr>
            <w:tcW w:w="34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Eric A. Demirian</w:t>
            </w:r>
          </w:p>
        </w:tc>
      </w:tr>
      <w:tr>
        <w:trPr>
          <w:trHeight w:val="234"/>
        </w:trPr>
        <w:tc>
          <w:tcPr>
            <w:tcW w:w="3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Chairman of the Board &amp; Director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31"/>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88"/>
              </w:rPr>
              <w:t>*</w:t>
            </w:r>
          </w:p>
        </w:tc>
      </w:tr>
      <w:tr>
        <w:trPr>
          <w:trHeight w:val="191"/>
        </w:trPr>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Kevin Douglas</w:t>
            </w:r>
          </w:p>
        </w:tc>
        <w:tc>
          <w:tcPr>
            <w:tcW w:w="360" w:type="dxa"/>
            <w:vAlign w:val="bottom"/>
          </w:tcPr>
          <w:p>
            <w:pPr>
              <w:spacing w:after="0"/>
              <w:rPr>
                <w:sz w:val="16"/>
                <w:szCs w:val="16"/>
                <w:color w:val="auto"/>
              </w:rPr>
            </w:pPr>
          </w:p>
        </w:tc>
        <w:tc>
          <w:tcPr>
            <w:tcW w:w="3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David W. Leebron</w:t>
            </w:r>
          </w:p>
        </w:tc>
        <w:tc>
          <w:tcPr>
            <w:tcW w:w="34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Michael MacMillan</w:t>
            </w:r>
          </w:p>
        </w:tc>
      </w:tr>
      <w:tr>
        <w:trPr>
          <w:trHeight w:val="234"/>
        </w:trPr>
        <w:tc>
          <w:tcPr>
            <w:tcW w:w="3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Director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31"/>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91"/>
        </w:trPr>
        <w:tc>
          <w:tcPr>
            <w:tcW w:w="3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Dana Settle</w:t>
            </w:r>
          </w:p>
        </w:tc>
        <w:tc>
          <w:tcPr>
            <w:tcW w:w="360" w:type="dxa"/>
            <w:vAlign w:val="bottom"/>
          </w:tcPr>
          <w:p>
            <w:pPr>
              <w:spacing w:after="0"/>
              <w:rPr>
                <w:sz w:val="16"/>
                <w:szCs w:val="16"/>
                <w:color w:val="auto"/>
              </w:rPr>
            </w:pPr>
          </w:p>
        </w:tc>
        <w:tc>
          <w:tcPr>
            <w:tcW w:w="35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Darren D. Throop</w:t>
            </w:r>
          </w:p>
        </w:tc>
        <w:tc>
          <w:tcPr>
            <w:tcW w:w="34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234"/>
        </w:trPr>
        <w:tc>
          <w:tcPr>
            <w:tcW w:w="3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Director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/s/ PATRICK MCCLYMONT</w:t>
            </w:r>
          </w:p>
        </w:tc>
        <w:tc>
          <w:tcPr>
            <w:tcW w:w="740" w:type="dxa"/>
            <w:vAlign w:val="bottom"/>
          </w:tcPr>
          <w:p>
            <w:pPr>
              <w:spacing w:after="0"/>
              <w:rPr>
                <w:sz w:val="20"/>
                <w:szCs w:val="20"/>
                <w:color w:val="auto"/>
              </w:rPr>
            </w:pPr>
          </w:p>
        </w:tc>
      </w:tr>
      <w:tr>
        <w:trPr>
          <w:trHeight w:val="27"/>
        </w:trPr>
        <w:tc>
          <w:tcPr>
            <w:tcW w:w="602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r>
      <w:tr>
        <w:trPr>
          <w:trHeight w:val="218"/>
        </w:trPr>
        <w:tc>
          <w:tcPr>
            <w:tcW w:w="60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Patrick McClymont</w:t>
            </w:r>
          </w:p>
        </w:tc>
        <w:tc>
          <w:tcPr>
            <w:tcW w:w="740" w:type="dxa"/>
            <w:vAlign w:val="bottom"/>
          </w:tcPr>
          <w:p>
            <w:pPr>
              <w:spacing w:after="0"/>
              <w:rPr>
                <w:sz w:val="18"/>
                <w:szCs w:val="18"/>
                <w:color w:val="auto"/>
              </w:rPr>
            </w:pPr>
          </w:p>
        </w:tc>
      </w:tr>
      <w:tr>
        <w:trPr>
          <w:trHeight w:val="234"/>
        </w:trPr>
        <w:tc>
          <w:tcPr>
            <w:tcW w:w="60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 attorney-in-fact)</w:t>
            </w:r>
          </w:p>
        </w:tc>
        <w:tc>
          <w:tcPr>
            <w:tcW w:w="740" w:type="dxa"/>
            <w:vAlign w:val="bottom"/>
          </w:tcPr>
          <w:p>
            <w:pPr>
              <w:spacing w:after="0"/>
              <w:rPr>
                <w:sz w:val="20"/>
                <w:szCs w:val="20"/>
                <w:color w:val="auto"/>
              </w:rPr>
            </w:pPr>
          </w:p>
        </w:tc>
      </w:tr>
      <w:tr>
        <w:trPr>
          <w:trHeight w:val="673"/>
        </w:trPr>
        <w:tc>
          <w:tcPr>
            <w:tcW w:w="6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156</w:t>
            </w:r>
          </w:p>
        </w:tc>
        <w:tc>
          <w:tcPr>
            <w:tcW w:w="4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15"/>
        </w:trPr>
        <w:tc>
          <w:tcPr>
            <w:tcW w:w="6020" w:type="dxa"/>
            <w:vAlign w:val="bottom"/>
            <w:tcBorders>
              <w:bottom w:val="single" w:sz="8" w:color="9A9A9A"/>
            </w:tcBorders>
          </w:tcPr>
          <w:p>
            <w:pPr>
              <w:spacing w:after="0"/>
              <w:rPr>
                <w:sz w:val="9"/>
                <w:szCs w:val="9"/>
                <w:color w:val="auto"/>
              </w:rPr>
            </w:pPr>
          </w:p>
        </w:tc>
        <w:tc>
          <w:tcPr>
            <w:tcW w:w="44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3"/>
                <w:szCs w:val="13"/>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8" w:lineRule="exact"/>
              <w:rPr>
                <w:sz w:val="20"/>
                <w:szCs w:val="20"/>
                <w:color w:val="auto"/>
              </w:rPr>
            </w:pPr>
            <w:r>
              <w:rPr>
                <w:rFonts w:ascii="Times New Roman" w:cs="Times New Roman" w:eastAsia="Times New Roman" w:hAnsi="Times New Roman"/>
                <w:sz w:val="14"/>
                <w:szCs w:val="14"/>
                <w:b w:val="1"/>
                <w:bCs w:val="1"/>
                <w:color w:val="auto"/>
                <w:w w:val="99"/>
              </w:rPr>
              <w:t>(recoveries)</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20"/>
              <w:spacing w:after="0" w:line="148"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8"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160" w:type="dxa"/>
            <w:vAlign w:val="bottom"/>
          </w:tcPr>
          <w:p>
            <w:pPr>
              <w:spacing w:after="0"/>
              <w:rPr>
                <w:sz w:val="15"/>
                <w:szCs w:val="15"/>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0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(deductions)</w:t>
            </w:r>
            <w:r>
              <w:rPr>
                <w:rFonts w:ascii="Times New Roman" w:cs="Times New Roman" w:eastAsia="Times New Roman" w:hAnsi="Times New Roman"/>
                <w:sz w:val="12"/>
                <w:szCs w:val="12"/>
                <w:b w:val="1"/>
                <w:bCs w:val="1"/>
                <w:color w:val="auto"/>
              </w:rPr>
              <w:t>(1)</w:t>
            </w:r>
          </w:p>
        </w:tc>
        <w:tc>
          <w:tcPr>
            <w:tcW w:w="160" w:type="dxa"/>
            <w:vAlign w:val="bottom"/>
          </w:tcPr>
          <w:p>
            <w:pPr>
              <w:spacing w:after="0"/>
              <w:rPr>
                <w:sz w:val="15"/>
                <w:szCs w:val="15"/>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222"/>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related to net investment in leases</w:t>
            </w: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2"/>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2"/>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42"/>
        </w:trPr>
        <w:tc>
          <w:tcPr>
            <w:tcW w:w="5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related to financed sale receivables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42"/>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42"/>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6,574</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7,274</w:t>
            </w:r>
          </w:p>
        </w:tc>
        <w:tc>
          <w:tcPr>
            <w:tcW w:w="0" w:type="dxa"/>
            <w:vAlign w:val="bottom"/>
          </w:tcPr>
          <w:p>
            <w:pPr>
              <w:spacing w:after="0"/>
              <w:rPr>
                <w:sz w:val="1"/>
                <w:szCs w:val="1"/>
                <w:color w:val="auto"/>
              </w:rPr>
            </w:pPr>
          </w:p>
        </w:tc>
      </w:tr>
      <w:tr>
        <w:trPr>
          <w:trHeight w:val="242"/>
        </w:trPr>
        <w:tc>
          <w:tcPr>
            <w:tcW w:w="5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related to doubtful accounts receivable</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3,030</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3,174</w:t>
            </w:r>
          </w:p>
        </w:tc>
        <w:tc>
          <w:tcPr>
            <w:tcW w:w="0" w:type="dxa"/>
            <w:vAlign w:val="bottom"/>
          </w:tcPr>
          <w:p>
            <w:pPr>
              <w:spacing w:after="0"/>
              <w:rPr>
                <w:sz w:val="1"/>
                <w:szCs w:val="1"/>
                <w:color w:val="auto"/>
              </w:rPr>
            </w:pPr>
          </w:p>
        </w:tc>
      </w:tr>
      <w:tr>
        <w:trPr>
          <w:trHeight w:val="242"/>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3,174</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2,354</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5,138</w:t>
            </w:r>
          </w:p>
        </w:tc>
        <w:tc>
          <w:tcPr>
            <w:tcW w:w="0" w:type="dxa"/>
            <w:vAlign w:val="bottom"/>
          </w:tcPr>
          <w:p>
            <w:pPr>
              <w:spacing w:after="0"/>
              <w:rPr>
                <w:sz w:val="1"/>
                <w:szCs w:val="1"/>
                <w:color w:val="auto"/>
              </w:rPr>
            </w:pPr>
          </w:p>
        </w:tc>
      </w:tr>
      <w:tr>
        <w:trPr>
          <w:trHeight w:val="242"/>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5,138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9,708</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14,295</w:t>
            </w:r>
          </w:p>
        </w:tc>
        <w:tc>
          <w:tcPr>
            <w:tcW w:w="0" w:type="dxa"/>
            <w:vAlign w:val="bottom"/>
          </w:tcPr>
          <w:p>
            <w:pPr>
              <w:spacing w:after="0"/>
              <w:rPr>
                <w:sz w:val="1"/>
                <w:szCs w:val="1"/>
                <w:color w:val="auto"/>
              </w:rPr>
            </w:pPr>
          </w:p>
        </w:tc>
      </w:tr>
      <w:tr>
        <w:trPr>
          <w:trHeight w:val="242"/>
        </w:trPr>
        <w:tc>
          <w:tcPr>
            <w:tcW w:w="5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related to variable consideration receivables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1,875</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42"/>
        </w:trPr>
        <w:tc>
          <w:tcPr>
            <w:tcW w:w="5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Inventories valuation allowance</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3,885</w:t>
            </w:r>
          </w:p>
        </w:tc>
        <w:tc>
          <w:tcPr>
            <w:tcW w:w="0" w:type="dxa"/>
            <w:vAlign w:val="bottom"/>
          </w:tcPr>
          <w:p>
            <w:pPr>
              <w:spacing w:after="0"/>
              <w:rPr>
                <w:sz w:val="1"/>
                <w:szCs w:val="1"/>
                <w:color w:val="auto"/>
              </w:rPr>
            </w:pPr>
          </w:p>
        </w:tc>
      </w:tr>
      <w:tr>
        <w:trPr>
          <w:trHeight w:val="242"/>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3,885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42"/>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3,216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3,028</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5,752</w:t>
            </w:r>
          </w:p>
        </w:tc>
        <w:tc>
          <w:tcPr>
            <w:tcW w:w="0" w:type="dxa"/>
            <w:vAlign w:val="bottom"/>
          </w:tcPr>
          <w:p>
            <w:pPr>
              <w:spacing w:after="0"/>
              <w:rPr>
                <w:sz w:val="1"/>
                <w:szCs w:val="1"/>
                <w:color w:val="auto"/>
              </w:rPr>
            </w:pPr>
          </w:p>
        </w:tc>
      </w:tr>
      <w:tr>
        <w:trPr>
          <w:trHeight w:val="242"/>
        </w:trPr>
        <w:tc>
          <w:tcPr>
            <w:tcW w:w="5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income tax valuation allowance</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42"/>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42"/>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28,589</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28,786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239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6">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50" w:lineRule="exact"/>
        <w:rPr>
          <w:sz w:val="20"/>
          <w:szCs w:val="20"/>
          <w:color w:val="auto"/>
        </w:rPr>
      </w:pPr>
    </w:p>
    <w:p>
      <w:pPr>
        <w:ind w:left="380" w:right="20" w:hanging="372"/>
        <w:spacing w:after="0" w:line="281" w:lineRule="auto"/>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represent write-offs of amounts previously charged to the provision. Other additions/(deductions) also include impact of foreign exchanges.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117"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261620</wp:posOffset>
            </wp:positionV>
            <wp:extent cx="4549775" cy="915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7">
                      <a:extLst>
                        <a:ext uri="{28A0092B-C50C-407E-A947-70E740481C1C}"/>
                      </a:extLst>
                    </a:blip>
                    <a:srcRect/>
                    <a:stretch>
                      <a:fillRect/>
                    </a:stretch>
                  </pic:blipFill>
                  <pic:spPr bwMode="auto">
                    <a:xfrm>
                      <a:off x="0" y="0"/>
                      <a:ext cx="4549775" cy="91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IMAX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AMENDED AND RESTATED BY-LAW NO.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MARCH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646430</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58" w:name="page159"/>
    <w:bookmarkEnd w:id="15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AMENDED AND RESTATED BY-LAW NO. 1</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enerally the transaction of the business and affairs of IMAX Corporation.</w:t>
      </w:r>
    </w:p>
    <w:p>
      <w:pPr>
        <w:spacing w:after="0" w:line="180"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10700" w:type="dxa"/>
            <w:vAlign w:val="bottom"/>
          </w:tcPr>
          <w:p>
            <w:pPr>
              <w:ind w:left="4760"/>
              <w:spacing w:after="0"/>
              <w:rPr>
                <w:sz w:val="20"/>
                <w:szCs w:val="20"/>
                <w:color w:val="auto"/>
              </w:rPr>
            </w:pPr>
            <w:r>
              <w:rPr>
                <w:rFonts w:ascii="Times New Roman" w:cs="Times New Roman" w:eastAsia="Times New Roman" w:hAnsi="Times New Roman"/>
                <w:sz w:val="18"/>
                <w:szCs w:val="18"/>
                <w:b w:val="1"/>
                <w:bCs w:val="1"/>
                <w:color w:val="auto"/>
              </w:rPr>
              <w:t>Section 1</w:t>
            </w:r>
          </w:p>
        </w:tc>
      </w:tr>
      <w:tr>
        <w:trPr>
          <w:trHeight w:val="323"/>
        </w:trPr>
        <w:tc>
          <w:tcPr>
            <w:tcW w:w="560" w:type="dxa"/>
            <w:vAlign w:val="bottom"/>
          </w:tcPr>
          <w:p>
            <w:pPr>
              <w:spacing w:after="0"/>
              <w:rPr>
                <w:sz w:val="24"/>
                <w:szCs w:val="24"/>
                <w:color w:val="auto"/>
              </w:rPr>
            </w:pPr>
          </w:p>
        </w:tc>
        <w:tc>
          <w:tcPr>
            <w:tcW w:w="107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7"/>
              </w:rPr>
              <w:t>INTERPRETATION</w:t>
            </w:r>
          </w:p>
        </w:tc>
      </w:tr>
      <w:tr>
        <w:trPr>
          <w:trHeight w:val="431"/>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1.1</w:t>
            </w: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In this by-law, which may be cited as the By-law, unless the context otherwise requires:</w:t>
            </w:r>
          </w:p>
        </w:tc>
      </w:tr>
      <w:tr>
        <w:trPr>
          <w:trHeight w:val="413"/>
        </w:trPr>
        <w:tc>
          <w:tcPr>
            <w:tcW w:w="560" w:type="dxa"/>
            <w:vAlign w:val="bottom"/>
          </w:tcPr>
          <w:p>
            <w:pPr>
              <w:spacing w:after="0"/>
              <w:rPr>
                <w:sz w:val="24"/>
                <w:szCs w:val="24"/>
                <w:color w:val="auto"/>
              </w:rPr>
            </w:pPr>
          </w:p>
        </w:tc>
        <w:tc>
          <w:tcPr>
            <w:tcW w:w="10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“Act” means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 R.S.C. 1985, C. 44 and any statute that may be substituted therefor, as from time to time</w:t>
            </w:r>
          </w:p>
        </w:tc>
      </w:tr>
      <w:tr>
        <w:trPr>
          <w:trHeight w:val="234"/>
        </w:trPr>
        <w:tc>
          <w:tcPr>
            <w:tcW w:w="560" w:type="dxa"/>
            <w:vAlign w:val="bottom"/>
          </w:tcPr>
          <w:p>
            <w:pPr>
              <w:spacing w:after="0"/>
              <w:rPr>
                <w:sz w:val="20"/>
                <w:szCs w:val="20"/>
                <w:color w:val="auto"/>
              </w:rPr>
            </w:pPr>
          </w:p>
        </w:tc>
        <w:tc>
          <w:tcPr>
            <w:tcW w:w="10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w:t>
            </w:r>
          </w:p>
        </w:tc>
      </w:tr>
      <w:tr>
        <w:trPr>
          <w:trHeight w:val="305"/>
        </w:trPr>
        <w:tc>
          <w:tcPr>
            <w:tcW w:w="560" w:type="dxa"/>
            <w:vAlign w:val="bottom"/>
          </w:tcPr>
          <w:p>
            <w:pPr>
              <w:spacing w:after="0"/>
              <w:rPr>
                <w:sz w:val="24"/>
                <w:szCs w:val="24"/>
                <w:color w:val="auto"/>
              </w:rPr>
            </w:pPr>
          </w:p>
        </w:tc>
        <w:tc>
          <w:tcPr>
            <w:tcW w:w="10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“Articles” includes the original or restated articles of incorporation, articles of amendment, articles of amalgamation, articles of continuance,</w:t>
            </w:r>
          </w:p>
        </w:tc>
      </w:tr>
      <w:tr>
        <w:trPr>
          <w:trHeight w:val="234"/>
        </w:trPr>
        <w:tc>
          <w:tcPr>
            <w:tcW w:w="560" w:type="dxa"/>
            <w:vAlign w:val="bottom"/>
          </w:tcPr>
          <w:p>
            <w:pPr>
              <w:spacing w:after="0"/>
              <w:rPr>
                <w:sz w:val="20"/>
                <w:szCs w:val="20"/>
                <w:color w:val="auto"/>
              </w:rPr>
            </w:pPr>
          </w:p>
        </w:tc>
        <w:tc>
          <w:tcPr>
            <w:tcW w:w="10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articles of reorganization, articles of arrangement and articles of revival of the Corporation;</w:t>
            </w:r>
          </w:p>
        </w:tc>
      </w:tr>
      <w:tr>
        <w:trPr>
          <w:trHeight w:val="323"/>
        </w:trPr>
        <w:tc>
          <w:tcPr>
            <w:tcW w:w="560" w:type="dxa"/>
            <w:vAlign w:val="bottom"/>
          </w:tcPr>
          <w:p>
            <w:pPr>
              <w:spacing w:after="0"/>
              <w:rPr>
                <w:sz w:val="24"/>
                <w:szCs w:val="24"/>
                <w:color w:val="auto"/>
              </w:rPr>
            </w:pPr>
          </w:p>
        </w:tc>
        <w:tc>
          <w:tcPr>
            <w:tcW w:w="10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“Board” means the Board of Directors of the Corporation;</w:t>
            </w:r>
          </w:p>
        </w:tc>
      </w:tr>
      <w:tr>
        <w:trPr>
          <w:trHeight w:val="323"/>
        </w:trPr>
        <w:tc>
          <w:tcPr>
            <w:tcW w:w="560" w:type="dxa"/>
            <w:vAlign w:val="bottom"/>
          </w:tcPr>
          <w:p>
            <w:pPr>
              <w:spacing w:after="0"/>
              <w:rPr>
                <w:sz w:val="24"/>
                <w:szCs w:val="24"/>
                <w:color w:val="auto"/>
              </w:rPr>
            </w:pPr>
          </w:p>
        </w:tc>
        <w:tc>
          <w:tcPr>
            <w:tcW w:w="10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“Corporation” means IMAX Corporation;</w:t>
            </w:r>
          </w:p>
        </w:tc>
      </w:tr>
      <w:tr>
        <w:trPr>
          <w:trHeight w:val="323"/>
        </w:trPr>
        <w:tc>
          <w:tcPr>
            <w:tcW w:w="560" w:type="dxa"/>
            <w:vAlign w:val="bottom"/>
          </w:tcPr>
          <w:p>
            <w:pPr>
              <w:spacing w:after="0"/>
              <w:rPr>
                <w:sz w:val="24"/>
                <w:szCs w:val="24"/>
                <w:color w:val="auto"/>
              </w:rPr>
            </w:pPr>
          </w:p>
        </w:tc>
        <w:tc>
          <w:tcPr>
            <w:tcW w:w="10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“meeting of shareholders” means any meeting of shareholders including an annual meeting and a special meeting;</w:t>
            </w:r>
          </w:p>
        </w:tc>
      </w:tr>
      <w:tr>
        <w:trPr>
          <w:trHeight w:val="323"/>
        </w:trPr>
        <w:tc>
          <w:tcPr>
            <w:tcW w:w="560" w:type="dxa"/>
            <w:vAlign w:val="bottom"/>
          </w:tcPr>
          <w:p>
            <w:pPr>
              <w:spacing w:after="0"/>
              <w:rPr>
                <w:sz w:val="24"/>
                <w:szCs w:val="24"/>
                <w:color w:val="auto"/>
              </w:rPr>
            </w:pPr>
          </w:p>
        </w:tc>
        <w:tc>
          <w:tcPr>
            <w:tcW w:w="10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“non-business day” means Saturday, Sunday and any other day that is a holiday as defined in the </w:t>
            </w:r>
            <w:r>
              <w:rPr>
                <w:rFonts w:ascii="Times New Roman" w:cs="Times New Roman" w:eastAsia="Times New Roman" w:hAnsi="Times New Roman"/>
                <w:sz w:val="18"/>
                <w:szCs w:val="18"/>
                <w:i w:val="1"/>
                <w:iCs w:val="1"/>
                <w:color w:val="auto"/>
              </w:rPr>
              <w:t>Interpretation Act</w:t>
            </w:r>
            <w:r>
              <w:rPr>
                <w:rFonts w:ascii="Times New Roman" w:cs="Times New Roman" w:eastAsia="Times New Roman" w:hAnsi="Times New Roman"/>
                <w:sz w:val="18"/>
                <w:szCs w:val="18"/>
                <w:color w:val="auto"/>
              </w:rPr>
              <w:t xml:space="preserve"> (Canada);</w:t>
            </w:r>
          </w:p>
        </w:tc>
      </w:tr>
      <w:tr>
        <w:trPr>
          <w:trHeight w:val="305"/>
        </w:trPr>
        <w:tc>
          <w:tcPr>
            <w:tcW w:w="560" w:type="dxa"/>
            <w:vAlign w:val="bottom"/>
          </w:tcPr>
          <w:p>
            <w:pPr>
              <w:spacing w:after="0"/>
              <w:rPr>
                <w:sz w:val="24"/>
                <w:szCs w:val="24"/>
                <w:color w:val="auto"/>
              </w:rPr>
            </w:pPr>
          </w:p>
        </w:tc>
        <w:tc>
          <w:tcPr>
            <w:tcW w:w="10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“recorded address” means in the case of a shareholder the address as recorded in the securities register; and in the case of joint shareholders the</w:t>
            </w:r>
          </w:p>
        </w:tc>
      </w:tr>
      <w:tr>
        <w:trPr>
          <w:trHeight w:val="215"/>
        </w:trPr>
        <w:tc>
          <w:tcPr>
            <w:tcW w:w="56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address appearing in the securities register in respect of such joint holding or the first address so appearing if there are two or more; and in the</w:t>
            </w:r>
          </w:p>
        </w:tc>
      </w:tr>
      <w:tr>
        <w:trPr>
          <w:trHeight w:val="234"/>
        </w:trPr>
        <w:tc>
          <w:tcPr>
            <w:tcW w:w="560" w:type="dxa"/>
            <w:vAlign w:val="bottom"/>
          </w:tcPr>
          <w:p>
            <w:pPr>
              <w:spacing w:after="0"/>
              <w:rPr>
                <w:sz w:val="20"/>
                <w:szCs w:val="20"/>
                <w:color w:val="auto"/>
              </w:rPr>
            </w:pPr>
          </w:p>
        </w:tc>
        <w:tc>
          <w:tcPr>
            <w:tcW w:w="10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case of a director, officer or auditor, the latest address as recorded in the records of the Corporation.</w:t>
            </w:r>
          </w:p>
        </w:tc>
      </w:tr>
      <w:tr>
        <w:trPr>
          <w:trHeight w:val="305"/>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1.2</w:t>
            </w: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Save as aforesaid, words and expressions defined in the Act have the same meanings when used herein; and words importing the</w:t>
            </w:r>
          </w:p>
        </w:tc>
      </w:tr>
      <w:tr>
        <w:trPr>
          <w:trHeight w:val="215"/>
        </w:trPr>
        <w:tc>
          <w:tcPr>
            <w:tcW w:w="56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singular include the plural and vice versa; words importing gender include the masculine, feminine and neuter genders; and words importing</w:t>
            </w:r>
          </w:p>
        </w:tc>
      </w:tr>
      <w:tr>
        <w:trPr>
          <w:trHeight w:val="215"/>
        </w:trPr>
        <w:tc>
          <w:tcPr>
            <w:tcW w:w="56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persons  include  individuals,  bodies  corporate,  partnerships,  associations,  trusts,  executors,  administrators,  legal  representatives,  and</w:t>
            </w:r>
          </w:p>
        </w:tc>
      </w:tr>
      <w:tr>
        <w:trPr>
          <w:trHeight w:val="234"/>
        </w:trPr>
        <w:tc>
          <w:tcPr>
            <w:tcW w:w="560" w:type="dxa"/>
            <w:vAlign w:val="bottom"/>
          </w:tcPr>
          <w:p>
            <w:pPr>
              <w:spacing w:after="0"/>
              <w:rPr>
                <w:sz w:val="20"/>
                <w:szCs w:val="20"/>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unincorporated organizations and any number or aggregate of persons.</w:t>
            </w:r>
          </w:p>
        </w:tc>
      </w:tr>
      <w:tr>
        <w:trPr>
          <w:trHeight w:val="620"/>
        </w:trPr>
        <w:tc>
          <w:tcPr>
            <w:tcW w:w="560" w:type="dxa"/>
            <w:vAlign w:val="bottom"/>
          </w:tcPr>
          <w:p>
            <w:pPr>
              <w:spacing w:after="0"/>
              <w:rPr>
                <w:sz w:val="24"/>
                <w:szCs w:val="24"/>
                <w:color w:val="auto"/>
              </w:rPr>
            </w:pPr>
          </w:p>
        </w:tc>
        <w:tc>
          <w:tcPr>
            <w:tcW w:w="10700" w:type="dxa"/>
            <w:vAlign w:val="bottom"/>
          </w:tcPr>
          <w:p>
            <w:pPr>
              <w:ind w:left="4760"/>
              <w:spacing w:after="0"/>
              <w:rPr>
                <w:sz w:val="20"/>
                <w:szCs w:val="20"/>
                <w:color w:val="auto"/>
              </w:rPr>
            </w:pPr>
            <w:r>
              <w:rPr>
                <w:rFonts w:ascii="Times New Roman" w:cs="Times New Roman" w:eastAsia="Times New Roman" w:hAnsi="Times New Roman"/>
                <w:sz w:val="18"/>
                <w:szCs w:val="18"/>
                <w:b w:val="1"/>
                <w:bCs w:val="1"/>
                <w:color w:val="auto"/>
              </w:rPr>
              <w:t>Section 2</w:t>
            </w:r>
          </w:p>
        </w:tc>
      </w:tr>
      <w:tr>
        <w:trPr>
          <w:trHeight w:val="323"/>
        </w:trPr>
        <w:tc>
          <w:tcPr>
            <w:tcW w:w="560" w:type="dxa"/>
            <w:vAlign w:val="bottom"/>
          </w:tcPr>
          <w:p>
            <w:pPr>
              <w:spacing w:after="0"/>
              <w:rPr>
                <w:sz w:val="24"/>
                <w:szCs w:val="24"/>
                <w:color w:val="auto"/>
              </w:rPr>
            </w:pPr>
          </w:p>
        </w:tc>
        <w:tc>
          <w:tcPr>
            <w:tcW w:w="107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MEETINGS OF SHAREHOLDERS</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2.1</w:t>
            </w: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Meetings of Shareholders</w:t>
            </w:r>
            <w:r>
              <w:rPr>
                <w:rFonts w:ascii="Times New Roman" w:cs="Times New Roman" w:eastAsia="Times New Roman" w:hAnsi="Times New Roman"/>
                <w:sz w:val="18"/>
                <w:szCs w:val="18"/>
                <w:color w:val="auto"/>
              </w:rPr>
              <w:t>. The annual meeting of shareholders shall be held in each year on a date to be determined by the Board. The Board,</w:t>
            </w:r>
          </w:p>
        </w:tc>
      </w:tr>
      <w:tr>
        <w:trPr>
          <w:trHeight w:val="234"/>
        </w:trPr>
        <w:tc>
          <w:tcPr>
            <w:tcW w:w="560" w:type="dxa"/>
            <w:vAlign w:val="bottom"/>
          </w:tcPr>
          <w:p>
            <w:pPr>
              <w:spacing w:after="0"/>
              <w:rPr>
                <w:sz w:val="20"/>
                <w:szCs w:val="20"/>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Chair, a Vice-Chair or the Chief Executive Officer may call a special meeting of shareholders, at any time.</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2.2</w:t>
            </w: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Chair, Secretary and Scrutineers</w:t>
            </w:r>
            <w:r>
              <w:rPr>
                <w:rFonts w:ascii="Times New Roman" w:cs="Times New Roman" w:eastAsia="Times New Roman" w:hAnsi="Times New Roman"/>
                <w:sz w:val="18"/>
                <w:szCs w:val="18"/>
                <w:color w:val="auto"/>
              </w:rPr>
              <w:t>. The chair of any meeting of shareholders shall be the first mentioned of such of the following officers who</w:t>
            </w:r>
          </w:p>
        </w:tc>
      </w:tr>
      <w:tr>
        <w:trPr>
          <w:trHeight w:val="215"/>
        </w:trPr>
        <w:tc>
          <w:tcPr>
            <w:tcW w:w="56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 present at the meeting: the Chair, the Chief Executive Officer, a Vice-Chair or a Vice-President who is a director of the Corporation. If no</w:t>
            </w:r>
          </w:p>
        </w:tc>
      </w:tr>
      <w:tr>
        <w:trPr>
          <w:trHeight w:val="215"/>
        </w:trPr>
        <w:tc>
          <w:tcPr>
            <w:tcW w:w="56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such officer is present within fifteen minutes from the time fixed for holding the meeting, the persons present and entitled to vote shall choose</w:t>
            </w:r>
          </w:p>
        </w:tc>
      </w:tr>
      <w:tr>
        <w:trPr>
          <w:trHeight w:val="215"/>
        </w:trPr>
        <w:tc>
          <w:tcPr>
            <w:tcW w:w="56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one of their number to act as chair. The secretary of any meeting of shareholders shall be the Secretary of the Corporation. If the Secretary is</w:t>
            </w:r>
          </w:p>
        </w:tc>
      </w:tr>
      <w:tr>
        <w:trPr>
          <w:trHeight w:val="215"/>
        </w:trPr>
        <w:tc>
          <w:tcPr>
            <w:tcW w:w="56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absent, the chair shall appoint some person, who need not be a shareholder, to act as secretary of the meeting. The chair may appoint one or</w:t>
            </w:r>
          </w:p>
        </w:tc>
      </w:tr>
      <w:tr>
        <w:trPr>
          <w:trHeight w:val="234"/>
        </w:trPr>
        <w:tc>
          <w:tcPr>
            <w:tcW w:w="560" w:type="dxa"/>
            <w:vAlign w:val="bottom"/>
          </w:tcPr>
          <w:p>
            <w:pPr>
              <w:spacing w:after="0"/>
              <w:rPr>
                <w:sz w:val="20"/>
                <w:szCs w:val="20"/>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more persons who need not be shareholders to act as scrutineers at the meeting.</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2.3</w:t>
            </w: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Persons Entitled to be Present</w:t>
            </w:r>
            <w:r>
              <w:rPr>
                <w:rFonts w:ascii="Times New Roman" w:cs="Times New Roman" w:eastAsia="Times New Roman" w:hAnsi="Times New Roman"/>
                <w:sz w:val="18"/>
                <w:szCs w:val="18"/>
                <w:color w:val="auto"/>
              </w:rPr>
              <w:t>. The only persons entitled to be present at a meeting of shareholders shall be those entitled to vote thereat, the</w:t>
            </w:r>
          </w:p>
        </w:tc>
      </w:tr>
      <w:tr>
        <w:trPr>
          <w:trHeight w:val="234"/>
        </w:trPr>
        <w:tc>
          <w:tcPr>
            <w:tcW w:w="560" w:type="dxa"/>
            <w:vAlign w:val="bottom"/>
          </w:tcPr>
          <w:p>
            <w:pPr>
              <w:spacing w:after="0"/>
              <w:rPr>
                <w:sz w:val="20"/>
                <w:szCs w:val="20"/>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directors, the auditors of the Corporation and others who, although not</w:t>
            </w:r>
          </w:p>
        </w:tc>
      </w:tr>
      <w:tr>
        <w:trPr>
          <w:trHeight w:val="418"/>
        </w:trPr>
        <w:tc>
          <w:tcPr>
            <w:tcW w:w="560" w:type="dxa"/>
            <w:vAlign w:val="bottom"/>
          </w:tcPr>
          <w:p>
            <w:pPr>
              <w:spacing w:after="0"/>
              <w:rPr>
                <w:sz w:val="24"/>
                <w:szCs w:val="24"/>
                <w:color w:val="auto"/>
              </w:rPr>
            </w:pPr>
          </w:p>
        </w:tc>
        <w:tc>
          <w:tcPr>
            <w:tcW w:w="107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88"/>
              </w:rPr>
              <w:t>1</w:t>
            </w:r>
          </w:p>
        </w:tc>
      </w:tr>
      <w:tr>
        <w:trPr>
          <w:trHeight w:val="88"/>
        </w:trPr>
        <w:tc>
          <w:tcPr>
            <w:tcW w:w="560" w:type="dxa"/>
            <w:vAlign w:val="bottom"/>
            <w:tcBorders>
              <w:bottom w:val="single" w:sz="8" w:color="9A9A9A"/>
            </w:tcBorders>
          </w:tcPr>
          <w:p>
            <w:pPr>
              <w:spacing w:after="0"/>
              <w:rPr>
                <w:sz w:val="7"/>
                <w:szCs w:val="7"/>
                <w:color w:val="auto"/>
              </w:rPr>
            </w:pPr>
          </w:p>
        </w:tc>
        <w:tc>
          <w:tcPr>
            <w:tcW w:w="107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7209790</wp:posOffset>
            </wp:positionH>
            <wp:positionV relativeFrom="paragraph">
              <wp:posOffset>-7620</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-16510</wp:posOffset>
            </wp:positionV>
            <wp:extent cx="825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360"/>
          </w:cols>
          <w:pgMar w:left="220" w:top="333" w:right="31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entitled to vote, are entitled or required under any provision of the Act or the Articles to be present. Any other person may be admitted with the</w:t>
            </w:r>
          </w:p>
        </w:tc>
      </w:tr>
      <w:tr>
        <w:trPr>
          <w:trHeight w:val="234"/>
        </w:trPr>
        <w:tc>
          <w:tcPr>
            <w:tcW w:w="56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consent of the meeting or of the chair of the meeting.</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2.4</w:t>
            </w: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Quorum</w:t>
            </w:r>
            <w:r>
              <w:rPr>
                <w:rFonts w:ascii="Times New Roman" w:cs="Times New Roman" w:eastAsia="Times New Roman" w:hAnsi="Times New Roman"/>
                <w:sz w:val="18"/>
                <w:szCs w:val="18"/>
                <w:color w:val="auto"/>
              </w:rPr>
              <w:t>. Except as otherwise provided in the Articles, a quorum for the transaction of business at any meeting of shareholders shall be at least</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two persons present in person or by means of a telephonic, electronic or other communication facility that permits all participants to</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communicate adequately with each other during the meeting, each being a shareholder entitled to vote thereat or a duly appointed proxyholder</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 such a shareholder and together holding or representing by proxy not less than 33-1/3% of the outstanding shares of the Corporation entitled</w:t>
            </w:r>
          </w:p>
        </w:tc>
      </w:tr>
      <w:tr>
        <w:trPr>
          <w:trHeight w:val="234"/>
        </w:trPr>
        <w:tc>
          <w:tcPr>
            <w:tcW w:w="56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be voted at the meeting.</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2.5</w:t>
            </w: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9"/>
              </w:rPr>
              <w:t>Procedures at Meetings</w:t>
            </w:r>
            <w:r>
              <w:rPr>
                <w:rFonts w:ascii="Times New Roman" w:cs="Times New Roman" w:eastAsia="Times New Roman" w:hAnsi="Times New Roman"/>
                <w:sz w:val="18"/>
                <w:szCs w:val="18"/>
                <w:color w:val="auto"/>
                <w:w w:val="99"/>
              </w:rPr>
              <w:t>. The Board may determine the procedures to be followed at any meeting of shareholders including, without limitation,</w:t>
            </w:r>
          </w:p>
        </w:tc>
      </w:tr>
      <w:tr>
        <w:trPr>
          <w:trHeight w:val="234"/>
        </w:trPr>
        <w:tc>
          <w:tcPr>
            <w:tcW w:w="56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rules of order. Subject to the foregoing, the chair of a meeting may determine the procedures of the meeting in all respects.</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2.6</w:t>
            </w: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Meetings Held by Electronic Means</w:t>
            </w:r>
            <w:r>
              <w:rPr>
                <w:rFonts w:ascii="Times New Roman" w:cs="Times New Roman" w:eastAsia="Times New Roman" w:hAnsi="Times New Roman"/>
                <w:sz w:val="18"/>
                <w:szCs w:val="18"/>
                <w:color w:val="auto"/>
              </w:rPr>
              <w:t>. If the Board calls a meeting of shareholders under the Act, the Board may determine that the meeting</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shall be held, in accordance with the Act, entirely by means of a telephonic, electronic or other communication facility that permits all</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participants to communicate adequately with each other during the meeting. A person participating in the meeting by such means shall be</w:t>
            </w:r>
          </w:p>
        </w:tc>
      </w:tr>
      <w:tr>
        <w:trPr>
          <w:trHeight w:val="234"/>
        </w:trPr>
        <w:tc>
          <w:tcPr>
            <w:tcW w:w="56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deemed to be present at the meeting.</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2.7</w:t>
            </w: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Place of Meetings</w:t>
            </w:r>
            <w:r>
              <w:rPr>
                <w:rFonts w:ascii="Times New Roman" w:cs="Times New Roman" w:eastAsia="Times New Roman" w:hAnsi="Times New Roman"/>
                <w:sz w:val="18"/>
                <w:szCs w:val="18"/>
                <w:color w:val="auto"/>
              </w:rPr>
              <w:t>. All meetings of the shareholders shall be held at such place in Canada or otherwise specified in the Articles as the Board</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determines or, in the absence of such a determination, at the place stated in the notice of meeting. Any meeting of shareholders conducted by</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of a telephonic, an electronic or other communication facility in accordance with Section 2.6 shall be deemed to be held at the registered</w:t>
            </w:r>
          </w:p>
        </w:tc>
      </w:tr>
      <w:tr>
        <w:trPr>
          <w:trHeight w:val="234"/>
        </w:trPr>
        <w:tc>
          <w:tcPr>
            <w:tcW w:w="56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office of the Corporation or such other place as determined by the Board.</w:t>
            </w:r>
          </w:p>
        </w:tc>
      </w:tr>
      <w:tr>
        <w:trPr>
          <w:trHeight w:val="391"/>
        </w:trPr>
        <w:tc>
          <w:tcPr>
            <w:tcW w:w="560" w:type="dxa"/>
            <w:vAlign w:val="bottom"/>
          </w:tcPr>
          <w:p>
            <w:pPr>
              <w:spacing w:after="0"/>
              <w:rPr>
                <w:sz w:val="24"/>
                <w:szCs w:val="24"/>
                <w:color w:val="auto"/>
              </w:rPr>
            </w:pPr>
          </w:p>
        </w:tc>
        <w:tc>
          <w:tcPr>
            <w:tcW w:w="10680" w:type="dxa"/>
            <w:vAlign w:val="bottom"/>
          </w:tcPr>
          <w:p>
            <w:pPr>
              <w:ind w:left="4760"/>
              <w:spacing w:after="0"/>
              <w:rPr>
                <w:sz w:val="20"/>
                <w:szCs w:val="20"/>
                <w:color w:val="auto"/>
              </w:rPr>
            </w:pPr>
            <w:r>
              <w:rPr>
                <w:rFonts w:ascii="Times New Roman" w:cs="Times New Roman" w:eastAsia="Times New Roman" w:hAnsi="Times New Roman"/>
                <w:sz w:val="18"/>
                <w:szCs w:val="18"/>
                <w:b w:val="1"/>
                <w:bCs w:val="1"/>
                <w:color w:val="auto"/>
              </w:rPr>
              <w:t>Section 3</w:t>
            </w:r>
          </w:p>
        </w:tc>
      </w:tr>
      <w:tr>
        <w:trPr>
          <w:trHeight w:val="323"/>
        </w:trPr>
        <w:tc>
          <w:tcPr>
            <w:tcW w:w="560" w:type="dxa"/>
            <w:vAlign w:val="bottom"/>
          </w:tcPr>
          <w:p>
            <w:pPr>
              <w:spacing w:after="0"/>
              <w:rPr>
                <w:sz w:val="24"/>
                <w:szCs w:val="24"/>
                <w:color w:val="auto"/>
              </w:rPr>
            </w:pPr>
          </w:p>
        </w:tc>
        <w:tc>
          <w:tcPr>
            <w:tcW w:w="1068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DIRECTORS</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3.1</w:t>
            </w: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Number of Directors; Filling Vacancies</w:t>
            </w:r>
            <w:r>
              <w:rPr>
                <w:rFonts w:ascii="Times New Roman" w:cs="Times New Roman" w:eastAsia="Times New Roman" w:hAnsi="Times New Roman"/>
                <w:sz w:val="18"/>
                <w:szCs w:val="18"/>
                <w:color w:val="auto"/>
              </w:rPr>
              <w:t>. Subject to the Act and the Articles the number of directors of the Corporation may be fixed from</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time to time by resolution of the Board, and any vacancies on the Board, whether arising due to an increase in the number of directors or</w:t>
            </w:r>
          </w:p>
        </w:tc>
      </w:tr>
      <w:tr>
        <w:trPr>
          <w:trHeight w:val="234"/>
        </w:trPr>
        <w:tc>
          <w:tcPr>
            <w:tcW w:w="56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otherwise, may be filled by the Board.</w:t>
            </w:r>
          </w:p>
        </w:tc>
      </w:tr>
      <w:tr>
        <w:trPr>
          <w:trHeight w:val="431"/>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3.2</w:t>
            </w: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Term of Office</w:t>
            </w:r>
            <w:r>
              <w:rPr>
                <w:rFonts w:ascii="Times New Roman" w:cs="Times New Roman" w:eastAsia="Times New Roman" w:hAnsi="Times New Roman"/>
                <w:sz w:val="18"/>
                <w:szCs w:val="18"/>
                <w:color w:val="auto"/>
              </w:rPr>
              <w:t>. Subject to Section 3.3 hereof, each director shall be elected for a term as provided in the Articles.</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3.3</w:t>
            </w: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Qualification of Directors</w:t>
            </w:r>
            <w:r>
              <w:rPr>
                <w:rFonts w:ascii="Times New Roman" w:cs="Times New Roman" w:eastAsia="Times New Roman" w:hAnsi="Times New Roman"/>
                <w:sz w:val="18"/>
                <w:szCs w:val="18"/>
                <w:color w:val="auto"/>
              </w:rPr>
              <w:t>. In addition to the disqualifications provided for in the Act, a director who is a salaried officer of the Corporation</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than the Chief Executive Officer, the Chair, or a Vice-Chair, shall cease to hold office as a director when he or she ceases to be a salaried</w:t>
            </w:r>
          </w:p>
        </w:tc>
      </w:tr>
      <w:tr>
        <w:trPr>
          <w:trHeight w:val="234"/>
        </w:trPr>
        <w:tc>
          <w:tcPr>
            <w:tcW w:w="56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officer of the Corporation.</w:t>
            </w:r>
          </w:p>
        </w:tc>
      </w:tr>
      <w:tr>
        <w:trPr>
          <w:trHeight w:val="431"/>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3.4</w:t>
            </w: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Quorum</w:t>
            </w:r>
            <w:r>
              <w:rPr>
                <w:rFonts w:ascii="Times New Roman" w:cs="Times New Roman" w:eastAsia="Times New Roman" w:hAnsi="Times New Roman"/>
                <w:sz w:val="18"/>
                <w:szCs w:val="18"/>
                <w:color w:val="auto"/>
              </w:rPr>
              <w:t>. A majority of the directors holding office at any particular time shall constitute a quorum of the Board.</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3.5</w:t>
            </w: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Meeting Following Annual Meeting</w:t>
            </w:r>
            <w:r>
              <w:rPr>
                <w:rFonts w:ascii="Times New Roman" w:cs="Times New Roman" w:eastAsia="Times New Roman" w:hAnsi="Times New Roman"/>
                <w:sz w:val="18"/>
                <w:szCs w:val="18"/>
                <w:color w:val="auto"/>
              </w:rPr>
              <w:t>. The Board shall meet without notice as soon as practicable after each annual meeting of shareholders to</w:t>
            </w:r>
          </w:p>
        </w:tc>
      </w:tr>
      <w:tr>
        <w:trPr>
          <w:trHeight w:val="234"/>
        </w:trPr>
        <w:tc>
          <w:tcPr>
            <w:tcW w:w="56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transact such business as may come before the meeting and to appoint by election:</w:t>
            </w:r>
          </w:p>
        </w:tc>
      </w:tr>
    </w:tbl>
    <w:p>
      <w:pPr>
        <w:spacing w:after="0" w:line="1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(1)the Chair;</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(2)the Chief Executive Officer;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(3)the Secretary;</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(4)one or more Vice-Presidents; and</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(5)such other officers as the Board chooses to appoint.</w:t>
      </w:r>
    </w:p>
    <w:p>
      <w:pPr>
        <w:spacing w:after="0" w:line="206" w:lineRule="exact"/>
        <w:rPr>
          <w:sz w:val="20"/>
          <w:szCs w:val="20"/>
          <w:color w:val="auto"/>
        </w:rPr>
      </w:pPr>
    </w:p>
    <w:p>
      <w:pPr>
        <w:ind w:left="880"/>
        <w:spacing w:after="0" w:line="281" w:lineRule="auto"/>
        <w:rPr>
          <w:sz w:val="20"/>
          <w:szCs w:val="20"/>
          <w:color w:val="auto"/>
        </w:rPr>
      </w:pPr>
      <w:r>
        <w:rPr>
          <w:rFonts w:ascii="Times New Roman" w:cs="Times New Roman" w:eastAsia="Times New Roman" w:hAnsi="Times New Roman"/>
          <w:sz w:val="18"/>
          <w:szCs w:val="18"/>
          <w:color w:val="auto"/>
        </w:rPr>
        <w:t>Each of the officers appointed by the Board, whether at the meeting of the Board after the annual meeting of shareholders or at any other meeting, shall perform such duties and have such powers as are customarily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0" w:name="page161"/>
    <w:bookmarkEnd w:id="160"/>
    <w:p>
      <w:pPr>
        <w:ind w:left="880"/>
        <w:spacing w:after="0" w:line="281" w:lineRule="auto"/>
        <w:rPr>
          <w:sz w:val="20"/>
          <w:szCs w:val="20"/>
          <w:color w:val="auto"/>
        </w:rPr>
      </w:pPr>
      <w:r>
        <w:rPr>
          <w:rFonts w:ascii="Times New Roman" w:cs="Times New Roman" w:eastAsia="Times New Roman" w:hAnsi="Times New Roman"/>
          <w:sz w:val="18"/>
          <w:szCs w:val="18"/>
          <w:color w:val="auto"/>
        </w:rPr>
        <w:t>performed and held by such officers, subject to any limitations or specific duties required to be performed or specific powers bestowed by the Board from time to time.</w:t>
      </w:r>
    </w:p>
    <w:p>
      <w:pPr>
        <w:spacing w:after="0" w:line="158" w:lineRule="exact"/>
        <w:rPr>
          <w:sz w:val="20"/>
          <w:szCs w:val="20"/>
          <w:color w:val="auto"/>
        </w:rPr>
      </w:pPr>
    </w:p>
    <w:p>
      <w:pPr>
        <w:jc w:val="both"/>
        <w:ind w:left="860" w:right="20" w:hanging="861"/>
        <w:spacing w:after="0" w:line="267" w:lineRule="auto"/>
        <w:tabs>
          <w:tab w:leader="none" w:pos="8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b w:val="1"/>
          <w:bCs w:val="1"/>
          <w:color w:val="auto"/>
        </w:rPr>
        <w:t>Other Meetings of the Board</w:t>
      </w:r>
      <w:r>
        <w:rPr>
          <w:rFonts w:ascii="Times New Roman" w:cs="Times New Roman" w:eastAsia="Times New Roman" w:hAnsi="Times New Roman"/>
          <w:sz w:val="18"/>
          <w:szCs w:val="18"/>
          <w:color w:val="auto"/>
        </w:rPr>
        <w:t>. In addition to the meeting following the annual meeting of shareholders described in Section 3.5 above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 quarterly meetings, meetings of the Board may be held from time to time at a date, time and place determined by the Chair, a Vice-Chair or any two of the directors.</w:t>
      </w:r>
    </w:p>
    <w:p>
      <w:pPr>
        <w:spacing w:after="0" w:line="171" w:lineRule="exact"/>
        <w:rPr>
          <w:sz w:val="20"/>
          <w:szCs w:val="20"/>
          <w:color w:val="auto"/>
        </w:rPr>
      </w:pPr>
    </w:p>
    <w:p>
      <w:pPr>
        <w:jc w:val="both"/>
        <w:ind w:left="860" w:hanging="861"/>
        <w:spacing w:after="0" w:line="285" w:lineRule="auto"/>
        <w:tabs>
          <w:tab w:leader="none" w:pos="8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b w:val="1"/>
          <w:bCs w:val="1"/>
          <w:color w:val="auto"/>
        </w:rPr>
        <w:t>Notice of Meeting</w:t>
      </w:r>
      <w:r>
        <w:rPr>
          <w:rFonts w:ascii="Times New Roman" w:cs="Times New Roman" w:eastAsia="Times New Roman" w:hAnsi="Times New Roman"/>
          <w:sz w:val="18"/>
          <w:szCs w:val="18"/>
          <w:color w:val="auto"/>
        </w:rPr>
        <w:t>. Notice of the time and place of each meeting of the Board requiring notice shall be given to each director not less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forty-eight (48) hours before the time at which the meeting is to be held.</w:t>
      </w:r>
    </w:p>
    <w:p>
      <w:pPr>
        <w:spacing w:after="0" w:line="155" w:lineRule="exact"/>
        <w:rPr>
          <w:sz w:val="20"/>
          <w:szCs w:val="20"/>
          <w:color w:val="auto"/>
        </w:rPr>
      </w:pPr>
    </w:p>
    <w:p>
      <w:pPr>
        <w:jc w:val="both"/>
        <w:ind w:left="860" w:hanging="861"/>
        <w:spacing w:after="0" w:line="267" w:lineRule="auto"/>
        <w:tabs>
          <w:tab w:leader="none" w:pos="8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b w:val="1"/>
          <w:bCs w:val="1"/>
          <w:color w:val="auto"/>
        </w:rPr>
        <w:t>Chair</w:t>
      </w:r>
      <w:r>
        <w:rPr>
          <w:rFonts w:ascii="Times New Roman" w:cs="Times New Roman" w:eastAsia="Times New Roman" w:hAnsi="Times New Roman"/>
          <w:sz w:val="18"/>
          <w:szCs w:val="18"/>
          <w:color w:val="auto"/>
        </w:rPr>
        <w:t>. The chair of any meeting of the Board shall be the first mentioned of such of the following officers who is present at the meeting: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 the Chief Executive Officer, a Vice-Chair or a Vice-President who is a director of the Corporation. If no such officer is present, the directors present shall choose one of their number to act as chair.</w:t>
      </w:r>
    </w:p>
    <w:p>
      <w:pPr>
        <w:spacing w:after="0" w:line="171" w:lineRule="exact"/>
        <w:rPr>
          <w:sz w:val="20"/>
          <w:szCs w:val="20"/>
          <w:color w:val="auto"/>
        </w:rPr>
      </w:pPr>
    </w:p>
    <w:p>
      <w:pPr>
        <w:jc w:val="both"/>
        <w:ind w:left="860" w:hanging="861"/>
        <w:spacing w:after="0" w:line="267" w:lineRule="auto"/>
        <w:tabs>
          <w:tab w:leader="none" w:pos="84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b w:val="1"/>
          <w:bCs w:val="1"/>
          <w:color w:val="auto"/>
        </w:rPr>
        <w:t>Votes to Govern</w:t>
      </w:r>
      <w:r>
        <w:rPr>
          <w:rFonts w:ascii="Times New Roman" w:cs="Times New Roman" w:eastAsia="Times New Roman" w:hAnsi="Times New Roman"/>
          <w:sz w:val="18"/>
          <w:szCs w:val="18"/>
          <w:color w:val="auto"/>
        </w:rPr>
        <w:t>. Subject to the Articles and this By-law, at all meetings of the Board, every question shall be decided by a majority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votes cast. The chair of any meeting may vote as a director and, in the event of an equality of votes, the chair shall not be entitled to a second or casting vote.</w:t>
      </w:r>
    </w:p>
    <w:p>
      <w:pPr>
        <w:spacing w:after="0" w:line="171" w:lineRule="exact"/>
        <w:rPr>
          <w:sz w:val="20"/>
          <w:szCs w:val="20"/>
          <w:color w:val="auto"/>
        </w:rPr>
      </w:pPr>
    </w:p>
    <w:p>
      <w:pPr>
        <w:jc w:val="both"/>
        <w:ind w:left="860" w:hanging="861"/>
        <w:spacing w:after="0" w:line="258" w:lineRule="auto"/>
        <w:tabs>
          <w:tab w:leader="none" w:pos="84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b w:val="1"/>
          <w:bCs w:val="1"/>
          <w:color w:val="auto"/>
        </w:rPr>
        <w:t>Remuneration</w:t>
      </w:r>
      <w:r>
        <w:rPr>
          <w:rFonts w:ascii="Times New Roman" w:cs="Times New Roman" w:eastAsia="Times New Roman" w:hAnsi="Times New Roman"/>
          <w:sz w:val="18"/>
          <w:szCs w:val="18"/>
          <w:color w:val="auto"/>
        </w:rPr>
        <w:t>. No director who is a salaried officer of the Corporation shall be entitled to any remuneration for the performance of his or 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duties as a director. If any director or officer of the Corporation shall be employed by or shall perform services for the Corporation otherwise than as a director or officer or shall be a member of a firm or a shareholder, director or officer of a body corporate which is employed by or performs services for the Corporation, the fact of his or her being a director or officer of the Corporation shall not disentitle such director or officer or such firm or body corporate, as the case may be, from receiving proper remuneration for such services.</w:t>
      </w:r>
    </w:p>
    <w:p>
      <w:pPr>
        <w:spacing w:after="0" w:line="180" w:lineRule="exact"/>
        <w:rPr>
          <w:sz w:val="20"/>
          <w:szCs w:val="20"/>
          <w:color w:val="auto"/>
        </w:rPr>
      </w:pPr>
    </w:p>
    <w:p>
      <w:pPr>
        <w:jc w:val="both"/>
        <w:ind w:left="860" w:hanging="861"/>
        <w:spacing w:after="0" w:line="257" w:lineRule="auto"/>
        <w:tabs>
          <w:tab w:leader="none" w:pos="8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b w:val="1"/>
          <w:bCs w:val="1"/>
          <w:color w:val="auto"/>
        </w:rPr>
        <w:t>Interest of Directors and Officers Generally in Contracts</w:t>
      </w:r>
      <w:r>
        <w:rPr>
          <w:rFonts w:ascii="Times New Roman" w:cs="Times New Roman" w:eastAsia="Times New Roman" w:hAnsi="Times New Roman"/>
          <w:sz w:val="18"/>
          <w:szCs w:val="18"/>
          <w:color w:val="auto"/>
        </w:rPr>
        <w:t>. No director or officer shall be disqualified as a result of being a director or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contracting with the Corporation. No contract or arrangement entered into by or on behalf of the Corporation with any director or officer or in which any director or officer is in any way interested shall be voidable for that reason, nor shall any director or officer so contracting or being so interested be liable to account to the Corporation for any profit realized by any such contract or arrangement by reason of such director or officer holding that office or of the fiduciary relationship thereby established; provided that the director or officer shall have complied with the provisions of the Act.</w:t>
      </w: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ADVANCE NOTICE PROVISION</w:t>
      </w:r>
    </w:p>
    <w:p>
      <w:pPr>
        <w:spacing w:after="0" w:line="224" w:lineRule="exact"/>
        <w:rPr>
          <w:sz w:val="20"/>
          <w:szCs w:val="20"/>
          <w:color w:val="auto"/>
        </w:rPr>
      </w:pPr>
    </w:p>
    <w:p>
      <w:pPr>
        <w:jc w:val="both"/>
        <w:ind w:left="860" w:hanging="861"/>
        <w:spacing w:after="0" w:line="253" w:lineRule="auto"/>
        <w:tabs>
          <w:tab w:leader="none" w:pos="8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b w:val="1"/>
          <w:bCs w:val="1"/>
          <w:color w:val="auto"/>
        </w:rPr>
        <w:t>Nomination of Directors</w:t>
      </w:r>
      <w:r>
        <w:rPr>
          <w:rFonts w:ascii="Times New Roman" w:cs="Times New Roman" w:eastAsia="Times New Roman" w:hAnsi="Times New Roman"/>
          <w:sz w:val="18"/>
          <w:szCs w:val="18"/>
          <w:color w:val="auto"/>
        </w:rPr>
        <w:t>. Except as otherwise provided by applicable law, the Articles or the By-laws of the Corporation, only persons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nominated in accordance with the following procedures will be eligible for election as a director of the Corporation. Nominations of a person for election to the Board may be made at any annual meeting of shareholders, or at any special meeting of shareholders if one of the purposes for which the special meeting was called was the election of directors, (a) by or at the direction of the Board or an authorized officer of the Corporation, including pursuant to a notice of meeting, (b) by or at the direction or request of one or more shareholders pursuant to a proposal made in accordance with the provisions of the Act or a requisition of the shareholders made in accordance with the provisions of the Act, or (c) by any person (a “Nominating Shareholder”) (i) who, at the close of business on the date of the giving of the notice provided for in Section 4.1(a) below and on the record date for notice of such meeting, is entered in the securities register of the Corporation as a holder of one or more shares carrying the right to vote at such meeting or who beneficially owns shares that are entitled to be voted at such meeting, and (ii) who provides timely notice in proper written form to the Secretary of the Corporation in accordance with this Section 4.1:</w:t>
      </w:r>
    </w:p>
    <w:p>
      <w:pPr>
        <w:spacing w:after="0" w:line="192" w:lineRule="exact"/>
        <w:rPr>
          <w:sz w:val="20"/>
          <w:szCs w:val="20"/>
          <w:color w:val="auto"/>
        </w:rPr>
      </w:pPr>
    </w:p>
    <w:p>
      <w:pPr>
        <w:ind w:left="1300" w:hanging="4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timely, a Nominating Shareholder’s notice must be made and received at the registered office of the Corporation:</w:t>
      </w:r>
    </w:p>
    <w:p>
      <w:pPr>
        <w:spacing w:after="0" w:line="21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1" w:name="page162"/>
    <w:bookmarkEnd w:id="161"/>
    <w:p>
      <w:pPr>
        <w:jc w:val="both"/>
        <w:ind w:left="864" w:hanging="446"/>
        <w:spacing w:after="0" w:line="257" w:lineRule="auto"/>
        <w:tabs>
          <w:tab w:leader="none" w:pos="86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meeting of shareholders, not less than 30 days prior to the date of the annual meeting of shareholders; provided, however, that in the event that the annual meeting of shareholders is called for a date that is less than 50 days after the date (the “Notice Date”) on which the first Public Announcement (as defined below) of the date of the annual meeting was made, notice by the Nominating Shareholder may be made not later than the close of business on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Notice Date; and</w:t>
      </w:r>
    </w:p>
    <w:p>
      <w:pPr>
        <w:spacing w:after="0" w:line="184" w:lineRule="exact"/>
        <w:rPr>
          <w:rFonts w:ascii="Times New Roman" w:cs="Times New Roman" w:eastAsia="Times New Roman" w:hAnsi="Times New Roman"/>
          <w:sz w:val="18"/>
          <w:szCs w:val="18"/>
          <w:color w:val="auto"/>
        </w:rPr>
      </w:pPr>
    </w:p>
    <w:p>
      <w:pPr>
        <w:jc w:val="both"/>
        <w:ind w:left="864" w:hanging="446"/>
        <w:spacing w:after="0" w:line="265" w:lineRule="auto"/>
        <w:tabs>
          <w:tab w:leader="none" w:pos="86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special meeting (which is not also an annual meeting) of shareholders called for the purpose of electing directors (whether or not called for other purposes), not later than the close of business on the fifteenth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the first Public Announcement of the date of the special meeting of shareholders was made.</w:t>
      </w:r>
    </w:p>
    <w:p>
      <w:pPr>
        <w:spacing w:after="0" w:line="176" w:lineRule="exact"/>
        <w:rPr>
          <w:rFonts w:ascii="Times New Roman" w:cs="Times New Roman" w:eastAsia="Times New Roman" w:hAnsi="Times New Roman"/>
          <w:sz w:val="18"/>
          <w:szCs w:val="18"/>
          <w:color w:val="auto"/>
        </w:rPr>
      </w:pPr>
    </w:p>
    <w:p>
      <w:pPr>
        <w:jc w:val="both"/>
        <w:ind w:left="444" w:hanging="444"/>
        <w:spacing w:after="0" w:line="265" w:lineRule="auto"/>
        <w:tabs>
          <w:tab w:leader="none" w:pos="4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adjournment or postponement of a meeting of shareholders, or a Public Announcement thereof, the required time periods for the giving of a Nominating Shareholder’s notice as described in Section 4.1(a)(i) or (ii), as applicable, will apply using the date of the adjourned or postponed meeting or the date of a Public Announcement thereof, as the case may be.</w:t>
      </w:r>
    </w:p>
    <w:p>
      <w:pPr>
        <w:spacing w:after="0" w:line="176" w:lineRule="exact"/>
        <w:rPr>
          <w:rFonts w:ascii="Times New Roman" w:cs="Times New Roman" w:eastAsia="Times New Roman" w:hAnsi="Times New Roman"/>
          <w:sz w:val="18"/>
          <w:szCs w:val="18"/>
          <w:color w:val="auto"/>
        </w:rPr>
      </w:pPr>
    </w:p>
    <w:p>
      <w:pPr>
        <w:ind w:left="444" w:hanging="444"/>
        <w:spacing w:after="0"/>
        <w:tabs>
          <w:tab w:leader="none" w:pos="4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written form, a Nominating Shareholder’s notice must set forth:</w:t>
      </w:r>
    </w:p>
    <w:p>
      <w:pPr>
        <w:spacing w:after="0" w:line="224" w:lineRule="exact"/>
        <w:rPr>
          <w:rFonts w:ascii="Times New Roman" w:cs="Times New Roman" w:eastAsia="Times New Roman" w:hAnsi="Times New Roman"/>
          <w:sz w:val="18"/>
          <w:szCs w:val="18"/>
          <w:color w:val="auto"/>
        </w:rPr>
      </w:pPr>
    </w:p>
    <w:p>
      <w:pPr>
        <w:ind w:left="864" w:hanging="446"/>
        <w:spacing w:after="0"/>
        <w:tabs>
          <w:tab w:leader="none" w:pos="86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Nominating Shareholder proposes to nominate for election as a director:</w:t>
      </w:r>
    </w:p>
    <w:p>
      <w:pPr>
        <w:spacing w:after="0" w:line="224" w:lineRule="exact"/>
        <w:rPr>
          <w:sz w:val="20"/>
          <w:szCs w:val="20"/>
          <w:color w:val="auto"/>
        </w:rPr>
      </w:pPr>
    </w:p>
    <w:tbl>
      <w:tblPr>
        <w:tblLayout w:type="fixed"/>
        <w:tblInd w:w="844" w:type="dxa"/>
        <w:tblCellMar>
          <w:top w:w="0" w:type="dxa"/>
          <w:left w:w="0" w:type="dxa"/>
          <w:bottom w:w="0" w:type="dxa"/>
          <w:right w:w="0" w:type="dxa"/>
        </w:tblCellMar>
      </w:tblPr>
      <w:tr>
        <w:trPr>
          <w:trHeight w:val="215"/>
        </w:trPr>
        <w:tc>
          <w:tcPr>
            <w:tcW w:w="10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5"/>
              </w:rPr>
              <w:t>(1)</w:t>
            </w:r>
          </w:p>
        </w:tc>
        <w:tc>
          <w:tcPr>
            <w:tcW w:w="58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the name, age, business address and residential address of the person;</w:t>
            </w:r>
          </w:p>
        </w:tc>
      </w:tr>
      <w:tr>
        <w:trPr>
          <w:trHeight w:val="234"/>
        </w:trPr>
        <w:tc>
          <w:tcPr>
            <w:tcW w:w="10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5"/>
              </w:rPr>
              <w:t>(2)</w:t>
            </w:r>
          </w:p>
        </w:tc>
        <w:tc>
          <w:tcPr>
            <w:tcW w:w="58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 principal occupation, business or employment of the person;</w:t>
            </w:r>
          </w:p>
        </w:tc>
      </w:tr>
    </w:tbl>
    <w:p>
      <w:pPr>
        <w:ind w:left="1304" w:hanging="428"/>
        <w:spacing w:after="0" w:line="249" w:lineRule="auto"/>
        <w:tabs>
          <w:tab w:leader="none" w:pos="1304"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country of residence of the person, including the person’s status as a “resident Canadian” (as such term is defined in the Act);</w:t>
      </w:r>
    </w:p>
    <w:p>
      <w:pPr>
        <w:spacing w:after="0" w:line="1" w:lineRule="exact"/>
        <w:rPr>
          <w:rFonts w:ascii="Times New Roman" w:cs="Times New Roman" w:eastAsia="Times New Roman" w:hAnsi="Times New Roman"/>
          <w:sz w:val="18"/>
          <w:szCs w:val="18"/>
          <w:color w:val="auto"/>
        </w:rPr>
      </w:pPr>
    </w:p>
    <w:p>
      <w:pPr>
        <w:jc w:val="both"/>
        <w:ind w:left="1304" w:right="20" w:hanging="455"/>
        <w:spacing w:after="0" w:line="249" w:lineRule="auto"/>
        <w:tabs>
          <w:tab w:leader="none" w:pos="130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the Corporation which are, directly or indirectly, controlled or directed, or which are owned beneficially or of record, by such person as of the record date for the meeting of shareholders (if such record date shall have occurred) and as of the date of such notice;</w:t>
      </w:r>
    </w:p>
    <w:p>
      <w:pPr>
        <w:spacing w:after="0" w:line="2" w:lineRule="exact"/>
        <w:rPr>
          <w:rFonts w:ascii="Times New Roman" w:cs="Times New Roman" w:eastAsia="Times New Roman" w:hAnsi="Times New Roman"/>
          <w:sz w:val="18"/>
          <w:szCs w:val="18"/>
          <w:color w:val="auto"/>
        </w:rPr>
      </w:pPr>
    </w:p>
    <w:p>
      <w:pPr>
        <w:jc w:val="both"/>
        <w:ind w:left="1304" w:hanging="455"/>
        <w:spacing w:after="0" w:line="249" w:lineRule="auto"/>
        <w:tabs>
          <w:tab w:leader="none" w:pos="130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direct and indirect compensation and other material agreements, arrangements and understandings during the past three years, and any other material relationships, between or among such Nominating Shareholder and beneficial owner, if any, and their respective affiliates and associates, or others acting jointly or in concert therewith, on the one hand, and such nominee, and his or her respective associates, or others acting jointly or in concert therewith, on the other hand;</w:t>
      </w:r>
    </w:p>
    <w:p>
      <w:pPr>
        <w:spacing w:after="0" w:line="2" w:lineRule="exact"/>
        <w:rPr>
          <w:rFonts w:ascii="Times New Roman" w:cs="Times New Roman" w:eastAsia="Times New Roman" w:hAnsi="Times New Roman"/>
          <w:sz w:val="18"/>
          <w:szCs w:val="18"/>
          <w:color w:val="auto"/>
        </w:rPr>
      </w:pPr>
    </w:p>
    <w:p>
      <w:pPr>
        <w:ind w:left="1304" w:hanging="455"/>
        <w:spacing w:after="0" w:line="249" w:lineRule="auto"/>
        <w:tabs>
          <w:tab w:leader="none" w:pos="130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consent of the nominee to act as a director of the Corporation, in the form provided by the Secretary of the Corporation; and</w:t>
      </w:r>
    </w:p>
    <w:p>
      <w:pPr>
        <w:spacing w:after="0" w:line="1" w:lineRule="exact"/>
        <w:rPr>
          <w:rFonts w:ascii="Times New Roman" w:cs="Times New Roman" w:eastAsia="Times New Roman" w:hAnsi="Times New Roman"/>
          <w:sz w:val="18"/>
          <w:szCs w:val="18"/>
          <w:color w:val="auto"/>
        </w:rPr>
      </w:pPr>
    </w:p>
    <w:p>
      <w:pPr>
        <w:ind w:left="1304" w:hanging="455"/>
        <w:spacing w:after="0" w:line="259" w:lineRule="auto"/>
        <w:tabs>
          <w:tab w:leader="none" w:pos="130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person that would be required to be disclosed in a dissident’s proxy circular in connection with solicitations of proxies for election of directors pursuant to the Act or applicable securities laws; and</w:t>
      </w:r>
    </w:p>
    <w:p>
      <w:pPr>
        <w:spacing w:after="0" w:line="181" w:lineRule="exact"/>
        <w:rPr>
          <w:rFonts w:ascii="Times New Roman" w:cs="Times New Roman" w:eastAsia="Times New Roman" w:hAnsi="Times New Roman"/>
          <w:sz w:val="18"/>
          <w:szCs w:val="18"/>
          <w:color w:val="auto"/>
        </w:rPr>
      </w:pPr>
    </w:p>
    <w:p>
      <w:pPr>
        <w:ind w:left="864" w:hanging="446"/>
        <w:spacing w:after="0"/>
        <w:tabs>
          <w:tab w:leader="none" w:pos="86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Nominating Shareholder giving the notice and the beneficial owner, if any, on whose behalf the nomination is made:</w:t>
      </w:r>
    </w:p>
    <w:p>
      <w:pPr>
        <w:spacing w:after="0" w:line="223" w:lineRule="exact"/>
        <w:rPr>
          <w:rFonts w:ascii="Times New Roman" w:cs="Times New Roman" w:eastAsia="Times New Roman" w:hAnsi="Times New Roman"/>
          <w:sz w:val="18"/>
          <w:szCs w:val="18"/>
          <w:color w:val="auto"/>
        </w:rPr>
      </w:pPr>
    </w:p>
    <w:p>
      <w:pPr>
        <w:ind w:left="1284" w:right="20" w:hanging="435"/>
        <w:spacing w:after="0" w:line="260" w:lineRule="auto"/>
        <w:tabs>
          <w:tab w:leader="none" w:pos="128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Nominating Shareholder, as they appear on the Corporation’s securities register, and of such beneficial owner, if any, and of their respective affiliates or associates or others acting jointly or in concert therewith;</w:t>
      </w:r>
    </w:p>
    <w:p>
      <w:pPr>
        <w:jc w:val="both"/>
        <w:ind w:left="1844" w:hanging="995"/>
        <w:spacing w:after="0" w:line="249" w:lineRule="auto"/>
        <w:tabs>
          <w:tab w:leader="none" w:pos="184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class or series and number of shares of the Corporation which are, directly or indirectly, controlled or directed by, or which are owned beneficially or of record by, such Nominating Shareholder, such beneficial owner, if any, or any of their respective affiliates or associates or others acting jointly or in concert therewith as of the record date for the meeting of shareholders (if such record date shall have occurred) and as of the date of such notice;</w:t>
      </w:r>
    </w:p>
    <w:p>
      <w:pPr>
        <w:spacing w:after="0" w:line="2" w:lineRule="exact"/>
        <w:rPr>
          <w:rFonts w:ascii="Times New Roman" w:cs="Times New Roman" w:eastAsia="Times New Roman" w:hAnsi="Times New Roman"/>
          <w:sz w:val="18"/>
          <w:szCs w:val="18"/>
          <w:color w:val="auto"/>
        </w:rPr>
      </w:pPr>
    </w:p>
    <w:p>
      <w:pPr>
        <w:ind w:left="1844"/>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(B)any instrument, agreement, understanding, security or exchange contract which is directly or indirectly, controlled or directed by, or which is owned beneficially or of record by,</w:t>
      </w:r>
    </w:p>
    <w:p>
      <w:pPr>
        <w:spacing w:after="0" w:line="168"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68580</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4"/>
          </w:cols>
          <w:pgMar w:left="1176" w:top="552" w:right="339" w:bottom="1440" w:gutter="0" w:footer="0" w:header="0"/>
        </w:sectPr>
      </w:pPr>
    </w:p>
    <w:bookmarkStart w:id="162" w:name="page163"/>
    <w:bookmarkEnd w:id="162"/>
    <w:p>
      <w:pPr>
        <w:jc w:val="both"/>
        <w:ind w:left="1844"/>
        <w:spacing w:after="0" w:line="257" w:lineRule="auto"/>
        <w:rPr>
          <w:sz w:val="20"/>
          <w:szCs w:val="20"/>
          <w:color w:val="auto"/>
        </w:rPr>
      </w:pPr>
      <w:r>
        <w:rPr>
          <w:rFonts w:ascii="Times New Roman" w:cs="Times New Roman" w:eastAsia="Times New Roman" w:hAnsi="Times New Roman"/>
          <w:sz w:val="18"/>
          <w:szCs w:val="18"/>
          <w:color w:val="auto"/>
        </w:rPr>
        <w:t>such Nominating Shareholder, such beneficial owner, if any, or any of their respective affiliates or others acting jointly or in concert with any of them and which is derived from any security of the Corporation or any of its principal competitors;</w:t>
      </w:r>
    </w:p>
    <w:p>
      <w:pPr>
        <w:jc w:val="both"/>
        <w:ind w:left="1844"/>
        <w:spacing w:after="0" w:line="249" w:lineRule="auto"/>
        <w:rPr>
          <w:sz w:val="20"/>
          <w:szCs w:val="20"/>
          <w:color w:val="auto"/>
        </w:rPr>
      </w:pPr>
      <w:r>
        <w:rPr>
          <w:rFonts w:ascii="Times New Roman" w:cs="Times New Roman" w:eastAsia="Times New Roman" w:hAnsi="Times New Roman"/>
          <w:sz w:val="18"/>
          <w:szCs w:val="18"/>
          <w:color w:val="auto"/>
        </w:rPr>
        <w:t>(C)any proxy, contract, arrangement, understanding, or relationship pursuant to which any such Nominating Shareholder or beneficial owner, if any, has a right to vote any class or series of shares of the Corporation;</w:t>
      </w:r>
    </w:p>
    <w:p>
      <w:pPr>
        <w:spacing w:after="0" w:line="1"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(D)any direct or indirect interest of such Nominating Shareholder or beneficial owner, if any, in any contract</w:t>
      </w:r>
    </w:p>
    <w:p>
      <w:pPr>
        <w:spacing w:after="0" w:line="9"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arrangement, understanding or relationship with the Corporation, any affiliate of the Corporation, any of the directors</w:t>
      </w:r>
    </w:p>
    <w:p>
      <w:pPr>
        <w:spacing w:after="0" w:line="9"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or officers of the Corporation or any of its affiliates, or with the Nominating Shareholder, such beneficial owner, if</w:t>
      </w:r>
    </w:p>
    <w:p>
      <w:pPr>
        <w:spacing w:after="0" w:line="9"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any, or any of their respective affiliates or associates, or with any principal competitor of the Corporation; and</w:t>
      </w:r>
    </w:p>
    <w:p>
      <w:pPr>
        <w:spacing w:after="0" w:line="9"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(E)any other information that would be required to be reported on an early warning report filed with the Ontario</w:t>
      </w:r>
    </w:p>
    <w:p>
      <w:pPr>
        <w:spacing w:after="0" w:line="9"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Securities Commission or on a Schedule 13D filed with the U.S. Securities and Exchange Commission.</w:t>
      </w:r>
    </w:p>
    <w:p>
      <w:pPr>
        <w:spacing w:after="0" w:line="206" w:lineRule="exact"/>
        <w:rPr>
          <w:sz w:val="20"/>
          <w:szCs w:val="20"/>
          <w:color w:val="auto"/>
        </w:rPr>
      </w:pPr>
    </w:p>
    <w:p>
      <w:pPr>
        <w:ind w:left="864" w:hanging="446"/>
        <w:spacing w:after="0" w:line="281" w:lineRule="auto"/>
        <w:tabs>
          <w:tab w:leader="none" w:pos="86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that would be required to be made in a dissident’s proxy circular in connection with solicitations of proxies for election of directors pursuant to the Act or applicable securities laws; and</w:t>
      </w:r>
    </w:p>
    <w:p>
      <w:pPr>
        <w:spacing w:after="0" w:line="161" w:lineRule="exact"/>
        <w:rPr>
          <w:rFonts w:ascii="Times New Roman" w:cs="Times New Roman" w:eastAsia="Times New Roman" w:hAnsi="Times New Roman"/>
          <w:sz w:val="18"/>
          <w:szCs w:val="18"/>
          <w:color w:val="auto"/>
        </w:rPr>
      </w:pPr>
    </w:p>
    <w:p>
      <w:pPr>
        <w:jc w:val="both"/>
        <w:ind w:left="864" w:hanging="446"/>
        <w:spacing w:after="0" w:line="257" w:lineRule="auto"/>
        <w:tabs>
          <w:tab w:leader="none" w:pos="86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whether either such Nominating Shareholder or beneficial owner, if any, alone or acting jointly or in concert with others, intends to solicit or participate in the solicitation of proxies from shareholders of the Corporation in support of the nomination.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shareholder’s understanding of the independence, or lack thereof, of such proposed nominee.</w:t>
      </w:r>
    </w:p>
    <w:p>
      <w:pPr>
        <w:spacing w:after="0" w:line="184" w:lineRule="exact"/>
        <w:rPr>
          <w:rFonts w:ascii="Times New Roman" w:cs="Times New Roman" w:eastAsia="Times New Roman" w:hAnsi="Times New Roman"/>
          <w:sz w:val="18"/>
          <w:szCs w:val="18"/>
          <w:color w:val="auto"/>
        </w:rPr>
      </w:pPr>
    </w:p>
    <w:p>
      <w:pPr>
        <w:jc w:val="both"/>
        <w:ind w:left="444" w:hanging="444"/>
        <w:spacing w:after="0" w:line="260" w:lineRule="auto"/>
        <w:tabs>
          <w:tab w:leader="none" w:pos="44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eligible for election as a director of the Corporation unless nominated in accordance with the provisions of this Section 4.1. The chair of the meeting shall have the power and duty to determine whether a nomination was made in accordance with the procedures set forth in the foregoing provisions and, if any proposed nomination is not in compliance with such foregoing provisions, to declare that such defective nomination shall be disregarded.</w:t>
      </w:r>
    </w:p>
    <w:p>
      <w:pPr>
        <w:spacing w:after="0" w:line="180" w:lineRule="exact"/>
        <w:rPr>
          <w:rFonts w:ascii="Times New Roman" w:cs="Times New Roman" w:eastAsia="Times New Roman" w:hAnsi="Times New Roman"/>
          <w:sz w:val="18"/>
          <w:szCs w:val="18"/>
          <w:color w:val="auto"/>
        </w:rPr>
      </w:pPr>
    </w:p>
    <w:p>
      <w:pPr>
        <w:jc w:val="both"/>
        <w:ind w:left="444" w:hanging="444"/>
        <w:spacing w:after="0" w:line="265" w:lineRule="auto"/>
        <w:tabs>
          <w:tab w:leader="none" w:pos="44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Section 4.1, “Public Announcement” means disclosure in a press release reported by a national news service in Canada, or in a document publicly filed by the Corporation under its profile on the System of Electronic Document Analysis and Retrieval at </w:t>
      </w:r>
      <w:r>
        <w:rPr>
          <w:rFonts w:ascii="Times New Roman" w:cs="Times New Roman" w:eastAsia="Times New Roman" w:hAnsi="Times New Roman"/>
          <w:sz w:val="18"/>
          <w:szCs w:val="18"/>
          <w:u w:val="single" w:color="auto"/>
          <w:color w:val="auto"/>
        </w:rPr>
        <w:t>www.sedar.com</w:t>
      </w:r>
      <w:r>
        <w:rPr>
          <w:rFonts w:ascii="Times New Roman" w:cs="Times New Roman" w:eastAsia="Times New Roman" w:hAnsi="Times New Roman"/>
          <w:sz w:val="18"/>
          <w:szCs w:val="18"/>
          <w:color w:val="auto"/>
        </w:rPr>
        <w:t xml:space="preserve"> or on the Electronic Data Gathering, Analysis, and Retrieval system at </w:t>
      </w:r>
      <w:r>
        <w:rPr>
          <w:rFonts w:ascii="Times New Roman" w:cs="Times New Roman" w:eastAsia="Times New Roman" w:hAnsi="Times New Roman"/>
          <w:sz w:val="18"/>
          <w:szCs w:val="18"/>
          <w:u w:val="single" w:color="auto"/>
          <w:color w:val="auto"/>
        </w:rPr>
        <w:t>www.sec.gov/edgar.shtml</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left="444" w:hanging="444"/>
        <w:spacing w:after="0" w:line="255" w:lineRule="auto"/>
        <w:tabs>
          <w:tab w:leader="none" w:pos="44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By-law of the Corporation, notice given to the Secretary of the Corporation pursuant to this Section 4.1 may only be given by personal delivery or by email (at such email address as stipulated from time to time by the Secretary of the Corporation for purposes of the notice), and shall be deemed to have been given and made only at the time it is served by personal delivery or email (at the address as aforesaid) to the Corporate Secretary at the address of the registered office of the Corporation; provided that if such delivery or electronic communication is made on a day which is a non-business day or later than 5:00 p.m. (Eastern Time) on a day which is a business day, then such delivery or electronic communication shall be deemed to have been made on the next day that is a business day.</w:t>
      </w:r>
    </w:p>
    <w:p>
      <w:pPr>
        <w:spacing w:after="0" w:line="184" w:lineRule="exact"/>
        <w:rPr>
          <w:rFonts w:ascii="Times New Roman" w:cs="Times New Roman" w:eastAsia="Times New Roman" w:hAnsi="Times New Roman"/>
          <w:sz w:val="18"/>
          <w:szCs w:val="18"/>
          <w:color w:val="auto"/>
        </w:rPr>
      </w:pPr>
    </w:p>
    <w:p>
      <w:pPr>
        <w:ind w:left="444" w:hanging="444"/>
        <w:spacing w:after="0"/>
        <w:tabs>
          <w:tab w:leader="none" w:pos="44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Board may, in its sole discretion, waive any requirement of this Section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68580</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4"/>
          </w:cols>
          <w:pgMar w:left="1176" w:top="337"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10700" w:type="dxa"/>
            <w:vAlign w:val="bottom"/>
          </w:tcPr>
          <w:p>
            <w:pPr>
              <w:ind w:left="4760"/>
              <w:spacing w:after="0"/>
              <w:rPr>
                <w:sz w:val="20"/>
                <w:szCs w:val="20"/>
                <w:color w:val="auto"/>
              </w:rPr>
            </w:pPr>
            <w:r>
              <w:rPr>
                <w:rFonts w:ascii="Times New Roman" w:cs="Times New Roman" w:eastAsia="Times New Roman" w:hAnsi="Times New Roman"/>
                <w:sz w:val="18"/>
                <w:szCs w:val="18"/>
                <w:b w:val="1"/>
                <w:bCs w:val="1"/>
                <w:color w:val="auto"/>
              </w:rPr>
              <w:t>Section 5</w:t>
            </w:r>
          </w:p>
        </w:tc>
      </w:tr>
      <w:tr>
        <w:trPr>
          <w:trHeight w:val="323"/>
        </w:trPr>
        <w:tc>
          <w:tcPr>
            <w:tcW w:w="560" w:type="dxa"/>
            <w:vAlign w:val="bottom"/>
          </w:tcPr>
          <w:p>
            <w:pPr>
              <w:spacing w:after="0"/>
              <w:rPr>
                <w:sz w:val="24"/>
                <w:szCs w:val="24"/>
                <w:color w:val="auto"/>
              </w:rPr>
            </w:pPr>
          </w:p>
        </w:tc>
        <w:tc>
          <w:tcPr>
            <w:tcW w:w="107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COMMITTEES</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5.1</w:t>
            </w: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Committees</w:t>
            </w:r>
            <w:r>
              <w:rPr>
                <w:rFonts w:ascii="Times New Roman" w:cs="Times New Roman" w:eastAsia="Times New Roman" w:hAnsi="Times New Roman"/>
                <w:sz w:val="18"/>
                <w:szCs w:val="18"/>
                <w:color w:val="auto"/>
              </w:rPr>
              <w:t>. The Board shall, from time to time, appoint members of audit, compensation, and governance committees and such additional</w:t>
            </w:r>
          </w:p>
        </w:tc>
      </w:tr>
      <w:tr>
        <w:trPr>
          <w:trHeight w:val="215"/>
        </w:trPr>
        <w:tc>
          <w:tcPr>
            <w:tcW w:w="56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committees as it deems necessary and, subject to the Act, delegate to the committees such powers of the Board and assign to the committees</w:t>
            </w:r>
          </w:p>
        </w:tc>
      </w:tr>
      <w:tr>
        <w:trPr>
          <w:trHeight w:val="234"/>
        </w:trPr>
        <w:tc>
          <w:tcPr>
            <w:tcW w:w="560" w:type="dxa"/>
            <w:vAlign w:val="bottom"/>
          </w:tcPr>
          <w:p>
            <w:pPr>
              <w:spacing w:after="0"/>
              <w:rPr>
                <w:sz w:val="20"/>
                <w:szCs w:val="20"/>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such duties, as the Board considers appropriate.</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5.2</w:t>
            </w: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Composition of Committees</w:t>
            </w:r>
            <w:r>
              <w:rPr>
                <w:rFonts w:ascii="Times New Roman" w:cs="Times New Roman" w:eastAsia="Times New Roman" w:hAnsi="Times New Roman"/>
                <w:sz w:val="18"/>
                <w:szCs w:val="18"/>
                <w:color w:val="auto"/>
              </w:rPr>
              <w:t>. To the extent required by regulatory requirements applicable to the Corporation, all of the members of the audit,</w:t>
            </w:r>
          </w:p>
        </w:tc>
      </w:tr>
      <w:tr>
        <w:trPr>
          <w:trHeight w:val="215"/>
        </w:trPr>
        <w:tc>
          <w:tcPr>
            <w:tcW w:w="56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compensation, and governance committees shall be directors who are independent directors for the purposes of such regulatory requirements</w:t>
            </w:r>
          </w:p>
        </w:tc>
      </w:tr>
      <w:tr>
        <w:trPr>
          <w:trHeight w:val="234"/>
        </w:trPr>
        <w:tc>
          <w:tcPr>
            <w:tcW w:w="560" w:type="dxa"/>
            <w:vAlign w:val="bottom"/>
          </w:tcPr>
          <w:p>
            <w:pPr>
              <w:spacing w:after="0"/>
              <w:rPr>
                <w:sz w:val="20"/>
                <w:szCs w:val="20"/>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applicable to the Corporation.</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5.3</w:t>
            </w: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Operation of Committees</w:t>
            </w:r>
            <w:r>
              <w:rPr>
                <w:rFonts w:ascii="Times New Roman" w:cs="Times New Roman" w:eastAsia="Times New Roman" w:hAnsi="Times New Roman"/>
                <w:sz w:val="18"/>
                <w:szCs w:val="18"/>
                <w:color w:val="auto"/>
              </w:rPr>
              <w:t>. In the case of each committee, a majority of members holding office at any particular time shall constitute a</w:t>
            </w:r>
          </w:p>
        </w:tc>
      </w:tr>
      <w:tr>
        <w:trPr>
          <w:trHeight w:val="215"/>
        </w:trPr>
        <w:tc>
          <w:tcPr>
            <w:tcW w:w="56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quorum for the transaction of business at that time. The Board shall appoint a chair of each committee. Each committee shall meet at the call of</w:t>
            </w:r>
          </w:p>
        </w:tc>
      </w:tr>
      <w:tr>
        <w:trPr>
          <w:trHeight w:val="215"/>
        </w:trPr>
        <w:tc>
          <w:tcPr>
            <w:tcW w:w="56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its chair, on not less than forty-eight (48) hours’ notice to each member of the committee prior to the date on which the meeting is to be held.</w:t>
            </w:r>
          </w:p>
        </w:tc>
      </w:tr>
      <w:tr>
        <w:trPr>
          <w:trHeight w:val="234"/>
        </w:trPr>
        <w:tc>
          <w:tcPr>
            <w:tcW w:w="560" w:type="dxa"/>
            <w:vAlign w:val="bottom"/>
          </w:tcPr>
          <w:p>
            <w:pPr>
              <w:spacing w:after="0"/>
              <w:rPr>
                <w:sz w:val="20"/>
                <w:szCs w:val="20"/>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All acts or proceedings of any committee shall be reported to the Board at or before the next meeting thereof.</w:t>
            </w:r>
          </w:p>
        </w:tc>
      </w:tr>
      <w:tr>
        <w:trPr>
          <w:trHeight w:val="404"/>
        </w:trPr>
        <w:tc>
          <w:tcPr>
            <w:tcW w:w="560" w:type="dxa"/>
            <w:vAlign w:val="bottom"/>
          </w:tcPr>
          <w:p>
            <w:pPr>
              <w:spacing w:after="0"/>
              <w:rPr>
                <w:sz w:val="24"/>
                <w:szCs w:val="24"/>
                <w:color w:val="auto"/>
              </w:rPr>
            </w:pPr>
          </w:p>
        </w:tc>
        <w:tc>
          <w:tcPr>
            <w:tcW w:w="10700" w:type="dxa"/>
            <w:vAlign w:val="bottom"/>
          </w:tcPr>
          <w:p>
            <w:pPr>
              <w:ind w:left="4760"/>
              <w:spacing w:after="0"/>
              <w:rPr>
                <w:sz w:val="20"/>
                <w:szCs w:val="20"/>
                <w:color w:val="auto"/>
              </w:rPr>
            </w:pPr>
            <w:r>
              <w:rPr>
                <w:rFonts w:ascii="Times New Roman" w:cs="Times New Roman" w:eastAsia="Times New Roman" w:hAnsi="Times New Roman"/>
                <w:sz w:val="18"/>
                <w:szCs w:val="18"/>
                <w:b w:val="1"/>
                <w:bCs w:val="1"/>
                <w:color w:val="auto"/>
              </w:rPr>
              <w:t>Section 6</w:t>
            </w:r>
          </w:p>
        </w:tc>
      </w:tr>
      <w:tr>
        <w:trPr>
          <w:trHeight w:val="323"/>
        </w:trPr>
        <w:tc>
          <w:tcPr>
            <w:tcW w:w="560" w:type="dxa"/>
            <w:vAlign w:val="bottom"/>
          </w:tcPr>
          <w:p>
            <w:pPr>
              <w:spacing w:after="0"/>
              <w:rPr>
                <w:sz w:val="24"/>
                <w:szCs w:val="24"/>
                <w:color w:val="auto"/>
              </w:rPr>
            </w:pPr>
          </w:p>
        </w:tc>
        <w:tc>
          <w:tcPr>
            <w:tcW w:w="107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THE TRANSACTION OF BUSINESS</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6.1</w:t>
            </w: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Execution of Instruments</w:t>
            </w:r>
            <w:r>
              <w:rPr>
                <w:rFonts w:ascii="Times New Roman" w:cs="Times New Roman" w:eastAsia="Times New Roman" w:hAnsi="Times New Roman"/>
                <w:sz w:val="18"/>
                <w:szCs w:val="18"/>
                <w:color w:val="auto"/>
              </w:rPr>
              <w:t>. Contracts, documents or instruments in writing requiring execution by the Corporation shall be signed by any two</w:t>
            </w:r>
          </w:p>
        </w:tc>
      </w:tr>
      <w:tr>
        <w:trPr>
          <w:trHeight w:val="215"/>
        </w:trPr>
        <w:tc>
          <w:tcPr>
            <w:tcW w:w="56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officers or directors, and all contracts, documents or instruments in writing so signed shall be binding upon the Corporation without any further</w:t>
            </w:r>
          </w:p>
        </w:tc>
      </w:tr>
      <w:tr>
        <w:trPr>
          <w:trHeight w:val="215"/>
        </w:trPr>
        <w:tc>
          <w:tcPr>
            <w:tcW w:w="56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authorization or formality. The Board is authorized from time to time by resolution to appoint any officer or officers or any other person or</w:t>
            </w:r>
          </w:p>
        </w:tc>
      </w:tr>
      <w:tr>
        <w:trPr>
          <w:trHeight w:val="215"/>
        </w:trPr>
        <w:tc>
          <w:tcPr>
            <w:tcW w:w="56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persons on behalf of the Corporation to sign and deliver either contracts, documents or instruments in writing generally or to sign either</w:t>
            </w:r>
          </w:p>
        </w:tc>
      </w:tr>
      <w:tr>
        <w:trPr>
          <w:trHeight w:val="215"/>
        </w:trPr>
        <w:tc>
          <w:tcPr>
            <w:tcW w:w="56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manually or by facsimile signature and deliver specific contracts, documents or instruments in writing. Contracts, documents or instruments in</w:t>
            </w:r>
          </w:p>
        </w:tc>
      </w:tr>
      <w:tr>
        <w:trPr>
          <w:trHeight w:val="187"/>
        </w:trPr>
        <w:tc>
          <w:tcPr>
            <w:tcW w:w="560" w:type="dxa"/>
            <w:vAlign w:val="bottom"/>
          </w:tcPr>
          <w:p>
            <w:pPr>
              <w:spacing w:after="0"/>
              <w:rPr>
                <w:sz w:val="16"/>
                <w:szCs w:val="16"/>
                <w:color w:val="auto"/>
              </w:rPr>
            </w:pPr>
          </w:p>
        </w:tc>
        <w:tc>
          <w:tcPr>
            <w:tcW w:w="107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auto"/>
              </w:rPr>
              <w:t>writing that are to be signed by hand may be signed electronically. The term “contracts, documents or instruments in writing” as used in this</w:t>
            </w:r>
          </w:p>
        </w:tc>
      </w:tr>
      <w:tr>
        <w:trPr>
          <w:trHeight w:val="244"/>
        </w:trPr>
        <w:tc>
          <w:tcPr>
            <w:tcW w:w="560" w:type="dxa"/>
            <w:vAlign w:val="bottom"/>
          </w:tcPr>
          <w:p>
            <w:pPr>
              <w:spacing w:after="0"/>
              <w:rPr>
                <w:sz w:val="21"/>
                <w:szCs w:val="21"/>
                <w:color w:val="auto"/>
              </w:rPr>
            </w:pPr>
          </w:p>
        </w:tc>
        <w:tc>
          <w:tcPr>
            <w:tcW w:w="10700" w:type="dxa"/>
            <w:vAlign w:val="bottom"/>
          </w:tcPr>
          <w:p>
            <w:pPr>
              <w:ind w:left="300"/>
              <w:spacing w:after="0" w:line="207" w:lineRule="exact"/>
              <w:rPr>
                <w:sz w:val="20"/>
                <w:szCs w:val="20"/>
                <w:color w:val="auto"/>
              </w:rPr>
            </w:pP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 shall include deeds, mortgages, charges, conveyances, powers of attorney, transfers and assignments of property of all kinds including</w:t>
            </w:r>
          </w:p>
        </w:tc>
      </w:tr>
      <w:tr>
        <w:trPr>
          <w:trHeight w:val="234"/>
        </w:trPr>
        <w:tc>
          <w:tcPr>
            <w:tcW w:w="560" w:type="dxa"/>
            <w:vAlign w:val="bottom"/>
          </w:tcPr>
          <w:p>
            <w:pPr>
              <w:spacing w:after="0"/>
              <w:rPr>
                <w:sz w:val="20"/>
                <w:szCs w:val="20"/>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specifically but without limitation transfers and assignments of shares, warrants, bonds, debentures or other securities and all paper writings.</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6.2</w:t>
            </w: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Banking Arrangements</w:t>
            </w:r>
            <w:r>
              <w:rPr>
                <w:rFonts w:ascii="Times New Roman" w:cs="Times New Roman" w:eastAsia="Times New Roman" w:hAnsi="Times New Roman"/>
                <w:sz w:val="18"/>
                <w:szCs w:val="18"/>
                <w:color w:val="auto"/>
              </w:rPr>
              <w:t>. The banking business of the Corporation, or any part thereof, shall be transacted with such banks, trust companies or</w:t>
            </w:r>
          </w:p>
        </w:tc>
      </w:tr>
      <w:tr>
        <w:trPr>
          <w:trHeight w:val="215"/>
        </w:trPr>
        <w:tc>
          <w:tcPr>
            <w:tcW w:w="56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financial institutions as the Board may designate, appoint or authorize from time to time by resolution and all such banking business, or</w:t>
            </w:r>
          </w:p>
        </w:tc>
      </w:tr>
      <w:tr>
        <w:trPr>
          <w:trHeight w:val="215"/>
        </w:trPr>
        <w:tc>
          <w:tcPr>
            <w:tcW w:w="56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any part thereof, shall be transacted on the Corporation's behalf by such one or more officers and/or other persons as the Board may designate,</w:t>
            </w:r>
          </w:p>
        </w:tc>
      </w:tr>
      <w:tr>
        <w:trPr>
          <w:trHeight w:val="234"/>
        </w:trPr>
        <w:tc>
          <w:tcPr>
            <w:tcW w:w="560" w:type="dxa"/>
            <w:vAlign w:val="bottom"/>
          </w:tcPr>
          <w:p>
            <w:pPr>
              <w:spacing w:after="0"/>
              <w:rPr>
                <w:sz w:val="20"/>
                <w:szCs w:val="20"/>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 or authorize from time to time by resolution and to the extent therein provided.</w:t>
            </w:r>
          </w:p>
        </w:tc>
      </w:tr>
      <w:tr>
        <w:trPr>
          <w:trHeight w:val="391"/>
        </w:trPr>
        <w:tc>
          <w:tcPr>
            <w:tcW w:w="560" w:type="dxa"/>
            <w:vAlign w:val="bottom"/>
          </w:tcPr>
          <w:p>
            <w:pPr>
              <w:spacing w:after="0"/>
              <w:rPr>
                <w:sz w:val="24"/>
                <w:szCs w:val="24"/>
                <w:color w:val="auto"/>
              </w:rPr>
            </w:pPr>
          </w:p>
        </w:tc>
        <w:tc>
          <w:tcPr>
            <w:tcW w:w="10700" w:type="dxa"/>
            <w:vAlign w:val="bottom"/>
          </w:tcPr>
          <w:p>
            <w:pPr>
              <w:ind w:left="4760"/>
              <w:spacing w:after="0"/>
              <w:rPr>
                <w:sz w:val="20"/>
                <w:szCs w:val="20"/>
                <w:color w:val="auto"/>
              </w:rPr>
            </w:pPr>
            <w:r>
              <w:rPr>
                <w:rFonts w:ascii="Times New Roman" w:cs="Times New Roman" w:eastAsia="Times New Roman" w:hAnsi="Times New Roman"/>
                <w:sz w:val="18"/>
                <w:szCs w:val="18"/>
                <w:b w:val="1"/>
                <w:bCs w:val="1"/>
                <w:color w:val="auto"/>
              </w:rPr>
              <w:t>Section 7</w:t>
            </w:r>
          </w:p>
        </w:tc>
      </w:tr>
      <w:tr>
        <w:trPr>
          <w:trHeight w:val="323"/>
        </w:trPr>
        <w:tc>
          <w:tcPr>
            <w:tcW w:w="560" w:type="dxa"/>
            <w:vAlign w:val="bottom"/>
          </w:tcPr>
          <w:p>
            <w:pPr>
              <w:spacing w:after="0"/>
              <w:rPr>
                <w:sz w:val="24"/>
                <w:szCs w:val="24"/>
                <w:color w:val="auto"/>
              </w:rPr>
            </w:pPr>
          </w:p>
        </w:tc>
        <w:tc>
          <w:tcPr>
            <w:tcW w:w="107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DIVIDENDS</w:t>
            </w:r>
          </w:p>
        </w:tc>
      </w:tr>
      <w:tr>
        <w:trPr>
          <w:trHeight w:val="431"/>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7.1</w:t>
            </w: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18"/>
                <w:szCs w:val="18"/>
                <w:color w:val="auto"/>
              </w:rPr>
              <w:t>. The Board may from time to time declare dividends payable to shareholders according to their respective rights.</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7.2</w:t>
            </w: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Dividend Payment</w:t>
            </w:r>
            <w:r>
              <w:rPr>
                <w:rFonts w:ascii="Times New Roman" w:cs="Times New Roman" w:eastAsia="Times New Roman" w:hAnsi="Times New Roman"/>
                <w:sz w:val="18"/>
                <w:szCs w:val="18"/>
                <w:color w:val="auto"/>
              </w:rPr>
              <w:t>. A dividend payable in money may be paid by cheque, wire transfer or any other electronic means, drawn on the</w:t>
            </w:r>
          </w:p>
        </w:tc>
      </w:tr>
      <w:tr>
        <w:trPr>
          <w:trHeight w:val="215"/>
        </w:trPr>
        <w:tc>
          <w:tcPr>
            <w:tcW w:w="56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Corporation’s bankers, or one of them, to the order of each registered holder of shares of a class or series in respect of which the dividend has</w:t>
            </w:r>
          </w:p>
        </w:tc>
      </w:tr>
      <w:tr>
        <w:trPr>
          <w:trHeight w:val="215"/>
        </w:trPr>
        <w:tc>
          <w:tcPr>
            <w:tcW w:w="56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been declared, and mailed by prepaid ordinary mail to such registered holder at the registered holder’s recorded address. In the case of joint</w:t>
            </w:r>
          </w:p>
        </w:tc>
      </w:tr>
      <w:tr>
        <w:trPr>
          <w:trHeight w:val="215"/>
        </w:trPr>
        <w:tc>
          <w:tcPr>
            <w:tcW w:w="56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holders the cheque shall, unless such joint holders otherwise direct, be made payable to the order of all of such joint holders and mailed to them</w:t>
            </w:r>
          </w:p>
        </w:tc>
      </w:tr>
      <w:tr>
        <w:trPr>
          <w:trHeight w:val="215"/>
        </w:trPr>
        <w:tc>
          <w:tcPr>
            <w:tcW w:w="56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at their recorded address. The Corporation may pay a dividend by cheque to a registered holder or to joint holders other than in the manner</w:t>
            </w:r>
          </w:p>
        </w:tc>
      </w:tr>
      <w:tr>
        <w:trPr>
          <w:trHeight w:val="234"/>
        </w:trPr>
        <w:tc>
          <w:tcPr>
            <w:tcW w:w="560" w:type="dxa"/>
            <w:vAlign w:val="bottom"/>
          </w:tcPr>
          <w:p>
            <w:pPr>
              <w:spacing w:after="0"/>
              <w:rPr>
                <w:sz w:val="20"/>
                <w:szCs w:val="20"/>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herein set out, if the registered holder or joint holders so request.</w:t>
            </w:r>
          </w:p>
        </w:tc>
      </w:tr>
      <w:tr>
        <w:trPr>
          <w:trHeight w:val="633"/>
        </w:trPr>
        <w:tc>
          <w:tcPr>
            <w:tcW w:w="560" w:type="dxa"/>
            <w:vAlign w:val="bottom"/>
          </w:tcPr>
          <w:p>
            <w:pPr>
              <w:spacing w:after="0"/>
              <w:rPr>
                <w:sz w:val="24"/>
                <w:szCs w:val="24"/>
                <w:color w:val="auto"/>
              </w:rPr>
            </w:pPr>
          </w:p>
        </w:tc>
        <w:tc>
          <w:tcPr>
            <w:tcW w:w="107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88"/>
              </w:rPr>
              <w:t>6</w:t>
            </w:r>
          </w:p>
        </w:tc>
      </w:tr>
      <w:tr>
        <w:trPr>
          <w:trHeight w:val="88"/>
        </w:trPr>
        <w:tc>
          <w:tcPr>
            <w:tcW w:w="560" w:type="dxa"/>
            <w:vAlign w:val="bottom"/>
            <w:tcBorders>
              <w:bottom w:val="single" w:sz="8" w:color="9A9A9A"/>
            </w:tcBorders>
          </w:tcPr>
          <w:p>
            <w:pPr>
              <w:spacing w:after="0"/>
              <w:rPr>
                <w:sz w:val="7"/>
                <w:szCs w:val="7"/>
                <w:color w:val="auto"/>
              </w:rPr>
            </w:pPr>
          </w:p>
        </w:tc>
        <w:tc>
          <w:tcPr>
            <w:tcW w:w="107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19"/>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7.3</w:t>
            </w: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Idem</w:t>
            </w:r>
            <w:r>
              <w:rPr>
                <w:rFonts w:ascii="Times New Roman" w:cs="Times New Roman" w:eastAsia="Times New Roman" w:hAnsi="Times New Roman"/>
                <w:sz w:val="18"/>
                <w:szCs w:val="18"/>
                <w:color w:val="auto"/>
              </w:rPr>
              <w:t>. The Corporation may, when so directed by a registered holder of a share in respect of which a dividend in money has been declared, pay</w:t>
            </w:r>
          </w:p>
        </w:tc>
      </w:tr>
      <w:tr>
        <w:trPr>
          <w:trHeight w:val="234"/>
        </w:trPr>
        <w:tc>
          <w:tcPr>
            <w:tcW w:w="56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dividend in the manner so directed.</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7.4</w:t>
            </w: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Non-receipt or Loss of Dividend Cheques</w:t>
            </w:r>
            <w:r>
              <w:rPr>
                <w:rFonts w:ascii="Times New Roman" w:cs="Times New Roman" w:eastAsia="Times New Roman" w:hAnsi="Times New Roman"/>
                <w:sz w:val="18"/>
                <w:szCs w:val="18"/>
                <w:color w:val="auto"/>
              </w:rPr>
              <w:t>. In the event of non-receipt or loss of any dividend cheque by the person to whom it is sent, the</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Corporation shall issue to such person a replacement cheque for a like amount on such terms as to indemnity, reimbursement of expenses and</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evidence of non-receipt or loss and of entitlement as the Board or the Vice-President in charge of finance, or any employee delegated authority</w:t>
            </w:r>
          </w:p>
        </w:tc>
      </w:tr>
      <w:tr>
        <w:trPr>
          <w:trHeight w:val="234"/>
        </w:trPr>
        <w:tc>
          <w:tcPr>
            <w:tcW w:w="56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 such persons, may from time to time prescribe, whether generally or in a particular case.</w:t>
            </w:r>
          </w:p>
        </w:tc>
      </w:tr>
      <w:tr>
        <w:trPr>
          <w:trHeight w:val="391"/>
        </w:trPr>
        <w:tc>
          <w:tcPr>
            <w:tcW w:w="560" w:type="dxa"/>
            <w:vAlign w:val="bottom"/>
          </w:tcPr>
          <w:p>
            <w:pPr>
              <w:spacing w:after="0"/>
              <w:rPr>
                <w:sz w:val="24"/>
                <w:szCs w:val="24"/>
                <w:color w:val="auto"/>
              </w:rPr>
            </w:pPr>
          </w:p>
        </w:tc>
        <w:tc>
          <w:tcPr>
            <w:tcW w:w="10680" w:type="dxa"/>
            <w:vAlign w:val="bottom"/>
          </w:tcPr>
          <w:p>
            <w:pPr>
              <w:ind w:left="4760"/>
              <w:spacing w:after="0"/>
              <w:rPr>
                <w:sz w:val="20"/>
                <w:szCs w:val="20"/>
                <w:color w:val="auto"/>
              </w:rPr>
            </w:pPr>
            <w:r>
              <w:rPr>
                <w:rFonts w:ascii="Times New Roman" w:cs="Times New Roman" w:eastAsia="Times New Roman" w:hAnsi="Times New Roman"/>
                <w:sz w:val="18"/>
                <w:szCs w:val="18"/>
                <w:b w:val="1"/>
                <w:bCs w:val="1"/>
                <w:color w:val="auto"/>
              </w:rPr>
              <w:t>Section 8</w:t>
            </w:r>
          </w:p>
        </w:tc>
      </w:tr>
      <w:tr>
        <w:trPr>
          <w:trHeight w:val="323"/>
        </w:trPr>
        <w:tc>
          <w:tcPr>
            <w:tcW w:w="560" w:type="dxa"/>
            <w:vAlign w:val="bottom"/>
          </w:tcPr>
          <w:p>
            <w:pPr>
              <w:spacing w:after="0"/>
              <w:rPr>
                <w:sz w:val="24"/>
                <w:szCs w:val="24"/>
                <w:color w:val="auto"/>
              </w:rPr>
            </w:pPr>
          </w:p>
        </w:tc>
        <w:tc>
          <w:tcPr>
            <w:tcW w:w="1068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PROTECTION OF DIRECTORS AND OFFICERS</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8.1</w:t>
            </w: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r>
              <w:rPr>
                <w:rFonts w:ascii="Times New Roman" w:cs="Times New Roman" w:eastAsia="Times New Roman" w:hAnsi="Times New Roman"/>
                <w:sz w:val="18"/>
                <w:szCs w:val="18"/>
                <w:color w:val="auto"/>
              </w:rPr>
              <w:t>. The Corporation shall indemnify a director or officer of the Corporation, a former director or</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officer of the Corporation or a person who acts or acted at the Corporation’s request as a director or officer of a body corporate of which the</w:t>
            </w:r>
          </w:p>
        </w:tc>
      </w:tr>
      <w:tr>
        <w:trPr>
          <w:trHeight w:val="234"/>
        </w:trPr>
        <w:tc>
          <w:tcPr>
            <w:tcW w:w="56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Corporation is or was a shareholder or creditor, and his or her heirs and legal representatives to the extent permitted by the Act.</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8.2</w:t>
            </w: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Indemnity of Others</w:t>
            </w:r>
            <w:r>
              <w:rPr>
                <w:rFonts w:ascii="Times New Roman" w:cs="Times New Roman" w:eastAsia="Times New Roman" w:hAnsi="Times New Roman"/>
                <w:sz w:val="18"/>
                <w:szCs w:val="18"/>
                <w:color w:val="auto"/>
              </w:rPr>
              <w:t>. Except as otherwise required by the Act and subject to paragraph 8.1, the Corporation may from time to time indemnify</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save harmless any person who was or is a party or is threatened to be made a party to any threatened, pending or completed action, suit or</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proceeding, whether civil, criminal, administrative or investigative (other than an action by or in the right of the Corporation) by reason of the</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fact that he or she is or was an employee or agent of the Corporation, or is or was serving at the request of the Corporation as a director, officer,</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employee, agent of or participant in another body corporate, partnership, joint venture, trust or other enterprise, against expenses (including</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legal fees), judgments, fines and any amount actually and reasonably incurred by him or her in connection with such action, suit or proceeding</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if he or she acted honestly and in good faith with a view to the best interests of the Corporation and, with respect to any criminal or</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administrative action or proceeding that is enforced by a monetary penalty, had reasonable grounds for believing that his or her conduct was</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lawful. The termination of any action, suit or proceeding by judgment, order, settlement or conviction shall not, of itself, create a presumption</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that the person did not act honestly and in good faith with a view to the best interests of the Corporation and, with respect to any criminal or</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administrative action or proceeding that is enforced by a monetary penalty, had no reasonable grounds for believing that his or her conduct was</w:t>
            </w:r>
          </w:p>
        </w:tc>
      </w:tr>
      <w:tr>
        <w:trPr>
          <w:trHeight w:val="234"/>
        </w:trPr>
        <w:tc>
          <w:tcPr>
            <w:tcW w:w="56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lawful.</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8.3</w:t>
            </w:r>
          </w:p>
        </w:tc>
        <w:tc>
          <w:tcPr>
            <w:tcW w:w="10680" w:type="dxa"/>
            <w:vAlign w:val="bottom"/>
          </w:tcPr>
          <w:p>
            <w:pPr>
              <w:ind w:left="300"/>
              <w:spacing w:after="0" w:line="207" w:lineRule="exact"/>
              <w:rPr>
                <w:sz w:val="20"/>
                <w:szCs w:val="20"/>
                <w:color w:val="auto"/>
              </w:rPr>
            </w:pPr>
            <w:r>
              <w:rPr>
                <w:rFonts w:ascii="Times New Roman" w:cs="Times New Roman" w:eastAsia="Times New Roman" w:hAnsi="Times New Roman"/>
                <w:sz w:val="18"/>
                <w:szCs w:val="18"/>
                <w:b w:val="1"/>
                <w:bCs w:val="1"/>
                <w:color w:val="auto"/>
              </w:rPr>
              <w:t>Right of Indemnity Not Exclusive</w:t>
            </w:r>
            <w:r>
              <w:rPr>
                <w:rFonts w:ascii="Times New Roman" w:cs="Times New Roman" w:eastAsia="Times New Roman" w:hAnsi="Times New Roman"/>
                <w:sz w:val="18"/>
                <w:szCs w:val="18"/>
                <w:color w:val="auto"/>
              </w:rPr>
              <w:t>. The provisions for indemnification contained in the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 of the Corporation shall not be deemed</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exclusive of any other rights to which any person seeking indemnification may be entitled under any agreement, vote of shareholders or</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directors or otherwise, both as to action in his or her official capacity and as to action in another capacity, and shall continue as to a person who</w:t>
            </w:r>
          </w:p>
        </w:tc>
      </w:tr>
      <w:tr>
        <w:trPr>
          <w:trHeight w:val="234"/>
        </w:trPr>
        <w:tc>
          <w:tcPr>
            <w:tcW w:w="56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has ceased to be a director, officer, employee or agent and shall inure to the benefit of the heirs and legal representatives of such a person.</w:t>
            </w:r>
          </w:p>
        </w:tc>
      </w:tr>
      <w:tr>
        <w:trPr>
          <w:trHeight w:val="413"/>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8.4</w:t>
            </w: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 Liability of Directors or Officers for Certain Matters</w:t>
            </w:r>
            <w:r>
              <w:rPr>
                <w:rFonts w:ascii="Times New Roman" w:cs="Times New Roman" w:eastAsia="Times New Roman" w:hAnsi="Times New Roman"/>
                <w:sz w:val="18"/>
                <w:szCs w:val="18"/>
                <w:color w:val="auto"/>
              </w:rPr>
              <w:t>. To the extent permitted by law, no director or officer for the time being of the</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Corporation shall be liable for the acts, receipts, neglects or defaults of any other director or officer or employee or for joining in any receipt or</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act for conformity or for any loss, damage or expense happening to the Corporation through the insufficiency or deficiency of title to any</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property acquired by the Corporation or for or on behalf of the Corporation or for the insufficiency or deficiency of any security in or upon</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which any of the moneys of or belonging to the Corporation shall be placed out or invested or for any loss or damage arising from the</w:t>
            </w:r>
          </w:p>
        </w:tc>
      </w:tr>
      <w:tr>
        <w:trPr>
          <w:trHeight w:val="215"/>
        </w:trPr>
        <w:tc>
          <w:tcPr>
            <w:tcW w:w="56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bankruptcy, insolvency or tortious act of any person, firm or body corporate with whom or which any moneys, securities or other assets</w:t>
            </w:r>
          </w:p>
        </w:tc>
      </w:tr>
      <w:tr>
        <w:trPr>
          <w:trHeight w:val="234"/>
        </w:trPr>
        <w:tc>
          <w:tcPr>
            <w:tcW w:w="56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belonging to the Corporation shall be lodged or deposited or for any loss, conversion, misapplication or misappropriation of or any damage</w:t>
            </w:r>
          </w:p>
        </w:tc>
      </w:tr>
    </w:tbl>
    <w:p>
      <w:pPr>
        <w:jc w:val="both"/>
        <w:ind w:left="860"/>
        <w:spacing w:after="0" w:line="252" w:lineRule="auto"/>
        <w:rPr>
          <w:sz w:val="20"/>
          <w:szCs w:val="20"/>
          <w:color w:val="auto"/>
        </w:rPr>
      </w:pPr>
      <w:r>
        <w:rPr>
          <w:rFonts w:ascii="Times New Roman" w:cs="Times New Roman" w:eastAsia="Times New Roman" w:hAnsi="Times New Roman"/>
          <w:sz w:val="18"/>
          <w:szCs w:val="18"/>
          <w:color w:val="auto"/>
        </w:rPr>
        <w:t>resulting from any dealings with any moneys, securities or other assets belonging to the Corporation or for any other loss, damage or misfortune whatever which may happen in the execution of the duties of his or her respective office or trust or in relation thereto unless the same shall happen by or through his or her failure to act honestly and in good faith with a view to the best interests of the Corporation and in connection therewith to exercise the care, diligence and skill that a reasonably prudent person would exercise in comparable circumstances. If any director or officer of the Corporation shall be employed by or shall perform</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5" w:name="page166"/>
    <w:bookmarkEnd w:id="165"/>
    <w:p>
      <w:pPr>
        <w:jc w:val="both"/>
        <w:ind w:left="860"/>
        <w:spacing w:after="0" w:line="260" w:lineRule="auto"/>
        <w:rPr>
          <w:sz w:val="20"/>
          <w:szCs w:val="20"/>
          <w:color w:val="auto"/>
        </w:rPr>
      </w:pPr>
      <w:r>
        <w:rPr>
          <w:rFonts w:ascii="Times New Roman" w:cs="Times New Roman" w:eastAsia="Times New Roman" w:hAnsi="Times New Roman"/>
          <w:sz w:val="18"/>
          <w:szCs w:val="18"/>
          <w:color w:val="auto"/>
        </w:rPr>
        <w:t>services for the Corporation otherwise than as a director or officer or shall be a member of a firm or a shareholder, director or officer of a body corporate which is employed by or performs services for the Corporation, the fact of his or her being a director or officer of the Corporation shall not disentitle such director or officer or such firm or body corporate, as the case may be, from receiving proper remuneration for such services.</w:t>
      </w:r>
    </w:p>
    <w:p>
      <w:pPr>
        <w:spacing w:after="0" w:line="13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Section 9</w:t>
      </w:r>
    </w:p>
    <w:p>
      <w:pPr>
        <w:spacing w:after="0" w:line="11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4" w:lineRule="exact"/>
        <w:rPr>
          <w:sz w:val="20"/>
          <w:szCs w:val="20"/>
          <w:color w:val="auto"/>
        </w:rPr>
      </w:pPr>
    </w:p>
    <w:p>
      <w:pPr>
        <w:jc w:val="both"/>
        <w:ind w:left="860" w:hanging="861"/>
        <w:spacing w:after="0" w:line="267" w:lineRule="auto"/>
        <w:tabs>
          <w:tab w:leader="none" w:pos="8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b w:val="1"/>
          <w:bCs w:val="1"/>
          <w:color w:val="auto"/>
        </w:rPr>
        <w:t>Omissions and Errors</w:t>
      </w:r>
      <w:r>
        <w:rPr>
          <w:rFonts w:ascii="Times New Roman" w:cs="Times New Roman" w:eastAsia="Times New Roman" w:hAnsi="Times New Roman"/>
          <w:sz w:val="18"/>
          <w:szCs w:val="18"/>
          <w:color w:val="auto"/>
        </w:rPr>
        <w:t>. The accidental omission to give any notice to any shareholder, director, officer or auditor or the non-receipt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by any such person or any error in any notice not affecting the substance thereof shall not invalidate any action taken at any meeting to which the notice related.</w:t>
      </w:r>
    </w:p>
    <w:p>
      <w:pPr>
        <w:spacing w:after="0" w:line="171" w:lineRule="exact"/>
        <w:rPr>
          <w:sz w:val="20"/>
          <w:szCs w:val="20"/>
          <w:color w:val="auto"/>
        </w:rPr>
      </w:pPr>
    </w:p>
    <w:p>
      <w:pPr>
        <w:jc w:val="both"/>
        <w:ind w:left="860" w:hanging="861"/>
        <w:spacing w:after="0" w:line="267" w:lineRule="auto"/>
        <w:tabs>
          <w:tab w:leader="none" w:pos="8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b w:val="1"/>
          <w:bCs w:val="1"/>
          <w:color w:val="auto"/>
        </w:rPr>
        <w:t>Persons Entitled by Death or Operation of Law</w:t>
      </w:r>
      <w:r>
        <w:rPr>
          <w:rFonts w:ascii="Times New Roman" w:cs="Times New Roman" w:eastAsia="Times New Roman" w:hAnsi="Times New Roman"/>
          <w:sz w:val="18"/>
          <w:szCs w:val="18"/>
          <w:color w:val="auto"/>
        </w:rPr>
        <w:t>. Every person who, by operation of law, transfer, death of a shareholder or any other means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whatsoever, becomes entitled to any share, shall be bound by every notice in respect of such share which shall have been duly given to the shareholder from whom title is derived to such share prior to his or her name and address being entered on the securities register.</w:t>
      </w:r>
    </w:p>
    <w:p>
      <w:pPr>
        <w:spacing w:after="0" w:line="171" w:lineRule="exact"/>
        <w:rPr>
          <w:sz w:val="20"/>
          <w:szCs w:val="20"/>
          <w:color w:val="auto"/>
        </w:rPr>
      </w:pPr>
    </w:p>
    <w:p>
      <w:pPr>
        <w:jc w:val="both"/>
        <w:ind w:left="860" w:hanging="861"/>
        <w:spacing w:after="0" w:line="255" w:lineRule="auto"/>
        <w:tabs>
          <w:tab w:leader="none" w:pos="8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b w:val="1"/>
          <w:bCs w:val="1"/>
          <w:color w:val="auto"/>
        </w:rPr>
        <w:t>Waiver of Notice</w:t>
      </w:r>
      <w:r>
        <w:rPr>
          <w:rFonts w:ascii="Times New Roman" w:cs="Times New Roman" w:eastAsia="Times New Roman" w:hAnsi="Times New Roman"/>
          <w:sz w:val="18"/>
          <w:szCs w:val="18"/>
          <w:color w:val="auto"/>
        </w:rPr>
        <w:t>. A shareholder, proxyholder, director, officer or auditor may at any time waive any notice, or waive or abridge the time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 required to be given to him or her under any provision of the Act, the regulations thereunder, the Articles or otherwise and such waiver or abridgment, whether given before, during, or after the meeting or other event of which notice is required to be given, shall cure any default or defect in the giving or in the time of such notice, as the case may be. Any such waiver or abridgment shall be in writing except a waiver of notice of a meeting of shareholders or of the Board or of a committee of the Board which may be given in any manner. Attendance at a meeting by a person shall constitute a waiver of notice of the meeting, except where such person attends such meeting for the express purpose of objecting to the transaction of any business on the grounds that the meeting is not lawfully called.</w:t>
      </w:r>
    </w:p>
    <w:p>
      <w:pPr>
        <w:spacing w:after="0" w:line="184" w:lineRule="exact"/>
        <w:rPr>
          <w:sz w:val="20"/>
          <w:szCs w:val="20"/>
          <w:color w:val="auto"/>
        </w:rPr>
      </w:pPr>
    </w:p>
    <w:p>
      <w:pPr>
        <w:jc w:val="both"/>
        <w:ind w:left="860" w:hanging="861"/>
        <w:spacing w:after="0" w:line="285" w:lineRule="auto"/>
        <w:tabs>
          <w:tab w:leader="none" w:pos="8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b w:val="1"/>
          <w:bCs w:val="1"/>
          <w:color w:val="auto"/>
        </w:rPr>
        <w:t>Invalidity of any Provision of this By-law</w:t>
      </w:r>
      <w:r>
        <w:rPr>
          <w:rFonts w:ascii="Times New Roman" w:cs="Times New Roman" w:eastAsia="Times New Roman" w:hAnsi="Times New Roman"/>
          <w:sz w:val="18"/>
          <w:szCs w:val="18"/>
          <w:color w:val="auto"/>
        </w:rPr>
        <w:t>. The invalidity or unenforceability of any provision of this By-law shall not affect the validity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the remaining provisions of this By-law.</w:t>
      </w:r>
    </w:p>
    <w:p>
      <w:pPr>
        <w:spacing w:after="0" w:line="12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Section 10</w:t>
      </w:r>
    </w:p>
    <w:p>
      <w:pPr>
        <w:spacing w:after="0" w:line="1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REPEAL</w:t>
      </w:r>
    </w:p>
    <w:p>
      <w:pPr>
        <w:spacing w:after="0" w:line="224" w:lineRule="exact"/>
        <w:rPr>
          <w:sz w:val="20"/>
          <w:szCs w:val="20"/>
          <w:color w:val="auto"/>
        </w:rPr>
      </w:pPr>
    </w:p>
    <w:p>
      <w:pPr>
        <w:jc w:val="both"/>
        <w:ind w:left="860" w:hanging="861"/>
        <w:spacing w:after="0" w:line="257" w:lineRule="auto"/>
        <w:tabs>
          <w:tab w:leader="none" w:pos="8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b w:val="1"/>
          <w:bCs w:val="1"/>
          <w:color w:val="auto"/>
        </w:rPr>
        <w:t>Repeal</w:t>
      </w:r>
      <w:r>
        <w:rPr>
          <w:rFonts w:ascii="Times New Roman" w:cs="Times New Roman" w:eastAsia="Times New Roman" w:hAnsi="Times New Roman"/>
          <w:sz w:val="18"/>
          <w:szCs w:val="18"/>
          <w:color w:val="auto"/>
        </w:rPr>
        <w:t>. By-Law No. 1 of the Corporation adopted and confirmed by the shareholders of the Corporation on June 2, 2014 is repealed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coming into force of this Amended and Restated By-Law No. 1. Such repeal shall not affect the previous operation of By-Law No. 1 of the Corporation or any of its predecessors or affect the validity of any act done or right, privilege, obligation or liability acquired or incurred under or the validity of any contract or agreement made pursuant to any such by-law prior to its repeal. All officers and persons acting under the by-law so repealed shall continue to act as if appointed by the directors under the provisions of this By-law or the Act until their successors are appointed.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337"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Exhibit 10.43</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Summary of Directors’ Compensation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60" w:hanging="452"/>
        <w:spacing w:after="0"/>
        <w:tabs>
          <w:tab w:leader="none" w:pos="4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each year during which an independent Director serves as a Director of the Corporation, such Director shall receive:</w:t>
      </w:r>
    </w:p>
    <w:p>
      <w:pPr>
        <w:spacing w:after="0" w:line="227" w:lineRule="exact"/>
        <w:rPr>
          <w:rFonts w:ascii="Times New Roman" w:cs="Times New Roman" w:eastAsia="Times New Roman" w:hAnsi="Times New Roman"/>
          <w:sz w:val="20"/>
          <w:szCs w:val="20"/>
          <w:color w:val="auto"/>
        </w:rPr>
      </w:pPr>
    </w:p>
    <w:p>
      <w:pPr>
        <w:ind w:left="1400" w:hanging="463"/>
        <w:spacing w:after="0"/>
        <w:tabs>
          <w:tab w:leader="none" w:pos="140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$50,000 (US) per year payable quarterly in arrears;</w:t>
      </w:r>
    </w:p>
    <w:p>
      <w:pPr>
        <w:spacing w:after="0" w:line="227" w:lineRule="exact"/>
        <w:rPr>
          <w:rFonts w:ascii="Times New Roman" w:cs="Times New Roman" w:eastAsia="Times New Roman" w:hAnsi="Times New Roman"/>
          <w:sz w:val="20"/>
          <w:szCs w:val="20"/>
          <w:color w:val="auto"/>
        </w:rPr>
      </w:pPr>
    </w:p>
    <w:p>
      <w:pPr>
        <w:ind w:left="1400" w:hanging="463"/>
        <w:spacing w:after="0" w:line="268" w:lineRule="auto"/>
        <w:tabs>
          <w:tab w:leader="none" w:pos="140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commencement of each year of office or upon joining the Board, or as soon as practicable thereafter, a grant of RSUs with an aggregate value of US $125,000 on the date of grant that will vest on the date of grant;</w:t>
      </w:r>
    </w:p>
    <w:p>
      <w:pPr>
        <w:spacing w:after="0" w:line="173" w:lineRule="exact"/>
        <w:rPr>
          <w:rFonts w:ascii="Times New Roman" w:cs="Times New Roman" w:eastAsia="Times New Roman" w:hAnsi="Times New Roman"/>
          <w:sz w:val="20"/>
          <w:szCs w:val="20"/>
          <w:color w:val="auto"/>
        </w:rPr>
      </w:pPr>
    </w:p>
    <w:p>
      <w:pPr>
        <w:ind w:left="1400" w:hanging="463"/>
        <w:spacing w:after="0"/>
        <w:tabs>
          <w:tab w:leader="none" w:pos="140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reimbursement of any expenses incurred by the Director in connection with participation in Board or Committee meetings.</w:t>
      </w:r>
    </w:p>
    <w:p>
      <w:pPr>
        <w:spacing w:after="0" w:line="227"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Committee Chairs shall receive the following yearly fees, which are payable quarterly, in arrears:</w:t>
      </w:r>
    </w:p>
    <w:p>
      <w:pPr>
        <w:spacing w:after="0" w:line="227"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Audit Committee Chair</w:t>
            </w:r>
          </w:p>
        </w:tc>
        <w:tc>
          <w:tcPr>
            <w:tcW w:w="1840" w:type="dxa"/>
            <w:vAlign w:val="bottom"/>
          </w:tcPr>
          <w:p>
            <w:pPr>
              <w:jc w:val="center"/>
              <w:ind w:left="781"/>
              <w:spacing w:after="0"/>
              <w:rPr>
                <w:sz w:val="20"/>
                <w:szCs w:val="20"/>
                <w:color w:val="auto"/>
              </w:rPr>
            </w:pPr>
            <w:r>
              <w:rPr>
                <w:rFonts w:ascii="Times New Roman" w:cs="Times New Roman" w:eastAsia="Times New Roman" w:hAnsi="Times New Roman"/>
                <w:sz w:val="20"/>
                <w:szCs w:val="20"/>
                <w:color w:val="auto"/>
                <w:w w:val="96"/>
              </w:rPr>
              <w:t>US $15,000</w:t>
            </w:r>
          </w:p>
        </w:tc>
      </w:tr>
      <w:tr>
        <w:trPr>
          <w:trHeight w:val="229"/>
        </w:trPr>
        <w:tc>
          <w:tcPr>
            <w:tcW w:w="322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Compensation Committee Chair</w:t>
            </w:r>
          </w:p>
        </w:tc>
        <w:tc>
          <w:tcPr>
            <w:tcW w:w="1840" w:type="dxa"/>
            <w:vAlign w:val="bottom"/>
          </w:tcPr>
          <w:p>
            <w:pPr>
              <w:jc w:val="center"/>
              <w:ind w:left="821"/>
              <w:spacing w:after="0" w:line="229" w:lineRule="exact"/>
              <w:rPr>
                <w:sz w:val="20"/>
                <w:szCs w:val="20"/>
                <w:color w:val="auto"/>
              </w:rPr>
            </w:pPr>
            <w:r>
              <w:rPr>
                <w:rFonts w:ascii="Times New Roman" w:cs="Times New Roman" w:eastAsia="Times New Roman" w:hAnsi="Times New Roman"/>
                <w:sz w:val="20"/>
                <w:szCs w:val="20"/>
                <w:color w:val="auto"/>
                <w:w w:val="96"/>
              </w:rPr>
              <w:t>US $10,000</w:t>
            </w:r>
          </w:p>
        </w:tc>
      </w:tr>
      <w:tr>
        <w:trPr>
          <w:trHeight w:val="258"/>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Governance Committee Chair</w:t>
            </w:r>
          </w:p>
        </w:tc>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US $10,000</w:t>
            </w:r>
          </w:p>
        </w:tc>
      </w:tr>
    </w:tbl>
    <w:p>
      <w:pPr>
        <w:spacing w:after="0" w:line="200" w:lineRule="exact"/>
        <w:rPr>
          <w:sz w:val="20"/>
          <w:szCs w:val="20"/>
          <w:color w:val="auto"/>
        </w:rPr>
      </w:pPr>
    </w:p>
    <w:p>
      <w:pPr>
        <w:ind w:left="460" w:hanging="452"/>
        <w:spacing w:after="0"/>
        <w:tabs>
          <w:tab w:leader="none" w:pos="4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Committee members shall receive the following yearly retainers, which are payable quarterly, in arrears:</w:t>
      </w:r>
    </w:p>
    <w:p>
      <w:pPr>
        <w:spacing w:after="0" w:line="227" w:lineRule="exact"/>
        <w:rPr>
          <w:sz w:val="20"/>
          <w:szCs w:val="20"/>
          <w:color w:val="auto"/>
        </w:rPr>
      </w:pPr>
    </w:p>
    <w:tbl>
      <w:tblPr>
        <w:tblLayout w:type="fixed"/>
        <w:tblInd w:w="152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Times New Roman" w:cs="Times New Roman" w:eastAsia="Times New Roman" w:hAnsi="Times New Roman"/>
                <w:sz w:val="20"/>
                <w:szCs w:val="20"/>
                <w:color w:val="auto"/>
              </w:rPr>
              <w:t>Audit Committee</w:t>
            </w:r>
          </w:p>
        </w:tc>
        <w:tc>
          <w:tcPr>
            <w:tcW w:w="212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US $10,000</w:t>
            </w:r>
          </w:p>
        </w:tc>
      </w:tr>
      <w:tr>
        <w:trPr>
          <w:trHeight w:val="229"/>
        </w:trPr>
        <w:tc>
          <w:tcPr>
            <w:tcW w:w="254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Compensation Committee</w:t>
            </w:r>
          </w:p>
        </w:tc>
        <w:tc>
          <w:tcPr>
            <w:tcW w:w="2120" w:type="dxa"/>
            <w:vAlign w:val="bottom"/>
          </w:tcPr>
          <w:p>
            <w:pPr>
              <w:ind w:left="1200"/>
              <w:spacing w:after="0" w:line="229" w:lineRule="exact"/>
              <w:rPr>
                <w:sz w:val="20"/>
                <w:szCs w:val="20"/>
                <w:color w:val="auto"/>
              </w:rPr>
            </w:pPr>
            <w:r>
              <w:rPr>
                <w:rFonts w:ascii="Times New Roman" w:cs="Times New Roman" w:eastAsia="Times New Roman" w:hAnsi="Times New Roman"/>
                <w:sz w:val="20"/>
                <w:szCs w:val="20"/>
                <w:color w:val="auto"/>
                <w:w w:val="99"/>
              </w:rPr>
              <w:t>US $ 7,500</w:t>
            </w:r>
          </w:p>
        </w:tc>
      </w:tr>
      <w:tr>
        <w:trPr>
          <w:trHeight w:val="258"/>
        </w:trPr>
        <w:tc>
          <w:tcPr>
            <w:tcW w:w="2540" w:type="dxa"/>
            <w:vAlign w:val="bottom"/>
          </w:tcPr>
          <w:p>
            <w:pPr>
              <w:spacing w:after="0"/>
              <w:rPr>
                <w:sz w:val="20"/>
                <w:szCs w:val="20"/>
                <w:color w:val="auto"/>
              </w:rPr>
            </w:pPr>
            <w:r>
              <w:rPr>
                <w:rFonts w:ascii="Times New Roman" w:cs="Times New Roman" w:eastAsia="Times New Roman" w:hAnsi="Times New Roman"/>
                <w:sz w:val="20"/>
                <w:szCs w:val="20"/>
                <w:color w:val="auto"/>
              </w:rPr>
              <w:t>Governance Committee</w:t>
            </w:r>
          </w:p>
        </w:tc>
        <w:tc>
          <w:tcPr>
            <w:tcW w:w="212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US $ 5,000</w:t>
            </w:r>
          </w:p>
        </w:tc>
      </w:tr>
    </w:tbl>
    <w:p>
      <w:pPr>
        <w:spacing w:after="0" w:line="200" w:lineRule="exact"/>
        <w:rPr>
          <w:sz w:val="20"/>
          <w:szCs w:val="20"/>
          <w:color w:val="auto"/>
        </w:rPr>
      </w:pPr>
    </w:p>
    <w:p>
      <w:pPr>
        <w:ind w:left="460" w:hanging="452"/>
        <w:spacing w:after="0"/>
        <w:tabs>
          <w:tab w:leader="none" w:pos="4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Lead Independent Director shall receive a yearly retainer of US $15,000, which is payable quarterly, in arrears.</w:t>
      </w:r>
    </w:p>
    <w:p>
      <w:pPr>
        <w:spacing w:after="0" w:line="227" w:lineRule="exact"/>
        <w:rPr>
          <w:rFonts w:ascii="Times New Roman" w:cs="Times New Roman" w:eastAsia="Times New Roman" w:hAnsi="Times New Roman"/>
          <w:sz w:val="20"/>
          <w:szCs w:val="20"/>
          <w:color w:val="auto"/>
        </w:rPr>
      </w:pPr>
    </w:p>
    <w:p>
      <w:pPr>
        <w:jc w:val="both"/>
        <w:ind w:left="460" w:hanging="452"/>
        <w:spacing w:after="0" w:line="253" w:lineRule="auto"/>
        <w:tabs>
          <w:tab w:leader="none" w:pos="4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compensation received under a services agreement dated December 11, 2008, as amended by an amending agreement dated April 1, 2013, the Chairman of the Board will receive an annual grant of RSUs with an aggregate value of US $170,000 on the date of grant.</w:t>
      </w:r>
    </w:p>
    <w:p>
      <w:pPr>
        <w:spacing w:after="0" w:line="188"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compensation for Directors, as set out above, shall remain in effect until it is amended or revoked by further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January 12, 2021</w:t>
      </w:r>
    </w:p>
    <w:p>
      <w:pPr>
        <w:sectPr>
          <w:pgSz w:w="11900" w:h="16838" w:orient="portrait"/>
          <w:cols w:equalWidth="0" w:num="1">
            <w:col w:w="11240"/>
          </w:cols>
          <w:pgMar w:left="320" w:top="108" w:right="339" w:bottom="1440" w:gutter="0" w:footer="0" w:header="0"/>
        </w:sectPr>
      </w:pPr>
    </w:p>
    <w:bookmarkStart w:id="167" w:name="page168"/>
    <w:bookmarkEnd w:id="167"/>
    <w:tbl>
      <w:tblPr>
        <w:tblLayout w:type="fixed"/>
        <w:tblInd w:w="10" w:type="dxa"/>
        <w:tblCellMar>
          <w:top w:w="0" w:type="dxa"/>
          <w:left w:w="0" w:type="dxa"/>
          <w:bottom w:w="0" w:type="dxa"/>
          <w:right w:w="0" w:type="dxa"/>
        </w:tblCellMar>
      </w:tblPr>
      <w:tr>
        <w:trPr>
          <w:trHeight w:val="253"/>
        </w:trPr>
        <w:tc>
          <w:tcPr>
            <w:tcW w:w="4460" w:type="dxa"/>
            <w:vAlign w:val="bottom"/>
          </w:tcPr>
          <w:p>
            <w:pPr>
              <w:spacing w:after="0"/>
              <w:rPr>
                <w:sz w:val="22"/>
                <w:szCs w:val="22"/>
                <w:color w:val="auto"/>
              </w:rPr>
            </w:pPr>
          </w:p>
        </w:tc>
        <w:tc>
          <w:tcPr>
            <w:tcW w:w="2420" w:type="dxa"/>
            <w:vAlign w:val="bottom"/>
            <w:gridSpan w:val="2"/>
          </w:tcPr>
          <w:p>
            <w:pPr>
              <w:jc w:val="center"/>
              <w:ind w:right="19"/>
              <w:spacing w:after="0"/>
              <w:rPr>
                <w:sz w:val="20"/>
                <w:szCs w:val="20"/>
                <w:color w:val="auto"/>
              </w:rPr>
            </w:pPr>
            <w:r>
              <w:rPr>
                <w:rFonts w:ascii="Times New Roman" w:cs="Times New Roman" w:eastAsia="Times New Roman" w:hAnsi="Times New Roman"/>
                <w:sz w:val="22"/>
                <w:szCs w:val="22"/>
                <w:b w:val="1"/>
                <w:bCs w:val="1"/>
                <w:color w:val="auto"/>
                <w:w w:val="97"/>
              </w:rPr>
              <w:t>IMAX CORPORATION</w:t>
            </w:r>
          </w:p>
        </w:tc>
        <w:tc>
          <w:tcPr>
            <w:tcW w:w="140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84"/>
        </w:trPr>
        <w:tc>
          <w:tcPr>
            <w:tcW w:w="4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jc w:val="center"/>
              <w:ind w:right="399"/>
              <w:spacing w:after="0"/>
              <w:rPr>
                <w:sz w:val="20"/>
                <w:szCs w:val="20"/>
                <w:color w:val="auto"/>
              </w:rPr>
            </w:pPr>
            <w:r>
              <w:rPr>
                <w:rFonts w:ascii="Times New Roman" w:cs="Times New Roman" w:eastAsia="Times New Roman" w:hAnsi="Times New Roman"/>
                <w:sz w:val="22"/>
                <w:szCs w:val="22"/>
                <w:b w:val="1"/>
                <w:bCs w:val="1"/>
                <w:color w:val="auto"/>
                <w:w w:val="98"/>
              </w:rPr>
              <w:t>Exhibit 21</w:t>
            </w:r>
          </w:p>
        </w:tc>
        <w:tc>
          <w:tcPr>
            <w:tcW w:w="14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54"/>
        </w:trPr>
        <w:tc>
          <w:tcPr>
            <w:tcW w:w="8280" w:type="dxa"/>
            <w:vAlign w:val="bottom"/>
            <w:gridSpan w:val="4"/>
          </w:tcPr>
          <w:p>
            <w:pPr>
              <w:jc w:val="center"/>
              <w:ind w:left="2879"/>
              <w:spacing w:after="0"/>
              <w:rPr>
                <w:sz w:val="20"/>
                <w:szCs w:val="20"/>
                <w:color w:val="auto"/>
              </w:rPr>
            </w:pPr>
            <w:r>
              <w:rPr>
                <w:rFonts w:ascii="Times New Roman" w:cs="Times New Roman" w:eastAsia="Times New Roman" w:hAnsi="Times New Roman"/>
                <w:sz w:val="20"/>
                <w:szCs w:val="20"/>
                <w:b w:val="1"/>
                <w:bCs w:val="1"/>
                <w:color w:val="auto"/>
                <w:w w:val="98"/>
              </w:rPr>
              <w:t>SUBSIDIARIES OF IMAX CORPORATION</w:t>
            </w:r>
          </w:p>
        </w:tc>
        <w:tc>
          <w:tcPr>
            <w:tcW w:w="2980" w:type="dxa"/>
            <w:vAlign w:val="bottom"/>
          </w:tcPr>
          <w:p>
            <w:pPr>
              <w:spacing w:after="0"/>
              <w:rPr>
                <w:sz w:val="24"/>
                <w:szCs w:val="24"/>
                <w:color w:val="auto"/>
              </w:rPr>
            </w:pPr>
          </w:p>
        </w:tc>
      </w:tr>
      <w:tr>
        <w:trPr>
          <w:trHeight w:val="196"/>
        </w:trPr>
        <w:tc>
          <w:tcPr>
            <w:tcW w:w="44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980" w:type="dxa"/>
            <w:vAlign w:val="bottom"/>
          </w:tcPr>
          <w:p>
            <w:pPr>
              <w:spacing w:after="0"/>
              <w:rPr>
                <w:sz w:val="17"/>
                <w:szCs w:val="17"/>
                <w:color w:val="auto"/>
              </w:rPr>
            </w:pPr>
          </w:p>
        </w:tc>
      </w:tr>
      <w:tr>
        <w:trPr>
          <w:trHeight w:val="180"/>
        </w:trPr>
        <w:tc>
          <w:tcPr>
            <w:tcW w:w="4460" w:type="dxa"/>
            <w:vAlign w:val="bottom"/>
            <w:tcBorders>
              <w:left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Company Name</w:t>
            </w:r>
          </w:p>
        </w:tc>
        <w:tc>
          <w:tcPr>
            <w:tcW w:w="380" w:type="dxa"/>
            <w:vAlign w:val="bottom"/>
            <w:tcBorders>
              <w:right w:val="single" w:sz="8" w:color="auto"/>
            </w:tcBorders>
          </w:tcPr>
          <w:p>
            <w:pPr>
              <w:spacing w:after="0"/>
              <w:rPr>
                <w:sz w:val="15"/>
                <w:szCs w:val="15"/>
                <w:color w:val="auto"/>
              </w:rPr>
            </w:pPr>
          </w:p>
        </w:tc>
        <w:tc>
          <w:tcPr>
            <w:tcW w:w="2040" w:type="dxa"/>
            <w:vAlign w:val="bottom"/>
            <w:tcBorders>
              <w:right w:val="single" w:sz="8" w:color="auto"/>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Place of</w:t>
            </w:r>
          </w:p>
        </w:tc>
        <w:tc>
          <w:tcPr>
            <w:tcW w:w="1400" w:type="dxa"/>
            <w:vAlign w:val="bottom"/>
            <w:tcBorders>
              <w:right w:val="single" w:sz="8" w:color="auto"/>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2980" w:type="dxa"/>
            <w:vAlign w:val="bottom"/>
          </w:tcPr>
          <w:p>
            <w:pPr>
              <w:spacing w:after="0"/>
              <w:rPr>
                <w:sz w:val="15"/>
                <w:szCs w:val="15"/>
                <w:color w:val="auto"/>
              </w:rPr>
            </w:pPr>
          </w:p>
        </w:tc>
      </w:tr>
      <w:tr>
        <w:trPr>
          <w:trHeight w:val="215"/>
        </w:trPr>
        <w:tc>
          <w:tcPr>
            <w:tcW w:w="446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Held - Indirect</w:t>
            </w:r>
          </w:p>
        </w:tc>
        <w:tc>
          <w:tcPr>
            <w:tcW w:w="2980" w:type="dxa"/>
            <w:vAlign w:val="bottom"/>
          </w:tcPr>
          <w:p>
            <w:pPr>
              <w:spacing w:after="0"/>
              <w:rPr>
                <w:sz w:val="18"/>
                <w:szCs w:val="18"/>
                <w:color w:val="auto"/>
              </w:rPr>
            </w:pPr>
          </w:p>
        </w:tc>
      </w:tr>
      <w:tr>
        <w:trPr>
          <w:trHeight w:val="198"/>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3183 Films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12582 Productions Inc.</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1329507 Ontario Inc.</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Ontario</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2328764 Ontario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Ontario</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4507592 Canada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6822967 Canada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7096267 Canada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7103077 Canada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7109857 Canada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7214316 Canada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7550391 Canada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7550405 Canada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7742266 Canada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7742274 Canada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9733248 Canada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Animal Orphans 3D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Ontario</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Arizona Big Frame Theatres, L.L.C.</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Baseball Tour, LLC</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15.625</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ILW Productions Inc.</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II U.S.A. Inc.</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3D TV Ventures, LLC</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(Barbados) Holding, Inc.</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Barbados</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Chicago Theatre LLC</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China Holding, Inc.</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Cayman Islands</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69.89</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China (Hong Kong), Limited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69.89</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Documentary Films Capital, LLC</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36.03</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Fei Er Mu (Shanghai) Investment Management Co.,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34.95</w:t>
            </w:r>
          </w:p>
        </w:tc>
        <w:tc>
          <w:tcPr>
            <w:tcW w:w="2980" w:type="dxa"/>
            <w:vAlign w:val="bottom"/>
          </w:tcPr>
          <w:p>
            <w:pPr>
              <w:spacing w:after="0"/>
              <w:rPr>
                <w:sz w:val="17"/>
                <w:szCs w:val="17"/>
                <w:color w:val="auto"/>
              </w:rPr>
            </w:pPr>
          </w:p>
        </w:tc>
      </w:tr>
      <w:tr>
        <w:trPr>
          <w:trHeight w:val="182"/>
        </w:trPr>
        <w:tc>
          <w:tcPr>
            <w:tcW w:w="4460" w:type="dxa"/>
            <w:vAlign w:val="bottom"/>
            <w:tcBorders>
              <w:left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color w:val="auto"/>
              </w:rPr>
              <w:t>IMAX Fei Er Mu (Shanghai) Investment Partnership (Limited</w:t>
            </w:r>
          </w:p>
        </w:tc>
        <w:tc>
          <w:tcPr>
            <w:tcW w:w="380" w:type="dxa"/>
            <w:vAlign w:val="bottom"/>
            <w:tcBorders>
              <w:right w:val="single" w:sz="8" w:color="auto"/>
            </w:tcBorders>
          </w:tcPr>
          <w:p>
            <w:pPr>
              <w:spacing w:after="0"/>
              <w:rPr>
                <w:sz w:val="15"/>
                <w:szCs w:val="15"/>
                <w:color w:val="auto"/>
              </w:rPr>
            </w:pPr>
          </w:p>
        </w:tc>
        <w:tc>
          <w:tcPr>
            <w:tcW w:w="204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People’s Republic of China</w:t>
            </w:r>
          </w:p>
        </w:tc>
        <w:tc>
          <w:tcPr>
            <w:tcW w:w="14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38.44</w:t>
            </w:r>
          </w:p>
        </w:tc>
        <w:tc>
          <w:tcPr>
            <w:tcW w:w="2980" w:type="dxa"/>
            <w:vAlign w:val="bottom"/>
          </w:tcPr>
          <w:p>
            <w:pPr>
              <w:spacing w:after="0"/>
              <w:rPr>
                <w:sz w:val="15"/>
                <w:szCs w:val="15"/>
                <w:color w:val="auto"/>
              </w:rPr>
            </w:pPr>
          </w:p>
        </w:tc>
      </w:tr>
      <w:tr>
        <w:trPr>
          <w:trHeight w:val="213"/>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Partnership).</w:t>
            </w:r>
          </w:p>
        </w:tc>
        <w:tc>
          <w:tcPr>
            <w:tcW w:w="3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r>
      <w:tr>
        <w:trPr>
          <w:trHeight w:val="185"/>
        </w:trPr>
        <w:tc>
          <w:tcPr>
            <w:tcW w:w="44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Fei Er Mu YiKai (Shanghai) Equity Investment Management</w:t>
            </w:r>
          </w:p>
        </w:tc>
        <w:tc>
          <w:tcPr>
            <w:tcW w:w="38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34.94</w:t>
            </w:r>
          </w:p>
        </w:tc>
        <w:tc>
          <w:tcPr>
            <w:tcW w:w="2980" w:type="dxa"/>
            <w:vAlign w:val="bottom"/>
          </w:tcPr>
          <w:p>
            <w:pPr>
              <w:spacing w:after="0"/>
              <w:rPr>
                <w:sz w:val="16"/>
                <w:szCs w:val="16"/>
                <w:color w:val="auto"/>
              </w:rPr>
            </w:pPr>
          </w:p>
        </w:tc>
      </w:tr>
      <w:tr>
        <w:trPr>
          <w:trHeight w:val="213"/>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Partnership Enterprise (Limited Partnership)</w:t>
            </w:r>
          </w:p>
        </w:tc>
        <w:tc>
          <w:tcPr>
            <w:tcW w:w="3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r>
      <w:tr>
        <w:trPr>
          <w:trHeight w:val="198"/>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Film Holding Co.</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(Hong Kong) Holding, Limited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Indianapolis LLC</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Indiana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International Sales Corporation</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Investment Management, LLC</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Japan Inc.</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Minnesota Holding Co.</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Music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Ontario</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Post/DKP Inc.</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Providence General Partner Co.</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Providence Limited Partner Co.</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PV Development Inc.</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Rhode Island Limited Partnership</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Rhode Island</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(Rochester) Inc.</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Scribe Inc.</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(Shanghai) Commerce and Trade Co.,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69.89</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(Shanghai) Multimedia Technology Co.,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69.89</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(Shanghai) Digital Media Co.,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69.89</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(Shanghai) Theatre Technology Services Co.,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69.89</w:t>
            </w:r>
          </w:p>
        </w:tc>
        <w:tc>
          <w:tcPr>
            <w:tcW w:w="298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Space Productions Ltd.</w:t>
            </w:r>
          </w:p>
        </w:tc>
        <w:tc>
          <w:tcPr>
            <w:tcW w:w="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980" w:type="dxa"/>
            <w:vAlign w:val="bottom"/>
          </w:tcPr>
          <w:p>
            <w:pPr>
              <w:spacing w:after="0"/>
              <w:rPr>
                <w:sz w:val="17"/>
                <w:szCs w:val="17"/>
                <w:color w:val="auto"/>
              </w:rPr>
            </w:pPr>
          </w:p>
        </w:tc>
      </w:tr>
      <w:tr>
        <w:trPr>
          <w:trHeight w:val="108"/>
        </w:trPr>
        <w:tc>
          <w:tcPr>
            <w:tcW w:w="44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98" w:right="319" w:bottom="1440" w:gutter="0" w:footer="0" w:header="0"/>
        </w:sectPr>
      </w:pPr>
    </w:p>
    <w:bookmarkStart w:id="168" w:name="page169"/>
    <w:bookmarkEnd w:id="168"/>
    <w:tbl>
      <w:tblPr>
        <w:tblLayout w:type="fixed"/>
        <w:tblInd w:w="10" w:type="dxa"/>
        <w:tblCellMar>
          <w:top w:w="0" w:type="dxa"/>
          <w:left w:w="0" w:type="dxa"/>
          <w:bottom w:w="0" w:type="dxa"/>
          <w:right w:w="0" w:type="dxa"/>
        </w:tblCellMar>
      </w:tblPr>
      <w:tr>
        <w:trPr>
          <w:trHeight w:val="200"/>
        </w:trPr>
        <w:tc>
          <w:tcPr>
            <w:tcW w:w="48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Company Name</w:t>
            </w:r>
          </w:p>
        </w:tc>
        <w:tc>
          <w:tcPr>
            <w:tcW w:w="20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14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5"/>
        </w:trPr>
        <w:tc>
          <w:tcPr>
            <w:tcW w:w="4840" w:type="dxa"/>
            <w:vAlign w:val="bottom"/>
            <w:tcBorders>
              <w:left w:val="single" w:sz="8" w:color="auto"/>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Held - Indirect</w:t>
            </w:r>
          </w:p>
        </w:tc>
      </w:tr>
      <w:tr>
        <w:trPr>
          <w:trHeight w:val="198"/>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Spaceworks Ltd.</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Theatre Holding (California I) Co.</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Theatre Holding (California II) Co.</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Theatre Holding Co.</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Theatre Holdings (OEI), Inc.</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Theatre Holding (Nyack I) Co.</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Theatre Holding (Nyack II) Co.</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Theatre Services Ltd.</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Ontario</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Theatres International Limited</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(Titanic) Inc. (50 % owned by 3183 Films Ltd.)</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U.S.A. Inc.</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VR, LLC</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 Virtual Reality Content Fund, LLC</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33.13</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IMAXSHIFT, LLC</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88</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Line Drive Films Inc.</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Madagascar Doc 3D Ltd.</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Night Fog Productions Ltd.</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Nyack Theatre LLC</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New York</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Plymouth 135-139, LLC</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88</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Raining Arrows Productions Ltd.</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Ridefilm Corporation</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Ruth Quentin Films Ltd.</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Sacramento Theatre LLC</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82"/>
        </w:trPr>
        <w:tc>
          <w:tcPr>
            <w:tcW w:w="4840" w:type="dxa"/>
            <w:vAlign w:val="bottom"/>
            <w:tcBorders>
              <w:left w:val="single" w:sz="8" w:color="auto"/>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color w:val="auto"/>
              </w:rPr>
              <w:t>Suzhou IMAX Fei Er Mu Project Investment Partnership Enterprise</w:t>
            </w:r>
          </w:p>
        </w:tc>
        <w:tc>
          <w:tcPr>
            <w:tcW w:w="204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People’s Republic of China</w:t>
            </w:r>
          </w:p>
        </w:tc>
        <w:tc>
          <w:tcPr>
            <w:tcW w:w="14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52.42</w:t>
            </w:r>
          </w:p>
        </w:tc>
      </w:tr>
      <w:tr>
        <w:trPr>
          <w:trHeight w:val="213"/>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(Limited Partnership)</w:t>
            </w:r>
          </w:p>
        </w:tc>
        <w:tc>
          <w:tcPr>
            <w:tcW w:w="204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198"/>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Sonics Associates, Inc.</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Alabama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Starboard Theatres Ltd.</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Strategic Sponsorship Corporation</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Taurus-Littrow Productions Inc.</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TCL-IMAX Entertainment Co., Limited</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50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TCL-IMAX (Shanghai) Digital Technology Co. Ltd.</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50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Walking Bones Pictures Ltd.</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r>
    </w:tbl>
    <w:p>
      <w:pPr>
        <w:sectPr>
          <w:pgSz w:w="11900" w:h="16838" w:orient="portrait"/>
          <w:cols w:equalWidth="0" w:num="1">
            <w:col w:w="10139"/>
          </w:cols>
          <w:pgMar w:left="320" w:top="120" w:right="1440"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23</w:t>
      </w:r>
    </w:p>
    <w:p>
      <w:pPr>
        <w:spacing w:after="0" w:line="248" w:lineRule="exact"/>
        <w:rPr>
          <w:sz w:val="20"/>
          <w:szCs w:val="20"/>
          <w:color w:val="auto"/>
        </w:rPr>
      </w:pPr>
    </w:p>
    <w:p>
      <w:pPr>
        <w:jc w:val="center"/>
        <w:spacing w:after="0"/>
        <w:rPr>
          <w:sz w:val="20"/>
          <w:szCs w:val="20"/>
          <w:color w:val="auto"/>
        </w:rPr>
      </w:pPr>
      <w:r>
        <w:rPr>
          <w:rFonts w:ascii="Georgia" w:cs="Georgia" w:eastAsia="Georgia" w:hAnsi="Georgia"/>
          <w:sz w:val="22"/>
          <w:szCs w:val="22"/>
          <w:b w:val="1"/>
          <w:bCs w:val="1"/>
          <w:color w:val="auto"/>
        </w:rPr>
        <w:t>Consent of Independent Registered Public Accounting Firm</w:t>
      </w:r>
    </w:p>
    <w:p>
      <w:pPr>
        <w:spacing w:after="0" w:line="247"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 333-2076; No. 333-5720; No. 333-30970; No. 333-44412; No. 333-155262, No. 333-165400; No. 333-189274; No. 333-211888; No. 333-238934) of IMAX Corporation of our report dated March 4, 2021 relating to the consolidated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/s/ PricewaterhouseCoopers LLP</w:t>
      </w:r>
    </w:p>
    <w:p>
      <w:pPr>
        <w:spacing w:after="0" w:line="237" w:lineRule="auto"/>
        <w:rPr>
          <w:sz w:val="20"/>
          <w:szCs w:val="20"/>
          <w:color w:val="auto"/>
        </w:rPr>
      </w:pPr>
      <w:r>
        <w:rPr>
          <w:rFonts w:ascii="Georgia" w:cs="Georgia" w:eastAsia="Georgia" w:hAnsi="Georgia"/>
          <w:sz w:val="18"/>
          <w:szCs w:val="18"/>
          <w:b w:val="1"/>
          <w:bCs w:val="1"/>
          <w:color w:val="auto"/>
        </w:rPr>
        <w:t>Chartered Professional Accountants, Licensed Public Accountants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Toronto, Canada</w:t>
      </w:r>
    </w:p>
    <w:p>
      <w:pPr>
        <w:spacing w:after="0" w:line="237" w:lineRule="auto"/>
        <w:rPr>
          <w:sz w:val="20"/>
          <w:szCs w:val="20"/>
          <w:color w:val="auto"/>
        </w:rPr>
      </w:pPr>
      <w:r>
        <w:rPr>
          <w:rFonts w:ascii="Georgia" w:cs="Georgia" w:eastAsia="Georgia" w:hAnsi="Georgia"/>
          <w:sz w:val="18"/>
          <w:szCs w:val="18"/>
          <w:color w:val="auto"/>
        </w:rPr>
        <w:t>March 4, 2021</w:t>
      </w:r>
    </w:p>
    <w:p>
      <w:pPr>
        <w:sectPr>
          <w:pgSz w:w="11900" w:h="16838" w:orient="portrait"/>
          <w:cols w:equalWidth="0" w:num="1">
            <w:col w:w="11240"/>
          </w:cols>
          <w:pgMar w:left="320" w:top="108" w:right="339" w:bottom="1440" w:gutter="0" w:footer="0" w:header="0"/>
        </w:sectPr>
      </w:pPr>
    </w:p>
    <w:bookmarkStart w:id="170" w:name="page171"/>
    <w:bookmarkEnd w:id="170"/>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IMAX CORPORATION</w:t>
      </w:r>
    </w:p>
    <w:p>
      <w:pPr>
        <w:spacing w:after="0" w:line="1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78" w:lineRule="exact"/>
        <w:rPr>
          <w:sz w:val="20"/>
          <w:szCs w:val="20"/>
          <w:color w:val="auto"/>
        </w:rPr>
      </w:pPr>
    </w:p>
    <w:p>
      <w:pPr>
        <w:ind w:firstLine="770"/>
        <w:spacing w:after="0" w:line="243" w:lineRule="auto"/>
        <w:rPr>
          <w:sz w:val="20"/>
          <w:szCs w:val="20"/>
          <w:color w:val="auto"/>
        </w:rPr>
      </w:pPr>
      <w:r>
        <w:rPr>
          <w:rFonts w:ascii="Times New Roman" w:cs="Times New Roman" w:eastAsia="Times New Roman" w:hAnsi="Times New Roman"/>
          <w:sz w:val="20"/>
          <w:szCs w:val="20"/>
          <w:color w:val="auto"/>
        </w:rPr>
        <w:t>Each of the persons whose signature appears below hereby constitutes and appoints Patrick McClymont and Robert D. Lister, and each of them severally, as his true and lawful attorney or attorneys with power of substitution and re-substitution to sign in his name, place and stead in any and all such capacities the Form 10-K, including the French language version thereof, and any and all amendments thereto and documents in connection therewith, and to file the same with the United States Securities Exchange Commission (the “SEC”) and such other regulatory authorities as may be required, each of said attorneys to have power to act with and without the other, and to have full power and authority to do and perform, in the name and on behalf of each of the directors of the Corporation, every act whatsoever which such attorneys, or either of them, may deem necessary or desirable to be done in connection therewith as fully and to all intents and purposes as such directors of the Corporation might or could do in person.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this 4th day of March, 2021.</w:t>
      </w:r>
    </w:p>
    <w:p>
      <w:pPr>
        <w:spacing w:after="0" w:line="265" w:lineRule="exact"/>
        <w:rPr>
          <w:sz w:val="20"/>
          <w:szCs w:val="20"/>
          <w:color w:val="auto"/>
        </w:rPr>
      </w:pPr>
    </w:p>
    <w:tbl>
      <w:tblPr>
        <w:tblLayout w:type="fixed"/>
        <w:tblInd w:w="520" w:type="dxa"/>
        <w:tblCellMar>
          <w:top w:w="0" w:type="dxa"/>
          <w:left w:w="0" w:type="dxa"/>
          <w:bottom w:w="0" w:type="dxa"/>
          <w:right w:w="0" w:type="dxa"/>
        </w:tblCellMar>
      </w:tblPr>
      <w:tr>
        <w:trPr>
          <w:trHeight w:val="242"/>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Signature</w:t>
            </w:r>
          </w:p>
        </w:tc>
        <w:tc>
          <w:tcPr>
            <w:tcW w:w="640" w:type="dxa"/>
            <w:vAlign w:val="bottom"/>
          </w:tcPr>
          <w:p>
            <w:pPr>
              <w:spacing w:after="0"/>
              <w:rPr>
                <w:sz w:val="21"/>
                <w:szCs w:val="21"/>
                <w:color w:val="auto"/>
              </w:rPr>
            </w:pPr>
          </w:p>
        </w:tc>
        <w:tc>
          <w:tcPr>
            <w:tcW w:w="32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9"/>
                <w:szCs w:val="19"/>
                <w:color w:val="auto"/>
              </w:rPr>
              <w:t>Title</w:t>
            </w:r>
          </w:p>
        </w:tc>
      </w:tr>
      <w:tr>
        <w:trPr>
          <w:trHeight w:val="478"/>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Bradley Wechsler</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9"/>
                <w:szCs w:val="19"/>
                <w:color w:val="auto"/>
              </w:rPr>
              <w:t>Chairman of the Board &amp; Director</w:t>
            </w:r>
          </w:p>
        </w:tc>
      </w:tr>
      <w:tr>
        <w:trPr>
          <w:trHeight w:val="241"/>
        </w:trPr>
        <w:tc>
          <w:tcPr>
            <w:tcW w:w="42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8"/>
              </w:rPr>
              <w:t>Bradley Wechsler</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79"/>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Richard Gelfond</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9"/>
                <w:szCs w:val="19"/>
                <w:color w:val="auto"/>
              </w:rPr>
              <w:t>Chief Executive Officer</w:t>
            </w:r>
          </w:p>
        </w:tc>
      </w:tr>
      <w:tr>
        <w:trPr>
          <w:trHeight w:val="241"/>
        </w:trPr>
        <w:tc>
          <w:tcPr>
            <w:tcW w:w="42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9"/>
              </w:rPr>
              <w:t>Richard Gelfond</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9"/>
                <w:szCs w:val="19"/>
                <w:color w:val="auto"/>
              </w:rPr>
              <w:t>(Principal Executive Officer)</w:t>
            </w:r>
          </w:p>
        </w:tc>
      </w:tr>
      <w:tr>
        <w:trPr>
          <w:trHeight w:val="479"/>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Neil Braun</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9"/>
                <w:szCs w:val="19"/>
                <w:color w:val="auto"/>
              </w:rPr>
              <w:t>Director</w:t>
            </w:r>
          </w:p>
        </w:tc>
      </w:tr>
      <w:tr>
        <w:trPr>
          <w:trHeight w:val="241"/>
        </w:trPr>
        <w:tc>
          <w:tcPr>
            <w:tcW w:w="42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Neil Braun</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79"/>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Eric Demirian</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9"/>
                <w:szCs w:val="19"/>
                <w:color w:val="auto"/>
              </w:rPr>
              <w:t>Director</w:t>
            </w:r>
          </w:p>
        </w:tc>
      </w:tr>
      <w:tr>
        <w:trPr>
          <w:trHeight w:val="241"/>
        </w:trPr>
        <w:tc>
          <w:tcPr>
            <w:tcW w:w="42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9"/>
              </w:rPr>
              <w:t>Eric Demirian</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79"/>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Kevin Douglas</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9"/>
                <w:szCs w:val="19"/>
                <w:color w:val="auto"/>
              </w:rPr>
              <w:t>Director</w:t>
            </w:r>
          </w:p>
        </w:tc>
      </w:tr>
      <w:tr>
        <w:trPr>
          <w:trHeight w:val="241"/>
        </w:trPr>
        <w:tc>
          <w:tcPr>
            <w:tcW w:w="42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rPr>
              <w:t>Kevin Douglas</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79"/>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David Leebron</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9"/>
                <w:szCs w:val="19"/>
                <w:color w:val="auto"/>
              </w:rPr>
              <w:t>Director</w:t>
            </w:r>
          </w:p>
        </w:tc>
      </w:tr>
      <w:tr>
        <w:trPr>
          <w:trHeight w:val="241"/>
        </w:trPr>
        <w:tc>
          <w:tcPr>
            <w:tcW w:w="42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9"/>
              </w:rPr>
              <w:t>David Leebron</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79"/>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Michael MacMillan</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9"/>
                <w:szCs w:val="19"/>
                <w:color w:val="auto"/>
              </w:rPr>
              <w:t>Director</w:t>
            </w:r>
          </w:p>
        </w:tc>
      </w:tr>
      <w:tr>
        <w:trPr>
          <w:trHeight w:val="241"/>
        </w:trPr>
        <w:tc>
          <w:tcPr>
            <w:tcW w:w="42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9"/>
              </w:rPr>
              <w:t>Michael MacMillan</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79"/>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Dana Settle</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9"/>
                <w:szCs w:val="19"/>
                <w:color w:val="auto"/>
              </w:rPr>
              <w:t>Director</w:t>
            </w:r>
          </w:p>
        </w:tc>
      </w:tr>
      <w:tr>
        <w:trPr>
          <w:trHeight w:val="241"/>
        </w:trPr>
        <w:tc>
          <w:tcPr>
            <w:tcW w:w="42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rPr>
              <w:t>Dana Settle</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79"/>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/s/ Darren Throop</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9"/>
                <w:szCs w:val="19"/>
                <w:color w:val="auto"/>
              </w:rPr>
              <w:t>Director</w:t>
            </w:r>
          </w:p>
        </w:tc>
      </w:tr>
      <w:tr>
        <w:trPr>
          <w:trHeight w:val="241"/>
        </w:trPr>
        <w:tc>
          <w:tcPr>
            <w:tcW w:w="42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Darren Throop</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79"/>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Patrick McClymont</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241"/>
        </w:trPr>
        <w:tc>
          <w:tcPr>
            <w:tcW w:w="42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9"/>
              </w:rPr>
              <w:t>Patrick McClymont</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9"/>
                <w:szCs w:val="19"/>
                <w:color w:val="auto"/>
              </w:rPr>
              <w:t>(Principal Financial Officer)</w:t>
            </w:r>
          </w:p>
        </w:tc>
      </w:tr>
      <w:tr>
        <w:trPr>
          <w:trHeight w:val="479"/>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/s/ Kevin M. Delaney</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9"/>
                <w:szCs w:val="19"/>
                <w:color w:val="auto"/>
              </w:rPr>
              <w:t>Senior Vice President, Finance</w:t>
            </w:r>
          </w:p>
        </w:tc>
      </w:tr>
      <w:tr>
        <w:trPr>
          <w:trHeight w:val="241"/>
        </w:trPr>
        <w:tc>
          <w:tcPr>
            <w:tcW w:w="42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rPr>
              <w:t>Kevin M. Delaney</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9"/>
                <w:szCs w:val="19"/>
                <w:color w:val="auto"/>
              </w:rPr>
              <w:t>(Principal Accounting Officer)</w:t>
            </w:r>
          </w:p>
        </w:tc>
      </w:tr>
    </w:tbl>
    <w:p>
      <w:pPr>
        <w:sectPr>
          <w:pgSz w:w="11900" w:h="16838" w:orient="portrait"/>
          <w:cols w:equalWidth="0" w:num="1">
            <w:col w:w="11160"/>
          </w:cols>
          <w:pgMar w:left="320" w:top="114" w:right="41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L. Gelfond, certify that:</w:t>
      </w:r>
    </w:p>
    <w:p>
      <w:pPr>
        <w:spacing w:after="0" w:line="224" w:lineRule="exact"/>
        <w:rPr>
          <w:sz w:val="20"/>
          <w:szCs w:val="20"/>
          <w:color w:val="auto"/>
        </w:rPr>
      </w:pPr>
    </w:p>
    <w:p>
      <w:pPr>
        <w:ind w:left="500" w:hanging="492"/>
        <w:spacing w:after="0"/>
        <w:tabs>
          <w:tab w:leader="none" w:pos="5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2020 of the registrant, IMAX Corporation;</w:t>
      </w:r>
    </w:p>
    <w:p>
      <w:pPr>
        <w:spacing w:after="0" w:line="223" w:lineRule="exact"/>
        <w:rPr>
          <w:rFonts w:ascii="Times New Roman" w:cs="Times New Roman" w:eastAsia="Times New Roman" w:hAnsi="Times New Roman"/>
          <w:sz w:val="18"/>
          <w:szCs w:val="18"/>
          <w:color w:val="auto"/>
        </w:rPr>
      </w:pPr>
    </w:p>
    <w:p>
      <w:pPr>
        <w:jc w:val="both"/>
        <w:ind w:left="500" w:hanging="492"/>
        <w:spacing w:after="0" w:line="265" w:lineRule="auto"/>
        <w:tabs>
          <w:tab w:leader="none" w:pos="5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00" w:hanging="492"/>
        <w:spacing w:after="0" w:line="281" w:lineRule="auto"/>
        <w:tabs>
          <w:tab w:leader="none" w:pos="5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5" w:lineRule="auto"/>
        <w:tabs>
          <w:tab w:leader="none" w:pos="5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60" w:hanging="423"/>
        <w:spacing w:after="0" w:line="265" w:lineRule="auto"/>
        <w:tabs>
          <w:tab w:leader="none" w:pos="13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60" w:hanging="423"/>
        <w:spacing w:after="0" w:line="265" w:lineRule="auto"/>
        <w:tabs>
          <w:tab w:leader="none" w:pos="13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60" w:right="20" w:hanging="423"/>
        <w:spacing w:after="0" w:line="281" w:lineRule="auto"/>
        <w:tabs>
          <w:tab w:leader="none" w:pos="13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60" w:hanging="423"/>
        <w:spacing w:after="0" w:line="265" w:lineRule="auto"/>
        <w:tabs>
          <w:tab w:leader="none" w:pos="13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00" w:hanging="492"/>
        <w:spacing w:after="0" w:line="281" w:lineRule="auto"/>
        <w:tabs>
          <w:tab w:leader="none" w:pos="5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60" w:hanging="423"/>
        <w:spacing w:after="0" w:line="281" w:lineRule="auto"/>
        <w:tabs>
          <w:tab w:leader="none" w:pos="13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60" w:right="20" w:hanging="423"/>
        <w:spacing w:after="0" w:line="281" w:lineRule="auto"/>
        <w:tabs>
          <w:tab w:leader="none" w:pos="13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March 4, 2021</w:t>
            </w:r>
          </w:p>
        </w:tc>
        <w:tc>
          <w:tcPr>
            <w:tcW w:w="33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191"/>
        </w:trPr>
        <w:tc>
          <w:tcPr>
            <w:tcW w:w="8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L. Gelfond</w:t>
            </w:r>
          </w:p>
        </w:tc>
      </w:tr>
      <w:tr>
        <w:trPr>
          <w:trHeight w:val="234"/>
        </w:trPr>
        <w:tc>
          <w:tcPr>
            <w:tcW w:w="8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08"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McClymont, certify that:</w:t>
      </w:r>
    </w:p>
    <w:p>
      <w:pPr>
        <w:spacing w:after="0" w:line="224" w:lineRule="exact"/>
        <w:rPr>
          <w:sz w:val="20"/>
          <w:szCs w:val="20"/>
          <w:color w:val="auto"/>
        </w:rPr>
      </w:pPr>
    </w:p>
    <w:p>
      <w:pPr>
        <w:ind w:left="500" w:hanging="492"/>
        <w:spacing w:after="0"/>
        <w:tabs>
          <w:tab w:leader="none" w:pos="5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2020 of the registrant, IMAX Corporation;</w:t>
      </w:r>
    </w:p>
    <w:p>
      <w:pPr>
        <w:spacing w:after="0" w:line="224" w:lineRule="exact"/>
        <w:rPr>
          <w:rFonts w:ascii="Times New Roman" w:cs="Times New Roman" w:eastAsia="Times New Roman" w:hAnsi="Times New Roman"/>
          <w:sz w:val="18"/>
          <w:szCs w:val="18"/>
          <w:color w:val="auto"/>
        </w:rPr>
      </w:pPr>
    </w:p>
    <w:p>
      <w:pPr>
        <w:jc w:val="both"/>
        <w:ind w:left="500" w:hanging="492"/>
        <w:spacing w:after="0" w:line="265" w:lineRule="auto"/>
        <w:tabs>
          <w:tab w:leader="none" w:pos="5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00" w:hanging="492"/>
        <w:spacing w:after="0" w:line="281" w:lineRule="auto"/>
        <w:tabs>
          <w:tab w:leader="none" w:pos="5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5" w:lineRule="auto"/>
        <w:tabs>
          <w:tab w:leader="none" w:pos="5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60" w:hanging="423"/>
        <w:spacing w:after="0" w:line="265" w:lineRule="auto"/>
        <w:tabs>
          <w:tab w:leader="none" w:pos="13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60" w:hanging="423"/>
        <w:spacing w:after="0" w:line="265" w:lineRule="auto"/>
        <w:tabs>
          <w:tab w:leader="none" w:pos="13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60" w:right="20" w:hanging="423"/>
        <w:spacing w:after="0" w:line="281" w:lineRule="auto"/>
        <w:tabs>
          <w:tab w:leader="none" w:pos="13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60" w:hanging="423"/>
        <w:spacing w:after="0" w:line="265" w:lineRule="auto"/>
        <w:tabs>
          <w:tab w:leader="none" w:pos="13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00" w:hanging="492"/>
        <w:spacing w:after="0" w:line="281" w:lineRule="auto"/>
        <w:tabs>
          <w:tab w:leader="none" w:pos="5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60" w:hanging="423"/>
        <w:spacing w:after="0" w:line="281" w:lineRule="auto"/>
        <w:tabs>
          <w:tab w:leader="none" w:pos="13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60" w:right="20" w:hanging="423"/>
        <w:spacing w:after="0" w:line="281" w:lineRule="auto"/>
        <w:tabs>
          <w:tab w:leader="none" w:pos="13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March 4, 2021</w:t>
            </w:r>
          </w:p>
        </w:tc>
        <w:tc>
          <w:tcPr>
            <w:tcW w:w="33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McClymont</w:t>
            </w:r>
          </w:p>
        </w:tc>
      </w:tr>
      <w:tr>
        <w:trPr>
          <w:trHeight w:val="191"/>
        </w:trPr>
        <w:tc>
          <w:tcPr>
            <w:tcW w:w="8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Patrick McClymont</w:t>
            </w:r>
          </w:p>
        </w:tc>
      </w:tr>
      <w:tr>
        <w:trPr>
          <w:trHeight w:val="215"/>
        </w:trPr>
        <w:tc>
          <w:tcPr>
            <w:tcW w:w="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&amp;</w:t>
            </w:r>
          </w:p>
        </w:tc>
      </w:tr>
      <w:tr>
        <w:trPr>
          <w:trHeight w:val="234"/>
        </w:trPr>
        <w:tc>
          <w:tcPr>
            <w:tcW w:w="8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bl>
    <w:p>
      <w:pPr>
        <w:sectPr>
          <w:pgSz w:w="11900" w:h="16838" w:orient="portrait"/>
          <w:cols w:equalWidth="0" w:num="1">
            <w:col w:w="11240"/>
          </w:cols>
          <w:pgMar w:left="320" w:top="108"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157" w:lineRule="exact"/>
        <w:rPr>
          <w:sz w:val="20"/>
          <w:szCs w:val="20"/>
          <w:color w:val="auto"/>
        </w:rPr>
      </w:pPr>
    </w:p>
    <w:p>
      <w:pPr>
        <w:jc w:val="both"/>
        <w:ind w:right="20" w:firstLine="624"/>
        <w:spacing w:after="0" w:line="281"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Richard L. Gelfond, Chief Executive Officer of IMAX Corporation, a Canadian corporation (the “Company”), hereby certify, to my knowledge, that:</w:t>
      </w:r>
    </w:p>
    <w:p>
      <w:pPr>
        <w:spacing w:after="0" w:line="121" w:lineRule="exact"/>
        <w:rPr>
          <w:sz w:val="20"/>
          <w:szCs w:val="20"/>
          <w:color w:val="auto"/>
        </w:rPr>
      </w:pPr>
    </w:p>
    <w:p>
      <w:pPr>
        <w:jc w:val="both"/>
        <w:ind w:firstLine="624"/>
        <w:spacing w:after="0" w:line="265"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2020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March 4, 2021</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r>
      <w:tr>
        <w:trPr>
          <w:trHeight w:val="191"/>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5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L. Gelfond</w:t>
            </w:r>
          </w:p>
        </w:tc>
      </w:tr>
      <w:tr>
        <w:trPr>
          <w:trHeight w:val="234"/>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08"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157" w:lineRule="exact"/>
        <w:rPr>
          <w:sz w:val="20"/>
          <w:szCs w:val="20"/>
          <w:color w:val="auto"/>
        </w:rPr>
      </w:pPr>
    </w:p>
    <w:p>
      <w:pPr>
        <w:jc w:val="both"/>
        <w:ind w:right="20" w:firstLine="624"/>
        <w:spacing w:after="0" w:line="281"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Patrick McClymont, Chief Financial Officer of IMAX Corporation, a Canadian corporation (the “Company”), hereby certify, to my knowledge, that:</w:t>
      </w:r>
    </w:p>
    <w:p>
      <w:pPr>
        <w:spacing w:after="0" w:line="121" w:lineRule="exact"/>
        <w:rPr>
          <w:sz w:val="20"/>
          <w:szCs w:val="20"/>
          <w:color w:val="auto"/>
        </w:rPr>
      </w:pPr>
    </w:p>
    <w:p>
      <w:pPr>
        <w:jc w:val="both"/>
        <w:ind w:firstLine="624"/>
        <w:spacing w:after="0" w:line="265"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2020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March 4, 2021</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 Patrick McClymont</w:t>
            </w:r>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r>
      <w:tr>
        <w:trPr>
          <w:trHeight w:val="191"/>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5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Patrick McClymont</w:t>
            </w:r>
          </w:p>
        </w:tc>
      </w:tr>
      <w:tr>
        <w:trPr>
          <w:trHeight w:val="215"/>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&amp;</w:t>
            </w:r>
          </w:p>
        </w:tc>
      </w:tr>
      <w:tr>
        <w:trPr>
          <w:trHeight w:val="234"/>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1)"/>
      <w:numFmt w:val="decimal"/>
      <w:start w:val="1"/>
    </w:lvl>
  </w:abstractNum>
  <w:abstractNum w:abstractNumId="6">
    <w:nsid w:val="1BA026FA"/>
    <w:multiLevelType w:val="hybridMultilevel"/>
    <w:lvl w:ilvl="0">
      <w:lvlJc w:val="left"/>
      <w:lvlText w:val="(%1)"/>
      <w:numFmt w:val="decimal"/>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o"/>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1)"/>
      <w:numFmt w:val="decimal"/>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1)"/>
      <w:numFmt w:val="lowerRoman"/>
      <w:start w:val="5"/>
    </w:lvl>
  </w:abstractNum>
  <w:abstractNum w:abstractNumId="20">
    <w:nsid w:val="235BA861"/>
    <w:multiLevelType w:val="hybridMultilevel"/>
    <w:lvl w:ilvl="0">
      <w:lvlJc w:val="left"/>
      <w:lvlText w:val="(%1)"/>
      <w:numFmt w:val="decimal"/>
      <w:start w:val="1"/>
    </w:lvl>
  </w:abstractNum>
  <w:abstractNum w:abstractNumId="21">
    <w:nsid w:val="47398C89"/>
    <w:multiLevelType w:val="hybridMultilevel"/>
    <w:lvl w:ilvl="0">
      <w:lvlJc w:val="left"/>
      <w:lvlText w:val="(%1)"/>
      <w:numFmt w:val="decimal"/>
      <w:start w:val="1"/>
    </w:lvl>
  </w:abstractNum>
  <w:abstractNum w:abstractNumId="22">
    <w:nsid w:val="354FE9F9"/>
    <w:multiLevelType w:val="hybridMultilevel"/>
    <w:lvl w:ilvl="0">
      <w:lvlJc w:val="left"/>
      <w:lvlText w:val="(%1)"/>
      <w:numFmt w:val="decimal"/>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1)"/>
      <w:numFmt w:val="lowerRoman"/>
      <w:start w:val="6"/>
    </w:lvl>
  </w:abstractNum>
  <w:abstractNum w:abstractNumId="25">
    <w:nsid w:val="D34B6A8"/>
    <w:multiLevelType w:val="hybridMultilevel"/>
    <w:lvl w:ilvl="0">
      <w:lvlJc w:val="left"/>
      <w:lvlText w:val="(%1)"/>
      <w:numFmt w:val="decimal"/>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1)"/>
      <w:numFmt w:val="decimal"/>
      <w:start w:val="1"/>
    </w:lvl>
  </w:abstractNum>
  <w:abstractNum w:abstractNumId="28">
    <w:nsid w:val="61574095"/>
    <w:multiLevelType w:val="hybridMultilevel"/>
    <w:lvl w:ilvl="0">
      <w:lvlJc w:val="left"/>
      <w:lvlText w:val="(%1)"/>
      <w:numFmt w:val="decimal"/>
      <w:start w:val="1"/>
    </w:lvl>
  </w:abstractNum>
  <w:abstractNum w:abstractNumId="29">
    <w:nsid w:val="7E0C57B1"/>
    <w:multiLevelType w:val="hybridMultilevel"/>
    <w:lvl w:ilvl="0">
      <w:lvlJc w:val="left"/>
      <w:lvlText w:val="(%1)"/>
      <w:numFmt w:val="decimal"/>
      <w:start w:val="3"/>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1)"/>
      <w:numFmt w:val="decimal"/>
      <w:start w:val="1"/>
    </w:lvl>
  </w:abstractNum>
  <w:abstractNum w:abstractNumId="34">
    <w:nsid w:val="2F305DEF"/>
    <w:multiLevelType w:val="hybridMultilevel"/>
    <w:lvl w:ilvl="0">
      <w:lvlJc w:val="left"/>
      <w:lvlText w:val="(%1)"/>
      <w:numFmt w:val="lowerRoman"/>
      <w:start w:val="2"/>
    </w:lvl>
  </w:abstractNum>
  <w:abstractNum w:abstractNumId="35">
    <w:nsid w:val="25A70BF7"/>
    <w:multiLevelType w:val="hybridMultilevel"/>
    <w:lvl w:ilvl="0">
      <w:lvlJc w:val="left"/>
      <w:lvlText w:val="(%1)"/>
      <w:numFmt w:val="decimal"/>
      <w:start w:val="1"/>
    </w:lvl>
    <w:lvl w:ilvl="1">
      <w:lvlJc w:val="left"/>
      <w:lvlText w:val="(%2)"/>
      <w:numFmt w:val="lowerLetter"/>
      <w:start w:val="2"/>
    </w:lvl>
  </w:abstractNum>
  <w:abstractNum w:abstractNumId="36">
    <w:nsid w:val="1DBABF00"/>
    <w:multiLevelType w:val="hybridMultilevel"/>
    <w:lvl w:ilvl="0">
      <w:lvlJc w:val="left"/>
      <w:lvlText w:val="(%1)"/>
      <w:numFmt w:val="lowerLetter"/>
      <w:start w:val="6"/>
    </w:lvl>
  </w:abstractNum>
  <w:abstractNum w:abstractNumId="37">
    <w:nsid w:val="4AD084E9"/>
    <w:multiLevelType w:val="hybridMultilevel"/>
    <w:lvl w:ilvl="0">
      <w:lvlJc w:val="left"/>
      <w:lvlText w:val="(%1)"/>
      <w:numFmt w:val="lowerRoman"/>
      <w:start w:val="1"/>
    </w:lvl>
  </w:abstractNum>
  <w:abstractNum w:abstractNumId="38">
    <w:nsid w:val="1F48EAA1"/>
    <w:multiLevelType w:val="hybridMultilevel"/>
    <w:lvl w:ilvl="0">
      <w:lvlJc w:val="left"/>
      <w:lvlText w:val="(%1)"/>
      <w:numFmt w:val="lowerLetter"/>
      <w:start w:val="10"/>
    </w:lvl>
  </w:abstractNum>
  <w:abstractNum w:abstractNumId="39">
    <w:nsid w:val="1381823A"/>
    <w:multiLevelType w:val="hybridMultilevel"/>
    <w:lvl w:ilvl="0">
      <w:lvlJc w:val="left"/>
      <w:lvlText w:val="(%1)"/>
      <w:numFmt w:val="lowerLetter"/>
      <w:start w:val="12"/>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1)"/>
      <w:numFmt w:val="lowerLetter"/>
      <w:start w:val="35"/>
    </w:lvl>
  </w:abstractNum>
  <w:abstractNum w:abstractNumId="42">
    <w:nsid w:val="6590700B"/>
    <w:multiLevelType w:val="hybridMultilevel"/>
    <w:lvl w:ilvl="0">
      <w:lvlJc w:val="left"/>
      <w:lvlText w:val="(%1)"/>
      <w:numFmt w:val="lowerLetter"/>
      <w:start w:val="2"/>
    </w:lvl>
  </w:abstractNum>
  <w:abstractNum w:abstractNumId="43">
    <w:nsid w:val="15014ACB"/>
    <w:multiLevelType w:val="hybridMultilevel"/>
    <w:lvl w:ilvl="0">
      <w:lvlJc w:val="left"/>
      <w:lvlText w:val="\endash "/>
      <w:numFmt w:val="bullet"/>
      <w:start w:val="1"/>
    </w:lvl>
  </w:abstractNum>
  <w:abstractNum w:abstractNumId="44">
    <w:nsid w:val="5F5E7FD0"/>
    <w:multiLevelType w:val="hybridMultilevel"/>
    <w:lvl w:ilvl="0">
      <w:lvlJc w:val="left"/>
      <w:lvlText w:val="(%1)"/>
      <w:numFmt w:val="lowerLetter"/>
      <w:start w:val="20"/>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1)"/>
      <w:numFmt w:val="decimal"/>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1)"/>
      <w:numFmt w:val="decimal"/>
      <w:start w:val="1"/>
    </w:lvl>
  </w:abstractNum>
  <w:abstractNum w:abstractNumId="49">
    <w:nsid w:val="168E121F"/>
    <w:multiLevelType w:val="hybridMultilevel"/>
    <w:lvl w:ilvl="0">
      <w:lvlJc w:val="left"/>
      <w:lvlText w:val="(%1)"/>
      <w:numFmt w:val="decimal"/>
      <w:start w:val="1"/>
    </w:lvl>
  </w:abstractNum>
  <w:abstractNum w:abstractNumId="50">
    <w:nsid w:val="1EBA5D23"/>
    <w:multiLevelType w:val="hybridMultilevel"/>
    <w:lvl w:ilvl="0">
      <w:lvlJc w:val="left"/>
      <w:lvlText w:val="%1."/>
      <w:numFmt w:val="decimal"/>
      <w:start w:val="12"/>
    </w:lvl>
    <w:lvl w:ilvl="1">
      <w:lvlJc w:val="left"/>
      <w:lvlText w:val="(%2)"/>
      <w:numFmt w:val="lowerLetter"/>
      <w:start w:val="1"/>
    </w:lvl>
  </w:abstractNum>
  <w:abstractNum w:abstractNumId="51">
    <w:nsid w:val="661E3F1E"/>
    <w:multiLevelType w:val="hybridMultilevel"/>
    <w:lvl w:ilvl="0">
      <w:lvlJc w:val="left"/>
      <w:lvlText w:val="(%1)"/>
      <w:numFmt w:val="decimal"/>
      <w:start w:val="1"/>
    </w:lvl>
  </w:abstractNum>
  <w:abstractNum w:abstractNumId="52">
    <w:nsid w:val="5DC79EA8"/>
    <w:multiLevelType w:val="hybridMultilevel"/>
    <w:lvl w:ilvl="0">
      <w:lvlJc w:val="left"/>
      <w:lvlText w:val="(%1)"/>
      <w:numFmt w:val="lowerLetter"/>
      <w:start w:val="3"/>
    </w:lvl>
  </w:abstractNum>
  <w:abstractNum w:abstractNumId="53">
    <w:nsid w:val="540A471C"/>
    <w:multiLevelType w:val="hybridMultilevel"/>
    <w:lvl w:ilvl="0">
      <w:lvlJc w:val="left"/>
      <w:lvlText w:val="(%1)"/>
      <w:numFmt w:val="decimal"/>
      <w:start w:val="1"/>
    </w:lvl>
  </w:abstractNum>
  <w:abstractNum w:abstractNumId="54">
    <w:nsid w:val="7BD3EE7B"/>
    <w:multiLevelType w:val="hybridMultilevel"/>
    <w:lvl w:ilvl="0">
      <w:lvlJc w:val="left"/>
      <w:lvlText w:val="(%1)"/>
      <w:numFmt w:val="lowerLetter"/>
      <w:start w:val="5"/>
    </w:lvl>
  </w:abstractNum>
  <w:abstractNum w:abstractNumId="55">
    <w:nsid w:val="51D9C564"/>
    <w:multiLevelType w:val="hybridMultilevel"/>
    <w:lvl w:ilvl="0">
      <w:lvlJc w:val="left"/>
      <w:lvlText w:val="(%1)"/>
      <w:numFmt w:val="lowerLetter"/>
      <w:start w:val="6"/>
    </w:lvl>
  </w:abstractNum>
  <w:abstractNum w:abstractNumId="56">
    <w:nsid w:val="613EFDC5"/>
    <w:multiLevelType w:val="hybridMultilevel"/>
    <w:lvl w:ilvl="0">
      <w:lvlJc w:val="left"/>
      <w:lvlText w:val="(%1)"/>
      <w:numFmt w:val="lowerLetter"/>
      <w:start w:val="7"/>
    </w:lvl>
  </w:abstractNum>
  <w:abstractNum w:abstractNumId="57">
    <w:nsid w:val="BF72B14"/>
    <w:multiLevelType w:val="hybridMultilevel"/>
    <w:lvl w:ilvl="0">
      <w:lvlJc w:val="left"/>
      <w:lvlText w:val="(%1)"/>
      <w:numFmt w:val="lowerLetter"/>
      <w:start w:val="8"/>
    </w:lvl>
  </w:abstractNum>
  <w:abstractNum w:abstractNumId="58">
    <w:nsid w:val="11447B73"/>
    <w:multiLevelType w:val="hybridMultilevel"/>
    <w:lvl w:ilvl="0">
      <w:lvlJc w:val="left"/>
      <w:lvlText w:val="(%1)"/>
      <w:numFmt w:val="lowerRoman"/>
      <w:start w:val="1"/>
    </w:lvl>
  </w:abstractNum>
  <w:abstractNum w:abstractNumId="59">
    <w:nsid w:val="42963E5A"/>
    <w:multiLevelType w:val="hybridMultilevel"/>
    <w:lvl w:ilvl="0">
      <w:lvlJc w:val="left"/>
      <w:lvlText w:val="(%1)"/>
      <w:numFmt w:val="lowerRoman"/>
      <w:start w:val="2"/>
    </w:lvl>
  </w:abstractNum>
  <w:abstractNum w:abstractNumId="60">
    <w:nsid w:val="A0382C5"/>
    <w:multiLevelType w:val="hybridMultilevel"/>
    <w:lvl w:ilvl="0">
      <w:lvlJc w:val="left"/>
      <w:lvlText w:val="(%1)"/>
      <w:numFmt w:val="decimal"/>
      <w:start w:val="1"/>
    </w:lvl>
  </w:abstractNum>
  <w:abstractNum w:abstractNumId="61">
    <w:nsid w:val="8F2B15E"/>
    <w:multiLevelType w:val="hybridMultilevel"/>
    <w:lvl w:ilvl="0">
      <w:lvlJc w:val="left"/>
      <w:lvlText w:val="(%1)"/>
      <w:numFmt w:val="decimal"/>
      <w:start w:val="2"/>
    </w:lvl>
  </w:abstractNum>
  <w:abstractNum w:abstractNumId="62">
    <w:nsid w:val="1A32234B"/>
    <w:multiLevelType w:val="hybridMultilevel"/>
    <w:lvl w:ilvl="0">
      <w:lvlJc w:val="left"/>
      <w:lvlText w:val="(%1)"/>
      <w:numFmt w:val="lowerLetter"/>
      <w:start w:val="1"/>
    </w:lvl>
  </w:abstractNum>
  <w:abstractNum w:abstractNumId="63">
    <w:nsid w:val="3B0FD379"/>
    <w:multiLevelType w:val="hybridMultilevel"/>
    <w:lvl w:ilvl="0">
      <w:lvlJc w:val="left"/>
      <w:lvlText w:val="(%1)"/>
      <w:numFmt w:val="lowerLetter"/>
      <w:start w:val="2"/>
    </w:lvl>
  </w:abstractNum>
  <w:abstractNum w:abstractNumId="64">
    <w:nsid w:val="68EB2F63"/>
    <w:multiLevelType w:val="hybridMultilevel"/>
    <w:lvl w:ilvl="0">
      <w:lvlJc w:val="left"/>
      <w:lvlText w:val="(%1)"/>
      <w:numFmt w:val="lowerLetter"/>
      <w:start w:val="4"/>
    </w:lvl>
  </w:abstractNum>
  <w:abstractNum w:abstractNumId="65">
    <w:nsid w:val="4962813B"/>
    <w:multiLevelType w:val="hybridMultilevel"/>
    <w:lvl w:ilvl="0">
      <w:lvlJc w:val="left"/>
      <w:lvlText w:val="%1."/>
      <w:numFmt w:val="decimal"/>
      <w:start w:val="18"/>
    </w:lvl>
    <w:lvl w:ilvl="1">
      <w:lvlJc w:val="left"/>
      <w:lvlText w:val="(%2)"/>
      <w:numFmt w:val="lowerLetter"/>
      <w:start w:val="1"/>
    </w:lvl>
  </w:abstractNum>
  <w:abstractNum w:abstractNumId="66">
    <w:nsid w:val="60B6DF70"/>
    <w:multiLevelType w:val="hybridMultilevel"/>
    <w:lvl w:ilvl="0">
      <w:lvlJc w:val="left"/>
      <w:lvlText w:val="\emdash "/>
      <w:numFmt w:val="bullet"/>
      <w:start w:val="1"/>
    </w:lvl>
  </w:abstractNum>
  <w:abstractNum w:abstractNumId="67">
    <w:nsid w:val="6A5EE64"/>
    <w:multiLevelType w:val="hybridMultilevel"/>
    <w:lvl w:ilvl="0">
      <w:lvlJc w:val="left"/>
      <w:lvlText w:val="\emdash "/>
      <w:numFmt w:val="bullet"/>
      <w:start w:val="1"/>
    </w:lvl>
  </w:abstractNum>
  <w:abstractNum w:abstractNumId="68">
    <w:nsid w:val="14330624"/>
    <w:multiLevelType w:val="hybridMultilevel"/>
    <w:lvl w:ilvl="0">
      <w:lvlJc w:val="left"/>
      <w:lvlText w:val="%1."/>
      <w:numFmt w:val="decimal"/>
      <w:start w:val="19"/>
    </w:lvl>
    <w:lvl w:ilvl="1">
      <w:lvlJc w:val="left"/>
      <w:lvlText w:val="(%2)"/>
      <w:numFmt w:val="lowerLetter"/>
      <w:start w:val="1"/>
    </w:lvl>
  </w:abstractNum>
  <w:abstractNum w:abstractNumId="69">
    <w:nsid w:val="7FFFCA11"/>
    <w:multiLevelType w:val="hybridMultilevel"/>
    <w:lvl w:ilvl="0">
      <w:lvlJc w:val="left"/>
      <w:lvlText w:val="(%1)"/>
      <w:numFmt w:val="decimal"/>
      <w:start w:val="1"/>
    </w:lvl>
    <w:lvl w:ilvl="1">
      <w:lvlJc w:val="left"/>
      <w:lvlText w:val="(%2)"/>
      <w:numFmt w:val="lowerLetter"/>
      <w:start w:val="5"/>
    </w:lvl>
  </w:abstractNum>
  <w:abstractNum w:abstractNumId="70">
    <w:nsid w:val="1A27709E"/>
    <w:multiLevelType w:val="hybridMultilevel"/>
    <w:lvl w:ilvl="0">
      <w:lvlJc w:val="left"/>
      <w:lvlText w:val="(%1)"/>
      <w:numFmt w:val="decimal"/>
      <w:start w:val="1"/>
    </w:lvl>
  </w:abstractNum>
  <w:abstractNum w:abstractNumId="71">
    <w:nsid w:val="71EA1109"/>
    <w:multiLevelType w:val="hybridMultilevel"/>
    <w:lvl w:ilvl="0">
      <w:lvlJc w:val="left"/>
      <w:lvlText w:val="(%1)"/>
      <w:numFmt w:val="decimal"/>
      <w:start w:val="1"/>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lowerRoman"/>
      <w:start w:val="1"/>
    </w:lvl>
  </w:abstractNum>
  <w:abstractNum w:abstractNumId="74">
    <w:nsid w:val="6EB5BD4"/>
    <w:multiLevelType w:val="hybridMultilevel"/>
    <w:lvl w:ilvl="0">
      <w:lvlJc w:val="left"/>
      <w:lvlText w:val="(%1)"/>
      <w:numFmt w:val="decimal"/>
      <w:start w:val="1"/>
    </w:lvl>
  </w:abstractNum>
  <w:abstractNum w:abstractNumId="75">
    <w:nsid w:val="6F6DD9AC"/>
    <w:multiLevelType w:val="hybridMultilevel"/>
    <w:lvl w:ilvl="0">
      <w:lvlJc w:val="left"/>
      <w:lvlText w:val="(%1)"/>
      <w:numFmt w:val="lowerLetter"/>
      <w:start w:val="2"/>
    </w:lvl>
  </w:abstractNum>
  <w:abstractNum w:abstractNumId="76">
    <w:nsid w:val="94211F2"/>
    <w:multiLevelType w:val="hybridMultilevel"/>
    <w:lvl w:ilvl="0">
      <w:lvlJc w:val="left"/>
      <w:lvlText w:val="%1."/>
      <w:numFmt w:val="decimal"/>
      <w:start w:val="22"/>
    </w:lvl>
    <w:lvl w:ilvl="1">
      <w:lvlJc w:val="left"/>
      <w:lvlText w:val="(%2)"/>
      <w:numFmt w:val="lowerLetter"/>
      <w:start w:val="1"/>
    </w:lvl>
  </w:abstractNum>
  <w:abstractNum w:abstractNumId="77">
    <w:nsid w:val="885E1B"/>
    <w:multiLevelType w:val="hybridMultilevel"/>
    <w:lvl w:ilvl="0">
      <w:lvlJc w:val="left"/>
      <w:lvlText w:val="(%1)"/>
      <w:numFmt w:val="decimal"/>
      <w:start w:val="1"/>
    </w:lvl>
  </w:abstractNum>
  <w:abstractNum w:abstractNumId="78">
    <w:nsid w:val="76272110"/>
    <w:multiLevelType w:val="hybridMultilevel"/>
    <w:lvl w:ilvl="0">
      <w:lvlJc w:val="left"/>
      <w:lvlText w:val="%1."/>
      <w:numFmt w:val="decimal"/>
      <w:start w:val="23"/>
    </w:lvl>
    <w:lvl w:ilvl="1">
      <w:lvlJc w:val="left"/>
      <w:lvlText w:val="(%2)"/>
      <w:numFmt w:val="lowerLetter"/>
      <w:start w:val="1"/>
    </w:lvl>
  </w:abstractNum>
  <w:abstractNum w:abstractNumId="79">
    <w:nsid w:val="4C04A8AF"/>
    <w:multiLevelType w:val="hybridMultilevel"/>
    <w:lvl w:ilvl="0">
      <w:lvlJc w:val="left"/>
      <w:lvlText w:val="%1."/>
      <w:numFmt w:val="decimal"/>
      <w:start w:val="24"/>
    </w:lvl>
    <w:lvl w:ilvl="1">
      <w:lvlJc w:val="left"/>
      <w:lvlText w:val="(%2)"/>
      <w:numFmt w:val="lowerLetter"/>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1)"/>
      <w:numFmt w:val="decimal"/>
      <w:start w:val="1"/>
    </w:lvl>
  </w:abstractNum>
  <w:abstractNum w:abstractNumId="82">
    <w:nsid w:val="3222E7CD"/>
    <w:multiLevelType w:val="hybridMultilevel"/>
    <w:lvl w:ilvl="0">
      <w:lvlJc w:val="left"/>
      <w:lvlText w:val="(%1)"/>
      <w:numFmt w:val="lowerLetter"/>
      <w:start w:val="1"/>
    </w:lvl>
  </w:abstractNum>
  <w:abstractNum w:abstractNumId="83">
    <w:nsid w:val="74DE0EE3"/>
    <w:multiLevelType w:val="hybridMultilevel"/>
    <w:lvl w:ilvl="0">
      <w:lvlJc w:val="left"/>
      <w:lvlText w:val="%1"/>
      <w:numFmt w:val="lowerLetter"/>
      <w:start w:val="1"/>
    </w:lvl>
    <w:lvl w:ilvl="1">
      <w:lvlJc w:val="left"/>
      <w:lvlText w:val="(%2)"/>
      <w:numFmt w:val="lowerRoman"/>
      <w:start w:val="1"/>
    </w:lvl>
  </w:abstractNum>
  <w:abstractNum w:abstractNumId="84">
    <w:nsid w:val="68EBC550"/>
    <w:multiLevelType w:val="hybridMultilevel"/>
    <w:lvl w:ilvl="0">
      <w:lvlJc w:val="left"/>
      <w:lvlText w:val="(%1)"/>
      <w:numFmt w:val="lowerLetter"/>
      <w:start w:val="2"/>
    </w:lvl>
    <w:lvl w:ilvl="1">
      <w:lvlJc w:val="left"/>
      <w:lvlText w:val="(%2)"/>
      <w:numFmt w:val="lowerRoman"/>
      <w:start w:val="1"/>
    </w:lvl>
  </w:abstractNum>
  <w:abstractNum w:abstractNumId="85">
    <w:nsid w:val="2DF6D648"/>
    <w:multiLevelType w:val="hybridMultilevel"/>
    <w:lvl w:ilvl="0">
      <w:lvlJc w:val="left"/>
      <w:lvlText w:val="%1"/>
      <w:numFmt w:val="lowerRoman"/>
      <w:start w:val="1"/>
    </w:lvl>
    <w:lvl w:ilvl="1">
      <w:lvlJc w:val="left"/>
      <w:lvlText w:val="%2"/>
      <w:numFmt w:val="decimal"/>
      <w:start w:val="1"/>
    </w:lvl>
    <w:lvl w:ilvl="2">
      <w:lvlJc w:val="left"/>
      <w:lvlText w:val="(%3)"/>
      <w:numFmt w:val="decimal"/>
      <w:start w:val="3"/>
    </w:lvl>
  </w:abstractNum>
  <w:abstractNum w:abstractNumId="86">
    <w:nsid w:val="46B7D447"/>
    <w:multiLevelType w:val="hybridMultilevel"/>
    <w:lvl w:ilvl="0">
      <w:lvlJc w:val="left"/>
      <w:lvlText w:val="%1"/>
      <w:numFmt w:val="lowerRoman"/>
      <w:start w:val="1"/>
    </w:lvl>
    <w:lvl w:ilvl="1">
      <w:lvlJc w:val="left"/>
      <w:lvlText w:val="(%2)"/>
      <w:numFmt w:val="decimal"/>
      <w:start w:val="4"/>
    </w:lvl>
    <w:lvl w:ilvl="2">
      <w:lvlJc w:val="left"/>
      <w:lvlText w:val="%3"/>
      <w:numFmt w:val="decimal"/>
      <w:start w:val="1"/>
    </w:lvl>
  </w:abstractNum>
  <w:abstractNum w:abstractNumId="87">
    <w:nsid w:val="4A2AC315"/>
    <w:multiLevelType w:val="hybridMultilevel"/>
    <w:lvl w:ilvl="0">
      <w:lvlJc w:val="left"/>
      <w:lvlText w:val="(%1)"/>
      <w:numFmt w:val="lowerRoman"/>
      <w:start w:val="2"/>
    </w:lvl>
    <w:lvl w:ilvl="1">
      <w:lvlJc w:val="left"/>
      <w:lvlText w:val="(%2)"/>
      <w:numFmt w:val="decimal"/>
      <w:start w:val="1"/>
    </w:lvl>
    <w:lvl w:ilvl="2">
      <w:lvlJc w:val="left"/>
      <w:lvlText w:val="%3"/>
      <w:numFmt w:val="decimal"/>
      <w:start w:val="1"/>
    </w:lvl>
  </w:abstractNum>
  <w:abstractNum w:abstractNumId="88">
    <w:nsid w:val="39EE015C"/>
    <w:multiLevelType w:val="hybridMultilevel"/>
    <w:lvl w:ilvl="0">
      <w:lvlJc w:val="left"/>
      <w:lvlText w:val="%1"/>
      <w:numFmt w:val="lowerLetter"/>
      <w:start w:val="1"/>
    </w:lvl>
    <w:lvl w:ilvl="1">
      <w:lvlJc w:val="left"/>
      <w:lvlText w:val="(%2)"/>
      <w:numFmt w:val="lowerRoman"/>
      <w:start w:val="3"/>
    </w:lvl>
  </w:abstractNum>
  <w:abstractNum w:abstractNumId="89">
    <w:nsid w:val="57FC4FBB"/>
    <w:multiLevelType w:val="hybridMultilevel"/>
    <w:lvl w:ilvl="0">
      <w:lvlJc w:val="left"/>
      <w:lvlText w:val="(%1)"/>
      <w:numFmt w:val="lowerLetter"/>
      <w:start w:val="4"/>
    </w:lvl>
    <w:lvl w:ilvl="1">
      <w:lvlJc w:val="left"/>
      <w:lvlText w:val="%2"/>
      <w:numFmt w:val="lowerRoman"/>
      <w:start w:val="1"/>
    </w:lvl>
  </w:abstractNum>
  <w:abstractNum w:abstractNumId="90">
    <w:nsid w:val="CC1016F"/>
    <w:multiLevelType w:val="hybridMultilevel"/>
    <w:lvl w:ilvl="0">
      <w:lvlJc w:val="left"/>
      <w:lvlText w:val="%1."/>
      <w:numFmt w:val="decimal"/>
      <w:start w:val="1"/>
    </w:lvl>
    <w:lvl w:ilvl="1">
      <w:lvlJc w:val="left"/>
      <w:lvlText w:val="%2."/>
      <w:numFmt w:val="lowerLetter"/>
      <w:start w:val="1"/>
    </w:lvl>
  </w:abstractNum>
  <w:abstractNum w:abstractNumId="91">
    <w:nsid w:val="43F18422"/>
    <w:multiLevelType w:val="hybridMultilevel"/>
    <w:lvl w:ilvl="0">
      <w:lvlJc w:val="left"/>
      <w:lvlText w:val="%1."/>
      <w:numFmt w:val="decimal"/>
      <w:start w:val="3"/>
    </w:lvl>
  </w:abstractNum>
  <w:abstractNum w:abstractNumId="92">
    <w:nsid w:val="60EF0119"/>
    <w:multiLevelType w:val="hybridMultilevel"/>
    <w:lvl w:ilvl="0">
      <w:lvlJc w:val="left"/>
      <w:lvlText w:val="%1."/>
      <w:numFmt w:val="decimal"/>
      <w:start w:val="4"/>
    </w:lvl>
  </w:abstractNum>
  <w:abstractNum w:abstractNumId="93">
    <w:nsid w:val="26F324BA"/>
    <w:multiLevelType w:val="hybridMultilevel"/>
    <w:lvl w:ilvl="0">
      <w:lvlJc w:val="left"/>
      <w:lvlText w:val="%1."/>
      <w:numFmt w:val="decimal"/>
      <w:start w:val="1"/>
    </w:lvl>
    <w:lvl w:ilvl="1">
      <w:lvlJc w:val="left"/>
      <w:lvlText w:val="(%2)"/>
      <w:numFmt w:val="lowerLetter"/>
      <w:start w:val="1"/>
    </w:lvl>
  </w:abstractNum>
  <w:abstractNum w:abstractNumId="94">
    <w:nsid w:val="7F01579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36" Type="http://schemas.openxmlformats.org/officeDocument/2006/relationships/image" Target="media/image196.png"/><Relationship Id="rId237" Type="http://schemas.openxmlformats.org/officeDocument/2006/relationships/image" Target="media/image197.png"/><Relationship Id="rId256" Type="http://schemas.openxmlformats.org/officeDocument/2006/relationships/image" Target="media/image198.png"/><Relationship Id="rId257" Type="http://schemas.openxmlformats.org/officeDocument/2006/relationships/image" Target="media/image199.png"/><Relationship Id="rId262" Type="http://schemas.openxmlformats.org/officeDocument/2006/relationships/image" Target="media/image200.png"/><Relationship Id="rId263" Type="http://schemas.openxmlformats.org/officeDocument/2006/relationships/image" Target="media/image201.png"/><Relationship Id="rId264" Type="http://schemas.openxmlformats.org/officeDocument/2006/relationships/image" Target="media/image202.png"/><Relationship Id="rId265" Type="http://schemas.openxmlformats.org/officeDocument/2006/relationships/image" Target="media/image203.png"/><Relationship Id="rId266" Type="http://schemas.openxmlformats.org/officeDocument/2006/relationships/image" Target="media/image204.png"/><Relationship Id="rId267" Type="http://schemas.openxmlformats.org/officeDocument/2006/relationships/image" Target="media/image205.jpeg"/><Relationship Id="rId268" Type="http://schemas.openxmlformats.org/officeDocument/2006/relationships/image" Target="media/image206.png"/><Relationship Id="rId269" Type="http://schemas.openxmlformats.org/officeDocument/2006/relationships/image" Target="media/image207.png"/><Relationship Id="rId270" Type="http://schemas.openxmlformats.org/officeDocument/2006/relationships/image" Target="media/image208.png"/><Relationship Id="rId271" Type="http://schemas.openxmlformats.org/officeDocument/2006/relationships/image" Target="media/image209.png"/><Relationship Id="rId272" Type="http://schemas.openxmlformats.org/officeDocument/2006/relationships/image" Target="media/image210.png"/><Relationship Id="rId273" Type="http://schemas.openxmlformats.org/officeDocument/2006/relationships/image" Target="media/image211.png"/><Relationship Id="rId274" Type="http://schemas.openxmlformats.org/officeDocument/2006/relationships/image" Target="media/image212.png"/><Relationship Id="rId275" Type="http://schemas.openxmlformats.org/officeDocument/2006/relationships/image" Target="media/image213.png"/><Relationship Id="rId276" Type="http://schemas.openxmlformats.org/officeDocument/2006/relationships/image" Target="media/image214.png"/><Relationship Id="rId277" Type="http://schemas.openxmlformats.org/officeDocument/2006/relationships/image" Target="media/image215.png"/><Relationship Id="rId278" Type="http://schemas.openxmlformats.org/officeDocument/2006/relationships/image" Target="media/image216.png"/><Relationship Id="rId279" Type="http://schemas.openxmlformats.org/officeDocument/2006/relationships/image" Target="media/image217.png"/><Relationship Id="rId201" Type="http://schemas.openxmlformats.org/officeDocument/2006/relationships/hyperlink" Target="http://www.sec.gov/Archives/edgar/data/921582/000119312513409894/d613298dex31.htm" TargetMode="External"/><Relationship Id="rId202" Type="http://schemas.openxmlformats.org/officeDocument/2006/relationships/hyperlink" Target="http://www.sec.gov/Archives/edgar/data/921582/000119312513069594/d489869dex41.htm" TargetMode="External"/><Relationship Id="rId203" Type="http://schemas.openxmlformats.org/officeDocument/2006/relationships/hyperlink" Target="http://www.sec.gov/Archives/edgar/data/921582/000119312513069594/d489869dex42.htm" TargetMode="External"/><Relationship Id="rId204" Type="http://schemas.openxmlformats.org/officeDocument/2006/relationships/hyperlink" Target="http://www.sec.gov/Archives/edgar/data/921582/000119312513069594/d489869dex43.htm" TargetMode="External"/><Relationship Id="rId205" Type="http://schemas.openxmlformats.org/officeDocument/2006/relationships/hyperlink" Target="http://www.sec.gov/Archives/edgar/data/0000921582/000156459020005319/imax-ex44_95.htm" TargetMode="External"/><Relationship Id="rId206" Type="http://schemas.openxmlformats.org/officeDocument/2006/relationships/hyperlink" Target="http://www.sec.gov/Archives/edgar/data/921582/000119312516475999/d147602dex101.htm" TargetMode="External"/><Relationship Id="rId207" Type="http://schemas.openxmlformats.org/officeDocument/2006/relationships/hyperlink" Target="http://www.sec.gov/Archives/edgar/data/921582/000119312516615277/d198706dex101.htm" TargetMode="External"/><Relationship Id="rId208" Type="http://schemas.openxmlformats.org/officeDocument/2006/relationships/hyperlink" Target="http://www.sec.gov/Archives/edgar/data/0000921582/000119312520162205/d938821dex101.htm" TargetMode="External"/><Relationship Id="rId209" Type="http://schemas.openxmlformats.org/officeDocument/2006/relationships/hyperlink" Target="http://www.sec.gov/Archives/edgar/data/921582/000119312516652431/d228462dex1041.htm" TargetMode="External"/><Relationship Id="rId210" Type="http://schemas.openxmlformats.org/officeDocument/2006/relationships/hyperlink" Target="http://www.sec.gov/Archives/edgar/data/0000921582/000156459020005319/imax-ex104_93.htm" TargetMode="External"/><Relationship Id="rId211" Type="http://schemas.openxmlformats.org/officeDocument/2006/relationships/hyperlink" Target="http://www.sec.gov/Archives/edgar/data/0000921582/000156459020005319/imax-ex105_94.htm" TargetMode="External"/><Relationship Id="rId212" Type="http://schemas.openxmlformats.org/officeDocument/2006/relationships/hyperlink" Target="http://www.sec.gov/Archives/edgar/data/921582/000119312513069594/d489869dex102.htm" TargetMode="External"/><Relationship Id="rId215" Type="http://schemas.openxmlformats.org/officeDocument/2006/relationships/hyperlink" Target="http://www.sec.gov/Archives/edgar/data/921582/000119312513069594/d489869dex103.htm" TargetMode="External"/><Relationship Id="rId216" Type="http://schemas.openxmlformats.org/officeDocument/2006/relationships/hyperlink" Target="http://www.sec.gov/Archives/edgar/data/921582/000119312513069594/d489869dex104.htm" TargetMode="External"/><Relationship Id="rId217" Type="http://schemas.openxmlformats.org/officeDocument/2006/relationships/hyperlink" Target="http://www.sec.gov/Archives/edgar/data/921582/000119312512075878/d304280dex105.htm" TargetMode="External"/><Relationship Id="rId218" Type="http://schemas.openxmlformats.org/officeDocument/2006/relationships/hyperlink" Target="http://www.sec.gov/Archives/edgar/data/921582/000119312512075878/d304280dex106.htm" TargetMode="External"/><Relationship Id="rId219" Type="http://schemas.openxmlformats.org/officeDocument/2006/relationships/hyperlink" Target="http://www.sec.gov/Archives/edgar/data/921582/000119312514060866/d679676dex108.htm" TargetMode="External"/><Relationship Id="rId220" Type="http://schemas.openxmlformats.org/officeDocument/2006/relationships/hyperlink" Target="http://www.sec.gov/Archives/edgar/data/921582/000119312515054386/d876809dex109.htm" TargetMode="External"/><Relationship Id="rId221" Type="http://schemas.openxmlformats.org/officeDocument/2006/relationships/hyperlink" Target="http://www.sec.gov/Archives/edgar/data/921582/000119312516475999/d147602dex1010.htm" TargetMode="External"/><Relationship Id="rId222" Type="http://schemas.openxmlformats.org/officeDocument/2006/relationships/hyperlink" Target="http://www.sec.gov/Archives/edgar/data/921582/000119312514060866/d679676dex1011.htm" TargetMode="External"/><Relationship Id="rId223" Type="http://schemas.openxmlformats.org/officeDocument/2006/relationships/hyperlink" Target="http://www.sec.gov/Archives/edgar/data/921582/000119312513069594/d489869dex1010.htm" TargetMode="External"/><Relationship Id="rId224" Type="http://schemas.openxmlformats.org/officeDocument/2006/relationships/hyperlink" Target="http://www.sec.gov/Archives/edgar/data/921582/000119312513069594/d489869dex1011.htm" TargetMode="External"/><Relationship Id="rId225" Type="http://schemas.openxmlformats.org/officeDocument/2006/relationships/hyperlink" Target="http://www.sec.gov/Archives/edgar/data/921582/000119312512075878/d304280dex1012.htm" TargetMode="External"/><Relationship Id="rId226" Type="http://schemas.openxmlformats.org/officeDocument/2006/relationships/hyperlink" Target="http://www.sec.gov/Archives/edgar/data/921582/000119312512075878/d304280dex1013.htm" TargetMode="External"/><Relationship Id="rId227" Type="http://schemas.openxmlformats.org/officeDocument/2006/relationships/hyperlink" Target="http://www.sec.gov/Archives/edgar/data/921582/000119312514060866/d679676dex1016.htm" TargetMode="External"/><Relationship Id="rId228" Type="http://schemas.openxmlformats.org/officeDocument/2006/relationships/hyperlink" Target="http://www.sec.gov/Archives/edgar/data/921582/000119312515054386/d876809dex1017.htm" TargetMode="External"/><Relationship Id="rId229" Type="http://schemas.openxmlformats.org/officeDocument/2006/relationships/hyperlink" Target="http://www.sec.gov/Archives/edgar/data/921582/000119312516475999/d147602dex1018.htm" TargetMode="External"/><Relationship Id="rId230" Type="http://schemas.openxmlformats.org/officeDocument/2006/relationships/hyperlink" Target="http://www.sec.gov/Archives/edgar/data/921582/000119312512075878/d304280dex1017.htm" TargetMode="External"/><Relationship Id="rId231" Type="http://schemas.openxmlformats.org/officeDocument/2006/relationships/hyperlink" Target="http://www.sec.gov/Archives/edgar/data/921582/000119312514379779/d809168dex1012.htm" TargetMode="External"/><Relationship Id="rId232" Type="http://schemas.openxmlformats.org/officeDocument/2006/relationships/hyperlink" Target="http://www.sec.gov/Archives/edgar/data/921582/000119312516475999/d147602dex1021.htm" TargetMode="External"/><Relationship Id="rId233" Type="http://schemas.openxmlformats.org/officeDocument/2006/relationships/hyperlink" Target="http://www.sec.gov/Archives/edgar/data/921582/000119312517054210/d339843dex1024.htm" TargetMode="External"/><Relationship Id="rId234" Type="http://schemas.openxmlformats.org/officeDocument/2006/relationships/hyperlink" Target="http://www.sec.gov/Archives/edgar/data/0000921582/000156459020005319/imax-ex1026_97.htm" TargetMode="External"/><Relationship Id="rId235" Type="http://schemas.openxmlformats.org/officeDocument/2006/relationships/hyperlink" Target="http://www.sec.gov/Archives/edgar/data/921582/000119312516742556/d266227dex1043.htm" TargetMode="External"/><Relationship Id="rId238" Type="http://schemas.openxmlformats.org/officeDocument/2006/relationships/hyperlink" Target="http://www.sec.gov/Archives/edgar/data/921582/000119312518061184/d544249dex1026.htm" TargetMode="External"/><Relationship Id="rId239" Type="http://schemas.openxmlformats.org/officeDocument/2006/relationships/hyperlink" Target="http://www.sec.gov/Archives/edgar/data/921582/000119312519122037/d737894dex1040.htm" TargetMode="External"/><Relationship Id="rId240" Type="http://schemas.openxmlformats.org/officeDocument/2006/relationships/hyperlink" Target="http://www.sec.gov/Archives/edgar/data/921582/000119312517236677/d430934dex1042.htm" TargetMode="External"/><Relationship Id="rId241" Type="http://schemas.openxmlformats.org/officeDocument/2006/relationships/hyperlink" Target="http://www.sec.gov/Archives/edgar/data/921582/000119312517320771/d415485dex1043.htm" TargetMode="External"/><Relationship Id="rId242" Type="http://schemas.openxmlformats.org/officeDocument/2006/relationships/hyperlink" Target="http://www.sec.gov/Archives/edgar/data/921582/000119312517320771/d415485dex1044.htm" TargetMode="External"/><Relationship Id="rId243" Type="http://schemas.openxmlformats.org/officeDocument/2006/relationships/hyperlink" Target="http://www.sec.gov/Archives/edgar/data/921582/000119312518061184/d544249dex1030.htm" TargetMode="External"/><Relationship Id="rId244" Type="http://schemas.openxmlformats.org/officeDocument/2006/relationships/hyperlink" Target="http://www.sec.gov/Archives/edgar/data/0000921582/000156459020020056/imax-ex1047_99.htm" TargetMode="External"/><Relationship Id="rId245" Type="http://schemas.openxmlformats.org/officeDocument/2006/relationships/hyperlink" Target="http://www.sec.gov/Archives/edgar/data/921582/000119312516652431/d228462dex1040.htm" TargetMode="External"/><Relationship Id="rId246" Type="http://schemas.openxmlformats.org/officeDocument/2006/relationships/hyperlink" Target="http://www.sec.gov/Archives/edgar/data/921582/000156459019039072/imax-ex1041_102.htm" TargetMode="External"/><Relationship Id="rId247" Type="http://schemas.openxmlformats.org/officeDocument/2006/relationships/hyperlink" Target="http://www.sec.gov/Archives/edgar/data/921582/000156459019039072/imax-ex1042_103.htm" TargetMode="External"/><Relationship Id="rId248" Type="http://schemas.openxmlformats.org/officeDocument/2006/relationships/hyperlink" Target="http://www.sec.gov/Archives/edgar/data/0000921582/000156459020005319/imax-ex1037_91.htm" TargetMode="External"/><Relationship Id="rId249" Type="http://schemas.openxmlformats.org/officeDocument/2006/relationships/hyperlink" Target="http://www.sec.gov/Archives/edgar/data/0000921582/000156459020005319/imax-ex1038_92.htm" TargetMode="External"/><Relationship Id="rId250" Type="http://schemas.openxmlformats.org/officeDocument/2006/relationships/hyperlink" Target="http://www.sec.gov/Archives/edgar/data/0000921582/000156459020033940/imax-ex1048_47.htm" TargetMode="External"/><Relationship Id="rId251" Type="http://schemas.openxmlformats.org/officeDocument/2006/relationships/hyperlink" Target="http://www.sec.gov/Archives/edgar/data/0000921582/000156459020048749/imax-ex1052_48.htm" TargetMode="External"/><Relationship Id="rId252" Type="http://schemas.openxmlformats.org/officeDocument/2006/relationships/hyperlink" Target="http://www.sec.gov/Archives/edgar/data/921582/000119312514379779/d809168dex1045.htm" TargetMode="External"/><Relationship Id="rId253" Type="http://schemas.openxmlformats.org/officeDocument/2006/relationships/hyperlink" Target="http://www.sec.gov/Archives/edgar/data/921582/000119312514060866/d679676dex1043.htm" TargetMode="External"/><Relationship Id="rId254" Type="http://schemas.openxmlformats.org/officeDocument/2006/relationships/hyperlink" Target="http://www.sec.gov/Archives/edgar/data/921582/000119312515054386/d876809dex1035.htm" TargetMode="External"/><Relationship Id="rId255" Type="http://schemas.openxmlformats.org/officeDocument/2006/relationships/hyperlink" Target="http://www.sec.gov/Archives/edgar/data/921582/000119312518145892/d580549dex1037.htm" TargetMode="External"/><Relationship Id="rId258" Type="http://schemas.openxmlformats.org/officeDocument/2006/relationships/hyperlink" Target="http://www.sec.gov/Archives/edgar/data/921582/000119312518307664/d640235dex1040.htm" TargetMode="External"/><Relationship Id="rId259" Type="http://schemas.openxmlformats.org/officeDocument/2006/relationships/hyperlink" Target="http://www.sec.gov/Archives/edgar/data/921582/000119312518226023/d503863dex1038.htm" TargetMode="External"/><Relationship Id="rId260" Type="http://schemas.openxmlformats.org/officeDocument/2006/relationships/hyperlink" Target="http://www.sec.gov/Archives/edgar/data/0000921582/000119312520166667/d902368dex101.htm" TargetMode="External"/><Relationship Id="rId261" Type="http://schemas.openxmlformats.org/officeDocument/2006/relationships/hyperlink" Target="http://www.sec.gov/Archives/edgar/data/921582/000119312518226023/d503863dex103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2021-03-04T17:10:07Z</dcterms:created>
  <dcterms:modified xsi:type="dcterms:W3CDTF">2021-03-04T17:10:07Z</dcterms:modified>
</cp:coreProperties>
</file>