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marketforms-73291.xml.htm"/>
      <w:bookmarkStart w:id="1" w:name="ksmarketforms7329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Pamon Steve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IMAX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902 BROADWAY, 20TH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10010-6002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IMAX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IMAX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5"/>
        <w:gridCol w:w="906"/>
        <w:gridCol w:w="774"/>
        <w:gridCol w:w="601"/>
        <w:gridCol w:w="351"/>
        <w:gridCol w:w="895"/>
        <w:gridCol w:w="460"/>
        <w:gridCol w:w="717"/>
        <w:gridCol w:w="1173"/>
        <w:gridCol w:w="1005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 (opening balance)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32,125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3,390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35,515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29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05"/>
        <w:gridCol w:w="861"/>
        <w:gridCol w:w="891"/>
        <w:gridCol w:w="771"/>
        <w:gridCol w:w="591"/>
        <w:gridCol w:w="300"/>
        <w:gridCol w:w="666"/>
        <w:gridCol w:w="666"/>
        <w:gridCol w:w="906"/>
        <w:gridCol w:w="801"/>
        <w:gridCol w:w="846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9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33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3,390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3,390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3,390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3,390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3,390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conversion upon vesting of restricted share units into common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share unit is the economic equivalent of one common share of IMAX Corporation.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restricted share unit represents a contingent right to receive one common share of IMAX Corporation.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Mr. Pamon received a grant of restricted share units in connection with his membership on the IMAX Corporation Board of Directors.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restricted share units vest and convert to common shares on the date of grant, June 11,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Pursuant to Instruction 4(C)(iii), this response has been left blank.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Steve Pamon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23125" TargetMode="External"/><Relationship Id="rId5" Type="http://schemas.openxmlformats.org/officeDocument/2006/relationships/hyperlink" Target="http://www.sec.gov/cgi-bin/browse-edgar?action=getcompany&amp;CIK=000092158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693</Words>
  <Characters>3735</Characters>
  <CharactersWithSpaces>4346</CharactersWithSpaces>
  <Paragraphs>128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