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jc w:val="center"/>
        <w:ind w:left="3820" w:right="940" w:hanging="2872"/>
        <w:spacing w:after="0" w:line="256" w:lineRule="auto"/>
        <w:tabs>
          <w:tab w:leader="none" w:pos="11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jc w:val="center"/>
        <w:ind w:left="4360" w:right="940" w:hanging="3419"/>
        <w:spacing w:after="0" w:line="253" w:lineRule="auto"/>
        <w:tabs>
          <w:tab w:leader="none" w:pos="114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12" w:right="339" w:bottom="67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7" w:lineRule="exact"/>
        <w:rPr>
          <w:sz w:val="24"/>
          <w:szCs w:val="24"/>
          <w:color w:val="auto"/>
        </w:rPr>
      </w:pPr>
    </w:p>
    <w:p>
      <w:pPr>
        <w:ind w:left="20" w:right="820"/>
        <w:spacing w:after="0" w:line="282"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4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9"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4" w:lineRule="exact"/>
        <w:rPr>
          <w:sz w:val="24"/>
          <w:szCs w:val="24"/>
          <w:color w:val="auto"/>
        </w:rPr>
      </w:pPr>
    </w:p>
    <w:p>
      <w:pPr>
        <w:sectPr>
          <w:pgSz w:w="11900" w:h="16838" w:orient="portrait"/>
          <w:cols w:equalWidth="0" w:num="2">
            <w:col w:w="3020" w:space="720"/>
            <w:col w:w="7500"/>
          </w:cols>
          <w:pgMar w:left="320" w:top="1312" w:right="339" w:bottom="677"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1"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9"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200" w:lineRule="exact"/>
        <w:rPr>
          <w:sz w:val="24"/>
          <w:szCs w:val="24"/>
          <w:color w:val="auto"/>
        </w:rPr>
      </w:pPr>
    </w:p>
    <w:p>
      <w:pPr>
        <w:spacing w:after="0" w:line="389" w:lineRule="exact"/>
        <w:rPr>
          <w:sz w:val="24"/>
          <w:szCs w:val="24"/>
          <w:color w:val="auto"/>
        </w:rPr>
      </w:pPr>
    </w:p>
    <w:p>
      <w:pPr>
        <w:jc w:val="both"/>
        <w:ind w:firstLine="19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firstLine="19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right="20" w:firstLine="19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5" w:lineRule="exact"/>
        <w:rPr>
          <w:sz w:val="24"/>
          <w:szCs w:val="24"/>
          <w:color w:val="auto"/>
        </w:rPr>
      </w:pPr>
    </w:p>
    <w:p>
      <w:pPr>
        <w:ind w:firstLine="19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00" w:lineRule="exact"/>
        <w:rPr>
          <w:sz w:val="24"/>
          <w:szCs w:val="24"/>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2" w:right="339" w:bottom="677" w:gutter="0" w:footer="0" w:header="0"/>
          <w:type w:val="continuous"/>
        </w:sectPr>
      </w:pPr>
    </w:p>
    <w:p>
      <w:pPr>
        <w:spacing w:after="0" w:line="88" w:lineRule="exact"/>
        <w:rPr>
          <w:sz w:val="24"/>
          <w:szCs w:val="24"/>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53,742,048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2" w:right="339" w:bottom="67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2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0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120" w:type="dxa"/>
            <w:vAlign w:val="bottom"/>
            <w:gridSpan w:val="4"/>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FF"/>
            </w:tcBorders>
            <w:gridSpan w:val="10"/>
            <w:vMerge w:val="continue"/>
          </w:tcPr>
          <w:p>
            <w:pPr>
              <w:spacing w:after="0"/>
              <w:rPr>
                <w:sz w:val="15"/>
                <w:szCs w:val="15"/>
                <w:color w:val="auto"/>
              </w:rPr>
            </w:pPr>
          </w:p>
        </w:tc>
        <w:tc>
          <w:tcPr>
            <w:tcW w:w="712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20" w:type="dxa"/>
            <w:vAlign w:val="bottom"/>
            <w:tcBorders>
              <w:top w:val="single" w:sz="8" w:color="0000FF"/>
            </w:tcBorders>
            <w:gridSpan w:val="2"/>
          </w:tcPr>
          <w:p>
            <w:pPr>
              <w:spacing w:after="0"/>
              <w:rPr>
                <w:sz w:val="21"/>
                <w:szCs w:val="21"/>
                <w:color w:val="auto"/>
              </w:rPr>
            </w:pPr>
          </w:p>
        </w:tc>
        <w:tc>
          <w:tcPr>
            <w:tcW w:w="48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42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7"/>
          </w:tcPr>
          <w:p>
            <w:pPr>
              <w:spacing w:after="0"/>
              <w:rPr>
                <w:sz w:val="21"/>
                <w:szCs w:val="21"/>
                <w:color w:val="auto"/>
              </w:rPr>
            </w:pPr>
          </w:p>
        </w:tc>
        <w:tc>
          <w:tcPr>
            <w:tcW w:w="484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580" w:type="dxa"/>
            <w:vAlign w:val="bottom"/>
            <w:gridSpan w:val="11"/>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6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40" w:type="dxa"/>
            <w:vAlign w:val="bottom"/>
            <w:gridSpan w:val="6"/>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w:t>
            </w:r>
          </w:p>
        </w:tc>
        <w:tc>
          <w:tcPr>
            <w:tcW w:w="3100" w:type="dxa"/>
            <w:vAlign w:val="bottom"/>
            <w:gridSpan w:val="3"/>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2025 and 2024</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2025 and 2024</w:t>
            </w:r>
          </w:p>
        </w:tc>
        <w:tc>
          <w:tcPr>
            <w:tcW w:w="920" w:type="dxa"/>
            <w:vAlign w:val="bottom"/>
            <w:gridSpan w:val="2"/>
          </w:tcPr>
          <w:p>
            <w:pPr>
              <w:spacing w:after="0"/>
              <w:rPr>
                <w:sz w:val="21"/>
                <w:szCs w:val="21"/>
                <w:color w:val="auto"/>
              </w:rPr>
            </w:pPr>
          </w:p>
        </w:tc>
        <w:tc>
          <w:tcPr>
            <w:tcW w:w="21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months ended March 31, 2025 and 2024</w:t>
            </w:r>
          </w:p>
        </w:tc>
        <w:tc>
          <w:tcPr>
            <w:tcW w:w="236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280" w:type="dxa"/>
            <w:vAlign w:val="bottom"/>
            <w:gridSpan w:val="3"/>
          </w:tcPr>
          <w:p>
            <w:pPr>
              <w:spacing w:after="0"/>
              <w:rPr>
                <w:sz w:val="21"/>
                <w:szCs w:val="21"/>
                <w:color w:val="auto"/>
              </w:rPr>
            </w:pPr>
          </w:p>
        </w:tc>
        <w:tc>
          <w:tcPr>
            <w:tcW w:w="236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40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97,069</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848,304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464,015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452,183</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5"/>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53,742,048 issued and outstanding (December 31, 2024 — 52,946,200 issued and outstanding)</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299,503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299,466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383,613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377,535</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848,304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r>
      <w:tr>
        <w:trPr>
          <w:trHeight w:val="37"/>
        </w:trPr>
        <w:tc>
          <w:tcPr>
            <w:tcW w:w="7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7"/>
        </w:trPr>
        <w:tc>
          <w:tcPr>
            <w:tcW w:w="7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86,667</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79,123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33,491</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32,234</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53,176</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46,889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31,257</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(reversal) expense,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16,734</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1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53,406</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r>
      <w:tr>
        <w:trPr>
          <w:trHeight w:val="229"/>
        </w:trPr>
        <w:tc>
          <w:tcPr>
            <w:tcW w:w="7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r>
      <w:tr>
        <w:trPr>
          <w:trHeight w:val="37"/>
        </w:trPr>
        <w:tc>
          <w:tcPr>
            <w:tcW w:w="7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loss from cash flow hedging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before tax</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8,877</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2,933</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r>
      <w:tr>
        <w:trPr>
          <w:trHeight w:val="229"/>
        </w:trPr>
        <w:tc>
          <w:tcPr>
            <w:tcW w:w="7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r>
      <w:tr>
        <w:trPr>
          <w:trHeight w:val="37"/>
        </w:trPr>
        <w:tc>
          <w:tcPr>
            <w:tcW w:w="7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4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(used in) operating activities: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15,164</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(reversal) expense,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loss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w:t>
            </w:r>
          </w:p>
        </w:tc>
      </w:tr>
      <w:tr>
        <w:trPr>
          <w:trHeight w:val="25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(7,396)</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3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w:t>
            </w:r>
          </w:p>
        </w:tc>
      </w:tr>
      <w:tr>
        <w:trPr>
          <w:trHeight w:val="24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4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(17,384)</w:t>
            </w:r>
          </w:p>
        </w:tc>
      </w:tr>
      <w:tr>
        <w:trPr>
          <w:trHeight w:val="237"/>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6,951</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(10,968)</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r>
      <w:tr>
        <w:trPr>
          <w:trHeight w:val="23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4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(14,624)</w:t>
            </w:r>
          </w:p>
        </w:tc>
        <w:tc>
          <w:tcPr>
            <w:tcW w:w="14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(17,856)</w:t>
            </w:r>
          </w:p>
        </w:tc>
      </w:tr>
      <w:tr>
        <w:trPr>
          <w:trHeight w:val="2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r>
      <w:tr>
        <w:trPr>
          <w:trHeight w:val="23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4,234</w:t>
            </w:r>
          </w:p>
        </w:tc>
        <w:tc>
          <w:tcPr>
            <w:tcW w:w="14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22,794</w:t>
            </w:r>
          </w:p>
        </w:tc>
      </w:tr>
      <w:tr>
        <w:trPr>
          <w:trHeight w:val="23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increase in cash and cash equivalents during period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(3,523)</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4,817</w:t>
            </w:r>
          </w:p>
        </w:tc>
      </w:tr>
      <w:tr>
        <w:trPr>
          <w:trHeight w:val="23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r>
      <w:tr>
        <w:trPr>
          <w:trHeight w:val="26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97,069</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81,017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9"/>
        </w:trPr>
        <w:tc>
          <w:tcPr>
            <w:tcW w:w="8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9"/>
                <w:szCs w:val="19"/>
                <w:color w:val="auto"/>
              </w:rPr>
            </w:pPr>
          </w:p>
        </w:tc>
      </w:tr>
      <w:tr>
        <w:trPr>
          <w:trHeight w:val="37"/>
        </w:trPr>
        <w:tc>
          <w:tcPr>
            <w:tcW w:w="88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8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8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 withheld for employee tax obligations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393,597</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171,877</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statutory surplus reserve, IMAX China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surplus reserve deducted from retained earnings, IMAX China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(297,284)</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383,613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332,730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30" w:lineRule="exact"/>
        <w:rPr>
          <w:sz w:val="20"/>
          <w:szCs w:val="20"/>
          <w:color w:val="auto"/>
        </w:rPr>
      </w:pPr>
    </w:p>
    <w:p>
      <w:pPr>
        <w:jc w:val="both"/>
        <w:ind w:left="200" w:right="9380" w:hanging="192"/>
        <w:spacing w:after="0" w:line="534" w:lineRule="auto"/>
        <w:tabs>
          <w:tab w:leader="none" w:pos="18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b w:val="1"/>
          <w:bCs w:val="1"/>
          <w:i w:val="1"/>
          <w:iCs w:val="1"/>
          <w:color w:val="auto"/>
        </w:rPr>
        <w:t>Accounting Principles</w:t>
      </w:r>
    </w:p>
    <w:p>
      <w:pPr>
        <w:spacing w:after="0" w:line="1"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IMAX Corporation (together with its subsidiaries, unless the context requires otherwise, the “Company” or “IMAX”), prepares financial statements in accordance with United States Generally Accepted Accounting Principles (“U.S.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2024 was derived from the Company’s audited annual Consolidated Financial Statements in the Company’s 2024 Annual Report on Form 10-K (the “2024 Form 10-K”), but does not contain all of the footnote disclosures included in the annual financial statements. The interim results presented in the Company’s Condensed Consolidated Statements of Operations and Condensed Consolidated Statements of Cash Flows are not necessarily indicative of results for a full year.</w:t>
      </w:r>
    </w:p>
    <w:p>
      <w:pPr>
        <w:spacing w:after="0" w:line="21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2024 Form 10-K, which includes significant accounting policies adopted by the Company.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March 31, 2025 and December 31, 2024, total assets and liabilities of the Company’s consolidated VIEs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2024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203"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and Accounting Changes</w:t>
      </w:r>
    </w:p>
    <w:p>
      <w:pPr>
        <w:spacing w:after="0" w:line="252" w:lineRule="exact"/>
        <w:rPr>
          <w:rFonts w:ascii="Times New Roman" w:cs="Times New Roman" w:eastAsia="Times New Roman" w:hAnsi="Times New Roman"/>
          <w:sz w:val="18"/>
          <w:szCs w:val="18"/>
          <w:b w:val="1"/>
          <w:bCs w:val="1"/>
          <w:color w:val="auto"/>
        </w:rPr>
      </w:pPr>
    </w:p>
    <w:p>
      <w:pPr>
        <w:ind w:left="200" w:right="5600"/>
        <w:spacing w:after="0" w:line="5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Issued FASB Accounting Standard Codification Updates Not Yet Adopted </w:t>
      </w:r>
      <w:r>
        <w:rPr>
          <w:rFonts w:ascii="Times New Roman" w:cs="Times New Roman" w:eastAsia="Times New Roman" w:hAnsi="Times New Roman"/>
          <w:sz w:val="18"/>
          <w:szCs w:val="18"/>
          <w:i w:val="1"/>
          <w:iCs w:val="1"/>
          <w:color w:val="auto"/>
        </w:rPr>
        <w:t>Improvements to Income Tax Disclosures</w:t>
      </w:r>
    </w:p>
    <w:p>
      <w:pPr>
        <w:spacing w:after="0" w:line="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No.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to be paid disaggregated by jurisdiction. ASU 2023-09 is effective annual periods beginning on or after December 31, 2024. The Company is in the process of evaluating the impact of this ASU on its annual disclosures in its Consolidated Financial Statements.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 Update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fiscal years beginning after December 15, 2026 and interim periods thereafter with early adoption permitted. The Company is in the process of evaluating the impact of this ASU on its Consolidated Financial Statements.</w:t>
      </w:r>
    </w:p>
    <w:p>
      <w:pPr>
        <w:spacing w:after="0" w:line="21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2024 Form 10-K.</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macro-economic and industry risk factors. The write-off of any billed receivable balance requires the approval of management.</w:t>
      </w:r>
    </w:p>
    <w:p>
      <w:pPr>
        <w:spacing w:after="0" w:line="25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months ended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6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8"/>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60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Company’s allowance for current expected credit losses related to Accounts Receivable decreased by $0.1 million. The Company recorded $0.2 million in write-offs in the allowance for credit losses for the three months ended March 31, 2025.</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Company’s allowance for current expected credit losses related to Accounts Receivable decreased by less than $0.1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March 31, 2025 and December 31, 2024,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7"/>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30,003</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r>
      <w:tr>
        <w:trPr>
          <w:trHeight w:val="237"/>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100,472</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March 31, 2025 and December 31, 2024, the weighted-average remaining lease term and weighted-average interest rate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16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7"/>
        </w:trPr>
        <w:tc>
          <w:tcPr>
            <w:tcW w:w="77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March 31, 2025 and December 31, 2024. The amounts disclosed for each credit quality classification are determined on a theater-by-theater basis as per the origination year of the relationship, and include both billed and unbilled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March 31, 2025 and December 31, 2024. The amounts disclosed for each credit quality classification are determined on a theater-by-theater basis as per the origination year of the relationship, and include both billed and unbilled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71,522</w:t>
            </w:r>
          </w:p>
        </w:tc>
        <w:tc>
          <w:tcPr>
            <w:tcW w:w="0" w:type="dxa"/>
            <w:vAlign w:val="bottom"/>
          </w:tcPr>
          <w:p>
            <w:pPr>
              <w:spacing w:after="0"/>
              <w:rPr>
                <w:sz w:val="1"/>
                <w:szCs w:val="1"/>
                <w:color w:val="auto"/>
              </w:rPr>
            </w:pPr>
          </w:p>
        </w:tc>
      </w:tr>
      <w:tr>
        <w:trPr>
          <w:trHeight w:val="243"/>
        </w:trPr>
        <w:tc>
          <w:tcPr>
            <w:tcW w:w="3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43"/>
        </w:trPr>
        <w:tc>
          <w:tcPr>
            <w:tcW w:w="3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80" w:type="dxa"/>
            <w:vAlign w:val="bottom"/>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43"/>
        </w:trPr>
        <w:tc>
          <w:tcPr>
            <w:tcW w:w="3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243"/>
        </w:trPr>
        <w:tc>
          <w:tcPr>
            <w:tcW w:w="3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0" w:type="dxa"/>
            <w:vAlign w:val="bottom"/>
          </w:tcPr>
          <w:p>
            <w:pPr>
              <w:spacing w:after="0"/>
              <w:rPr>
                <w:sz w:val="14"/>
                <w:szCs w:val="14"/>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4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2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28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933"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933"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continues to accrue finance income as of March 31, 2025 and December 31, 2024. The amounts disclosed for each credit quality classification are determined on a theater-by-theater basis and include both billed and unbilled amounts.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8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1"/>
        </w:trPr>
        <w:tc>
          <w:tcPr>
            <w:tcW w:w="384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90+</w:t>
            </w:r>
          </w:p>
        </w:tc>
        <w:tc>
          <w:tcPr>
            <w:tcW w:w="1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60" w:type="dxa"/>
            <w:vAlign w:val="bottom"/>
          </w:tcPr>
          <w:p>
            <w:pPr>
              <w:spacing w:after="0"/>
              <w:rPr>
                <w:sz w:val="14"/>
                <w:szCs w:val="14"/>
                <w:color w:val="auto"/>
              </w:rPr>
            </w:pPr>
          </w:p>
        </w:tc>
      </w:tr>
      <w:tr>
        <w:trPr>
          <w:trHeight w:val="190"/>
        </w:trPr>
        <w:tc>
          <w:tcPr>
            <w:tcW w:w="3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Days</w:t>
            </w:r>
          </w:p>
        </w:tc>
        <w:tc>
          <w:tcPr>
            <w:tcW w:w="1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23,513</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53,502</w:t>
            </w:r>
          </w:p>
        </w:tc>
      </w:tr>
      <w:tr>
        <w:trPr>
          <w:trHeight w:val="27"/>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77,015</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6"/>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58"/>
        </w:trPr>
        <w:tc>
          <w:tcPr>
            <w:tcW w:w="3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20" w:type="dxa"/>
            <w:vAlign w:val="bottom"/>
          </w:tcPr>
          <w:p>
            <w:pPr>
              <w:jc w:val="right"/>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30-89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76"/>
              <w:spacing w:after="0" w:line="158" w:lineRule="exact"/>
              <w:rPr>
                <w:sz w:val="20"/>
                <w:szCs w:val="20"/>
                <w:color w:val="auto"/>
              </w:rPr>
            </w:pPr>
            <w:r>
              <w:rPr>
                <w:rFonts w:ascii="Times New Roman" w:cs="Times New Roman" w:eastAsia="Times New Roman" w:hAnsi="Times New Roman"/>
                <w:sz w:val="14"/>
                <w:szCs w:val="14"/>
                <w:b w:val="1"/>
                <w:bCs w:val="1"/>
                <w:color w:val="auto"/>
              </w:rPr>
              <w:t>90+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38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3"/>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23,795</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52,602</w:t>
            </w:r>
          </w:p>
        </w:tc>
      </w:tr>
      <w:tr>
        <w:trPr>
          <w:trHeight w:val="27"/>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76,397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were on nonaccrual status as of March 31, 2025 and 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did not recognize Finance Income related to the net investment in leases on nonaccrual status. For the three months ended March 31, 2025, the Company recognized less than $0.1 million (2024 — $0.4 million) in Finance Income related to the financed sales receivables in nonaccrual status.</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months ended March 31, 2025 and 2024:</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0"/>
        </w:trPr>
        <w:tc>
          <w:tcPr>
            <w:tcW w:w="7960" w:type="dxa"/>
            <w:vAlign w:val="bottom"/>
          </w:tcPr>
          <w:p>
            <w:pPr>
              <w:spacing w:after="0"/>
              <w:rPr>
                <w:sz w:val="19"/>
                <w:szCs w:val="19"/>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79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1"/>
        </w:trPr>
        <w:tc>
          <w:tcPr>
            <w:tcW w:w="7960" w:type="dxa"/>
            <w:vAlign w:val="bottom"/>
          </w:tcPr>
          <w:p>
            <w:pPr>
              <w:spacing w:after="0"/>
              <w:rPr>
                <w:sz w:val="14"/>
                <w:szCs w:val="14"/>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90"/>
        </w:trPr>
        <w:tc>
          <w:tcPr>
            <w:tcW w:w="7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50"/>
        </w:trPr>
        <w:tc>
          <w:tcPr>
            <w:tcW w:w="7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0"/>
        </w:trPr>
        <w:tc>
          <w:tcPr>
            <w:tcW w:w="7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7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8"/>
        </w:trPr>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380" w:type="dxa"/>
            <w:vAlign w:val="bottom"/>
          </w:tcPr>
          <w:p>
            <w:pPr>
              <w:jc w:val="right"/>
              <w:ind w:right="294"/>
              <w:spacing w:after="0" w:line="158" w:lineRule="exact"/>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0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7"/>
        </w:trPr>
        <w:tc>
          <w:tcPr>
            <w:tcW w:w="7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082"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8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Company’s allowance for current expected credit losses related to its net investment in leases increased by less than $0.1 million (2024 — decreased by less than $0.1 million), and financed sale receivables decreased by $0.2 million (2024 — decreased by less than $0.1 million)</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summarizes the activity in the Allowance for Credit Losses related to Variable Consideration Receivables for the three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r>
      <w:tr>
        <w:trPr>
          <w:trHeight w:val="229"/>
        </w:trPr>
        <w:tc>
          <w:tcPr>
            <w:tcW w:w="7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gridSpan w:val="3"/>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9"/>
                <w:szCs w:val="19"/>
                <w:color w:val="auto"/>
              </w:rPr>
            </w:pPr>
          </w:p>
        </w:tc>
      </w:tr>
      <w:tr>
        <w:trPr>
          <w:trHeight w:val="37"/>
        </w:trPr>
        <w:tc>
          <w:tcPr>
            <w:tcW w:w="79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r>
      <w:tr>
        <w:trPr>
          <w:trHeight w:val="37"/>
        </w:trPr>
        <w:tc>
          <w:tcPr>
            <w:tcW w:w="79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25"/>
        </w:trPr>
        <w:tc>
          <w:tcPr>
            <w:tcW w:w="7960" w:type="dxa"/>
            <w:vAlign w:val="bottom"/>
          </w:tcPr>
          <w:p>
            <w:pPr>
              <w:spacing w:after="0"/>
              <w:rPr>
                <w:sz w:val="19"/>
                <w:szCs w:val="19"/>
                <w:color w:val="auto"/>
              </w:rPr>
            </w:pP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00" w:type="dxa"/>
            <w:vAlign w:val="bottom"/>
          </w:tcPr>
          <w:p>
            <w:pPr>
              <w:spacing w:after="0"/>
              <w:rPr>
                <w:sz w:val="19"/>
                <w:szCs w:val="19"/>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00" w:type="dxa"/>
            <w:vAlign w:val="bottom"/>
          </w:tcPr>
          <w:p>
            <w:pPr>
              <w:spacing w:after="0"/>
              <w:rPr>
                <w:sz w:val="16"/>
                <w:szCs w:val="16"/>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
        </w:trPr>
        <w:tc>
          <w:tcPr>
            <w:tcW w:w="7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Company’s allowance for current expected credit losses related to Variable Consideration Receivables decreased by less than $0.1 million (2024 — increased by less than $0.1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Lessee</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as incurred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21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10"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components of lease expense recorded within Selling, General and Administrative Expenses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three months ended March 31, 2025 and 2024, supplemental cash and non-cash information related to leases was as follows:</w:t>
      </w:r>
    </w:p>
    <w:p>
      <w:pPr>
        <w:spacing w:after="0" w:line="30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March 31, 2025 and December 31, 2024, supplemental balance sheet information related to leases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3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33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6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Balance Sheet Location</w:t>
            </w:r>
          </w:p>
        </w:tc>
        <w:tc>
          <w:tcPr>
            <w:tcW w:w="2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r>
      <w:tr>
        <w:trPr>
          <w:trHeight w:val="27"/>
        </w:trPr>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03"/>
        </w:trPr>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4640" w:type="dxa"/>
            <w:vAlign w:val="bottom"/>
            <w:gridSpan w:val="3"/>
          </w:tcPr>
          <w:p>
            <w:pPr>
              <w:ind w:left="680"/>
              <w:spacing w:after="0" w:line="202" w:lineRule="exact"/>
              <w:rPr>
                <w:sz w:val="20"/>
                <w:szCs w:val="20"/>
                <w:color w:val="auto"/>
              </w:rPr>
            </w:pPr>
            <w:r>
              <w:rPr>
                <w:rFonts w:ascii="Times New Roman" w:cs="Times New Roman" w:eastAsia="Times New Roman" w:hAnsi="Times New Roman"/>
                <w:sz w:val="18"/>
                <w:szCs w:val="18"/>
                <w:color w:val="auto"/>
              </w:rPr>
              <w:t>Balance Sheet Location</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3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43"/>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7"/>
        </w:trPr>
        <w:tc>
          <w:tcPr>
            <w:tcW w:w="3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March 31, 2025 and December 31, 2024, the weighted-average remaining lease term and weighted-average interest rate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0"/>
        </w:trPr>
        <w:tc>
          <w:tcPr>
            <w:tcW w:w="7740" w:type="dxa"/>
            <w:vAlign w:val="bottom"/>
          </w:tcPr>
          <w:p>
            <w:pPr>
              <w:spacing w:after="0"/>
              <w:rPr>
                <w:sz w:val="19"/>
                <w:szCs w:val="19"/>
                <w:color w:val="auto"/>
              </w:rPr>
            </w:pPr>
          </w:p>
        </w:tc>
        <w:tc>
          <w:tcPr>
            <w:tcW w:w="16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567"/>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March 31, 2025, the maturities of the Company’s operating lease liabilities are as follows: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774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(nine months remaining)</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77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7"/>
        </w:trPr>
        <w:tc>
          <w:tcPr>
            <w:tcW w:w="77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2024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4" w:lineRule="exact"/>
        <w:rPr>
          <w:sz w:val="20"/>
          <w:szCs w:val="20"/>
          <w:color w:val="auto"/>
        </w:rPr>
      </w:pPr>
    </w:p>
    <w:p>
      <w:pPr>
        <w:jc w:val="both"/>
        <w:ind w:right="20" w:firstLine="194"/>
        <w:spacing w:after="0" w:line="278"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remainder of 2025, next four years and thereafter following the March 31, 2025 balance sheet date:</w:t>
      </w:r>
    </w:p>
    <w:tbl>
      <w:tblPr>
        <w:tblLayout w:type="fixed"/>
        <w:tblInd w:w="0" w:type="dxa"/>
        <w:tblCellMar>
          <w:top w:w="0" w:type="dxa"/>
          <w:left w:w="0" w:type="dxa"/>
          <w:bottom w:w="0" w:type="dxa"/>
          <w:right w:w="0" w:type="dxa"/>
        </w:tblCellMar>
      </w:tblPr>
      <w:tr>
        <w:trPr>
          <w:trHeight w:val="176"/>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Joint Revenue Sharing</w:t>
            </w: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Arrangements</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(nine months remaining)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and December 31, 2024, Inventories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8"/>
        </w:trPr>
        <w:tc>
          <w:tcPr>
            <w:tcW w:w="7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Inventories included finished goods of $1.1 million (December 31, 2024 — $1.8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write-downs of $0.1 million, and less than $0.1 million, in Costs and Expenses Applicable to Revenues ― Technology Sales.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6"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and December 31, 2024, Revolving Credit Facility Borrowings, Net includes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Company is a party to a Sixth Amended and Restated Credit Agreement, dated as of March 25, 2022 (the “Credit Agreement”), that provides for a credit facility (the “Credit Facility”) maturing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0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borrowing capacity of $300.0 million, and contains an uncommitted accordion feature allowing the Company to further increase its borrowing capacity by the greater of $140.0 million, for a total of $440.0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210"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The Credit Agreement requires that the Company maintain a maximum Senior Secured Net Leverage Ratio (as defined in the Credit Agreement) of no greater than 3.25:1.00, on the last day of each fiscal quarter. The Company was in compliance with this requirement as of March 31, 2025 as the Senior Secured Net Leverage Ratio was 0.05:1.00.</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borrowings under the Credit Facility were $50.0 million (December 31, 2024 — $37.0 million) and bore interest at Term SOFR (as defined in the Credit Agreement), plus a margin of 1.75% per annum based on the Company’s total leverage ratio. The effective interest rate for the three months ended March 31, 2025 was 6.18% (2024 — 6.93%).</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letters of credit or advance payment guarantees outstanding under the Credit Facility. As of March 31, 2025, the amount available for future borrowings under the Credit Facility was $250.0 million (December 31, 2024 — $263.0 million).</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March 31, 2025, the net unrealized loss on the Company’s outstanding foreign currency forward contracts was $1.4 million, representing the amount by which the notional value of these forward contracts exceeded their fair value (December 31, 2024 — net unrealized loss of $2.0 million). As of March 31, 2025, the notional value of the Company’s outstanding foreign currency forward contracts was $53.8 million (December 31, 2024 — $48.4 million).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there were no borrowings outstanding under the Bank of China Facility (as defined and described in Note 13 to the Company’s audited Consolidated Financial Statements in its 2024 Form 10-K) and outstanding letters of guarantee were RMB 0.2 million (less than $0.1 million).</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the amount available for future borrowings under the Bank of China Facility was RMB 190.0 million ($26.5 million) and the amount available for letters of guarantee was RMB 9.8 million ($1.4 million). The amount available for future borrowings under the Bank of China Facility is not subject to a standby fee. The effective interest rate for the three months ended March 31, 2025 was 0% (2024 — 0%). There were no amounts drawn under the Bank of China Facility during the three months ended March 31, 2025. The Bank of China Facility has been renewed to March 20, 2026.</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no borrowings were outstanding under the HSBC China Facility (as defined and described in Note 13 to the Company’s audited Consolidated Financial Statements in its 2024 Form 10-K). As of March 31, 2025, and December 31, 2024 the amount available for future borrowings under the HSBC China Facility was RMB 200.0 million ($27.9 million). The effective interest rate for the three months ended March 31, 2025 was 0% (December 2024 — 0%).</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NBC Facility has been renewed to September 20, 2025. The Company did not have any letters of credit or advance payment guarantees outstanding as of March 31, 2025 and December 31, 2024 under the NBC Facility (as defined and described in Note 13 to the Company’s audited Consolidated Financial Statements in its 2024 Form 10-K).</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March 31, 2025 and December 31, 2024, Convertible Notes and Other Borrowings, Net included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3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3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228,512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228,136</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3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4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the Federal Economic Development Loan (as defined and described in Note 13 to the Company’s audited Consolidated Financial Statements in its 2024 Form 10-K) had a carrying value of $1.6 million, net of unaccreted interest benefit and is recorded within Convertible Notes and Other Borrowings, Net on the Company’s Condensed Consolidated Balance Sheets.</w:t>
      </w:r>
    </w:p>
    <w:p>
      <w:pPr>
        <w:spacing w:after="0" w:line="199" w:lineRule="exact"/>
        <w:rPr>
          <w:sz w:val="20"/>
          <w:szCs w:val="20"/>
          <w:color w:val="auto"/>
        </w:rPr>
      </w:pPr>
    </w:p>
    <w:p>
      <w:pPr>
        <w:ind w:left="200" w:right="7520" w:hanging="192"/>
        <w:spacing w:after="0" w:line="534" w:lineRule="auto"/>
        <w:tabs>
          <w:tab w:leader="none" w:pos="18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21" w:lineRule="exact"/>
        <w:rPr>
          <w:sz w:val="20"/>
          <w:szCs w:val="20"/>
          <w:color w:val="auto"/>
        </w:rPr>
      </w:pPr>
    </w:p>
    <w:p>
      <w:pPr>
        <w:jc w:val="both"/>
        <w:ind w:firstLine="202"/>
        <w:spacing w:after="0" w:line="253" w:lineRule="auto"/>
        <w:tabs>
          <w:tab w:leader="none" w:pos="4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October 24, 2024, the Bombay High Court announced the dismissal of the Company’s application, and the Court issued a written order of dismissal on November 14, 2024. On December 13, 2024, the Company filed an appeal of this order, and the Company fully intends to continue pursuing its rights and seeking to enforce the arbitration award.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No amounts have been recognized in connection with this matter.</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on the Condensed Consolidated Balance Sheets, was $0.1 million as of March 31, 2025 and December 31, 2024,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March 31, 2025 and December 31, 2024, with respect to this indemnity.</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6"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215" w:lineRule="exact"/>
        <w:rPr>
          <w:sz w:val="20"/>
          <w:szCs w:val="20"/>
          <w:color w:val="auto"/>
        </w:rPr>
      </w:pPr>
    </w:p>
    <w:p>
      <w:pPr>
        <w:ind w:left="200" w:right="4920" w:hanging="192"/>
        <w:spacing w:after="0" w:line="534" w:lineRule="auto"/>
        <w:tabs>
          <w:tab w:leader="none" w:pos="18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the three months ended March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r>
      <w:tr>
        <w:trPr>
          <w:trHeight w:val="37"/>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1"/>
        </w:trPr>
        <w:tc>
          <w:tcPr>
            <w:tcW w:w="4600" w:type="dxa"/>
            <w:vAlign w:val="bottom"/>
          </w:tcPr>
          <w:p>
            <w:pPr>
              <w:spacing w:after="0"/>
              <w:rPr>
                <w:sz w:val="14"/>
                <w:szCs w:val="14"/>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7"/>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7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6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40" w:type="dxa"/>
            <w:vAlign w:val="bottom"/>
          </w:tcPr>
          <w:p>
            <w:pPr>
              <w:spacing w:after="0"/>
              <w:rPr>
                <w:sz w:val="22"/>
                <w:szCs w:val="22"/>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187</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60" w:right="140" w:hanging="334"/>
        <w:spacing w:after="0" w:line="262" w:lineRule="auto"/>
        <w:tabs>
          <w:tab w:leader="none" w:pos="35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4"/>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4" w:lineRule="exact"/>
        <w:rPr>
          <w:rFonts w:ascii="Times New Roman" w:cs="Times New Roman" w:eastAsia="Times New Roman" w:hAnsi="Times New Roman"/>
          <w:sz w:val="14"/>
          <w:szCs w:val="14"/>
          <w:i w:val="1"/>
          <w:iCs w:val="1"/>
          <w:color w:val="auto"/>
        </w:rPr>
      </w:pPr>
    </w:p>
    <w:p>
      <w:pPr>
        <w:ind w:left="360" w:right="80" w:hanging="334"/>
        <w:spacing w:after="0" w:line="272" w:lineRule="auto"/>
        <w:tabs>
          <w:tab w:leader="none" w:pos="35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Included in Selling, General and Administrative Expenses for the three months ended March 31, 2025 are foreign currency net loss of $0.4 million (2024</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 net loss of $0.3 million), resulting from changes in exchange rates related to foreign currency denominated monetary assets and liabilities. (Refer to “Financial Instruments — </w:t>
      </w:r>
      <w:r>
        <w:rPr>
          <w:rFonts w:ascii="Times New Roman" w:cs="Times New Roman" w:eastAsia="Times New Roman" w:hAnsi="Times New Roman"/>
          <w:sz w:val="18"/>
          <w:szCs w:val="18"/>
          <w:i w:val="1"/>
          <w:iCs w:val="1"/>
          <w:color w:val="auto"/>
        </w:rPr>
        <w:t>Foreign Exchange Risk Management</w:t>
      </w:r>
      <w:r>
        <w:rPr>
          <w:rFonts w:ascii="Times New Roman" w:cs="Times New Roman" w:eastAsia="Times New Roman" w:hAnsi="Times New Roman"/>
          <w:sz w:val="18"/>
          <w:szCs w:val="18"/>
          <w:color w:val="auto"/>
        </w:rPr>
        <w:t>” in Note 15 for additional information.)</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4"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accounting policy for the Company’s JRSAs is disclosed in Note 2 of the Company’s audited Consolidated Financial Statements in its 2024 Form 10-K.</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JRSAs are recorded within Revenues — Technology Sales (for hybrid JRSAs) and Revenues — Technology Rentals (for traditional JRSAs). For the three months ended March 31, 2025, such revenues totaled $19.2 million (2024 — $19.3 million).</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2024 Form 10-K.</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Revenue attributable to transactions arising between the Company and its customers under IMAX Film Remastering and distribution arrangements are included in Revenues – Image Enhancement and Maintenance Services. For the three months ended March 31, 2025, such revenues totaled $31.8 million (2024 — $29.7 million). (Refer to “Revenue from Contracts with Customers — </w:t>
      </w:r>
      <w:r>
        <w:rPr>
          <w:rFonts w:ascii="Times New Roman" w:cs="Times New Roman" w:eastAsia="Times New Roman" w:hAnsi="Times New Roman"/>
          <w:sz w:val="18"/>
          <w:szCs w:val="18"/>
          <w:i w:val="1"/>
          <w:iCs w:val="1"/>
          <w:color w:val="auto"/>
        </w:rPr>
        <w:t>Disaggregated Information About Revenue</w:t>
      </w:r>
      <w:r>
        <w:rPr>
          <w:rFonts w:ascii="Times New Roman" w:cs="Times New Roman" w:eastAsia="Times New Roman" w:hAnsi="Times New Roman"/>
          <w:sz w:val="18"/>
          <w:szCs w:val="18"/>
          <w:color w:val="auto"/>
        </w:rPr>
        <w:t>” in Note 12 for a disaggregated presentation of the Company’s revenues.)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accounting policies relating to co-produced film arrangements are disclosed in Notes 2 and 3 of the Company’s audited Consolidated Financial Statements in its 2024 Form 10-K.</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is party to one co-produced film arrangement, which represented the VIE total assets balance of $1.6 million and liabilities balance of $0.2 million, and four other co-produced film arrangements, the terms of which are similar.</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 expense of $0.1 million (2024 — $0.1 million) attributable to transactions between the Company and other parties involved in the production of the films has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accruals related to:</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JRSAs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8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4 for supplemental disclosure of non-cash leasing activities.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an income tax expense of $7.3 million (2024 — income tax expense of $5.2 million). The Company’s effective tax rate of 47.2% for the three months ended March 31, 2025 reflects the geographic allocation of income earned in taxing jurisdictions and also reflects an increase in the valuation allowance, withholding taxes and a tax benefit related to share-based compensation. The Company’s effective tax rate of 48.8% for the three months ended March 31, 2024 reflects the geographic allocation of income earned in taxing jurisdictions and also reflects an increase in the valuation allowance, withholding taxes and a tax expense related to share-based compensation.</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Condensed Consolidated Balance Sheets included net deferred income tax assets of $14.4 million (December 31, 2024 — $14.5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Condensed Consolidated Balance Sheets also included deferred tax liabilities of $12.5 million (December 31, 2024 —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share-based compensation expense totaled $5.2 million (2024 — $4.7 million)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 Units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Company’s share-based compensation expense included restricted share units to non-employees of less than $0.1 million that were granted and have not yet vested (2024 — less than $0.1 million, which vested immediately upon granting).</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for the three months ended March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4"/>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90"/>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20" w:type="dxa"/>
            <w:vAlign w:val="bottom"/>
          </w:tcPr>
          <w:p>
            <w:pPr>
              <w:spacing w:after="0"/>
              <w:rPr>
                <w:sz w:val="16"/>
                <w:szCs w:val="16"/>
                <w:color w:val="auto"/>
              </w:rPr>
            </w:pPr>
          </w:p>
        </w:tc>
      </w:tr>
      <w:tr>
        <w:trPr>
          <w:trHeight w:val="37"/>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6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4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(470,582)</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6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1,954,625</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2,722,308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2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1,954,625</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2,722,308</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Corporation Second Amended and Restated Long-Term Incentive Plan (as may be amended, “IMAX LTIP”)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4"/>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90"/>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7"/>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6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497,692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846,677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(667,768)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4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7"/>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1,289,627</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1,508,176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these targets are assessed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respectively.</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three months ended March 31, 2025 and 2024 includes adjustments reflecting management’s estimate of the number of Adjusted EBITDA PSUs expected to vest.</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three months ended March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4"/>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7"/>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6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7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551,084</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578,855</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7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7"/>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1,182,463</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1,106,761</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360" w:right="240" w:hanging="334"/>
        <w:spacing w:after="0" w:line="305" w:lineRule="auto"/>
        <w:tabs>
          <w:tab w:leader="none" w:pos="35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March 31, 2025, the balance of shares granted includes 176,751 additional shares, at a weighted average grant date fair value per share of $19.53, as PSUs granted in 2022 with Adjusted EBITDA targets vested at 175% and TSR targets vested at 123.5%, which reflects actual performance versus established targets.</w:t>
      </w:r>
    </w:p>
    <w:p>
      <w:pPr>
        <w:spacing w:after="0" w:line="299"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the maximum number of common shares that may be issued with respect to PSUs outstanding was 1,983,624, assuming full achievement of the Adjusted EBITDA and TSR targets.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of $400.0 million. As of March 31, 2025, the Company had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repurchase any common shares. During the three months ended March 31, 2024, the Company repurchased 1,158,724 common shares at an average price of $13.99 per share, for a total of $16.2 million, excluding commissions. The repurchases for the three months ended March 31, 2024 excludes repurchases of 108,393 shares for a total of $1.6 million with trade dates in December 2023. During the three months ended March 31, 2025 and 2024, there were no shares purchased in the administration of employee share based plans.</w:t>
      </w:r>
    </w:p>
    <w:p>
      <w:pPr>
        <w:spacing w:after="0" w:line="207"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IMAX China’s Board of Directors,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During the three months ended March 31, 2025 and 2024, IMAX China did not repurchase any of its common shares.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30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230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calculation of diluted weighted average shares outstanding excludes 971,374 shares (2024 — 3,824,411 shares) that are issuable upon the vesting or exercise of share-based compensation including: (i) nil RSUs (2024 — 729,150 RSUs), (ii) 128,333 PSUs (2024 — 372,953 PSUs) and (iii) 843,041 stock options (2024 — 2,722,308 stock options), as the effect would be anti-dilutive.</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months ended March 31, 2025 and 2024 also excludes any shares potentially issuable upon the conversion of the Convertible Notes as the average market price of the Company’s common shares during the period of time they were outstanding was less than the conversion price of the Convertible Notes.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w:t>
      </w:r>
    </w:p>
    <w:p>
      <w:pPr>
        <w:sectPr>
          <w:pgSz w:w="11900" w:h="16838" w:orient="portrait"/>
          <w:cols w:equalWidth="0" w:num="1">
            <w:col w:w="11240"/>
          </w:cols>
          <w:pgMar w:left="320" w:top="3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before the declaration or payment of dividends to equity holders. All statutory reserves are created for specific purposes.</w:t>
      </w:r>
    </w:p>
    <w:p>
      <w:pPr>
        <w:spacing w:after="0" w:line="252"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The statutory surplus reserve of RMB 37.0 million ($5.8 million) has reached 50% of the Company’s PRC subsidiaries’ registered capital, and as such, no further contributions to the reserve are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months ended March 31, 2025 and 2024:</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5"/>
                <w:szCs w:val="15"/>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40" w:type="dxa"/>
            <w:vAlign w:val="bottom"/>
          </w:tcPr>
          <w:p>
            <w:pPr>
              <w:spacing w:after="0"/>
              <w:rPr>
                <w:sz w:val="21"/>
                <w:szCs w:val="21"/>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84,842</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w:t>
            </w:r>
          </w:p>
        </w:tc>
        <w:tc>
          <w:tcPr>
            <w:tcW w:w="140" w:type="dxa"/>
            <w:vAlign w:val="bottom"/>
          </w:tcPr>
          <w:p>
            <w:pPr>
              <w:spacing w:after="0"/>
              <w:rPr>
                <w:sz w:val="21"/>
                <w:szCs w:val="21"/>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0" w:type="dxa"/>
            <w:vAlign w:val="bottom"/>
          </w:tcPr>
          <w:p>
            <w:pPr>
              <w:spacing w:after="0"/>
              <w:rPr>
                <w:sz w:val="1"/>
                <w:szCs w:val="1"/>
                <w:color w:val="auto"/>
              </w:rPr>
            </w:pP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50,348</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revenues earned from Technology Sales included variable consideration of $3.2 million (2024 — $1.7 million).</w:t>
      </w:r>
    </w:p>
    <w:p>
      <w:pPr>
        <w:sectPr>
          <w:pgSz w:w="11900" w:h="16838" w:orient="portrait"/>
          <w:cols w:equalWidth="0" w:num="1">
            <w:col w:w="11240"/>
          </w:cols>
          <w:pgMar w:left="320" w:top="3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revenues earned from leasing arrangements totaled $19.4 million (2024 — $19.3 million), including $19.3 million in Revenues ― Technology Rentals (2024 — $18.6 million), and less than $0.1 million in Revenues ― Technology Sales (2024 — $0.7 million).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March 31, 2025, $24.3 million of consideration has been deferred in relation to outstanding maintenance services to be provided on existing maintenance contracts (December 31, 2024 — $26.5 million).</w:t>
      </w:r>
    </w:p>
    <w:p>
      <w:pPr>
        <w:spacing w:after="0" w:line="21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$9.0 million of revenue was recognized from the $52.7 million balance of deferred revenue as of December 31, 2024. During the three months ended March 31, 2024, $12.1 million of revenue was recognized from the $67.1 million balance of deferred revenue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is its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of the 2024 Form 10-K. Intercompany profit or loss is not included in the evaluation of performance and allocation of resources.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March 31,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20"/>
                <w:szCs w:val="20"/>
                <w:color w:val="auto"/>
              </w:rPr>
            </w:pPr>
          </w:p>
        </w:tc>
      </w:tr>
      <w:tr>
        <w:trPr>
          <w:trHeight w:val="18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22,099</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84,842</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45,683</w:t>
            </w: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85" w:lineRule="auto"/>
        <w:tabs>
          <w:tab w:leader="none" w:pos="35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represented 15% of total Revenues for the three months ended March 31, 2025 (2024 — 10%). No single customer comprised more than 10% of the Company’s total Accounts Receivable as of March 31, 2025 or December 31, 2024.</w:t>
      </w: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is made available to the CODM as part of the Company’s annual and quarterly financial reporting requirements in accordance with U.S. GAAP: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60" w:type="dxa"/>
            <w:vAlign w:val="bottom"/>
          </w:tcPr>
          <w:p>
            <w:pPr>
              <w:spacing w:after="0"/>
              <w:rPr>
                <w:sz w:val="24"/>
                <w:szCs w:val="24"/>
                <w:color w:val="auto"/>
              </w:rPr>
            </w:pPr>
          </w:p>
        </w:tc>
        <w:tc>
          <w:tcPr>
            <w:tcW w:w="29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7"/>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2"/>
                <w:szCs w:val="2"/>
                <w:color w:val="auto"/>
              </w:rPr>
            </w:pPr>
          </w:p>
        </w:tc>
        <w:tc>
          <w:tcPr>
            <w:tcW w:w="120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79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1200" w:type="dxa"/>
            <w:vAlign w:val="bottom"/>
            <w:tcBorders>
              <w:bottom w:val="single" w:sz="8" w:color="B6B6B6"/>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12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4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4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3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 production costs, production costs, and network connectivity fees.</w:t>
      </w:r>
    </w:p>
    <w:p>
      <w:pPr>
        <w:spacing w:after="0" w:line="3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60" w:type="dxa"/>
            <w:vAlign w:val="bottom"/>
          </w:tcPr>
          <w:p>
            <w:pPr>
              <w:spacing w:after="0"/>
              <w:rPr>
                <w:sz w:val="20"/>
                <w:szCs w:val="20"/>
                <w:color w:val="auto"/>
              </w:rPr>
            </w:pPr>
          </w:p>
        </w:tc>
        <w:tc>
          <w:tcPr>
            <w:tcW w:w="29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494949"/>
            </w:tcBorders>
          </w:tcPr>
          <w:p>
            <w:pPr>
              <w:spacing w:after="0"/>
              <w:rPr>
                <w:sz w:val="3"/>
                <w:szCs w:val="3"/>
                <w:color w:val="auto"/>
              </w:rPr>
            </w:pPr>
          </w:p>
        </w:tc>
        <w:tc>
          <w:tcPr>
            <w:tcW w:w="1200" w:type="dxa"/>
            <w:vAlign w:val="bottom"/>
            <w:tcBorders>
              <w:bottom w:val="single" w:sz="8" w:color="494949"/>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494949"/>
            </w:tcBorders>
          </w:tcPr>
          <w:p>
            <w:pPr>
              <w:spacing w:after="0"/>
              <w:rPr>
                <w:sz w:val="3"/>
                <w:szCs w:val="3"/>
                <w:color w:val="auto"/>
              </w:rPr>
            </w:pPr>
          </w:p>
        </w:tc>
        <w:tc>
          <w:tcPr>
            <w:tcW w:w="120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60" w:right="20" w:hanging="334"/>
        <w:spacing w:after="0" w:line="305" w:lineRule="auto"/>
        <w:tabs>
          <w:tab w:leader="none" w:pos="35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months ended March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and Asia (excluding Greater China) each comprise greater than 10% of the Company’s total revenues for the three months</w:t>
      </w:r>
    </w:p>
    <w:p>
      <w:pPr>
        <w:sectPr>
          <w:pgSz w:w="11900" w:h="16838" w:orient="portrait"/>
          <w:cols w:equalWidth="0" w:num="1">
            <w:col w:w="11240"/>
          </w:cols>
          <w:pgMar w:left="320" w:top="35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March 31, 2025. The United States, Greater China, Western Europe and Asia each comprise greater than 10% of the Company’s total revenues for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Gelfond. Under the terms of his employment agreement, as amended, the total benefit payable to Mr. Gelfond under the SERP is fixed at $20.3 million.</w:t>
      </w:r>
    </w:p>
    <w:p>
      <w:pPr>
        <w:spacing w:after="0" w:line="23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projected benefit obligation under the SERP was $19.2 million (December 31, 2024 — $19.0 million). For the three months ended March 31, 2025, the Company recorded interest costs of $0.2 million (2024 — $0.2 million) related to the SERP. The Company expects to recognize additional interest costs of $0.7 million related to the SERP during the remainder of 2025. No contributions are expected to be made to the SERP in 2025.</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w:t>
      </w:r>
    </w:p>
    <w:p>
      <w:pPr>
        <w:spacing w:after="0" w:line="25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months ended March 31, 2025, the Company contributed and recorded expense of $0.3 million (2024 — $0.4 million) to its Canadian defined contribution plan and $0.3 million (2024 — $0.3 million) to its defined contribution employee plan under Section 401(k) of the U.S. Internal Revenue Code.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postretirement benefits obligation under this plan is $0.5 million (December 31, 2024 — $0.5 million). For the three months ended March 31, 2025, the Company has recorded an expense of less than $0.1 million (2024 — less than $0.1 million) related to this plan.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March 31, 2025, the Company’s postretirement benefits obligation under this plan is $0.8 million (December 31, 2024 — $0.8 million). For the three months ended March 31, 2025, the Company has recorded expense of less than $0.1 million (2024 — less than $0.1 million) related to this plan.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the benefit obligation related to the Retirement Plan was $4.3 million (December 31, 2024 — $4.2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March 31, 2025, fair value of the COLI asset was $3.7 million (December 31, 2024 — $3.6 million). Gains and losses resulting from changes in the cash surrender value of the COLI asset are recognized in the Condensed Consolidated Statements of Operations within Realized and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$97.1 million balance of cash and cash equivalents as of March 31, 2025 (December 31, 2024 — $100.6 million) includes $91.3 million in cash held outside of Canada (December 31, 2024 — $85.4 million), of which $53.9 million was held in the PRC (December 31, 2024 — $47.5 million).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6"/>
                <w:szCs w:val="16"/>
                <w:color w:val="auto"/>
              </w:rPr>
            </w:pPr>
          </w:p>
        </w:tc>
        <w:tc>
          <w:tcPr>
            <w:tcW w:w="308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Level 2</w:t>
            </w:r>
          </w:p>
        </w:tc>
        <w:tc>
          <w:tcPr>
            <w:tcW w:w="4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90,515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29,500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52"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21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March 31, 2025 (the “Foreign Currency Hedges”),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48,376</w:t>
            </w:r>
          </w:p>
        </w:tc>
      </w:tr>
      <w:tr>
        <w:trPr>
          <w:trHeight w:val="540"/>
        </w:trPr>
        <w:tc>
          <w:tcPr>
            <w:tcW w:w="7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3"/>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Pr>
          <w:p>
            <w:pPr>
              <w:spacing w:after="0"/>
              <w:rPr>
                <w:sz w:val="19"/>
                <w:szCs w:val="19"/>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4000" w:type="dxa"/>
            <w:vAlign w:val="bottom"/>
            <w:tcBorders>
              <w:bottom w:val="single" w:sz="8" w:color="CCEEFF"/>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7"/>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040" w:type="dxa"/>
            <w:vAlign w:val="bottom"/>
            <w:tcBorders>
              <w:bottom w:val="single" w:sz="8" w:color="CCEEFF"/>
            </w:tcBorders>
          </w:tcPr>
          <w:p>
            <w:pPr>
              <w:spacing w:after="0"/>
              <w:rPr>
                <w:sz w:val="3"/>
                <w:szCs w:val="3"/>
                <w:color w:val="auto"/>
              </w:rPr>
            </w:pPr>
          </w:p>
        </w:tc>
        <w:tc>
          <w:tcPr>
            <w:tcW w:w="39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 Loss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in OCI</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557"/>
        </w:trPr>
        <w:tc>
          <w:tcPr>
            <w:tcW w:w="4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39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360" w:type="dxa"/>
            <w:vAlign w:val="bottom"/>
          </w:tcPr>
          <w:p>
            <w:pPr>
              <w:spacing w:after="0"/>
              <w:rPr>
                <w:sz w:val="15"/>
                <w:szCs w:val="15"/>
                <w:color w:val="auto"/>
              </w:rPr>
            </w:pPr>
          </w:p>
        </w:tc>
        <w:tc>
          <w:tcPr>
            <w:tcW w:w="1200" w:type="dxa"/>
            <w:vAlign w:val="bottom"/>
            <w:vMerge w:val="restart"/>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March 31, 2025 is $1.4 million, which was expected to be reclassified to the Condensed Consolidated Statements of Operations within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March 31, 2025, the Company indirectly owned 71.40% of the outstanding equity interests in IMAX China, whose shares trade on the Hong Kong Stock Exchange (December 31, 2024 — 71.40%). IMAX China remains a consolidated subsidiary of the Company. As of March 31, 2025, the balance of the Company’s non-controlling interest in IMAX China was $84.1 million (December 31, 2024 — $78.1 million). For the three months ended March 31, 2025, the net income attributable to the non-controlling interest in IMAX China was $5.8 million (2024 — $2.2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and Other Charges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In the first quarter 2025, the Company incurred $0.1 million (2024 — $nil ) of non-recurring fees related to the assessment of its corporate structure and the resulting internal asset sale. These charges have been recognized in Restructuring and other charges in the Consolidated Statements of Operations.</w:t>
      </w:r>
    </w:p>
    <w:p>
      <w:pPr>
        <w:sectPr>
          <w:pgSz w:w="11900" w:h="16838" w:orient="portrait"/>
          <w:cols w:equalWidth="0" w:num="1">
            <w:col w:w="11240"/>
          </w:cols>
          <w:pgMar w:left="320" w:top="3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liability is $1.0 million (December 31, 2024 — $1.4 million) on the Consolidated Balance Sheets within Accrued and other liabilities related to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(“MD&amp;A”) for IMAX Corporation (together with its consolidated subsidiaries, unless the context requires otherwise, “IMAX” or the “Company”) for the three months ended March 31, 2025 and 2024. MD&amp;A should be read in conjunction with Note 13, “Segment Reporting,” in the accompanying Condensed Consolidated Financial Statements in Item 1.</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indirectly owned 71.40% of IMAX China Holding, Inc. (“IMAX China”), whose shares trade on the Hong Kong Stock Exchange. IMAX China is a consolidated subsidiary of the Company. For the three months ended March 31, 2025, net income attributable to IMAX China is $20.4 million, of which $14.6 million is attributable to the shareholders of the Company (2024 — $7.5 million and $5.4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6"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U.S. Private Securities Litigation Reform Act of 1995 or “forward-looking information” within the meaning of Canadian securities laws. These forward-looking statements include, but are not limited to, statements regarding business and technology strategies and measures to implement strategies, statements about the Company’s belief and expectations, competitive strengths, goals, market opportunity and penetration, including opportunities in and expected growth from international markets, expansion and growth of business, operations and technology, future capital expenditures (including the amount and nature thereof), the Company’s technological capabilities and the differentiation thereof, brand equity and brand awareness and the benefits thereof, industry prospects and consumer behavior, future industry developments, including expected releases and the timing and effects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Canada, and China, including with respect to escalating and uncertain tariffs and other trade regulations, as well as economic and trade tensions, trade wars, and geopolitical conflicts and the effects thereof; risks related to the Company’s growth and operations in China; industry conditions in China affecting both the Company and its partners; risks related to the failure of the Company’s exhibitors being able to fulfill their contractual payment obligations; risks related to the Company’s failure to attract and retain its employee population; the performance of IMAX remastered films and other films released to the IMAX network; the signing of IMAX System agreements; conditions, changes and developments in the commercial exhibition industry; risks related to the Company’s inability to enter into new sales and lease agreements adversely affecting revenue; risks related to the Company’s operating results and cash flow increasing the volatility of the Company’s share price; risks related to currency fluctuations and foreign exchange controls; the potential impact of increased competition in the markets within which the Company operates, including competitive actions by other companies; the failure to respond to change and advancements in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and to avoid infringing, misappropriating, or violating the intellectual property rights of others;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sustained inflationary pressure; risks related to political, economic and social instability; the failure to convert system backlog into revenue and cash flows;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left="20"/>
        <w:spacing w:after="0" w:line="218"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3D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64"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www.sedarplus.ca and through the Company’s website at www.imax.com or by calling the Company’s Investor Relations Department at 212-821-0154.</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203" w:lineRule="exact"/>
        <w:rPr>
          <w:sz w:val="20"/>
          <w:szCs w:val="20"/>
          <w:color w:val="auto"/>
        </w:rPr>
      </w:pPr>
    </w:p>
    <w:p>
      <w:pPr>
        <w:jc w:val="both"/>
        <w:ind w:firstLine="194"/>
        <w:spacing w:after="0" w:line="244"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March 31, 2025, there were 1,810 IMAX Systems in 89 countries and territories, including 1,738 commercial multiplexes, 11 commercial destinations, and 61 institutional locations in the Company’s global network. This compares to 1,772 IMAX Systems in 89 countries and territories as of March 31, 2024, including 1,697 commercial multiplexes, 12 commercial destinations, and 63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52" w:lineRule="exact"/>
        <w:rPr>
          <w:sz w:val="20"/>
          <w:szCs w:val="20"/>
          <w:color w:val="auto"/>
        </w:rPr>
      </w:pPr>
    </w:p>
    <w:p>
      <w:pPr>
        <w:ind w:left="780" w:right="20" w:hanging="383"/>
        <w:spacing w:after="0" w:line="282" w:lineRule="auto"/>
        <w:tabs>
          <w:tab w:leader="none" w:pos="7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ectPr>
          <w:pgSz w:w="11900" w:h="16838" w:orient="portrait"/>
          <w:cols w:equalWidth="0" w:num="1">
            <w:col w:w="11240"/>
          </w:cols>
          <w:pgMar w:left="320" w:top="3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80" w:hanging="383"/>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than conventional cinema experiences;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believes that these components cause audiences in IMAX locations to feel as if they are a part of the on-screen action, creating a more intense, immersive, and awe-inspiring experience than a conventional cinematic format.</w:t>
      </w:r>
    </w:p>
    <w:p>
      <w:pPr>
        <w:spacing w:after="0" w:line="18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tends to generate incremental box office receipts (“box office”) for the Company’s exhibitor customers and for the movie studios releasing their films to the IMAX network. The incremental box office generated by IMAX films combined with IMAX’s leading global network footprint and scale has helped establish IMAX as a key premium distribution and marketing platform for Hollywood and foreign local language movie studios.</w:t>
      </w:r>
    </w:p>
    <w:p>
      <w:pPr>
        <w:spacing w:after="0" w:line="211"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 xml:space="preserve">The Company achieved a box office record in the first quarter in 2025 of $298.2 million, including booking fees, from 33 new films and other content released during the quarter, highlighted by the performance of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a Chinese local language animation film.</w:t>
      </w:r>
    </w:p>
    <w:p>
      <w:pPr>
        <w:spacing w:after="0" w:line="18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The Company continues to evolve its platform to bring new, innovative events and experiences to audiences worldwide. During the first quarter, the Company partnered with Sony Pictures for the exclusive release of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In addition, the Company continued to partner with A24 for a monthly one-night-only IMAX releases of classic A24 titles, including in the first quarter </w:t>
      </w:r>
      <w:r>
        <w:rPr>
          <w:rFonts w:ascii="Times New Roman" w:cs="Times New Roman" w:eastAsia="Times New Roman" w:hAnsi="Times New Roman"/>
          <w:sz w:val="18"/>
          <w:szCs w:val="18"/>
          <w:i w:val="1"/>
          <w:iCs w:val="1"/>
          <w:color w:val="auto"/>
        </w:rPr>
        <w:t>Talk to 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Moonlight,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Spring Breakers.</w:t>
      </w:r>
      <w:r>
        <w:rPr>
          <w:rFonts w:ascii="Times New Roman" w:cs="Times New Roman" w:eastAsia="Times New Roman" w:hAnsi="Times New Roman"/>
          <w:sz w:val="18"/>
          <w:szCs w:val="18"/>
          <w:color w:val="auto"/>
        </w:rPr>
        <w:t xml:space="preserve"> The Company partnered with NBC universal for the </w:t>
      </w:r>
      <w:r>
        <w:rPr>
          <w:rFonts w:ascii="Times New Roman" w:cs="Times New Roman" w:eastAsia="Times New Roman" w:hAnsi="Times New Roman"/>
          <w:sz w:val="18"/>
          <w:szCs w:val="18"/>
          <w:i w:val="1"/>
          <w:iCs w:val="1"/>
          <w:color w:val="auto"/>
        </w:rPr>
        <w:t>SNL50 The Homecoming Concert</w:t>
      </w:r>
      <w:r>
        <w:rPr>
          <w:rFonts w:ascii="Times New Roman" w:cs="Times New Roman" w:eastAsia="Times New Roman" w:hAnsi="Times New Roman"/>
          <w:sz w:val="18"/>
          <w:szCs w:val="18"/>
          <w:color w:val="auto"/>
        </w:rPr>
        <w:t xml:space="preserve"> screening in five North American IMAX locations. The Company also partnered with DAZN for the </w:t>
      </w:r>
      <w:r>
        <w:rPr>
          <w:rFonts w:ascii="Times New Roman" w:cs="Times New Roman" w:eastAsia="Times New Roman" w:hAnsi="Times New Roman"/>
          <w:sz w:val="18"/>
          <w:szCs w:val="18"/>
          <w:i w:val="1"/>
          <w:iCs w:val="1"/>
          <w:color w:val="auto"/>
        </w:rPr>
        <w:t>PSG v Marseille Le Classique Match</w:t>
      </w:r>
      <w:r>
        <w:rPr>
          <w:rFonts w:ascii="Times New Roman" w:cs="Times New Roman" w:eastAsia="Times New Roman" w:hAnsi="Times New Roman"/>
          <w:sz w:val="18"/>
          <w:szCs w:val="18"/>
          <w:color w:val="auto"/>
        </w:rPr>
        <w:t xml:space="preserve"> screening in select IMAX locations across France.</w:t>
      </w:r>
    </w:p>
    <w:p>
      <w:pPr>
        <w:spacing w:after="0" w:line="210" w:lineRule="exact"/>
        <w:rPr>
          <w:sz w:val="20"/>
          <w:szCs w:val="20"/>
          <w:color w:val="auto"/>
        </w:rPr>
      </w:pPr>
    </w:p>
    <w:p>
      <w:pPr>
        <w:jc w:val="both"/>
        <w:ind w:right="20" w:firstLine="194"/>
        <w:spacing w:after="0" w:line="268" w:lineRule="auto"/>
        <w:rPr>
          <w:sz w:val="20"/>
          <w:szCs w:val="20"/>
          <w:color w:val="auto"/>
        </w:rPr>
      </w:pPr>
      <w:r>
        <w:rPr>
          <w:rFonts w:ascii="Times New Roman" w:cs="Times New Roman" w:eastAsia="Times New Roman" w:hAnsi="Times New Roman"/>
          <w:sz w:val="18"/>
          <w:szCs w:val="18"/>
          <w:color w:val="auto"/>
        </w:rPr>
        <w:t>As of March 31, 2025, the Company had a footprint of 265 connected locations in the IMAX network across North America, Europe, Africa, Australia and Asia configured with connectivity to deliver live and interactive events with low latency and superior sight and sound. Furthermore, the Company can deploy its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deliver live events to virtually any theater around the world.</w:t>
      </w:r>
    </w:p>
    <w:p>
      <w:pPr>
        <w:spacing w:after="0" w:line="13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Furthermore, the Company is actively exploring other global use cases for AI to save costs and to improve its products, operations, and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Content Solutions segment earns revenue principally from studios and other content creators for IMAX Film Remastering.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from a movie studio in exchange for converting a commercial film into the IMAX format and distributing it through the IMAX network. The fee earned by the Company in a typical IMAX Film Remastering and distribution arrangement averages approximately 12.5% of box office (i.e., gross box office (“GBO”) less applicable sales taxes), except for within Greater China, where the Company receives a lower percentage of net box office receipts for certain Hollywood films due to an import tax.</w:t>
      </w:r>
    </w:p>
    <w:p>
      <w:pPr>
        <w:spacing w:after="0" w:line="21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214" w:lineRule="exact"/>
        <w:rPr>
          <w:sz w:val="20"/>
          <w:szCs w:val="20"/>
          <w:color w:val="auto"/>
        </w:rPr>
      </w:pPr>
    </w:p>
    <w:p>
      <w:pPr>
        <w:jc w:val="both"/>
        <w:ind w:firstLine="194"/>
        <w:spacing w:after="0" w:line="246"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Company’s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enables filmmakers craft films from their inception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provides incremental and bespoke marketing support. The box office metrics demonstrate audiences respond extremely favorable to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titles, resulting in a higher market share for IMAX.</w:t>
      </w:r>
    </w:p>
    <w:p>
      <w:pPr>
        <w:spacing w:after="0" w:line="1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Management believes that growth in international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China, Japan, India, France, and South Korea. As the popularity of local language films has continued to increase, the Company has extended its content strategy to distribute local language content beyond native markets. During the three months ended March 31, 2025, local language films exhibited across the Company’s global network generated over $202 million in box office, representing 68% of the Company’s global box office, including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which became the highest grossing IMAX release of all time in China.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firstLine="194"/>
        <w:spacing w:after="0" w:line="278"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that were released to the Company’s global network during the three months ended March 31, 2025 and 2024, respectively:</w:t>
      </w: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30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r>
      <w:tr>
        <w:trPr>
          <w:trHeight w:val="229"/>
        </w:trPr>
        <w:tc>
          <w:tcPr>
            <w:tcW w:w="7980" w:type="dxa"/>
            <w:vAlign w:val="bottom"/>
          </w:tcPr>
          <w:p>
            <w:pPr>
              <w:spacing w:after="0"/>
              <w:rPr>
                <w:sz w:val="19"/>
                <w:szCs w:val="19"/>
                <w:color w:val="auto"/>
              </w:rPr>
            </w:pPr>
          </w:p>
        </w:tc>
        <w:tc>
          <w:tcPr>
            <w:tcW w:w="230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r>
      <w:tr>
        <w:trPr>
          <w:trHeight w:val="37"/>
        </w:trPr>
        <w:tc>
          <w:tcPr>
            <w:tcW w:w="79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79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months ended March 31, 2025, the films released to the Company’s global network include one with IMAX DNA (2024 — two).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three months ended March 31, 2025 that generated the highest IMAX box office totals were Chinese local language films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Creation of the Gods II: Demon Force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Captain America: Brave New World.</w:t>
      </w:r>
      <w:r>
        <w:rPr>
          <w:rFonts w:ascii="Times New Roman" w:cs="Times New Roman" w:eastAsia="Times New Roman" w:hAnsi="Times New Roman"/>
          <w:sz w:val="18"/>
          <w:szCs w:val="18"/>
          <w:color w:val="auto"/>
        </w:rPr>
        <w:t xml:space="preserve"> In addition, during the three months ended March 31, 2025, a number of alternative content films and events were distributed, including </w:t>
      </w:r>
      <w:r>
        <w:rPr>
          <w:rFonts w:ascii="Times New Roman" w:cs="Times New Roman" w:eastAsia="Times New Roman" w:hAnsi="Times New Roman"/>
          <w:sz w:val="18"/>
          <w:szCs w:val="18"/>
          <w:i w:val="1"/>
          <w:iCs w:val="1"/>
          <w:color w:val="auto"/>
        </w:rPr>
        <w:t>Becoming Led Zeppelin, Seven,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Parasite, SNL50: The Homecoming Concert </w:t>
      </w:r>
      <w:r>
        <w:rPr>
          <w:rFonts w:ascii="Times New Roman" w:cs="Times New Roman" w:eastAsia="Times New Roman" w:hAnsi="Times New Roman"/>
          <w:sz w:val="18"/>
          <w:szCs w:val="18"/>
          <w:color w:val="auto"/>
        </w:rPr>
        <w:t>in partnership with NBC Universal</w:t>
      </w:r>
      <w:r>
        <w:rPr>
          <w:rFonts w:ascii="Times New Roman" w:cs="Times New Roman" w:eastAsia="Times New Roman" w:hAnsi="Times New Roman"/>
          <w:sz w:val="18"/>
          <w:szCs w:val="18"/>
          <w:i w:val="1"/>
          <w:iCs w:val="1"/>
          <w:color w:val="auto"/>
        </w:rPr>
        <w:t xml:space="preserve">, PSG v Marseille Le Classique Match </w:t>
      </w:r>
      <w:r>
        <w:rPr>
          <w:rFonts w:ascii="Times New Roman" w:cs="Times New Roman" w:eastAsia="Times New Roman" w:hAnsi="Times New Roman"/>
          <w:sz w:val="18"/>
          <w:szCs w:val="18"/>
          <w:color w:val="auto"/>
        </w:rPr>
        <w:t>in partnership with DAZN,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A24 mid-week film series.</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addition to the 33 IMAX films and alternative content experiences released on the Company’s global network during the three months ended March 31, 2025, the Company has announced the following additional 34 films and alternative content experiences to be released throughout the remainder of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80" w:type="dxa"/>
            <w:vAlign w:val="bottom"/>
          </w:tcPr>
          <w:p>
            <w:pPr>
              <w:spacing w:after="0"/>
              <w:rPr>
                <w:sz w:val="14"/>
                <w:szCs w:val="14"/>
                <w:color w:val="auto"/>
              </w:rPr>
            </w:pPr>
          </w:p>
        </w:tc>
      </w:tr>
      <w:tr>
        <w:trPr>
          <w:trHeight w:val="204"/>
        </w:trPr>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2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Release Date</w:t>
            </w:r>
            <w:r>
              <w:rPr>
                <w:rFonts w:ascii="Times New Roman" w:cs="Times New Roman" w:eastAsia="Times New Roman" w:hAnsi="Times New Roman"/>
                <w:sz w:val="9"/>
                <w:szCs w:val="9"/>
                <w:b w:val="1"/>
                <w:bCs w:val="1"/>
                <w:color w:val="auto"/>
              </w:rPr>
              <w:t>(1)</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37"/>
        </w:trPr>
        <w:tc>
          <w:tcPr>
            <w:tcW w:w="42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24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Seventeen Right Here World Tour</w:t>
            </w:r>
            <w:r>
              <w:rPr>
                <w:rFonts w:ascii="Times New Roman" w:cs="Times New Roman" w:eastAsia="Times New Roman" w:hAnsi="Times New Roman"/>
                <w:sz w:val="21"/>
                <w:szCs w:val="21"/>
                <w:i w:val="1"/>
                <w:iCs w:val="1"/>
                <w:color w:val="auto"/>
                <w:w w:val="98"/>
                <w:vertAlign w:val="superscript"/>
              </w:rPr>
              <w:t>(2)</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7"/>
              </w:rPr>
              <w:t>Hybe</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One and Only</w:t>
            </w:r>
            <w:r>
              <w:rPr>
                <w:rFonts w:ascii="Times New Roman" w:cs="Times New Roman" w:eastAsia="Times New Roman" w:hAnsi="Times New Roman"/>
                <w:sz w:val="21"/>
                <w:szCs w:val="21"/>
                <w:i w:val="1"/>
                <w:iCs w:val="1"/>
                <w:color w:val="auto"/>
                <w:w w:val="96"/>
                <w:vertAlign w:val="superscript"/>
              </w:rPr>
              <w:t>(2)</w:t>
            </w:r>
          </w:p>
        </w:tc>
        <w:tc>
          <w:tcPr>
            <w:tcW w:w="3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6"/>
              </w:rPr>
              <w:t>Wanda</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A Minecraft Movie</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Warner Bros. Pictures</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The Amateur</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Walt Disney Studios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Warfare</w:t>
            </w:r>
          </w:p>
        </w:tc>
        <w:tc>
          <w:tcPr>
            <w:tcW w:w="32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A24</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One to One: John &amp; Yoko</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Magnolia Films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Yadang: The Snitch</w:t>
            </w:r>
            <w:r>
              <w:rPr>
                <w:rFonts w:ascii="Times New Roman" w:cs="Times New Roman" w:eastAsia="Times New Roman" w:hAnsi="Times New Roman"/>
                <w:sz w:val="21"/>
                <w:szCs w:val="21"/>
                <w:i w:val="1"/>
                <w:iCs w:val="1"/>
                <w:color w:val="auto"/>
                <w:w w:val="96"/>
                <w:vertAlign w:val="superscript"/>
              </w:rPr>
              <w:t>(2)</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PlusM</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Sinners</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Warner Bros. Pictures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Detective Conan: One-Eyed Flashblack</w:t>
            </w:r>
            <w:r>
              <w:rPr>
                <w:rFonts w:ascii="Times New Roman" w:cs="Times New Roman" w:eastAsia="Times New Roman" w:hAnsi="Times New Roman"/>
                <w:sz w:val="21"/>
                <w:szCs w:val="21"/>
                <w:i w:val="1"/>
                <w:iCs w:val="1"/>
                <w:color w:val="auto"/>
                <w:w w:val="99"/>
                <w:vertAlign w:val="superscript"/>
              </w:rPr>
              <w:t>(2)</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Toho</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Ambulance</w:t>
            </w:r>
            <w:r>
              <w:rPr>
                <w:rFonts w:ascii="Times New Roman" w:cs="Times New Roman" w:eastAsia="Times New Roman" w:hAnsi="Times New Roman"/>
                <w:sz w:val="21"/>
                <w:szCs w:val="21"/>
                <w:i w:val="1"/>
                <w:iCs w:val="1"/>
                <w:color w:val="auto"/>
                <w:w w:val="97"/>
                <w:vertAlign w:val="superscript"/>
              </w:rPr>
              <w:t>(2)</w:t>
            </w:r>
          </w:p>
        </w:tc>
        <w:tc>
          <w:tcPr>
            <w:tcW w:w="3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Muvi Studios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Pink Floyd at Pompeii - MCMLXXII</w:t>
            </w:r>
          </w:p>
        </w:tc>
        <w:tc>
          <w:tcPr>
            <w:tcW w:w="32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Trafalgar Releasing</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The Dumpling Queen</w:t>
            </w:r>
            <w:r>
              <w:rPr>
                <w:rFonts w:ascii="Times New Roman" w:cs="Times New Roman" w:eastAsia="Times New Roman" w:hAnsi="Times New Roman"/>
                <w:sz w:val="21"/>
                <w:szCs w:val="21"/>
                <w:i w:val="1"/>
                <w:iCs w:val="1"/>
                <w:color w:val="auto"/>
                <w:w w:val="98"/>
                <w:vertAlign w:val="superscript"/>
              </w:rPr>
              <w:t>(2)</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Maoyan</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The Open Door</w:t>
            </w:r>
            <w:r>
              <w:rPr>
                <w:rFonts w:ascii="Times New Roman" w:cs="Times New Roman" w:eastAsia="Times New Roman" w:hAnsi="Times New Roman"/>
                <w:sz w:val="21"/>
                <w:szCs w:val="21"/>
                <w:i w:val="1"/>
                <w:iCs w:val="1"/>
                <w:color w:val="auto"/>
                <w:w w:val="97"/>
                <w:vertAlign w:val="superscript"/>
              </w:rPr>
              <w:t>(2)</w:t>
            </w:r>
          </w:p>
        </w:tc>
        <w:tc>
          <w:tcPr>
            <w:tcW w:w="32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6"/>
              </w:rPr>
              <w:t>Wanda</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Thunderbolts</w:t>
            </w:r>
          </w:p>
        </w:tc>
        <w:tc>
          <w:tcPr>
            <w:tcW w:w="3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Marvel Studios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Final Destination: Bloodlines</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Warner Bros. Pictures</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Mission Impossible - The Final Reckoning</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Paramount Pictures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How to Train Your Dragon</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Universal Pictures</w:t>
            </w:r>
          </w:p>
        </w:tc>
        <w:tc>
          <w:tcPr>
            <w:tcW w:w="16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June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F1</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Apple Original Films/Warner Bros. Pictures</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June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5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Jurassic World: Rebirth</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Universal Pictures</w:t>
            </w:r>
          </w:p>
        </w:tc>
        <w:tc>
          <w:tcPr>
            <w:tcW w:w="1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Superman</w:t>
            </w:r>
          </w:p>
        </w:tc>
        <w:tc>
          <w:tcPr>
            <w:tcW w:w="3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Warner Bros. Pictures</w:t>
            </w:r>
          </w:p>
        </w:tc>
        <w:tc>
          <w:tcPr>
            <w:tcW w:w="16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12"/>
        </w:trPr>
        <w:tc>
          <w:tcPr>
            <w:tcW w:w="4260" w:type="dxa"/>
            <w:vAlign w:val="bottom"/>
            <w:shd w:val="clear" w:color="auto" w:fill="CCEEFF"/>
          </w:tcPr>
          <w:p>
            <w:pPr>
              <w:spacing w:after="0"/>
              <w:rPr>
                <w:sz w:val="18"/>
                <w:szCs w:val="18"/>
                <w:color w:val="auto"/>
              </w:rPr>
            </w:pP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Toho/</w:t>
            </w:r>
          </w:p>
        </w:tc>
        <w:tc>
          <w:tcPr>
            <w:tcW w:w="1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Demon Slayer: Kimetsu No Yaiba The Movie: Infinity Castle</w:t>
            </w:r>
            <w:r>
              <w:rPr>
                <w:rFonts w:ascii="Times New Roman" w:cs="Times New Roman" w:eastAsia="Times New Roman" w:hAnsi="Times New Roman"/>
                <w:sz w:val="21"/>
                <w:szCs w:val="21"/>
                <w:i w:val="1"/>
                <w:iCs w:val="1"/>
                <w:color w:val="auto"/>
                <w:vertAlign w:val="superscript"/>
              </w:rPr>
              <w:t>(2)</w:t>
            </w:r>
          </w:p>
        </w:tc>
        <w:tc>
          <w:tcPr>
            <w:tcW w:w="32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Sony Pictures</w:t>
            </w:r>
          </w:p>
        </w:tc>
        <w:tc>
          <w:tcPr>
            <w:tcW w:w="16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223"/>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The Fantastic Four: First Steps</w:t>
            </w:r>
          </w:p>
        </w:tc>
        <w:tc>
          <w:tcPr>
            <w:tcW w:w="3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Marvel Studios</w:t>
            </w:r>
          </w:p>
        </w:tc>
        <w:tc>
          <w:tcPr>
            <w:tcW w:w="16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8"/>
              </w:rPr>
              <w:t>Weapons</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Warner Bros. Pictures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390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The Conjuring: Last Rites</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Warner Bros.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390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Him</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Universal Pictures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390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One Battle After Another</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Warner Bros.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39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Michael</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Lionsgate/Universal Pictures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3900" w:type="dxa"/>
            <w:vAlign w:val="bottom"/>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w w:val="97"/>
              </w:rPr>
              <w:t>Tron: Ares</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53"/>
        </w:trPr>
        <w:tc>
          <w:tcPr>
            <w:tcW w:w="390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Mortal Kombat 2</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Warner Bros. Pictures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33"/>
        </w:trPr>
        <w:tc>
          <w:tcPr>
            <w:tcW w:w="3900" w:type="dxa"/>
            <w:vAlign w:val="bottom"/>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Predator: Badlands</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39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The Running Man</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Paramount Pictures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3900" w:type="dxa"/>
            <w:vAlign w:val="bottom"/>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w w:val="99"/>
              </w:rPr>
              <w:t>Wicked: For Good</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Universal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39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Zootopia 2</w:t>
            </w:r>
          </w:p>
        </w:tc>
        <w:tc>
          <w:tcPr>
            <w:tcW w:w="33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3"/>
        </w:trPr>
        <w:tc>
          <w:tcPr>
            <w:tcW w:w="390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rPr>
              <w:t>Avatar: Fire and Ash</w:t>
            </w:r>
          </w:p>
        </w:tc>
        <w:tc>
          <w:tcPr>
            <w:tcW w:w="334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16" w:lineRule="exact"/>
        <w:rPr>
          <w:sz w:val="20"/>
          <w:szCs w:val="20"/>
          <w:color w:val="auto"/>
        </w:rPr>
      </w:pPr>
    </w:p>
    <w:p>
      <w:pPr>
        <w:ind w:left="340" w:hanging="314"/>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7" w:lineRule="exact"/>
        <w:rPr>
          <w:sz w:val="20"/>
          <w:szCs w:val="20"/>
          <w:color w:val="auto"/>
        </w:rPr>
      </w:pPr>
    </w:p>
    <w:p>
      <w:pPr>
        <w:jc w:val="both"/>
        <w:ind w:firstLine="194"/>
        <w:spacing w:after="0" w:line="244"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2025. The Company has announced that a record number of over 14 Filmed for IMAX titles will be released in 2025. The Company’s Hollywood film slate beyond 2025 has started to fill in, including major films such as: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Mandalorian and Grogu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Toy Story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Odyssey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Moana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Supergirl Woman of Tomorrow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Avengers: Secret Wars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Frozen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Dynamic Duo. </w:t>
      </w:r>
      <w:r>
        <w:rPr>
          <w:rFonts w:ascii="Times New Roman" w:cs="Times New Roman" w:eastAsia="Times New Roman" w:hAnsi="Times New Roman"/>
          <w:sz w:val="18"/>
          <w:szCs w:val="18"/>
          <w:color w:val="auto"/>
        </w:rPr>
        <w:t>Additionally, in January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announced an agreement with Netflix, Inc. to debut Oscar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-nominated director Greta Gerwig’s upcoming film, </w:t>
      </w:r>
      <w:r>
        <w:rPr>
          <w:rFonts w:ascii="Times New Roman" w:cs="Times New Roman" w:eastAsia="Times New Roman" w:hAnsi="Times New Roman"/>
          <w:sz w:val="18"/>
          <w:szCs w:val="18"/>
          <w:i w:val="1"/>
          <w:iCs w:val="1"/>
          <w:color w:val="auto"/>
        </w:rPr>
        <w:t>Narnia</w:t>
      </w:r>
      <w:r>
        <w:rPr>
          <w:rFonts w:ascii="Times New Roman" w:cs="Times New Roman" w:eastAsia="Times New Roman" w:hAnsi="Times New Roman"/>
          <w:sz w:val="18"/>
          <w:szCs w:val="18"/>
          <w:color w:val="auto"/>
        </w:rPr>
        <w:t>, exclusively across the IMAX network with a two-week run beginning Thanksgiving 2026.</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4" w:lineRule="exact"/>
        <w:rPr>
          <w:sz w:val="20"/>
          <w:szCs w:val="20"/>
          <w:color w:val="auto"/>
        </w:rPr>
      </w:pPr>
    </w:p>
    <w:p>
      <w:pPr>
        <w:jc w:val="both"/>
        <w:ind w:firstLine="194"/>
        <w:spacing w:after="0" w:line="244"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feature films through its global commercial network and institutional theaters. Traditionally, the Company receives as its distribution fee either a fixed amount or a fixed percentage of the theater box office and, following the recoupment of its costs, is typically entitled to receive an additional percentage of gross revenues as participation revenues. In the first quarter of 2025, the Company released the institutional 3D version of </w:t>
      </w:r>
      <w:r>
        <w:rPr>
          <w:rFonts w:ascii="Times New Roman" w:cs="Times New Roman" w:eastAsia="Times New Roman" w:hAnsi="Times New Roman"/>
          <w:sz w:val="18"/>
          <w:szCs w:val="18"/>
          <w:i w:val="1"/>
          <w:iCs w:val="1"/>
          <w:color w:val="auto"/>
        </w:rPr>
        <w:t>Blue Angels</w:t>
      </w:r>
      <w:r>
        <w:rPr>
          <w:rFonts w:ascii="Times New Roman" w:cs="Times New Roman" w:eastAsia="Times New Roman" w:hAnsi="Times New Roman"/>
          <w:sz w:val="18"/>
          <w:szCs w:val="18"/>
          <w:color w:val="auto"/>
        </w:rPr>
        <w:t xml:space="preserve"> across select IMAX locations in North America, Europe, and Australia. Upcoming documentaries, which are currently in production, include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a feature documentary produced by Academy Award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-winning producer, Adam McKay, </w:t>
      </w:r>
      <w:r>
        <w:rPr>
          <w:rFonts w:ascii="Times New Roman" w:cs="Times New Roman" w:eastAsia="Times New Roman" w:hAnsi="Times New Roman"/>
          <w:sz w:val="18"/>
          <w:szCs w:val="18"/>
          <w:i w:val="1"/>
          <w:iCs w:val="1"/>
          <w:color w:val="auto"/>
        </w:rPr>
        <w:t>The Lost Wolves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Yellowstone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Patrouille de France, </w:t>
      </w:r>
      <w:r>
        <w:rPr>
          <w:rFonts w:ascii="Times New Roman" w:cs="Times New Roman" w:eastAsia="Times New Roman" w:hAnsi="Times New Roman"/>
          <w:sz w:val="18"/>
          <w:szCs w:val="18"/>
          <w:color w:val="auto"/>
        </w:rPr>
        <w:t>all of which are expected to be released in 2025, and</w:t>
      </w:r>
      <w:r>
        <w:rPr>
          <w:rFonts w:ascii="Times New Roman" w:cs="Times New Roman" w:eastAsia="Times New Roman" w:hAnsi="Times New Roman"/>
          <w:sz w:val="18"/>
          <w:szCs w:val="18"/>
          <w:i w:val="1"/>
          <w:iCs w:val="1"/>
          <w:color w:val="auto"/>
        </w:rPr>
        <w:t xml:space="preserve"> The Elephant Odyssey</w:t>
      </w:r>
      <w:r>
        <w:rPr>
          <w:rFonts w:ascii="Times New Roman" w:cs="Times New Roman" w:eastAsia="Times New Roman" w:hAnsi="Times New Roman"/>
          <w:sz w:val="18"/>
          <w:szCs w:val="18"/>
          <w:color w:val="auto"/>
        </w:rPr>
        <w:t>, a documentary in collaboration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Beach House Pictures Pte Ltd and China International Communications Group, which is expected to be released in 2026.</w:t>
      </w:r>
    </w:p>
    <w:p>
      <w:pPr>
        <w:spacing w:after="0" w:line="22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IMAX network is a valuable global platform to launch and distribute original content, including documentaries. The ownership rights to such films may be held by the film sponsors, the film investors and/or the Company. As of March 31, 2025, the Company had distribution rights with respect to approximately 65 films, which cover subjects such as space, wildlife, music, sports, history and natural wonders.</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March 31, 2025, the Company had a footprint of 265 connected locations in the IMAX network across North America, Europe, Africa, Australia, and Asia configured with connectivity to deliver live and interactive events with low latency and superior sight and sound.</w:t>
      </w:r>
    </w:p>
    <w:p>
      <w:pPr>
        <w:spacing w:after="0" w:line="20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In the three months ended March 31, 2025, the Company partnered with Sony Pictures for the exclusive release of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The Company also partnered with NBC Universal for the </w:t>
      </w:r>
      <w:r>
        <w:rPr>
          <w:rFonts w:ascii="Times New Roman" w:cs="Times New Roman" w:eastAsia="Times New Roman" w:hAnsi="Times New Roman"/>
          <w:sz w:val="18"/>
          <w:szCs w:val="18"/>
          <w:i w:val="1"/>
          <w:iCs w:val="1"/>
          <w:color w:val="auto"/>
        </w:rPr>
        <w:t>SNL50: The Homecoming Concert</w:t>
      </w:r>
      <w:r>
        <w:rPr>
          <w:rFonts w:ascii="Times New Roman" w:cs="Times New Roman" w:eastAsia="Times New Roman" w:hAnsi="Times New Roman"/>
          <w:sz w:val="18"/>
          <w:szCs w:val="18"/>
          <w:color w:val="auto"/>
        </w:rPr>
        <w:t xml:space="preserve"> screening in five theaters in North America, and DAZN for the </w:t>
      </w:r>
      <w:r>
        <w:rPr>
          <w:rFonts w:ascii="Times New Roman" w:cs="Times New Roman" w:eastAsia="Times New Roman" w:hAnsi="Times New Roman"/>
          <w:sz w:val="18"/>
          <w:szCs w:val="18"/>
          <w:i w:val="1"/>
          <w:iCs w:val="1"/>
          <w:color w:val="auto"/>
        </w:rPr>
        <w:t xml:space="preserve">PSG v Marseille Le Classique Match </w:t>
      </w:r>
      <w:r>
        <w:rPr>
          <w:rFonts w:ascii="Times New Roman" w:cs="Times New Roman" w:eastAsia="Times New Roman" w:hAnsi="Times New Roman"/>
          <w:sz w:val="18"/>
          <w:szCs w:val="18"/>
          <w:color w:val="auto"/>
        </w:rPr>
        <w:t>screening. In addition, the Company continues to partner with A24 for a monthly one-night-only IMAX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classic A24 titles, including </w:t>
      </w:r>
      <w:r>
        <w:rPr>
          <w:rFonts w:ascii="Times New Roman" w:cs="Times New Roman" w:eastAsia="Times New Roman" w:hAnsi="Times New Roman"/>
          <w:sz w:val="18"/>
          <w:szCs w:val="18"/>
          <w:i w:val="1"/>
          <w:iCs w:val="1"/>
          <w:color w:val="auto"/>
        </w:rPr>
        <w:t>Talk to 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Moonlight,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Spring Breakers</w:t>
      </w:r>
      <w:r>
        <w:rPr>
          <w:rFonts w:ascii="Times New Roman" w:cs="Times New Roman" w:eastAsia="Times New Roman" w:hAnsi="Times New Roman"/>
          <w:sz w:val="18"/>
          <w:szCs w:val="18"/>
          <w:color w:val="auto"/>
        </w:rPr>
        <w:t xml:space="preserve"> in the first quarter of 2025.</w:t>
      </w:r>
    </w:p>
    <w:p>
      <w:pPr>
        <w:spacing w:after="0" w:line="20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4"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2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JRSA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3"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w:t>
      </w:r>
    </w:p>
    <w:p>
      <w:pPr>
        <w:sectPr>
          <w:pgSz w:w="11900" w:h="16838" w:orient="portrait"/>
          <w:cols w:equalWidth="0" w:num="1">
            <w:col w:w="11240"/>
          </w:cols>
          <w:pgMar w:left="320" w:top="3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arrangement. JRSAs drive recurring cash flows and earnings for the Company as customers under these arrangements pay the Company a portion of their ongoing box office receipts. The Company funds its investment in equipment for JRSAs through cash flows from operations. As of March 31, 2025, the Company had 893 locations under joint revenue sharing arrangements in its global commercial multiplex network. The Company also had contracts in backlog for 346 systems under joint revenue sharing arrangements as of March 31, 2025, including 152 upgrades to existing locations and 194 new locations.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234" w:lineRule="exact"/>
        <w:rPr>
          <w:sz w:val="20"/>
          <w:szCs w:val="20"/>
          <w:color w:val="auto"/>
        </w:rPr>
      </w:pPr>
    </w:p>
    <w:p>
      <w:pPr>
        <w:ind w:left="780" w:hanging="383"/>
        <w:spacing w:after="0" w:line="282"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 for both on-demand and live content.</w:t>
      </w:r>
    </w:p>
    <w:p>
      <w:pPr>
        <w:spacing w:after="0" w:line="188"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 it in IMAX Enhanced - end-to-end technology solution that dynamically improves video and audio fidelity for live and on-demand content.</w:t>
      </w:r>
    </w:p>
    <w:p>
      <w:pPr>
        <w:spacing w:after="0" w:line="185" w:lineRule="exact"/>
        <w:rPr>
          <w:sz w:val="20"/>
          <w:szCs w:val="20"/>
          <w:color w:val="auto"/>
        </w:rPr>
      </w:pPr>
    </w:p>
    <w:p>
      <w:pPr>
        <w:ind w:firstLine="194"/>
        <w:spacing w:after="0" w:line="230" w:lineRule="auto"/>
        <w:rPr>
          <w:sz w:val="20"/>
          <w:szCs w:val="20"/>
          <w:color w:val="auto"/>
        </w:rPr>
      </w:pPr>
      <w:r>
        <w:rPr>
          <w:rFonts w:ascii="Times New Roman" w:cs="Times New Roman" w:eastAsia="Times New Roman" w:hAnsi="Times New Roman"/>
          <w:sz w:val="18"/>
          <w:szCs w:val="18"/>
          <w:color w:val="auto"/>
        </w:rPr>
        <w:t>These products are powered by IMAX VisionScience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AI technology that allows streaming platforms and broadcasters to automate workflows. The Company believes that these products allow users to deliver the highest quality viewing experiences to their subscribers while reducing costs.</w:t>
      </w:r>
    </w:p>
    <w:p>
      <w:pPr>
        <w:sectPr>
          <w:pgSz w:w="11900" w:h="16838" w:orient="portrait"/>
          <w:cols w:equalWidth="0" w:num="1">
            <w:col w:w="11240"/>
          </w:cols>
          <w:pgMar w:left="320" w:top="364" w:right="339" w:bottom="1440" w:gutter="0" w:footer="0" w:header="0"/>
        </w:sectPr>
      </w:pPr>
    </w:p>
    <w:p>
      <w:pPr>
        <w:spacing w:after="0" w:line="225"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streaming content and best-in-class entertainment devices, offering including the following features: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into the home. IMAX Enhanced provides end-to-end premium technology across consumers high-fidelity playback of image and sound in the home and beyond,</w:t>
      </w:r>
    </w:p>
    <w:p>
      <w:pPr>
        <w:spacing w:after="0" w:line="402" w:lineRule="exact"/>
        <w:rPr>
          <w:sz w:val="20"/>
          <w:szCs w:val="20"/>
          <w:color w:val="auto"/>
        </w:rPr>
      </w:pPr>
    </w:p>
    <w:p>
      <w:pPr>
        <w:sectPr>
          <w:pgSz w:w="11900" w:h="16838" w:orient="portrait"/>
          <w:cols w:equalWidth="0" w:num="2">
            <w:col w:w="5060" w:space="0"/>
            <w:col w:w="6180"/>
          </w:cols>
          <w:pgMar w:left="320" w:top="364" w:right="339" w:bottom="1440" w:gutter="0" w:footer="0" w:header="0"/>
          <w:type w:val="continuous"/>
        </w:sectPr>
      </w:pPr>
    </w:p>
    <w:p>
      <w:pPr>
        <w:spacing w:after="0" w:line="2" w:lineRule="exact"/>
        <w:rPr>
          <w:sz w:val="20"/>
          <w:szCs w:val="20"/>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Xiaomi, Sound United and Honor, among others. As of March 31, 2025, more than 300 IMAX Enhanced titles had been released across six of the biggest streaming platforms worldwide: Disney+, Sony Pictures CORE, Tencent Video, iQiyi, Yonku and Rakuten TV. Over 15 million IMAX Enhanced certified devices are estimated to be in use today.</w:t>
      </w:r>
    </w:p>
    <w:p>
      <w:pPr>
        <w:spacing w:after="0" w:line="20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IMAX Streaming and Consumer Technology is part of the Company’s next evolutionary step to extend the IMAX brand and technology further into new use cases, including streaming entertainment and the consumer electronics market.</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and offering production advice and technical assistance to both documentary and Hollywood filmmakers.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March 31, 2025 and 2024. For additional information regarding the composition of the IMAX network, see “Marketing and Customers” in Part I, Item 1 of the Company’s 2024 Form 10-K.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2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20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0"/>
        </w:trPr>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1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7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2024 Form 10-K.)</w:t>
      </w:r>
    </w:p>
    <w:p>
      <w:pPr>
        <w:spacing w:after="0" w:line="207"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1,738 IMAX Systems operating as of March 31, 2025, representing a market penetration of only 48%. The Company believes that the majority of its future growth will come from international markets. As of March 31, 2025,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2024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Systems operating in multiplex locations by arrangement type and geographic location as of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0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6"/>
        </w:trPr>
        <w:tc>
          <w:tcPr>
            <w:tcW w:w="4620" w:type="dxa"/>
            <w:vAlign w:val="bottom"/>
          </w:tcPr>
          <w:p>
            <w:pPr>
              <w:spacing w:after="0"/>
              <w:rPr>
                <w:sz w:val="20"/>
                <w:szCs w:val="20"/>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JRSA</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locations.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0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56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JRSA</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4"/>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3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March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w:t>
            </w: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8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except number of systems)</w:t>
            </w: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3"/>
                <w:szCs w:val="23"/>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6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230,961</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9" w:lineRule="exact"/>
        <w:rPr>
          <w:rFonts w:ascii="Times New Roman" w:cs="Times New Roman" w:eastAsia="Times New Roman" w:hAnsi="Times New Roman"/>
          <w:sz w:val="14"/>
          <w:szCs w:val="14"/>
          <w:i w:val="1"/>
          <w:iCs w:val="1"/>
          <w:color w:val="auto"/>
        </w:rPr>
      </w:pPr>
    </w:p>
    <w:p>
      <w:pPr>
        <w:jc w:val="both"/>
        <w:ind w:left="360" w:right="40" w:hanging="334"/>
        <w:spacing w:after="0" w:line="262" w:lineRule="auto"/>
        <w:tabs>
          <w:tab w:leader="none" w:pos="352"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spacing w:after="0" w:line="342"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dollar value fluctuates depending on the number of new arrangements signed from year-to-year, which adds to backlog, and the installation and</w:t>
      </w:r>
    </w:p>
    <w:p>
      <w:pPr>
        <w:sectPr>
          <w:pgSz w:w="11900" w:h="16838" w:orient="portrait"/>
          <w:cols w:equalWidth="0" w:num="1">
            <w:col w:w="11240"/>
          </w:cols>
          <w:pgMar w:left="320" w:top="364" w:right="339" w:bottom="852"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52"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21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6"/>
        </w:trPr>
        <w:tc>
          <w:tcPr>
            <w:tcW w:w="4620" w:type="dxa"/>
            <w:vAlign w:val="bottom"/>
          </w:tcPr>
          <w:p>
            <w:pPr>
              <w:spacing w:after="0"/>
              <w:rPr>
                <w:sz w:val="20"/>
                <w:szCs w:val="20"/>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JRSA</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2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516 includes 254 new IMAX Laser Systems and 161 upgrades of existing locations to IMAX Laser Systems.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JRSA</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2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4"/>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442 includes 261 new IMAX Laser Systems and 62 upgrades of existing locations to IMAX Laser Systems.</w:t>
      </w:r>
    </w:p>
    <w:p>
      <w:pPr>
        <w:spacing w:after="0" w:line="35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Approximately 74% of IMAX System arrangements in backlog as of March 31, 2025 are scheduled to be installed in international markets (2024 — 32%). The Company’s system backlog in Greater China represents 45% (2024 — 46%) of its total current backlog, including 191 new IMAX Systems and 43 upgrades (2024 — 195 new and 10 upgrades).</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 Item 1A. of the Company’s 2024 Form 10-K.)</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months ended March 31, 2025 and 2024:</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System Signings: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Traditional JRSA</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p>
      <w:pPr>
        <w:spacing w:after="0" w:line="97" w:lineRule="exact"/>
        <w:rPr>
          <w:sz w:val="20"/>
          <w:szCs w:val="20"/>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IMAX System upgrades of 58 for the three months ended March 31, 2025 (2024 ― no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20745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1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493"/>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2074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62"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72" w:lineRule="exact"/>
        <w:rPr>
          <w:sz w:val="20"/>
          <w:szCs w:val="20"/>
          <w:color w:val="auto"/>
        </w:rPr>
      </w:pPr>
    </w:p>
    <w:p>
      <w:pPr>
        <w:sectPr>
          <w:pgSz w:w="11900" w:h="16838" w:orient="portrait"/>
          <w:cols w:equalWidth="0" w:num="2">
            <w:col w:w="7260" w:space="720"/>
            <w:col w:w="3260"/>
          </w:cols>
          <w:pgMar w:left="320" w:top="36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60" w:right="20" w:hanging="334"/>
        <w:spacing w:after="0" w:line="268" w:lineRule="auto"/>
        <w:tabs>
          <w:tab w:leader="none" w:pos="352"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Three IMAX Systems were relocated from their original location for the three months ended March 31, 2025 (2024 ― one).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seven IMAX System upgrades for the three months ended March 31, 2025 (2024 ― three upgrades).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alternative content to be exhibited across the IMAX network; (ii) the signing, installation, and financial performance of IMAX System arrangements; (iii) the success of the Company’s investments in business evolution and brand extensions into streaming and consumer technology; (iv) revenues and gross margins earned by the Company’s segments;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and 2024</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share amounts, as well as adjusted net income attributable to common shareholders* and adjusted net income attributable to common shareholders per share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7"/>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Company’s revenues and gross margin increased by $7.5 million, or 10%, and $6.3 million, or 13%, respectively, when compared to same period in 2024, principally due to a higher number of installations and stronger IMAX box office performance driven by the record Chinese New Year period.</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3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8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w:t>
      </w:r>
    </w:p>
    <w:p>
      <w:pPr>
        <w:spacing w:after="0" w:line="207"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 xml:space="preserve">For the three months ended March 31, 2025, Content Solutions segment revenues and gross margin increased by $0.2 million, or less than 1%, and $1.5 million, or 7%, respectively, when compared to the same period in 2024. In the three months ended March 31, 2025, box office generated by IMAX films, including booking fees, totaled $298.2 million, a $30.9 million, or 12%, increase versus the prior year comparative period of $267.3 million, while IMAX box office excluding booking fees totaled $280.7 million, a $20.0 million or 8% increase versus the prior year comparative of $260.7 million. The growth was primarily driven by the stronger IMAX box office performance of the IMAX local language film slate in 2025. During the three months ended March 31, 2025, IMAX box office was generated by the exhibition of 34 films and other content (33 new films and 1 re-release), including the following Hollywood titles, </w:t>
      </w:r>
      <w:r>
        <w:rPr>
          <w:rFonts w:ascii="Times New Roman" w:cs="Times New Roman" w:eastAsia="Times New Roman" w:hAnsi="Times New Roman"/>
          <w:sz w:val="18"/>
          <w:szCs w:val="18"/>
          <w:i w:val="1"/>
          <w:iCs w:val="1"/>
          <w:color w:val="auto"/>
        </w:rPr>
        <w:t>Captain America: Brave New World</w:t>
      </w:r>
      <w:r>
        <w:rPr>
          <w:rFonts w:ascii="Times New Roman" w:cs="Times New Roman" w:eastAsia="Times New Roman" w:hAnsi="Times New Roman"/>
          <w:sz w:val="18"/>
          <w:szCs w:val="18"/>
          <w:color w:val="auto"/>
        </w:rPr>
        <w:t xml:space="preserve"> ($27 million)</w:t>
      </w:r>
      <w:r>
        <w:rPr>
          <w:rFonts w:ascii="Times New Roman" w:cs="Times New Roman" w:eastAsia="Times New Roman" w:hAnsi="Times New Roman"/>
          <w:sz w:val="18"/>
          <w:szCs w:val="18"/>
          <w:i w:val="1"/>
          <w:iCs w:val="1"/>
          <w:color w:val="auto"/>
        </w:rPr>
        <w:t>, Mickey 17</w:t>
      </w:r>
      <w:r>
        <w:rPr>
          <w:rFonts w:ascii="Times New Roman" w:cs="Times New Roman" w:eastAsia="Times New Roman" w:hAnsi="Times New Roman"/>
          <w:sz w:val="18"/>
          <w:szCs w:val="18"/>
          <w:color w:val="auto"/>
        </w:rPr>
        <w:t xml:space="preserve"> ($11 million)</w:t>
      </w:r>
      <w:r>
        <w:rPr>
          <w:rFonts w:ascii="Times New Roman" w:cs="Times New Roman" w:eastAsia="Times New Roman" w:hAnsi="Times New Roman"/>
          <w:sz w:val="18"/>
          <w:szCs w:val="18"/>
          <w:i w:val="1"/>
          <w:iCs w:val="1"/>
          <w:color w:val="auto"/>
        </w:rPr>
        <w:t>, Mufasa: The Lion King</w:t>
      </w:r>
      <w:r>
        <w:rPr>
          <w:rFonts w:ascii="Times New Roman" w:cs="Times New Roman" w:eastAsia="Times New Roman" w:hAnsi="Times New Roman"/>
          <w:sz w:val="18"/>
          <w:szCs w:val="18"/>
          <w:color w:val="auto"/>
        </w:rPr>
        <w:t xml:space="preserve"> ($10 million) and </w:t>
      </w:r>
      <w:r>
        <w:rPr>
          <w:rFonts w:ascii="Times New Roman" w:cs="Times New Roman" w:eastAsia="Times New Roman" w:hAnsi="Times New Roman"/>
          <w:sz w:val="18"/>
          <w:szCs w:val="18"/>
          <w:i w:val="1"/>
          <w:iCs w:val="1"/>
          <w:color w:val="auto"/>
        </w:rPr>
        <w:t>Interstellar</w:t>
      </w:r>
      <w:r>
        <w:rPr>
          <w:rFonts w:ascii="Times New Roman" w:cs="Times New Roman" w:eastAsia="Times New Roman" w:hAnsi="Times New Roman"/>
          <w:sz w:val="18"/>
          <w:szCs w:val="18"/>
          <w:color w:val="auto"/>
        </w:rPr>
        <w:t xml:space="preserve"> ($10 million) which was originally released in a prior year. In the three months ended March 31, 2025, local language films exhibited across the Company’s global network generated over $202 million in box office, representing 68% of its global box office. The Chinese local language film, </w:t>
      </w:r>
      <w:r>
        <w:rPr>
          <w:rFonts w:ascii="Times New Roman" w:cs="Times New Roman" w:eastAsia="Times New Roman" w:hAnsi="Times New Roman"/>
          <w:sz w:val="18"/>
          <w:szCs w:val="18"/>
          <w:i w:val="1"/>
          <w:iCs w:val="1"/>
          <w:color w:val="auto"/>
        </w:rPr>
        <w:t>Ne Za 2,</w:t>
      </w:r>
      <w:r>
        <w:rPr>
          <w:rFonts w:ascii="Times New Roman" w:cs="Times New Roman" w:eastAsia="Times New Roman" w:hAnsi="Times New Roman"/>
          <w:sz w:val="18"/>
          <w:szCs w:val="18"/>
          <w:color w:val="auto"/>
        </w:rPr>
        <w:t xml:space="preserve"> became the highest grossing IMAX release of all time in China ($161 million, including booking fees) and contributed to the highest grossing Chinese New Year in the Company’s history. In the three months ended March 31, 2024, IMAX box office was generated by the exhibition of 26 films (19 new films and 7 re-releases),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which generated box office of over $132 million.</w:t>
      </w:r>
    </w:p>
    <w:p>
      <w:pPr>
        <w:spacing w:after="0" w:line="21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three months ended March 31, 2025, gross margin percent was 69% compared to 65% in the prior quarter period. The increase was due to the higher level of IMAX box office and the profit that incrementally ensues when individual titles generate higher levels of box office.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under sales arrangements and the associated revenue recognized during the three months ended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9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7"/>
        </w:trPr>
        <w:tc>
          <w:tcPr>
            <w:tcW w:w="46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7"/>
        </w:trPr>
        <w:tc>
          <w:tcPr>
            <w:tcW w:w="46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Included in the table above are three IMAX Systems that were relocated from their original locations (2024 ― one IMAX System).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Technology Products and Services segment revenue and gross margin increased by $7.4 million, or 17%, and $5.5 million, or 23%, respectively, when compared to the same period in the prior year, The higher level of revenue is primarily driven by a greater number of sales installations and renewals and a higher level of rental revenues, which are box office dependent. Rental revenues increased by $0.5 million, as a result of growth in GBO from JRSAs, which increased by $14.7 million, or 12%, in the three months ended March 31, 2025 when compared to the prior year comparative period, from $125.4 million to $140.1 million.</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gross margin percent was 57% compared to 55% in the prior period, which primarily reflects the higher level of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All Other revenue and gross margin decreased by $0.1 million, or 7%, and $0.7 million, or 56%, respectively, when compared to the same period in 2024, which principally reflects the lower box office performance of the Company’s one owned and operated theater.</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33,462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(4,720)</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(4,337)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28,742</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26,920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60" w:right="20" w:hanging="334"/>
        <w:spacing w:after="0" w:line="272" w:lineRule="auto"/>
        <w:tabs>
          <w:tab w:leader="none" w:pos="352"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 and Expenses Applicable to Revenue, Research and Development and Executive transition costs. (Refer to “Capital Stock and Reserves — Share-Based Compensation” in Note 11 of Notes to Condensed Consolidated Financial Statements in Part I, Item 1.)</w:t>
      </w:r>
    </w:p>
    <w:p>
      <w:pPr>
        <w:ind w:left="340" w:hanging="314"/>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higher level of Selling, General and Administrative Expenses year-over-year reflects the timing of industry events, marketing expenses, and higher professional service fees.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Research and Development expenses were $1.3 million, representing a decrease of $0.9 million, or 40%, when compared to Research and Development expenses of $2.2 million during the same period in the prior year. The reduction year-over-year was primarily driven by the capitalization of film camera costs in accordance with the achievement of technological feasibility in 2024. The Company continues to expense its investment in other projects, including in the development of new Streaming and Technology product offerings and improvements to its existing IMAX System product suite.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 credit loss reversal of $0.1 million, as compared to a credit loss expense of less than $0.1 million recognized in the prior year.</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interest expense was $1.8 million, representing a decrease of $0.1 million, or 7%, as compared to $1.9 million during the same period of the prior year. For the three months ended March 31, 2025 and 2024, interest income was $0.5 million and $0.5 million, respectively.</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an income tax expense of $7.3 million (2024 — tax expense of $5.2 million). The Company’s effective tax rate of 47.2% for the three months ended March 31, 2025 reflects the geographic allocation of income earned in taxing jurisdictions and also reflects an increase in the valuation allowance, withholding taxes and a tax benefit related to share-based compensation. The Company’s effective tax rate of 48.8% for the three months ended March 31, 2024, reflects the geographic allocation of income earned in taxing jurisdictions and also reflects an increase in the valuation allowance, withholding taxes and a tax expense related to share-based compensation.</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net income attributable to non-controlling interests of the Company’s subsidiaries was $5.8 million, an increase of $3.7 million, when compared to the same period in 2024, primarily due to the higher IMAX box office earned in Greater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2025 AND 2024</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Condensed Consolidated Statements of Cash Flows for the three months ended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Net cash provided by the Company’s operating activities increased $17.9 million in the three months ended March 31, 2025, primarily due to a decrease in cash used for working capital expenditures. (Refer to Note 9 to Condensed Consolidated Financial Statements in Item 1. for more information on the Company’s change in other operating assets and liabilities.)</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$7.5 million in the three months ended March 31, 2025, primarily due to an increase in the level of investment in equipment contributed to the Company’s JRSAs with exhibitor customers and capital expenditures.</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$18.6 million in the three months ended March 31, 2025, mainly driven by a decrease in net borrowings under the revolving credit facilities and an increase in cash paid for taxes withheld on employee stock awards vested. No share repurchases were made or dividends paid in the three months ended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As of March 31, 2025, the Company’s principal sources of liquidity included: (i) its balances of cash and cash equivalents of $97.1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addition, as of March 31, 2025, the Company had $250.0 million in available borrowing capacity under its Sixth Amended and Restated Credit Agreement (the “Credit Agreement”), $26.5 million in available borrowing capacity under the IMAX (Shanghai) Multimedia Technology Co., Ltd. (“IMAX Shanghai”) revolving credit facility with the Bank of China (the “Bank of China Facility”), and $27.9 million in available borrowing capacity under IMAX Shanghai’s revolving credit facility with HSBC Bank (China) Company Limited, Shanghai Branch (the “HSBC China Facility”). (Refer to “Borrowings — Revolving Credit Facility Borrowings, Net” in Note 6 of Notes to Condensed Consolidated Financial Statements in Part I, Item 1 for a description of the material terms of the Credit Agreement, the Bank of China Facility, and the HSBC Facility.)</w:t>
      </w:r>
    </w:p>
    <w:p>
      <w:pPr>
        <w:spacing w:after="0" w:line="21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$97.1 million balance of cash and cash equivalents as of March 31, 2025 (December 31, 2024 — $100.6 million) includes $91.3 million in cash held outside of Canada (December 31, 2024 — $85.4 million), of which $53.9 million was held in the People’s Republic of China (the “PRC”) (December 31, 2024 — $47.5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three months ended March 31, 2025, no historical earnings from a subsidiary in PRC were distributed (2024 — $nil) and, as a result, no foreign withholding taxes were paid to the relevant tax authorities (2024 — $nil). As of March 31, 2025, the Company’s Condensed Consolidated Balance Sheets included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2024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March 31, 2025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3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9"/>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20"/>
                <w:szCs w:val="20"/>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6"/>
                <w:szCs w:val="16"/>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3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355,871</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260,072</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9" w:lineRule="exact"/>
        <w:rPr>
          <w:rFonts w:ascii="Times New Roman" w:cs="Times New Roman" w:eastAsia="Times New Roman" w:hAnsi="Times New Roman"/>
          <w:sz w:val="14"/>
          <w:szCs w:val="14"/>
          <w:i w:val="1"/>
          <w:iCs w:val="1"/>
          <w:color w:val="auto"/>
        </w:rPr>
      </w:pPr>
    </w:p>
    <w:p>
      <w:pPr>
        <w:ind w:left="360" w:right="40" w:hanging="334"/>
        <w:spacing w:after="0" w:line="260" w:lineRule="auto"/>
        <w:tabs>
          <w:tab w:leader="none" w:pos="352"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spacing w:after="0" w:line="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w:t>
      </w:r>
    </w:p>
    <w:p>
      <w:pPr>
        <w:spacing w:after="0" w:line="4" w:lineRule="exact"/>
        <w:rPr>
          <w:rFonts w:ascii="Times New Roman" w:cs="Times New Roman" w:eastAsia="Times New Roman" w:hAnsi="Times New Roman"/>
          <w:sz w:val="14"/>
          <w:szCs w:val="14"/>
          <w:i w:val="1"/>
          <w:iCs w:val="1"/>
          <w:color w:val="auto"/>
        </w:rPr>
      </w:pPr>
    </w:p>
    <w:p>
      <w:pPr>
        <w:ind w:left="360" w:right="200" w:hanging="334"/>
        <w:spacing w:after="0" w:line="259" w:lineRule="auto"/>
        <w:tabs>
          <w:tab w:leader="none" w:pos="352"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is repayable over 36 months, with repayments commencing January 2024. (Refer to “Borrowings — Convertible Notes and Other Borrowings, Net” in Note 6 of Notes to Condensed Consolidated Financial Statements in Part I, Item 1.)</w:t>
      </w: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$230.0 million, payable semi-annually in arrears on April 1 and October 1 of each year. The</w:t>
      </w:r>
    </w:p>
    <w:p>
      <w:pPr>
        <w:spacing w:after="0" w:line="40" w:lineRule="exact"/>
        <w:rPr>
          <w:rFonts w:ascii="Times New Roman" w:cs="Times New Roman" w:eastAsia="Times New Roman" w:hAnsi="Times New Roman"/>
          <w:sz w:val="14"/>
          <w:szCs w:val="14"/>
          <w:i w:val="1"/>
          <w:iCs w:val="1"/>
          <w:color w:val="auto"/>
        </w:rPr>
      </w:pPr>
    </w:p>
    <w:p>
      <w:pPr>
        <w:ind w:left="360" w:right="160"/>
        <w:spacing w:after="0" w:line="305"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Convertible Notes will mature on April 1, 2026, unless earlier repurchased, redeemed or converted. (Refer to “Borrowings — Convertible Notes and Other Borrowings, Net” in Note 6 of Notes to Condensed Consolidated Financial Statements in Part I, Item 1.)</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2024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3" w:lineRule="exact"/>
        <w:rPr>
          <w:sz w:val="20"/>
          <w:szCs w:val="20"/>
          <w:color w:val="auto"/>
        </w:rPr>
      </w:pPr>
    </w:p>
    <w:p>
      <w:pPr>
        <w:ind w:left="640" w:hanging="43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52"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left="640" w:hanging="43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52"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52"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Selling, general and administrative expenses.</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and (iii) restructuring and other charges, as well as the related tax impact of these adjustments.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7"/>
        </w:trPr>
        <w:tc>
          <w:tcPr>
            <w:tcW w:w="54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restructuring and other charges; and (iv) write-downs, net of recoveries, including asset impairments and credit loss expense or reversal.</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9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r>
      <w:tr>
        <w:trPr>
          <w:trHeight w:val="243"/>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r>
      <w:tr>
        <w:trPr>
          <w:trHeight w:val="270"/>
        </w:trPr>
        <w:tc>
          <w:tcPr>
            <w:tcW w:w="9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r>
      <w:tr>
        <w:trPr>
          <w:trHeight w:val="243"/>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7"/>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36,975</w:t>
            </w:r>
          </w:p>
        </w:tc>
      </w:tr>
      <w:tr>
        <w:trPr>
          <w:trHeight w:val="27"/>
        </w:trPr>
        <w:tc>
          <w:tcPr>
            <w:tcW w:w="9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r>
      <w:tr>
        <w:trPr>
          <w:trHeight w:val="26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40" w:hanging="320"/>
        <w:spacing w:after="0"/>
        <w:tabs>
          <w:tab w:leader="none" w:pos="5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04"/>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9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43"/>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7"/>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65,252</w:t>
            </w:r>
          </w:p>
        </w:tc>
      </w:tr>
      <w:tr>
        <w:trPr>
          <w:trHeight w:val="270"/>
        </w:trPr>
        <w:tc>
          <w:tcPr>
            <w:tcW w:w="9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43"/>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113,562</w:t>
            </w:r>
          </w:p>
        </w:tc>
      </w:tr>
      <w:tr>
        <w:trPr>
          <w:trHeight w:val="243"/>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r>
      <w:tr>
        <w:trPr>
          <w:trHeight w:val="27"/>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7"/>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143,860</w:t>
            </w:r>
          </w:p>
        </w:tc>
      </w:tr>
      <w:tr>
        <w:trPr>
          <w:trHeight w:val="27"/>
        </w:trPr>
        <w:tc>
          <w:tcPr>
            <w:tcW w:w="9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w:t>
            </w:r>
          </w:p>
        </w:tc>
      </w:tr>
      <w:tr>
        <w:trPr>
          <w:trHeight w:val="26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124,677</w:t>
            </w:r>
          </w:p>
        </w:tc>
      </w:tr>
      <w:tr>
        <w:trPr>
          <w:trHeight w:val="21"/>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hanging="312"/>
        <w:spacing w:after="0"/>
        <w:tabs>
          <w:tab w:leader="none" w:pos="50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7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33,462</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31,257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38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(4,720)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(4,337)</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28,742</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For example, the impact of changes in foreign currency valuations versus the U.S. Dollar led to a decrease in IMAX GBO of approximately $5 million in 2024 as compared to the prior year’s currency rates, and approximately $36 million as compared to those in 2019.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2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381.4 million ($53.9 million) in cash and cash equivalents as of March 31, 2025 (December 31, 2024 — RMB 341.1 million or $47.5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this Form 10-Q.)</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 foreign exchange net loss of $0.4 million, resulting from changes in exchange rates related to foreign currency denominated monetary assets and liabilities (2024 — net loss of $0.3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2025,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2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March 31, 2025 was $53.8 million (December 31, 2024 — $48.4 million). Losses of $0.7 million was recorded to Other Comprehensive Income with respect to the change in fair value of these contracts for the three months ended March 31, 2025, (2024 — losses of less than $0.1 million). Losses of $1.3 million were reclassified from Accumulated Other Comprehensive Income to Selling, General and Administrative Expenses for the three months ended March 31, 2025 (2024 — losses of $1.0 million). The Company currently does not hold any derivatives which are not designated as hedging instruments.</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w:t>
      </w:r>
      <w:r>
        <w:rPr>
          <w:rFonts w:ascii="Times New Roman" w:cs="Times New Roman" w:eastAsia="Times New Roman" w:hAnsi="Times New Roman"/>
          <w:sz w:val="18"/>
          <w:szCs w:val="18"/>
          <w:b w:val="1"/>
          <w:bCs w:val="1"/>
          <w:color w:val="auto"/>
        </w:rPr>
        <w:t>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As of March 31, 2025, the Company’s Financing Receivables and working capital items denominated in Canadian Dollars, RMB, Japanese Yen, Euros and other foreign currencies translated into U.S. Dollars was $178.9 million. Assuming a 10% appreciation or depreciation in foreign currency exchange rates from the quoted foreign currency exchange rates as of March 31, 2025, the potential change in the fair value of foreign currency-denominated financing receivables and working capital items would have been $17.9 million. A significant portion of the Company’s Selling, General, and Administrative Expenses is denominated in Canadian Dollars. Assuming a 1% change appreciation or depreciation in foreign currency exchange rates as of March 31, 2025, the potential change in the amount of Selling, General, and Administrative Expenses would be $0.1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drawn down $50.0 million on its Credit Facility (December 31, 2024 — $37.0 million), and $nil on its HSBC China Facility (December 31, 2024 — $nil) and $nil on its Bank of China Facility (December 31, 2024 — $nil), which are subject to variable effective interest rates.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11% and 8% of its total liabilities as of March 31, 2025 and December 31, 2024, respectively. If the interest rates available to the Company increased by 10%, the Company’s interest expense would increase by $0.3 million and interest income from cash would increase by $0.3 million. These amounts are determined by considering the impact of the hypothetical interest rates on the Company’s variable rate debt and cash balances as of March 31, 2025.</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Exchange Act Rules 13a-15(e) or 15d-15(e)) as of March 31, 2025 and has concluded that, as of the end of the period covered by this report, the Company’s disclosure controls and procedures were effective.</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2024 Form 10-K, which describes various risks and uncertainties to which the Company is or may become subject. The risk factor below updates certain risk factors included in the Company’s 2024 Form 10-K in light of recent events. The below risk factor and the risk factors included in the Company’s 2024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may be materially adversely affected by the imposition of tariffs and other trade barriers and retaliatory countermeasures implemented by the United States and other governments.</w:t>
      </w:r>
    </w:p>
    <w:p>
      <w:pPr>
        <w:spacing w:after="0" w:line="18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Recently, the U.S. government has implemented substantial and rapidly evolving changes to U.S. trade policies, including increased tariffs and changes in U.S. participation in multilateral trade agreements, while other countries, China and Canada in particular, have undertaken retaliatory measures in response to such changes. These changes could result in increased costs of goods, which may reduce our margins and/or require us to raise prices, decreasing customer demand for our products, and/or fewer imported U.S. films. While the Company does not believe these changes will materially impact its results for 2025, there can be no guarantees that further changes to U.S. trade policy and/or retaliatory actions by other countries will not occur.</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Additionally, uncertainty about global trade relationships has and may continue to increase market volatility, currency exchange rate fluctuation, and economic instability, which may adversely impact the Company’s results of operations. Furthermore, any resulting downturn or increase in geopolitical tensions may adversely impact consumers’ discretionary income and/or adversely affect consumer purchasing behavior, which could have a material adverse effect on box office receipts and on our results of operations and financial condition.</w:t>
      </w:r>
    </w:p>
    <w:p>
      <w:pPr>
        <w:spacing w:after="0" w:line="20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extent and duration of increased tariffs, retaliatory actions, and the resulting impact of both on general economic conditions around the world and on the global filmed entertainment industry in particular, are uncertain and depend on numerous factors, such as the responses of and negotiations among the affected countries. As such, we cannot predict the impact to our business from any future changes to the trading relationships between the U.S. and other countries or the impact of new laws or regulations adopted by the U.S. or other countries. Furthermore, any adverse development in these areas could exacerbate risks discussed in “Risk Factors – The Company conducts business internationally, which exposes it to uncertainties and risks that could negatively affect its operations, sales, and future growth prospects,” “Risk Factors –The Company faces risks in connection with its significant presence in China and the continued expansion of its business there,” and “Risk Factors –General political, social and economic conditions can affect the Company’s business by reducing both revenues generated from existing IMAX Systems and the demand for new IMAX Systems” in Part I, Item 1A of the Company’s 2024 Form 10-K.</w:t>
      </w:r>
    </w:p>
    <w:p>
      <w:pPr>
        <w:spacing w:after="0" w:line="2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2022 and increased in the total share repurchase authority to $400.0 million. In 2023, the Board of Directors approved a 36-month extension to the share repurchase program through June 30, 2026. As of March 31, 2025, the Company had $150.7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spacing w:after="0" w:line="21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repurchase any common shares under the Company’s publicly announced program, and there are no other programs under which the Company repurchases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March 31, 2025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r>
      <w:tr>
        <w:trPr>
          <w:trHeight w:val="176"/>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2"/>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6"/>
        </w:trPr>
        <w:tc>
          <w:tcPr>
            <w:tcW w:w="460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46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150,720,352</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 2025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150,720,352</w:t>
            </w: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150,720,352</w:t>
            </w:r>
          </w:p>
        </w:tc>
      </w:tr>
      <w:tr>
        <w:trPr>
          <w:trHeight w:val="26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of Directors of IMAX China,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of IMAX China,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2025, IMAX China did not repurchase any shares.</w:t>
      </w:r>
    </w:p>
    <w:p>
      <w:pPr>
        <w:spacing w:after="0" w:line="21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(Refer to Note 6 of Notes to Condensed Consolidated Financial Statements in Part I, Item 1 for a summary of the material terms and conditions of the Company’s revolving credit facility, which include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b w:val="1"/>
          <w:bCs w:val="1"/>
          <w:i w:val="1"/>
          <w:iCs w:val="1"/>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10b5- 1 trading arrangement during the Company’s fiscal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9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Amendment Agreement to Employment Agreement, dated as of March 7, 2025, by and between IMAX China (Hong Kong) Limited and</w:t>
            </w: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Daniel Wade Manwaring</w:t>
            </w:r>
          </w:p>
        </w:tc>
        <w:tc>
          <w:tcPr>
            <w:tcW w:w="8040" w:type="dxa"/>
            <w:vAlign w:val="bottom"/>
            <w:tcBorders>
              <w:top w:val="single" w:sz="8" w:color="0000FF"/>
            </w:tcBorders>
            <w:gridSpan w:val="3"/>
          </w:tcPr>
          <w:p>
            <w:pPr>
              <w:spacing w:after="0"/>
              <w:rPr>
                <w:sz w:val="17"/>
                <w:szCs w:val="17"/>
                <w:color w:val="auto"/>
              </w:rPr>
            </w:pPr>
          </w:p>
        </w:tc>
        <w:tc>
          <w:tcPr>
            <w:tcW w:w="340" w:type="dxa"/>
            <w:vAlign w:val="bottom"/>
          </w:tcPr>
          <w:p>
            <w:pPr>
              <w:spacing w:after="0"/>
              <w:rPr>
                <w:sz w:val="17"/>
                <w:szCs w:val="17"/>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April 23, 2025, by Richard L. Gelfond</w:t>
            </w:r>
          </w:p>
        </w:tc>
        <w:tc>
          <w:tcPr>
            <w:tcW w:w="1660" w:type="dxa"/>
            <w:vAlign w:val="bottom"/>
            <w:gridSpan w:val="2"/>
          </w:tcPr>
          <w:p>
            <w:pPr>
              <w:spacing w:after="0"/>
              <w:rPr>
                <w:sz w:val="24"/>
                <w:szCs w:val="24"/>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April 23, 2025, by Natasha Fernandes</w:t>
            </w:r>
          </w:p>
        </w:tc>
        <w:tc>
          <w:tcPr>
            <w:tcW w:w="1700" w:type="dxa"/>
            <w:vAlign w:val="bottom"/>
            <w:gridSpan w:val="3"/>
          </w:tcPr>
          <w:p>
            <w:pPr>
              <w:spacing w:after="0"/>
              <w:rPr>
                <w:sz w:val="24"/>
                <w:szCs w:val="24"/>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April 23, 2025, by Richard L. Gelfond</w:t>
            </w:r>
          </w:p>
        </w:tc>
        <w:tc>
          <w:tcPr>
            <w:tcW w:w="1660" w:type="dxa"/>
            <w:vAlign w:val="bottom"/>
            <w:gridSpan w:val="2"/>
          </w:tcPr>
          <w:p>
            <w:pPr>
              <w:spacing w:after="0"/>
              <w:rPr>
                <w:sz w:val="24"/>
                <w:szCs w:val="24"/>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April 23, 2025, by Natasha Fernandes</w:t>
            </w:r>
          </w:p>
        </w:tc>
        <w:tc>
          <w:tcPr>
            <w:tcW w:w="1700" w:type="dxa"/>
            <w:vAlign w:val="bottom"/>
            <w:gridSpan w:val="3"/>
          </w:tcPr>
          <w:p>
            <w:pPr>
              <w:spacing w:after="0"/>
              <w:rPr>
                <w:sz w:val="24"/>
                <w:szCs w:val="24"/>
                <w:color w:val="auto"/>
              </w:rPr>
            </w:pPr>
          </w:p>
        </w:tc>
      </w:tr>
      <w:tr>
        <w:trPr>
          <w:trHeight w:val="38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7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 PRE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333" w:lineRule="exact"/>
        <w:rPr>
          <w:sz w:val="20"/>
          <w:szCs w:val="20"/>
          <w:color w:val="auto"/>
        </w:rPr>
      </w:pPr>
    </w:p>
    <w:p>
      <w:pPr>
        <w:ind w:left="20"/>
        <w:spacing w:after="0"/>
        <w:tabs>
          <w:tab w:leader="none" w:pos="5580" w:val="left"/>
          <w:tab w:leader="none" w:pos="6020" w:val="left"/>
        </w:tabs>
        <w:rPr>
          <w:sz w:val="20"/>
          <w:szCs w:val="20"/>
          <w:color w:val="auto"/>
        </w:rPr>
      </w:pPr>
      <w:r>
        <w:rPr>
          <w:rFonts w:ascii="Times New Roman" w:cs="Times New Roman" w:eastAsia="Times New Roman" w:hAnsi="Times New Roman"/>
          <w:sz w:val="18"/>
          <w:szCs w:val="18"/>
          <w:color w:val="auto"/>
        </w:rPr>
        <w:t>Date: April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36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AGREEMENT TO EMPLOYMENT AGREEMENT</w:t>
      </w: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AGREEMENT</w:t>
      </w:r>
      <w:r>
        <w:rPr>
          <w:rFonts w:ascii="Times New Roman" w:cs="Times New Roman" w:eastAsia="Times New Roman" w:hAnsi="Times New Roman"/>
          <w:sz w:val="22"/>
          <w:szCs w:val="22"/>
          <w:color w:val="auto"/>
        </w:rPr>
        <w:t xml:space="preserve"> to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is dated as of March 7, 2025, with effect from January 1, 2025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IMAX CHINA (HONG KONG) LIMITED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DANIEL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WADE MANWARING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have entered into an employment agreement dated as of January 9, 2023,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by an amendment agreement to the employment agreement dated as of March 7, 2024 (collectively, the “</w:t>
      </w: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to govern the Executive’s employment with the Company; 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amend certain terms of the Employment Agreement as set forth herein.</w:t>
      </w:r>
    </w:p>
    <w:p>
      <w:pPr>
        <w:spacing w:after="0" w:line="19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of the mutual covenants and agreements herein contained,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agree as follows:</w:t>
      </w:r>
    </w:p>
    <w:p>
      <w:pPr>
        <w:spacing w:after="0" w:line="10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3.5 of the Employment Agreement shall be amended by deleting it in its entirety and replacing it with the following:</w:t>
      </w:r>
    </w:p>
    <w:p>
      <w:pPr>
        <w:spacing w:after="0" w:line="204" w:lineRule="exact"/>
        <w:rPr>
          <w:rFonts w:ascii="Times New Roman" w:cs="Times New Roman" w:eastAsia="Times New Roman" w:hAnsi="Times New Roman"/>
          <w:sz w:val="21"/>
          <w:szCs w:val="21"/>
          <w:color w:val="auto"/>
        </w:rPr>
      </w:pPr>
    </w:p>
    <w:p>
      <w:pPr>
        <w:jc w:val="both"/>
        <w:ind w:left="340"/>
        <w:spacing w:after="0" w:line="28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the 2023 calendar year, the Executive will receive an annual equity award under the IMAX China Rules of the Post-IPO Restricted Share Unit Scheme and Rules of the Post-IPO Performance Share Unit Scheme (the “IMAX China LTIP”) with an aggregate grant date monetary value of $725,000 USD. The Restricted Stock Units (the “RSUs”), the Performance Stock Units (the “PSUs”), and/or other equity vehicles, grant timing and vesting schedules for any annual grant will be consistent with the Company’s standard process and grants given to other senior executives at the time. All grants are subject to the terms and conditions of the IMAX China LTIP equity plans, including the requirement that Executive be employed by the Company on each applicable grant date.</w:t>
      </w:r>
    </w:p>
    <w:p>
      <w:pPr>
        <w:spacing w:after="0" w:line="119" w:lineRule="exact"/>
        <w:rPr>
          <w:rFonts w:ascii="Times New Roman" w:cs="Times New Roman" w:eastAsia="Times New Roman" w:hAnsi="Times New Roman"/>
          <w:sz w:val="21"/>
          <w:szCs w:val="21"/>
          <w:color w:val="auto"/>
        </w:rPr>
      </w:pPr>
    </w:p>
    <w:p>
      <w:pPr>
        <w:jc w:val="both"/>
        <w:ind w:left="340"/>
        <w:spacing w:after="0" w:line="28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the 2024 calendar year, the Executive will receive an annual equity award under IMAX Corporation Long-Term Incentive Plan (the “IMAX LTIP”) with an aggregate grant date monetary value of USD750,000 which consists of 50% of RSUs and 50% of the PSUs. Within the PSUs portion, it's divided into 60% based on earnings before interest, taxes, depreciation, and amortization (“EBIDTA”) performance and 40% based on total shareholder return (“TSR”). Maximum PSU vesting percentage of EBIDTA is 175% and maximum PSU vesting percentage of TSR is 150%. All grants are subject to the terms and conditions of the IMAX LTIP and applicable award agreements, including the requirement that the Executive be employed by the Company on each applicable grant date to receive the grant and that the Executive be employed on the vesting day for vesting to</w:t>
      </w:r>
    </w:p>
    <w:p>
      <w:pPr>
        <w:sectPr>
          <w:pgSz w:w="11900" w:h="16838" w:orient="portrait"/>
          <w:cols w:equalWidth="0" w:num="1">
            <w:col w:w="11240"/>
          </w:cols>
          <w:pgMar w:left="320" w:top="100" w:right="339" w:bottom="1440" w:gutter="0" w:footer="0" w:header="0"/>
        </w:sectPr>
      </w:pPr>
    </w:p>
    <w:bookmarkStart w:id="64" w:name="page65"/>
    <w:bookmarkEnd w:id="64"/>
    <w:p>
      <w:pPr>
        <w:jc w:val="both"/>
        <w:ind w:left="332"/>
        <w:spacing w:after="0" w:line="286" w:lineRule="auto"/>
        <w:rPr>
          <w:sz w:val="20"/>
          <w:szCs w:val="20"/>
          <w:color w:val="auto"/>
        </w:rPr>
      </w:pPr>
      <w:r>
        <w:rPr>
          <w:rFonts w:ascii="Times New Roman" w:cs="Times New Roman" w:eastAsia="Times New Roman" w:hAnsi="Times New Roman"/>
          <w:sz w:val="22"/>
          <w:szCs w:val="22"/>
          <w:color w:val="auto"/>
        </w:rPr>
        <w:t>occur. The vesting schedule of the RSUs granted to the Executive shall be: 33% on the first anniversary of the grant; 33% on the second anniversary of the grant; and 34% on the third anniversary. The PSUs granted will vest in whole or in part promptly following the public disclosure of IMAX Corporation’s financial statements for the year of 2026, unless previously cancelled or forfeited in accordance with the provisions of the PSU Scheme or the Notice of Grant.</w:t>
      </w:r>
    </w:p>
    <w:p>
      <w:pPr>
        <w:spacing w:after="0" w:line="117" w:lineRule="exact"/>
        <w:rPr>
          <w:sz w:val="20"/>
          <w:szCs w:val="20"/>
          <w:color w:val="auto"/>
        </w:rPr>
      </w:pPr>
    </w:p>
    <w:p>
      <w:pPr>
        <w:jc w:val="both"/>
        <w:ind w:left="332"/>
        <w:spacing w:after="0" w:line="279" w:lineRule="auto"/>
        <w:rPr>
          <w:sz w:val="20"/>
          <w:szCs w:val="20"/>
          <w:color w:val="auto"/>
        </w:rPr>
      </w:pPr>
      <w:r>
        <w:rPr>
          <w:rFonts w:ascii="Times New Roman" w:cs="Times New Roman" w:eastAsia="Times New Roman" w:hAnsi="Times New Roman"/>
          <w:sz w:val="22"/>
          <w:szCs w:val="22"/>
          <w:color w:val="auto"/>
        </w:rPr>
        <w:t>In the 2025 calendar year, the Executive will receive an annual equity award under the IMAX LTIP with an aggregate grant date monetary value of USD700,000 which consists of 50% of RSUs and 50% of the PSUs. Within the PSUs portion, it's divided into 60% based on adjusted earnings before interest, taxes, depreciation, and amortization (“Adjusted EBIDTA”) performance and 40% based on TSR. Maximum PSU vesting percentage of Adjusted EBIDTA is 175% and maximum PSU vesting percentage of TSR is 150%. All grants are subject to the terms and conditions of the IMAX LTIP and applicable award agreements, including the requirement that the Executive be employed by the Company on each applicable grant date to receive the grant and that the Executive be employed on the vesting day for vesting to occur. The vesting schedule of the RSUs granted to the Executive shall be: 33% on the first anniversary of the grant; 33% on the second anniversary of the grant; and 34% on the third anniversary. The PSUs granted will vest in whole or in part promptly following the public disclosure of IMAX Corporation’s financial statements for the year of 2027, unless previously cancelled or forfeited in accordance with the provisions of the PSU Scheme or the Notice of Grant.”</w:t>
      </w:r>
    </w:p>
    <w:p>
      <w:pPr>
        <w:spacing w:after="0" w:line="140" w:lineRule="exact"/>
        <w:rPr>
          <w:sz w:val="20"/>
          <w:szCs w:val="20"/>
          <w:color w:val="auto"/>
        </w:rPr>
      </w:pPr>
    </w:p>
    <w:p>
      <w:pPr>
        <w:ind w:left="332" w:hanging="332"/>
        <w:spacing w:after="0" w:line="309" w:lineRule="auto"/>
        <w:tabs>
          <w:tab w:leader="none" w:pos="3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Save as expressly set out in Article 1 above, none of the terms of the Employment Agreement shall be varied and all of the terms of the Employment Agreement shall continue to have full force and effect.</w:t>
      </w:r>
    </w:p>
    <w:p>
      <w:pPr>
        <w:spacing w:after="0" w:line="91" w:lineRule="exact"/>
        <w:rPr>
          <w:rFonts w:ascii="Times New Roman" w:cs="Times New Roman" w:eastAsia="Times New Roman" w:hAnsi="Times New Roman"/>
          <w:sz w:val="22"/>
          <w:szCs w:val="22"/>
          <w:color w:val="auto"/>
        </w:rPr>
      </w:pPr>
    </w:p>
    <w:p>
      <w:pPr>
        <w:ind w:left="332" w:hanging="332"/>
        <w:spacing w:after="0" w:line="309" w:lineRule="auto"/>
        <w:tabs>
          <w:tab w:leader="none" w:pos="3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each of which when executed and delivered shall be an original, and together constitute the same document.</w:t>
      </w:r>
    </w:p>
    <w:p>
      <w:pPr>
        <w:spacing w:after="0" w:line="91"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5.3 (Governing Law) of the Employment Agreement shall apply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232"/>
          </w:cols>
          <w:pgMar w:left="328" w:top="14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this Agreement has been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313"/>
        </w:trPr>
        <w:tc>
          <w:tcPr>
            <w:tcW w:w="4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IMAX CHINA (HONG KONG) LIMITED</w:t>
            </w:r>
          </w:p>
        </w:tc>
        <w:tc>
          <w:tcPr>
            <w:tcW w:w="654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auto"/>
              </w:rPr>
              <w:t>DANIEL WADE MANWARING</w:t>
            </w:r>
          </w:p>
        </w:tc>
        <w:tc>
          <w:tcPr>
            <w:tcW w:w="0" w:type="dxa"/>
            <w:vAlign w:val="bottom"/>
          </w:tcPr>
          <w:p>
            <w:pPr>
              <w:spacing w:after="0"/>
              <w:rPr>
                <w:sz w:val="1"/>
                <w:szCs w:val="1"/>
                <w:color w:val="auto"/>
              </w:rPr>
            </w:pPr>
          </w:p>
        </w:tc>
      </w:tr>
      <w:tr>
        <w:trPr>
          <w:trHeight w:val="526"/>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By: /s/ Yvonne He</w:t>
            </w:r>
          </w:p>
        </w:tc>
        <w:tc>
          <w:tcPr>
            <w:tcW w:w="780" w:type="dxa"/>
            <w:vAlign w:val="bottom"/>
          </w:tcPr>
          <w:p>
            <w:pPr>
              <w:spacing w:after="0"/>
              <w:rPr>
                <w:sz w:val="24"/>
                <w:szCs w:val="24"/>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 Daniel Wade Manwaring</w:t>
            </w:r>
          </w:p>
        </w:tc>
        <w:tc>
          <w:tcPr>
            <w:tcW w:w="0" w:type="dxa"/>
            <w:vAlign w:val="bottom"/>
          </w:tcPr>
          <w:p>
            <w:pPr>
              <w:spacing w:after="0"/>
              <w:rPr>
                <w:sz w:val="1"/>
                <w:szCs w:val="1"/>
                <w:color w:val="auto"/>
              </w:rPr>
            </w:pPr>
          </w:p>
        </w:tc>
      </w:tr>
      <w:tr>
        <w:trPr>
          <w:trHeight w:val="168"/>
        </w:trPr>
        <w:tc>
          <w:tcPr>
            <w:tcW w:w="4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 Yvonne He</w:t>
            </w:r>
          </w:p>
        </w:tc>
        <w:tc>
          <w:tcPr>
            <w:tcW w:w="780" w:type="dxa"/>
            <w:vAlign w:val="bottom"/>
          </w:tcPr>
          <w:p>
            <w:pPr>
              <w:spacing w:after="0"/>
              <w:rPr>
                <w:sz w:val="14"/>
                <w:szCs w:val="14"/>
                <w:color w:val="auto"/>
              </w:rPr>
            </w:pPr>
          </w:p>
        </w:tc>
        <w:tc>
          <w:tcPr>
            <w:tcW w:w="5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6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Title: Director</w:t>
            </w:r>
          </w:p>
        </w:tc>
        <w:tc>
          <w:tcPr>
            <w:tcW w:w="7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By: /s/ Elaine Zhang</w:t>
            </w:r>
          </w:p>
        </w:tc>
        <w:tc>
          <w:tcPr>
            <w:tcW w:w="7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Name: Elaine Zhang</w:t>
            </w:r>
          </w:p>
        </w:tc>
        <w:tc>
          <w:tcPr>
            <w:tcW w:w="7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Title: Director</w:t>
            </w:r>
          </w:p>
        </w:tc>
        <w:tc>
          <w:tcPr>
            <w:tcW w:w="7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240"/>
          </w:cols>
          <w:pgMar w:left="320" w:top="143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52" w:lineRule="exact"/>
        <w:rPr>
          <w:sz w:val="20"/>
          <w:szCs w:val="20"/>
          <w:color w:val="auto"/>
        </w:rPr>
      </w:pPr>
    </w:p>
    <w:p>
      <w:pPr>
        <w:ind w:left="380" w:hanging="319"/>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the registrant, IMAX Corporation;</w:t>
      </w:r>
    </w:p>
    <w:p>
      <w:pPr>
        <w:spacing w:after="0" w:line="252" w:lineRule="exact"/>
        <w:rPr>
          <w:rFonts w:ascii="Times New Roman" w:cs="Times New Roman" w:eastAsia="Times New Roman" w:hAnsi="Times New Roman"/>
          <w:sz w:val="18"/>
          <w:szCs w:val="18"/>
          <w:color w:val="auto"/>
        </w:rPr>
      </w:pPr>
    </w:p>
    <w:p>
      <w:pPr>
        <w:jc w:val="both"/>
        <w:ind w:left="380" w:hanging="319"/>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hanging="319"/>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19"/>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40" w:right="20" w:hanging="331"/>
        <w:spacing w:after="0" w:line="266" w:lineRule="auto"/>
        <w:tabs>
          <w:tab w:leader="none" w:pos="10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40" w:hanging="331"/>
        <w:spacing w:after="0" w:line="282" w:lineRule="auto"/>
        <w:tabs>
          <w:tab w:leader="none" w:pos="10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hanging="319"/>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40" w:right="20" w:hanging="331"/>
        <w:spacing w:after="0" w:line="282" w:lineRule="auto"/>
        <w:tabs>
          <w:tab w:leader="none" w:pos="10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40" w:hanging="331"/>
        <w:spacing w:after="0" w:line="282" w:lineRule="auto"/>
        <w:tabs>
          <w:tab w:leader="none" w:pos="10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23,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8"/>
        </w:trPr>
        <w:tc>
          <w:tcPr>
            <w:tcW w:w="8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8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52" w:lineRule="exact"/>
        <w:rPr>
          <w:sz w:val="20"/>
          <w:szCs w:val="20"/>
          <w:color w:val="auto"/>
        </w:rPr>
      </w:pPr>
    </w:p>
    <w:p>
      <w:pPr>
        <w:ind w:left="380" w:hanging="319"/>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the registrant, IMAX Corporation;</w:t>
      </w:r>
    </w:p>
    <w:p>
      <w:pPr>
        <w:spacing w:after="0" w:line="252" w:lineRule="exact"/>
        <w:rPr>
          <w:rFonts w:ascii="Times New Roman" w:cs="Times New Roman" w:eastAsia="Times New Roman" w:hAnsi="Times New Roman"/>
          <w:sz w:val="18"/>
          <w:szCs w:val="18"/>
          <w:color w:val="auto"/>
        </w:rPr>
      </w:pPr>
    </w:p>
    <w:p>
      <w:pPr>
        <w:jc w:val="both"/>
        <w:ind w:left="380" w:hanging="319"/>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hanging="319"/>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19"/>
        <w:spacing w:after="0" w:line="257"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040" w:right="20" w:hanging="331"/>
        <w:spacing w:after="0" w:line="255" w:lineRule="auto"/>
        <w:tabs>
          <w:tab w:leader="none" w:pos="10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40" w:hanging="331"/>
        <w:spacing w:after="0" w:line="282" w:lineRule="auto"/>
        <w:tabs>
          <w:tab w:leader="none" w:pos="10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hanging="319"/>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40" w:right="20" w:hanging="331"/>
        <w:spacing w:after="0" w:line="282" w:lineRule="auto"/>
        <w:tabs>
          <w:tab w:leader="none" w:pos="10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40" w:hanging="331"/>
        <w:spacing w:after="0" w:line="282" w:lineRule="auto"/>
        <w:tabs>
          <w:tab w:leader="none" w:pos="10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23,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8"/>
        </w:trPr>
        <w:tc>
          <w:tcPr>
            <w:tcW w:w="8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4"/>
        </w:trPr>
        <w:tc>
          <w:tcPr>
            <w:tcW w:w="8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759"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Exhibit 32.1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23, 2025</w:t>
            </w: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05"/>
        </w:trPr>
        <w:tc>
          <w:tcPr>
            <w:tcW w:w="8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2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ectPr>
          <w:pgSz w:w="11900" w:h="16838" w:orient="portrait"/>
          <w:cols w:equalWidth="0" w:num="1">
            <w:col w:w="11240"/>
          </w:cols>
          <w:pgMar w:left="320" w:top="75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23, 2025</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8"/>
        </w:trPr>
        <w:tc>
          <w:tcPr>
            <w:tcW w:w="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7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decimal"/>
      <w:start w:val="5"/>
    </w:lvl>
  </w:abstractNum>
  <w:abstractNum w:abstractNumId="6">
    <w:nsid w:val="4353D0CD"/>
    <w:multiLevelType w:val="hybridMultilevel"/>
    <w:lvl w:ilvl="0">
      <w:lvlJc w:val="left"/>
      <w:lvlText w:val="%1."/>
      <w:numFmt w:val="decimal"/>
      <w:start w:val="6"/>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decimal"/>
      <w:start w:val="8"/>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emdash "/>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2025-04-23T16:08:26Z</dcterms:created>
  <dcterms:modified xsi:type="dcterms:W3CDTF">2025-04-23T16:08:26Z</dcterms:modified>
</cp:coreProperties>
</file>