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289.xml.htm"/>
      <w:bookmarkStart w:id="1" w:name="ksmarketforms7328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LEEBRON DAVID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1701 HERMANN DR.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31G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IMAX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IMAX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5"/>
        <w:gridCol w:w="906"/>
        <w:gridCol w:w="774"/>
        <w:gridCol w:w="601"/>
        <w:gridCol w:w="351"/>
        <w:gridCol w:w="895"/>
        <w:gridCol w:w="460"/>
        <w:gridCol w:w="717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(opening balance)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127,693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(opening balance)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1,300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3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131,083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666"/>
        <w:gridCol w:w="666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conversion upon vesting of restricted share units into common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is the economic equivalent of one common share of IMAX Corporation.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share unit represents a contingent right to receive one common share of IMAX Corporation.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Mr. Leebron received a grant of restricted share units in connection with his membership on the IMAX Corporation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restricted share units vest and convert to common shares on the date of grant, June 11,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Pursuant to Instruction 4(C)(iii), this response has been left blank.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W. Leebron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7448" TargetMode="External"/><Relationship Id="rId5" Type="http://schemas.openxmlformats.org/officeDocument/2006/relationships/hyperlink" Target="http://www.sec.gov/cgi-bin/browse-edgar?action=getcompany&amp;CIK=00009215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700</Words>
  <Characters>3766</Characters>
  <CharactersWithSpaces>4380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