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10, 2026</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IMAX Corporation</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2860" w:type="dxa"/>
            <w:vAlign w:val="bottom"/>
          </w:tcPr>
          <w:p>
            <w:pPr>
              <w:jc w:val="center"/>
              <w:ind w:right="1291"/>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350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001-35066</w:t>
            </w:r>
          </w:p>
        </w:tc>
        <w:tc>
          <w:tcPr>
            <w:tcW w:w="2680" w:type="dxa"/>
            <w:vAlign w:val="bottom"/>
          </w:tcPr>
          <w:p>
            <w:pPr>
              <w:jc w:val="center"/>
              <w:ind w:left="1351"/>
              <w:spacing w:after="0"/>
              <w:rPr>
                <w:sz w:val="20"/>
                <w:szCs w:val="20"/>
                <w:color w:val="auto"/>
              </w:rPr>
            </w:pPr>
            <w:r>
              <w:rPr>
                <w:rFonts w:ascii="Times New Roman" w:cs="Times New Roman" w:eastAsia="Times New Roman" w:hAnsi="Times New Roman"/>
                <w:sz w:val="16"/>
                <w:szCs w:val="16"/>
                <w:b w:val="1"/>
                <w:bCs w:val="1"/>
                <w:color w:val="auto"/>
              </w:rPr>
              <w:t>98-0140269</w:t>
            </w:r>
          </w:p>
        </w:tc>
      </w:tr>
      <w:tr>
        <w:trPr>
          <w:trHeight w:val="175"/>
        </w:trPr>
        <w:tc>
          <w:tcPr>
            <w:tcW w:w="2860" w:type="dxa"/>
            <w:vAlign w:val="bottom"/>
          </w:tcPr>
          <w:p>
            <w:pPr>
              <w:jc w:val="center"/>
              <w:ind w:right="1291"/>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3500" w:type="dxa"/>
            <w:vAlign w:val="bottom"/>
          </w:tcPr>
          <w:p>
            <w:pPr>
              <w:ind w:left="136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680" w:type="dxa"/>
            <w:vAlign w:val="bottom"/>
          </w:tcPr>
          <w:p>
            <w:pPr>
              <w:jc w:val="center"/>
              <w:ind w:left="1351"/>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860" w:type="dxa"/>
            <w:vAlign w:val="bottom"/>
          </w:tcPr>
          <w:p>
            <w:pPr>
              <w:jc w:val="center"/>
              <w:ind w:right="1291"/>
              <w:spacing w:after="0"/>
              <w:rPr>
                <w:sz w:val="20"/>
                <w:szCs w:val="20"/>
                <w:color w:val="auto"/>
              </w:rPr>
            </w:pPr>
            <w:r>
              <w:rPr>
                <w:rFonts w:ascii="Times New Roman" w:cs="Times New Roman" w:eastAsia="Times New Roman" w:hAnsi="Times New Roman"/>
                <w:sz w:val="13"/>
                <w:szCs w:val="13"/>
                <w:b w:val="1"/>
                <w:bCs w:val="1"/>
                <w:color w:val="auto"/>
                <w:w w:val="97"/>
              </w:rPr>
              <w:t>of Incorporation)</w:t>
            </w:r>
          </w:p>
        </w:tc>
        <w:tc>
          <w:tcPr>
            <w:tcW w:w="3500" w:type="dxa"/>
            <w:vAlign w:val="bottom"/>
          </w:tcPr>
          <w:p>
            <w:pPr>
              <w:ind w:left="136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680" w:type="dxa"/>
            <w:vAlign w:val="bottom"/>
          </w:tcPr>
          <w:p>
            <w:pPr>
              <w:jc w:val="center"/>
              <w:ind w:left="1351"/>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bl>
    <w:p>
      <w:pPr>
        <w:spacing w:after="0" w:line="392"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300" w:type="dxa"/>
            <w:vAlign w:val="bottom"/>
          </w:tcPr>
          <w:p>
            <w:pPr>
              <w:jc w:val="center"/>
              <w:ind w:right="1459"/>
              <w:spacing w:after="0"/>
              <w:rPr>
                <w:sz w:val="20"/>
                <w:szCs w:val="20"/>
                <w:color w:val="auto"/>
              </w:rPr>
            </w:pPr>
            <w:r>
              <w:rPr>
                <w:rFonts w:ascii="Times New Roman" w:cs="Times New Roman" w:eastAsia="Times New Roman" w:hAnsi="Times New Roman"/>
                <w:sz w:val="16"/>
                <w:szCs w:val="16"/>
                <w:b w:val="1"/>
                <w:bCs w:val="1"/>
                <w:color w:val="auto"/>
              </w:rPr>
              <w:t>2525 Speakman Drive</w:t>
            </w:r>
          </w:p>
        </w:tc>
        <w:tc>
          <w:tcPr>
            <w:tcW w:w="3840" w:type="dxa"/>
            <w:vAlign w:val="bottom"/>
          </w:tcPr>
          <w:p>
            <w:pPr>
              <w:jc w:val="center"/>
              <w:ind w:left="1479"/>
              <w:spacing w:after="0"/>
              <w:rPr>
                <w:sz w:val="20"/>
                <w:szCs w:val="20"/>
                <w:color w:val="auto"/>
              </w:rPr>
            </w:pPr>
            <w:r>
              <w:rPr>
                <w:rFonts w:ascii="Times New Roman" w:cs="Times New Roman" w:eastAsia="Times New Roman" w:hAnsi="Times New Roman"/>
                <w:sz w:val="16"/>
                <w:szCs w:val="16"/>
                <w:b w:val="1"/>
                <w:bCs w:val="1"/>
                <w:color w:val="auto"/>
              </w:rPr>
              <w:t>902 Broadway, Floor 20</w:t>
            </w:r>
          </w:p>
        </w:tc>
      </w:tr>
      <w:tr>
        <w:trPr>
          <w:trHeight w:val="243"/>
        </w:trPr>
        <w:tc>
          <w:tcPr>
            <w:tcW w:w="430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Mississauga, Ontario, Canada L5K 1B1</w:t>
            </w:r>
          </w:p>
        </w:tc>
        <w:tc>
          <w:tcPr>
            <w:tcW w:w="384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w w:val="99"/>
              </w:rPr>
              <w:t>New York, New York, USA 10010</w:t>
            </w:r>
          </w:p>
        </w:tc>
      </w:tr>
      <w:tr>
        <w:trPr>
          <w:trHeight w:val="243"/>
        </w:trPr>
        <w:tc>
          <w:tcPr>
            <w:tcW w:w="430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(905) 403-6457</w:t>
            </w:r>
          </w:p>
        </w:tc>
        <w:tc>
          <w:tcPr>
            <w:tcW w:w="384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(212) 821-0142</w:t>
            </w:r>
          </w:p>
        </w:tc>
      </w:tr>
    </w:tbl>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 telephone numbers)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02"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42" w:lineRule="exact"/>
        <w:rPr>
          <w:rFonts w:ascii="MS PGothic" w:cs="MS PGothic" w:eastAsia="MS PGothic" w:hAnsi="MS PGothic"/>
          <w:sz w:val="18"/>
          <w:szCs w:val="18"/>
          <w:color w:val="212529"/>
        </w:rPr>
      </w:pPr>
    </w:p>
    <w:p>
      <w:pPr>
        <w:ind w:left="500" w:hanging="474"/>
        <w:spacing w:after="0"/>
        <w:tabs>
          <w:tab w:leader="none" w:pos="50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2" w:lineRule="exact"/>
        <w:rPr>
          <w:rFonts w:ascii="MS PGothic" w:cs="MS PGothic" w:eastAsia="MS PGothic" w:hAnsi="MS PGothic"/>
          <w:sz w:val="18"/>
          <w:szCs w:val="18"/>
          <w:color w:val="212529"/>
        </w:rPr>
      </w:pPr>
    </w:p>
    <w:p>
      <w:pPr>
        <w:ind w:left="500" w:hanging="474"/>
        <w:spacing w:after="0"/>
        <w:tabs>
          <w:tab w:leader="none" w:pos="50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42" w:lineRule="exact"/>
        <w:rPr>
          <w:rFonts w:ascii="MS PGothic" w:cs="MS PGothic" w:eastAsia="MS PGothic" w:hAnsi="MS PGothic"/>
          <w:sz w:val="18"/>
          <w:szCs w:val="18"/>
          <w:color w:val="212529"/>
        </w:rPr>
      </w:pPr>
    </w:p>
    <w:p>
      <w:pPr>
        <w:ind w:left="500" w:hanging="474"/>
        <w:spacing w:after="0"/>
        <w:tabs>
          <w:tab w:leader="none" w:pos="50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5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217"/>
        </w:trPr>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 Shares, no par value</w:t>
            </w: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IMAX</w:t>
            </w: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New York Stock Exchange</w:t>
            </w:r>
          </w:p>
        </w:tc>
      </w:tr>
    </w:tbl>
    <w:p>
      <w:pPr>
        <w:spacing w:after="0" w:line="343"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16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309" w:lineRule="exact"/>
        <w:rPr>
          <w:sz w:val="24"/>
          <w:szCs w:val="24"/>
          <w:color w:val="auto"/>
        </w:rPr>
      </w:pPr>
    </w:p>
    <w:p>
      <w:pPr>
        <w:ind w:right="58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IMAX Corporation (the “Company”) held its 2026 Annual General Meeting of Shareholders on June 10, 2026 (the “Meeting”). Set forth below are the matters acted upon by the Company’s shareholders at the Meeting, and the final voting results on each such matter.</w:t>
      </w:r>
    </w:p>
    <w:p>
      <w:pPr>
        <w:spacing w:after="0" w:line="18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Gail Berman, Eric A. Demirian, Kevin Douglas, Richard L. Gelfond, David W. Leebron, Michael MacMillian, Steve Pamon, Dana Settle, Darren Throop, and Jennifer Wong were elected as directors of the Company. Each director elected will hold office until the earlier of the close of the next annual meeting of shareholders in 2027, the election or appointment of his or her successor, or the date of his or her resignation or termination.</w:t>
      </w:r>
    </w:p>
    <w:p>
      <w:pPr>
        <w:spacing w:after="0" w:line="253"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2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Gail Berman</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44,317,787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3,575,631</w:t>
            </w:r>
          </w:p>
        </w:tc>
        <w:tc>
          <w:tcPr>
            <w:tcW w:w="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1,937,310</w:t>
            </w:r>
          </w:p>
        </w:tc>
      </w:tr>
      <w:tr>
        <w:trPr>
          <w:trHeight w:val="243"/>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Eric A. Demirian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47,562,179</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331,238</w:t>
            </w:r>
          </w:p>
        </w:tc>
        <w:tc>
          <w:tcPr>
            <w:tcW w:w="8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1,937,311</w:t>
            </w: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2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Kevin Douglas</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44,002,511</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3,890,906</w:t>
            </w:r>
          </w:p>
        </w:tc>
        <w:tc>
          <w:tcPr>
            <w:tcW w:w="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1,937,311</w:t>
            </w:r>
          </w:p>
        </w:tc>
      </w:tr>
      <w:tr>
        <w:trPr>
          <w:trHeight w:val="243"/>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Richard L. Gelfond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47,583,621</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309,796</w:t>
            </w:r>
          </w:p>
        </w:tc>
        <w:tc>
          <w:tcPr>
            <w:tcW w:w="8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1,937,311</w:t>
            </w: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2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David W. Leebron</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47,189,294</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704,122</w:t>
            </w:r>
          </w:p>
        </w:tc>
        <w:tc>
          <w:tcPr>
            <w:tcW w:w="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1,937,312</w:t>
            </w:r>
          </w:p>
        </w:tc>
      </w:tr>
      <w:tr>
        <w:trPr>
          <w:trHeight w:val="243"/>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Michael MacMillan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47,565,149</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328,268</w:t>
            </w:r>
          </w:p>
        </w:tc>
        <w:tc>
          <w:tcPr>
            <w:tcW w:w="8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1,937,311</w:t>
            </w: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2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Steve Pamon</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44,268,506</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3,624,911</w:t>
            </w:r>
          </w:p>
        </w:tc>
        <w:tc>
          <w:tcPr>
            <w:tcW w:w="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1,937,311</w:t>
            </w:r>
          </w:p>
        </w:tc>
      </w:tr>
      <w:tr>
        <w:trPr>
          <w:trHeight w:val="243"/>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Dana Settle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44,095,039</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3,798,378</w:t>
            </w:r>
          </w:p>
        </w:tc>
        <w:tc>
          <w:tcPr>
            <w:tcW w:w="8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1,937,311</w:t>
            </w: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2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Darren Throop</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47,505,093</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388,323</w:t>
            </w:r>
          </w:p>
        </w:tc>
        <w:tc>
          <w:tcPr>
            <w:tcW w:w="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1,937,312</w:t>
            </w:r>
          </w:p>
        </w:tc>
      </w:tr>
      <w:tr>
        <w:trPr>
          <w:trHeight w:val="243"/>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Jennifer Wong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47,356,666</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536,751</w:t>
            </w:r>
          </w:p>
        </w:tc>
        <w:tc>
          <w:tcPr>
            <w:tcW w:w="8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1,937,311</w:t>
            </w:r>
          </w:p>
        </w:tc>
      </w:tr>
    </w:tbl>
    <w:p>
      <w:pPr>
        <w:spacing w:after="0" w:line="34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Auditor</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shareholders approved the appointment of PricewaterhouseCoopers LLP as the Company’s independent auditors until the next annual meeting of shareholders in 2027, and shareholders authorized the directors to fix the independent auditors’ remuneration.</w:t>
      </w:r>
    </w:p>
    <w:p>
      <w:pPr>
        <w:spacing w:after="0" w:line="200" w:lineRule="exact"/>
        <w:rPr>
          <w:sz w:val="20"/>
          <w:szCs w:val="20"/>
          <w:color w:val="auto"/>
        </w:rPr>
      </w:pPr>
    </w:p>
    <w:p>
      <w:pPr>
        <w:spacing w:after="0" w:line="282" w:lineRule="exact"/>
        <w:rPr>
          <w:sz w:val="20"/>
          <w:szCs w:val="20"/>
          <w:color w:val="auto"/>
        </w:rPr>
      </w:pPr>
    </w:p>
    <w:tbl>
      <w:tblPr>
        <w:tblLayout w:type="fixed"/>
        <w:tblInd w:w="146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Votes Withheld/Abstained</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8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37"/>
        </w:trPr>
        <w:tc>
          <w:tcPr>
            <w:tcW w:w="278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49,292,231</w:t>
            </w:r>
          </w:p>
        </w:tc>
        <w:tc>
          <w:tcPr>
            <w:tcW w:w="80" w:type="dxa"/>
            <w:vAlign w:val="bottom"/>
            <w:shd w:val="clear" w:color="auto" w:fill="CCEEFF"/>
          </w:tcPr>
          <w:p>
            <w:pPr>
              <w:spacing w:after="0"/>
              <w:rPr>
                <w:sz w:val="20"/>
                <w:szCs w:val="20"/>
                <w:color w:val="auto"/>
              </w:rPr>
            </w:pPr>
          </w:p>
        </w:tc>
        <w:tc>
          <w:tcPr>
            <w:tcW w:w="26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538,495</w:t>
            </w: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Named Executive Officer Compensation (“Say-on-Pay”)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approved the advisory vote on the compensation of the Company’s Named Executive Officers (the “NEOs”).</w:t>
      </w:r>
    </w:p>
    <w:p>
      <w:pPr>
        <w:spacing w:after="0" w:line="302"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Votes Withheld/Abstained</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24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30,397,652</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16,187,383</w:t>
            </w: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1,308,376</w:t>
            </w: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1,937,317</w:t>
            </w:r>
          </w:p>
        </w:tc>
      </w:tr>
      <w:tr>
        <w:trPr>
          <w:trHeight w:val="27"/>
        </w:trPr>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1"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20" w:firstLine="441"/>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40" w:type="dxa"/>
            <w:vAlign w:val="bottom"/>
            <w:gridSpan w:val="3"/>
          </w:tcPr>
          <w:p>
            <w:pPr>
              <w:ind w:left="2300"/>
              <w:spacing w:after="0"/>
              <w:rPr>
                <w:sz w:val="20"/>
                <w:szCs w:val="20"/>
                <w:color w:val="auto"/>
              </w:rPr>
            </w:pPr>
            <w:r>
              <w:rPr>
                <w:rFonts w:ascii="Times New Roman" w:cs="Times New Roman" w:eastAsia="Times New Roman" w:hAnsi="Times New Roman"/>
                <w:sz w:val="18"/>
                <w:szCs w:val="18"/>
                <w:b w:val="1"/>
                <w:bCs w:val="1"/>
                <w:color w:val="auto"/>
              </w:rPr>
              <w:t>IMAX Corporation</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33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(Registrant)</w:t>
            </w:r>
          </w:p>
        </w:tc>
        <w:tc>
          <w:tcPr>
            <w:tcW w:w="16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33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Robert D. Lister</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300" w:type="dxa"/>
            <w:vAlign w:val="bottom"/>
            <w:vMerge w:val="restart"/>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3300" w:type="dxa"/>
            <w:vAlign w:val="bottom"/>
            <w:vMerge w:val="continue"/>
          </w:tcPr>
          <w:p>
            <w:pPr>
              <w:spacing w:after="0"/>
              <w:rPr>
                <w:sz w:val="20"/>
                <w:szCs w:val="20"/>
                <w:color w:val="auto"/>
              </w:rPr>
            </w:pPr>
          </w:p>
        </w:tc>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Robert D. Lister</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33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Legal Officer and Senior Executive Vice President</w:t>
            </w:r>
          </w:p>
        </w:tc>
        <w:tc>
          <w:tcPr>
            <w:tcW w:w="0" w:type="dxa"/>
            <w:vAlign w:val="bottom"/>
          </w:tcPr>
          <w:p>
            <w:pPr>
              <w:spacing w:after="0"/>
              <w:rPr>
                <w:sz w:val="1"/>
                <w:szCs w:val="1"/>
                <w:color w:val="auto"/>
              </w:rPr>
            </w:pPr>
          </w:p>
        </w:tc>
      </w:tr>
      <w:tr>
        <w:trPr>
          <w:trHeight w:val="743"/>
        </w:trPr>
        <w:tc>
          <w:tcPr>
            <w:tcW w:w="3520" w:type="dxa"/>
            <w:vAlign w:val="bottom"/>
          </w:tcPr>
          <w:p>
            <w:pPr>
              <w:spacing w:after="0"/>
              <w:rPr>
                <w:sz w:val="24"/>
                <w:szCs w:val="24"/>
                <w:color w:val="auto"/>
              </w:rPr>
            </w:pPr>
          </w:p>
        </w:tc>
        <w:tc>
          <w:tcPr>
            <w:tcW w:w="33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Kenneth I. Weissman</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300" w:type="dxa"/>
            <w:vAlign w:val="bottom"/>
            <w:vMerge w:val="restart"/>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3300" w:type="dxa"/>
            <w:vAlign w:val="bottom"/>
            <w:vMerge w:val="continue"/>
          </w:tcPr>
          <w:p>
            <w:pPr>
              <w:spacing w:after="0"/>
              <w:rPr>
                <w:sz w:val="20"/>
                <w:szCs w:val="20"/>
                <w:color w:val="auto"/>
              </w:rPr>
            </w:pPr>
          </w:p>
        </w:tc>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Kenneth I. Weissman</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33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Deputy General Counsel &amp; Corporate Secretary</w:t>
            </w:r>
          </w:p>
        </w:tc>
        <w:tc>
          <w:tcPr>
            <w:tcW w:w="0" w:type="dxa"/>
            <w:vAlign w:val="bottom"/>
          </w:tcPr>
          <w:p>
            <w:pPr>
              <w:spacing w:after="0"/>
              <w:rPr>
                <w:sz w:val="1"/>
                <w:szCs w:val="1"/>
                <w:color w:val="auto"/>
              </w:rPr>
            </w:pPr>
          </w:p>
        </w:tc>
      </w:tr>
      <w:tr>
        <w:trPr>
          <w:trHeight w:val="1013"/>
        </w:trPr>
        <w:tc>
          <w:tcPr>
            <w:tcW w:w="3520" w:type="dxa"/>
            <w:vAlign w:val="bottom"/>
          </w:tcPr>
          <w:p>
            <w:pPr>
              <w:spacing w:after="0"/>
              <w:rPr>
                <w:sz w:val="24"/>
                <w:szCs w:val="24"/>
                <w:color w:val="auto"/>
              </w:rPr>
            </w:pPr>
          </w:p>
        </w:tc>
        <w:tc>
          <w:tcPr>
            <w:tcW w:w="33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0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2026-06-11T15:22:13Z</dcterms:created>
  <dcterms:modified xsi:type="dcterms:W3CDTF">2026-06-11T15:22:13Z</dcterms:modified>
</cp:coreProperties>
</file>