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5, 2026</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IMAX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60" w:type="dxa"/>
            <w:vAlign w:val="bottom"/>
          </w:tcPr>
          <w:p>
            <w:pPr>
              <w:jc w:val="center"/>
              <w:ind w:right="1291"/>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350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001-35066</w:t>
            </w:r>
          </w:p>
        </w:tc>
        <w:tc>
          <w:tcPr>
            <w:tcW w:w="268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98-0140269</w:t>
            </w:r>
          </w:p>
        </w:tc>
      </w:tr>
      <w:tr>
        <w:trPr>
          <w:trHeight w:val="175"/>
        </w:trPr>
        <w:tc>
          <w:tcPr>
            <w:tcW w:w="2860" w:type="dxa"/>
            <w:vAlign w:val="bottom"/>
          </w:tcPr>
          <w:p>
            <w:pPr>
              <w:jc w:val="center"/>
              <w:ind w:right="129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680" w:type="dxa"/>
            <w:vAlign w:val="bottom"/>
          </w:tcPr>
          <w:p>
            <w:pPr>
              <w:jc w:val="center"/>
              <w:ind w:left="1351"/>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860" w:type="dxa"/>
            <w:vAlign w:val="bottom"/>
          </w:tcPr>
          <w:p>
            <w:pPr>
              <w:jc w:val="center"/>
              <w:ind w:right="1291"/>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350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680" w:type="dxa"/>
            <w:vAlign w:val="bottom"/>
          </w:tcPr>
          <w:p>
            <w:pPr>
              <w:jc w:val="center"/>
              <w:ind w:left="135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392"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300" w:type="dxa"/>
            <w:vAlign w:val="bottom"/>
          </w:tcPr>
          <w:p>
            <w:pPr>
              <w:jc w:val="center"/>
              <w:ind w:right="1459"/>
              <w:spacing w:after="0"/>
              <w:rPr>
                <w:sz w:val="20"/>
                <w:szCs w:val="20"/>
                <w:color w:val="auto"/>
              </w:rPr>
            </w:pPr>
            <w:r>
              <w:rPr>
                <w:rFonts w:ascii="Times New Roman" w:cs="Times New Roman" w:eastAsia="Times New Roman" w:hAnsi="Times New Roman"/>
                <w:sz w:val="16"/>
                <w:szCs w:val="16"/>
                <w:b w:val="1"/>
                <w:bCs w:val="1"/>
                <w:color w:val="auto"/>
              </w:rPr>
              <w:t>2525 Speakman Drive</w:t>
            </w:r>
          </w:p>
        </w:tc>
        <w:tc>
          <w:tcPr>
            <w:tcW w:w="3840" w:type="dxa"/>
            <w:vAlign w:val="bottom"/>
          </w:tcPr>
          <w:p>
            <w:pPr>
              <w:jc w:val="center"/>
              <w:ind w:left="1479"/>
              <w:spacing w:after="0"/>
              <w:rPr>
                <w:sz w:val="20"/>
                <w:szCs w:val="20"/>
                <w:color w:val="auto"/>
              </w:rPr>
            </w:pPr>
            <w:r>
              <w:rPr>
                <w:rFonts w:ascii="Times New Roman" w:cs="Times New Roman" w:eastAsia="Times New Roman" w:hAnsi="Times New Roman"/>
                <w:sz w:val="16"/>
                <w:szCs w:val="16"/>
                <w:b w:val="1"/>
                <w:bCs w:val="1"/>
                <w:color w:val="auto"/>
              </w:rPr>
              <w:t>902 Broadway, Floor 20</w:t>
            </w:r>
          </w:p>
        </w:tc>
      </w:tr>
      <w:tr>
        <w:trPr>
          <w:trHeight w:val="243"/>
        </w:trPr>
        <w:tc>
          <w:tcPr>
            <w:tcW w:w="43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Mississauga, Ontario, Canada L5K 1B1</w:t>
            </w:r>
          </w:p>
        </w:tc>
        <w:tc>
          <w:tcPr>
            <w:tcW w:w="384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w w:val="99"/>
              </w:rPr>
              <w:t>New York, New York, USA 10010</w:t>
            </w:r>
          </w:p>
        </w:tc>
      </w:tr>
      <w:tr>
        <w:trPr>
          <w:trHeight w:val="243"/>
        </w:trPr>
        <w:tc>
          <w:tcPr>
            <w:tcW w:w="43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(905) 403-6457</w:t>
            </w:r>
          </w:p>
        </w:tc>
        <w:tc>
          <w:tcPr>
            <w:tcW w:w="384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(212) 821-0142</w:t>
            </w:r>
          </w:p>
        </w:tc>
      </w:tr>
    </w:tbl>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 telephone numbers)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2" w:lineRule="exact"/>
        <w:rPr>
          <w:rFonts w:ascii="MS PGothic" w:cs="MS PGothic" w:eastAsia="MS PGothic" w:hAnsi="MS PGothic"/>
          <w:sz w:val="18"/>
          <w:szCs w:val="18"/>
          <w:color w:val="212529"/>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2" w:lineRule="exact"/>
        <w:rPr>
          <w:rFonts w:ascii="MS PGothic" w:cs="MS PGothic" w:eastAsia="MS PGothic" w:hAnsi="MS PGothic"/>
          <w:sz w:val="18"/>
          <w:szCs w:val="18"/>
          <w:color w:val="212529"/>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2" w:lineRule="exact"/>
        <w:rPr>
          <w:rFonts w:ascii="MS PGothic" w:cs="MS PGothic" w:eastAsia="MS PGothic" w:hAnsi="MS PGothic"/>
          <w:sz w:val="18"/>
          <w:szCs w:val="18"/>
          <w:color w:val="212529"/>
        </w:rPr>
      </w:pPr>
    </w:p>
    <w:p>
      <w:pPr>
        <w:ind w:left="500" w:hanging="474"/>
        <w:spacing w:after="0"/>
        <w:tabs>
          <w:tab w:leader="none" w:pos="5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17"/>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 Shares, no par value</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IMAX</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New York Stock Exchange</w:t>
            </w:r>
          </w:p>
        </w:tc>
      </w:tr>
    </w:tbl>
    <w:p>
      <w:pPr>
        <w:spacing w:after="0" w:line="343"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16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309"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On November 5, 2026, IMAX Corporation (the “Company”) issued a press release announcing the Company’s financial and operating results for the quarter ended September 30, 2026, a copy of which is attached as Exhibit 99.1.</w:t>
      </w:r>
    </w:p>
    <w:p>
      <w:pPr>
        <w:spacing w:after="0" w:line="18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Exhibit attached hereto, is being furnished and shall not be deemed “filed” for purposes of Section 18 of the Securities Exchange Act of 1934, as amended (the “Exchange Act”), or otherwise subject to the liabilities of that section, nor shall it be incorporated by reference in any filing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419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62"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5, 2026</w:t>
      </w:r>
    </w:p>
    <w:p>
      <w:pPr>
        <w:spacing w:after="0" w:line="18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IMAX Corporation</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75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54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8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4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8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769"/>
        </w:trPr>
        <w:tc>
          <w:tcPr>
            <w:tcW w:w="3680" w:type="dxa"/>
            <w:vAlign w:val="bottom"/>
          </w:tcPr>
          <w:p>
            <w:pPr>
              <w:spacing w:after="0"/>
              <w:rPr>
                <w:sz w:val="24"/>
                <w:szCs w:val="24"/>
                <w:color w:val="auto"/>
              </w:rPr>
            </w:pPr>
          </w:p>
        </w:tc>
        <w:tc>
          <w:tcPr>
            <w:tcW w:w="28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9987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IMAX CORPORATION REPORTS RECORD THIRD QUARTER 2026 RESULTS</w:t>
      </w:r>
    </w:p>
    <w:p>
      <w:pPr>
        <w:spacing w:after="0" w:line="26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delivers best quarterly financial performance in company history, breaking records across key metrics including:</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$175 million, up 64% year-over-year and Gross Margin of $126 million, up 88% year-over-year</w:t>
      </w:r>
    </w:p>
    <w:p>
      <w:pPr>
        <w:spacing w:after="0" w:line="252" w:lineRule="exact"/>
        <w:rPr>
          <w:rFonts w:ascii="Times New Roman" w:cs="Times New Roman" w:eastAsia="Times New Roman" w:hAnsi="Times New Roman"/>
          <w:sz w:val="18"/>
          <w:szCs w:val="18"/>
          <w:color w:val="auto"/>
        </w:rPr>
      </w:pPr>
    </w:p>
    <w:p>
      <w:pPr>
        <w:ind w:left="1300" w:hanging="320"/>
        <w:spacing w:after="0" w:line="229"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operating leverage driven profitability with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$117 million at a record margin of 67% and 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$121 million at a record margin of 69%, up over 2000 basis points year-over-year</w:t>
      </w:r>
    </w:p>
    <w:p>
      <w:pPr>
        <w:spacing w:after="0" w:line="225" w:lineRule="exact"/>
        <w:rPr>
          <w:rFonts w:ascii="Times New Roman" w:cs="Times New Roman" w:eastAsia="Times New Roman" w:hAnsi="Times New Roman"/>
          <w:sz w:val="18"/>
          <w:szCs w:val="18"/>
          <w:color w:val="auto"/>
        </w:rPr>
      </w:pPr>
    </w:p>
    <w:p>
      <w:pPr>
        <w:ind w:left="1300" w:hanging="320"/>
        <w:spacing w:after="0" w:line="229"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of $1.96, up 430% year-over year and Adjusted EPS</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of $2.21, up 370% year-over-year - both quarterly figures eclipsing any full year result in IMAX history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of $86 million, up 28% year-over-year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reports record quarterly global box office of $712 million — up +90% over the previous quarterly record of $372 million.</w:t>
      </w:r>
    </w:p>
    <w:p>
      <w:pPr>
        <w:spacing w:after="0" w:line="2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Christopher Nolan’s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makes history as highest grossing IMAX release of all time, with over $550 million in worldwide box office and delivering more than 30% of the film’s global box office</w:t>
      </w:r>
    </w:p>
    <w:p>
      <w:pPr>
        <w:spacing w:after="0" w:line="227"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Signings for IMAX systems reach over 100 year-to-date — 65% new locations — as sales activity accelerates following the record-breaking performance of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and amidst strong pre-sales for December’s </w:t>
      </w:r>
      <w:r>
        <w:rPr>
          <w:rFonts w:ascii="Times New Roman" w:cs="Times New Roman" w:eastAsia="Times New Roman" w:hAnsi="Times New Roman"/>
          <w:sz w:val="18"/>
          <w:szCs w:val="18"/>
          <w:i w:val="1"/>
          <w:iCs w:val="1"/>
          <w:color w:val="auto"/>
        </w:rPr>
        <w:t>Dune: Part Three</w:t>
      </w:r>
    </w:p>
    <w:p>
      <w:pPr>
        <w:spacing w:after="0" w:line="19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Dune: Part Three </w:t>
      </w:r>
      <w:r>
        <w:rPr>
          <w:rFonts w:ascii="Times New Roman" w:cs="Times New Roman" w:eastAsia="Times New Roman" w:hAnsi="Times New Roman"/>
          <w:sz w:val="18"/>
          <w:szCs w:val="18"/>
          <w:color w:val="auto"/>
        </w:rPr>
        <w:t>and Chinese release of</w:t>
      </w:r>
      <w:r>
        <w:rPr>
          <w:rFonts w:ascii="Times New Roman" w:cs="Times New Roman" w:eastAsia="Times New Roman" w:hAnsi="Times New Roman"/>
          <w:sz w:val="18"/>
          <w:szCs w:val="18"/>
          <w:i w:val="1"/>
          <w:iCs w:val="1"/>
          <w:color w:val="auto"/>
        </w:rPr>
        <w:t xml:space="preserve"> Avengers: Doomsday </w:t>
      </w:r>
      <w:r>
        <w:rPr>
          <w:rFonts w:ascii="Times New Roman" w:cs="Times New Roman" w:eastAsia="Times New Roman" w:hAnsi="Times New Roman"/>
          <w:sz w:val="18"/>
          <w:szCs w:val="18"/>
          <w:color w:val="auto"/>
        </w:rPr>
        <w:t>kick off promising 2027 slate currently taking shape, with strong Chinese New</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offering led by </w:t>
      </w:r>
      <w:r>
        <w:rPr>
          <w:rFonts w:ascii="Times New Roman" w:cs="Times New Roman" w:eastAsia="Times New Roman" w:hAnsi="Times New Roman"/>
          <w:sz w:val="18"/>
          <w:szCs w:val="18"/>
          <w:i w:val="1"/>
          <w:iCs w:val="1"/>
          <w:color w:val="auto"/>
        </w:rPr>
        <w:t>Wandering Earth 3; Filmed for IMAX</w:t>
      </w:r>
      <w:r>
        <w:rPr>
          <w:rFonts w:ascii="Times New Roman" w:cs="Times New Roman" w:eastAsia="Times New Roman" w:hAnsi="Times New Roman"/>
          <w:sz w:val="18"/>
          <w:szCs w:val="18"/>
          <w:color w:val="auto"/>
        </w:rPr>
        <w:t xml:space="preserve"> releases including </w:t>
      </w:r>
      <w:r>
        <w:rPr>
          <w:rFonts w:ascii="Times New Roman" w:cs="Times New Roman" w:eastAsia="Times New Roman" w:hAnsi="Times New Roman"/>
          <w:sz w:val="18"/>
          <w:szCs w:val="18"/>
          <w:i w:val="1"/>
          <w:iCs w:val="1"/>
          <w:color w:val="auto"/>
        </w:rPr>
        <w:t>Star Wars: Starfighter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Superman</w:t>
      </w:r>
      <w:r>
        <w:rPr>
          <w:rFonts w:ascii="Times New Roman" w:cs="Times New Roman" w:eastAsia="Times New Roman" w:hAnsi="Times New Roman"/>
          <w:sz w:val="18"/>
          <w:szCs w:val="18"/>
          <w:color w:val="auto"/>
        </w:rPr>
        <w:t xml:space="preserve"> sequel </w:t>
      </w:r>
      <w:r>
        <w:rPr>
          <w:rFonts w:ascii="Times New Roman" w:cs="Times New Roman" w:eastAsia="Times New Roman" w:hAnsi="Times New Roman"/>
          <w:sz w:val="18"/>
          <w:szCs w:val="18"/>
          <w:i w:val="1"/>
          <w:iCs w:val="1"/>
          <w:color w:val="auto"/>
        </w:rPr>
        <w:t>Man of Tomorrow;</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Avengers: Secret Wars</w:t>
      </w:r>
      <w:r>
        <w:rPr>
          <w:rFonts w:ascii="Times New Roman" w:cs="Times New Roman" w:eastAsia="Times New Roman" w:hAnsi="Times New Roman"/>
          <w:sz w:val="18"/>
          <w:szCs w:val="18"/>
          <w:color w:val="auto"/>
        </w:rPr>
        <w:t>; and the IMAX debut of the original</w:t>
      </w:r>
      <w:r>
        <w:rPr>
          <w:rFonts w:ascii="Times New Roman" w:cs="Times New Roman" w:eastAsia="Times New Roman" w:hAnsi="Times New Roman"/>
          <w:sz w:val="18"/>
          <w:szCs w:val="18"/>
          <w:i w:val="1"/>
          <w:iCs w:val="1"/>
          <w:color w:val="auto"/>
        </w:rPr>
        <w:t xml:space="preserve"> Star Wars</w:t>
      </w:r>
      <w:r>
        <w:rPr>
          <w:rFonts w:ascii="Times New Roman" w:cs="Times New Roman" w:eastAsia="Times New Roman" w:hAnsi="Times New Roman"/>
          <w:sz w:val="18"/>
          <w:szCs w:val="18"/>
          <w:color w:val="auto"/>
        </w:rPr>
        <w:t>, presented in IMAX 70mm film for the first time ever</w:t>
      </w:r>
    </w:p>
    <w:p>
      <w:pPr>
        <w:spacing w:after="0" w:line="2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NY — </w:t>
      </w:r>
      <w:r>
        <w:rPr>
          <w:rFonts w:ascii="Times New Roman" w:cs="Times New Roman" w:eastAsia="Times New Roman" w:hAnsi="Times New Roman"/>
          <w:sz w:val="18"/>
          <w:szCs w:val="18"/>
          <w:color w:val="auto"/>
        </w:rPr>
        <w:t>November 5, 2026 — IMAX Corporation (NYSE: IMAX) today reported the best quarterly financial results in company history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of 2026, as the global entertainment platform surged to new heights with record global box office in the period.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“What IMAX achieved goes beyond simply a ‘great quarter’ and transcends the many records we shattered in the period. What we believe we are witnessing is an awakening to the power and potential of our platform to impact global culture, unlock new commercial opportunities, and inspire a new level of demand and awe in audiences around the world.,” said Rich Gelfond, CEO of IMAX Corporation.”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“Christopher Nolan’s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is a historic cinematic achievement crafted entirely with IMAX technology and its record-breaking success marks a new era of opportunity for our company. The record margins we generated in the quarter demonstrate the unique strength of our model, and the growing value of scarce events and experiences in an increasingly A.I.-driven world underscore a powerful opportunity for our business, as we look ahead to a remarkably strong slate over the next several years.”</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momentum is fueling sales activity with exhibitors around the world, with our team delivering more than 100 signings for IMAX systems worldwide year-to-date — including 65% new locations and strong growth across priority Rest of World markets.”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“With the global release of </w:t>
      </w:r>
      <w:r>
        <w:rPr>
          <w:rFonts w:ascii="Times New Roman" w:cs="Times New Roman" w:eastAsia="Times New Roman" w:hAnsi="Times New Roman"/>
          <w:sz w:val="18"/>
          <w:szCs w:val="18"/>
          <w:i w:val="1"/>
          <w:iCs w:val="1"/>
          <w:color w:val="auto"/>
        </w:rPr>
        <w:t>Dune: Part Three</w:t>
      </w:r>
      <w:r>
        <w:rPr>
          <w:rFonts w:ascii="Times New Roman" w:cs="Times New Roman" w:eastAsia="Times New Roman" w:hAnsi="Times New Roman"/>
          <w:sz w:val="18"/>
          <w:szCs w:val="18"/>
          <w:color w:val="auto"/>
        </w:rPr>
        <w:t xml:space="preserve"> and our release of </w:t>
      </w:r>
      <w:r>
        <w:rPr>
          <w:rFonts w:ascii="Times New Roman" w:cs="Times New Roman" w:eastAsia="Times New Roman" w:hAnsi="Times New Roman"/>
          <w:sz w:val="18"/>
          <w:szCs w:val="18"/>
          <w:i w:val="1"/>
          <w:iCs w:val="1"/>
          <w:color w:val="auto"/>
        </w:rPr>
        <w:t>Avengers: Doomsday</w:t>
      </w:r>
      <w:r>
        <w:rPr>
          <w:rFonts w:ascii="Times New Roman" w:cs="Times New Roman" w:eastAsia="Times New Roman" w:hAnsi="Times New Roman"/>
          <w:sz w:val="18"/>
          <w:szCs w:val="18"/>
          <w:color w:val="auto"/>
        </w:rPr>
        <w:t xml:space="preserve"> in China carrying into a very strong 2027 slate, we are excited for the year ahead and confident in our belief that there has never been a better time to be in the IMAX business. This ‘IMAX awakening’ sits inside a bigger culture shift of people around the world — particularly young people — seeking connection, community, and shared experiences that feel bigger than any one person’s screen. IMAX has always delivered these moments, and we believe this trend has only begun to benefit our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 w:lineRule="exact"/>
        <w:rPr>
          <w:sz w:val="20"/>
          <w:szCs w:val="20"/>
          <w:color w:val="auto"/>
        </w:rPr>
      </w:pPr>
    </w:p>
    <w:p>
      <w:pPr>
        <w:ind w:left="340" w:hanging="332"/>
        <w:spacing w:after="0" w:line="259" w:lineRule="auto"/>
        <w:tabs>
          <w:tab w:leader="none" w:pos="332"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months ended September 30, 2026, Net income attributable to common shareholders includes $36.7 million ($0.63 per diluted share) of valuation allowance release related to certain Canadian federal and provincial deferred tax assets that are expected to be utilized in future years.</w:t>
      </w:r>
    </w:p>
    <w:p>
      <w:pPr>
        <w:ind w:left="340" w:hanging="332"/>
        <w:spacing w:after="0" w:line="283" w:lineRule="auto"/>
        <w:tabs>
          <w:tab w:leader="none" w:pos="332"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Non-GAAP Financial Measure. See the discussion at the end of this earnings release for a description of the non-GAAP financial measures used herein, as well as reconciliations to the most comparable GAAP amounts.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Highlights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140" w:type="dxa"/>
            <w:vAlign w:val="bottom"/>
            <w:gridSpan w:val="6"/>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100" w:type="dxa"/>
            <w:vAlign w:val="bottom"/>
          </w:tcPr>
          <w:p>
            <w:pPr>
              <w:spacing w:after="0"/>
              <w:rPr>
                <w:sz w:val="16"/>
                <w:szCs w:val="16"/>
                <w:color w:val="auto"/>
              </w:rPr>
            </w:pPr>
          </w:p>
        </w:tc>
      </w:tr>
      <w:tr>
        <w:trPr>
          <w:trHeight w:val="37"/>
        </w:trPr>
        <w:tc>
          <w:tcPr>
            <w:tcW w:w="4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YoY %</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YoY %</w:t>
            </w:r>
          </w:p>
        </w:tc>
      </w:t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U.S. Dollars, except per share data</w:t>
            </w:r>
          </w:p>
        </w:tc>
        <w:tc>
          <w:tcPr>
            <w:tcW w:w="240" w:type="dxa"/>
            <w:vAlign w:val="bottom"/>
          </w:tcPr>
          <w:p>
            <w:pPr>
              <w:spacing w:after="0"/>
              <w:rPr>
                <w:sz w:val="16"/>
                <w:szCs w:val="16"/>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358.8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285.0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 (%)</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920bps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440bps</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Margin (%)</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4590bps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2370bps</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r>
      <w:tr>
        <w:trPr>
          <w:trHeight w:val="270"/>
        </w:trPr>
        <w:tc>
          <w:tcPr>
            <w:tcW w:w="4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r>
              <w:rPr>
                <w:rFonts w:ascii="Times New Roman" w:cs="Times New Roman" w:eastAsia="Times New Roman" w:hAnsi="Times New Roman"/>
                <w:sz w:val="23"/>
                <w:szCs w:val="23"/>
                <w:color w:val="auto"/>
                <w:vertAlign w:val="superscript"/>
              </w:rPr>
              <w:t>(2)(3)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Adjusted EBITDA Margin (%)</w:t>
            </w:r>
            <w:r>
              <w:rPr>
                <w:rFonts w:ascii="Times New Roman" w:cs="Times New Roman" w:eastAsia="Times New Roman" w:hAnsi="Times New Roman"/>
                <w:sz w:val="23"/>
                <w:szCs w:val="23"/>
                <w:color w:val="auto"/>
                <w:vertAlign w:val="superscript"/>
              </w:rPr>
              <w:t>(2)(3)</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2070bps</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1070bps</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 - Diluted</w:t>
            </w:r>
            <w:r>
              <w:rPr>
                <w:rFonts w:ascii="Times New Roman" w:cs="Times New Roman" w:eastAsia="Times New Roman" w:hAnsi="Times New Roman"/>
                <w:sz w:val="23"/>
                <w:szCs w:val="23"/>
                <w:color w:val="auto"/>
                <w:vertAlign w:val="superscript"/>
              </w:rPr>
              <w:t>(1)(2)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r>
      <w:tr>
        <w:trPr>
          <w:trHeight w:val="270"/>
        </w:trPr>
        <w:tc>
          <w:tcPr>
            <w:tcW w:w="4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(in millions):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325"/>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bl>
    <w:p>
      <w:pPr>
        <w:spacing w:after="0" w:line="42" w:lineRule="exact"/>
        <w:rPr>
          <w:sz w:val="20"/>
          <w:szCs w:val="20"/>
          <w:color w:val="auto"/>
        </w:rPr>
      </w:pPr>
    </w:p>
    <w:p>
      <w:pPr>
        <w:ind w:left="340" w:hanging="314"/>
        <w:spacing w:after="0"/>
        <w:tabs>
          <w:tab w:leader="none" w:pos="3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Attributable to common shareholders.</w:t>
      </w:r>
    </w:p>
    <w:p>
      <w:pPr>
        <w:spacing w:after="0" w:line="29" w:lineRule="exact"/>
        <w:rPr>
          <w:rFonts w:ascii="Times New Roman" w:cs="Times New Roman" w:eastAsia="Times New Roman" w:hAnsi="Times New Roman"/>
          <w:sz w:val="14"/>
          <w:szCs w:val="14"/>
          <w:i w:val="1"/>
          <w:iCs w:val="1"/>
          <w:color w:val="auto"/>
        </w:rPr>
      </w:pPr>
    </w:p>
    <w:p>
      <w:pPr>
        <w:ind w:left="360" w:right="120" w:hanging="334"/>
        <w:spacing w:after="0" w:line="254" w:lineRule="auto"/>
        <w:tabs>
          <w:tab w:leader="none" w:pos="352"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Non-GAAP Financial Measure. See the discussion at the end of this earnings release for a description of the non-GAAP financial measures used herein, as well as reconciliations to the most comparable GAAP amounts.</w:t>
      </w:r>
    </w:p>
    <w:p>
      <w:pPr>
        <w:jc w:val="both"/>
        <w:ind w:left="360" w:right="120" w:hanging="334"/>
        <w:spacing w:after="0" w:line="260" w:lineRule="auto"/>
        <w:tabs>
          <w:tab w:leader="none" w:pos="352"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Adjusted EBITDA is before adjustments for non-controlling interests. Total Adjusted EBITDA per Credit Facility attributable to common shareholders, excluding non-controlling interests, was $115.2 million and $187.7 million for the three and nine months ended September 30, 2026, respectively (2025 - $48.0 million and $112.7 million, respectively). The Company’s Credit Facility covenant is calculated on a trailing twelve-month basis.</w:t>
      </w:r>
    </w:p>
    <w:p>
      <w:pPr>
        <w:jc w:val="both"/>
        <w:ind w:left="360" w:right="120" w:hanging="334"/>
        <w:spacing w:after="0" w:line="262" w:lineRule="auto"/>
        <w:tabs>
          <w:tab w:leader="none" w:pos="352"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months ended September 30, 2026, the calculation of diluted weighted average shares outstanding includes any shares potentially issuable upon the conversion of the Convertible Notes, as the average market price of the Company’s common shares exceeded the conversion price and the effect was dilutive. The capped call transactions are excluded from the calculation of diluted earnings per share because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Segment Results</w:t>
      </w:r>
      <w:r>
        <w:rPr>
          <w:rFonts w:ascii="Times New Roman" w:cs="Times New Roman" w:eastAsia="Times New Roman" w:hAnsi="Times New Roman"/>
          <w:sz w:val="23"/>
          <w:szCs w:val="23"/>
          <w:b w:val="1"/>
          <w:bCs w:val="1"/>
          <w:color w:val="auto"/>
          <w:vertAlign w:val="superscript"/>
        </w:rPr>
        <w:t>(1)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Content Solutions</w:t>
            </w:r>
          </w:p>
        </w:tc>
        <w:tc>
          <w:tcPr>
            <w:tcW w:w="13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Technology Products and Services</w:t>
            </w:r>
          </w:p>
        </w:tc>
        <w:tc>
          <w:tcPr>
            <w:tcW w:w="1100" w:type="dxa"/>
            <w:vAlign w:val="bottom"/>
            <w:tcBorders>
              <w:bottom w:val="single" w:sz="8" w:color="auto"/>
            </w:tcBorders>
          </w:tcPr>
          <w:p>
            <w:pPr>
              <w:spacing w:after="0"/>
              <w:rPr>
                <w:sz w:val="17"/>
                <w:szCs w:val="17"/>
                <w:color w:val="auto"/>
              </w:rPr>
            </w:pPr>
          </w:p>
        </w:tc>
      </w:tr>
      <w:tr>
        <w:trPr>
          <w:trHeight w:val="178"/>
        </w:trPr>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90"/>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Margin %</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Margin %</w:t>
            </w:r>
          </w:p>
        </w:tc>
      </w:tr>
      <w:tr>
        <w:trPr>
          <w:trHeight w:val="37"/>
        </w:trPr>
        <w:tc>
          <w:tcPr>
            <w:tcW w:w="2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3Q26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3Q25</w:t>
            </w:r>
          </w:p>
        </w:tc>
        <w:tc>
          <w:tcPr>
            <w:tcW w:w="2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2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YTD26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YTD25</w:t>
            </w:r>
          </w:p>
        </w:tc>
        <w:tc>
          <w:tcPr>
            <w:tcW w:w="2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
        </w:trPr>
        <w:tc>
          <w:tcPr>
            <w:tcW w:w="2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ind w:left="340" w:hanging="314"/>
        <w:spacing w:after="0"/>
        <w:tabs>
          <w:tab w:leader="none" w:pos="3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Please refer to the Company’s Quarterly Report on Form 10-Q for the period ended September 30, 2026 for additional segment information.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Solutions Segment</w:t>
      </w:r>
    </w:p>
    <w:p>
      <w:pPr>
        <w:spacing w:after="0" w:line="297" w:lineRule="exact"/>
        <w:rPr>
          <w:sz w:val="20"/>
          <w:szCs w:val="20"/>
          <w:color w:val="auto"/>
        </w:rPr>
      </w:pPr>
    </w:p>
    <w:p>
      <w:pPr>
        <w:ind w:left="780" w:right="40" w:hanging="383"/>
        <w:spacing w:after="0" w:line="239" w:lineRule="auto"/>
        <w:tabs>
          <w:tab w:leader="none" w:pos="77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 quarter Content Solutions revenues and gross margin increased 110% to $94 million and 125% to $72 million year-over-year, respectively. IMAX’s global platform delivered a record 76% gross margin reflecting the significant incrementality within the IMAX business model as our platform scales and box office increases.</w:t>
      </w:r>
    </w:p>
    <w:p>
      <w:pPr>
        <w:spacing w:after="0" w:line="267" w:lineRule="exact"/>
        <w:rPr>
          <w:rFonts w:ascii="Times New Roman" w:cs="Times New Roman" w:eastAsia="Times New Roman" w:hAnsi="Times New Roman"/>
          <w:sz w:val="22"/>
          <w:szCs w:val="22"/>
          <w:color w:val="auto"/>
        </w:rPr>
      </w:pPr>
    </w:p>
    <w:p>
      <w:pPr>
        <w:jc w:val="both"/>
        <w:ind w:left="780" w:hanging="383"/>
        <w:spacing w:after="0" w:line="239" w:lineRule="auto"/>
        <w:tabs>
          <w:tab w:leader="none" w:pos="77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 quarter global box office of $712 million marked IMAX’s highest quarterly box office in its history and increased 94% year-over-year leading IMAX to deliver 6.7% of the industry’s third quarter global box office (on less than 1% of worldwide screens). Top grossing third quarter titles included The Odyssey ($538 million) and Spider-Man: Brand New Day ($58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 Segment</w:t>
      </w:r>
    </w:p>
    <w:p>
      <w:pPr>
        <w:spacing w:after="0" w:line="297" w:lineRule="exact"/>
        <w:rPr>
          <w:sz w:val="20"/>
          <w:szCs w:val="20"/>
          <w:color w:val="auto"/>
        </w:rPr>
      </w:pPr>
    </w:p>
    <w:p>
      <w:pPr>
        <w:jc w:val="both"/>
        <w:ind w:left="780" w:hanging="383"/>
        <w:spacing w:after="0" w:line="239" w:lineRule="auto"/>
        <w:tabs>
          <w:tab w:leader="none" w:pos="77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 quarter Technology Products and Services revenues and gross margin increased 28% to $77 million and 53% to $53 million year-over-year, respectively, driven by rental revenue growth tied to higher box office and amendments and renewals of existing agreements which more than offset lower systems under sales arrangements installations.</w:t>
      </w:r>
    </w:p>
    <w:p>
      <w:pPr>
        <w:spacing w:after="0" w:line="267" w:lineRule="exact"/>
        <w:rPr>
          <w:rFonts w:ascii="Times New Roman" w:cs="Times New Roman" w:eastAsia="Times New Roman" w:hAnsi="Times New Roman"/>
          <w:sz w:val="22"/>
          <w:szCs w:val="22"/>
          <w:color w:val="auto"/>
        </w:rPr>
      </w:pPr>
    </w:p>
    <w:p>
      <w:pPr>
        <w:ind w:left="780" w:hanging="383"/>
        <w:spacing w:after="0" w:line="234" w:lineRule="auto"/>
        <w:tabs>
          <w:tab w:leader="none" w:pos="77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third quarter of 2026, the Company installed 32 systems compared to 38 systems in the third quarter of 2025. Of the quarter’s installs, 15 systems were under sales arrangements, compared to 17 in the prior year.</w:t>
      </w:r>
    </w:p>
    <w:p>
      <w:pPr>
        <w:spacing w:after="0" w:line="267" w:lineRule="exact"/>
        <w:rPr>
          <w:rFonts w:ascii="Times New Roman" w:cs="Times New Roman" w:eastAsia="Times New Roman" w:hAnsi="Times New Roman"/>
          <w:sz w:val="22"/>
          <w:szCs w:val="22"/>
          <w:color w:val="auto"/>
        </w:rPr>
      </w:pPr>
    </w:p>
    <w:p>
      <w:pPr>
        <w:ind w:left="780" w:right="440" w:hanging="383"/>
        <w:spacing w:after="0" w:line="244" w:lineRule="auto"/>
        <w:tabs>
          <w:tab w:leader="none" w:pos="77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network growth continued with the number of IMAX locations reaching 1,820 systems as of September 30, 2026 compared to 1,759 systems as of September 30, 2025. The Company ended Q3 2026 with a backlog of 409 IMAX systems.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Cash Flow and Liquidity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2026 increased 25% year-over-year to $122 million, reflecting higher operating profits and the elevated conversion of profits to cash flow as margins increase.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Company’s available liquidity was $641 million. The Company’s liquidity included cash and cash equivalents of $208 million, $375 million in available borrowing capacity under the Company’s revolving credit facility, and $58 million in available borrowing capacity under IMAX China’s revolving facilities. Total debt, excluding deferred financing costs, was $251 million as of September 30,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 issued $250 million of 0.750% Convertible Senior Notes due 2030 (“2030 Convertible Notes”). In connection with the pricing of the 2030 Convertible Notes, the Company entered into privately negotiated capped call transactions with a cap price of $57.10 per share of the Company’s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Count and Capital Return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basic and diluted shares outstanding in the third quarter of 2026 were 55.0 million and 58.0 million, respectively, compared to 53.8 million and 55.6 million in the third quarter of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2026 and 2025, the Company did not have any repurchases of common shares.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June 2026, the Company’s Board of Directors approved an extension of its share repurchase program through June 30, 2027. As of September 30, 2026, the Company’s total share repurchase authority was $500.0 million with approximately $237.0 million available under the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Materials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Company’s results, please refer to the IMAX Investor Relations website located at investors.imax.com.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Website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 monthly basis, the Company posts quarter-to-date box office results on the IMAX Investor Relations website located at investors.imax.com. The Company expects to provide such updates within five business days of month-end, although the Company may change this timing without notice.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may post additional information on the Company’s corporate and Investor Relations websites, which may be material to investors. Accordingly, investors, media and others interested in the Company should monitor the Company’s website in addition to the Company’s press releases, United States Securities and Exchange Commission (the “SEC”) or in Canada, the System for Electronic Data Analysis and Retrieval (“SEDAR+”) filings and public conference calls and webcasts, for additional information about the Company. References to our website address and domain names throughout this release are for informational purposes only, or to fulfill specific disclosure requirements of the SEC’s rules or The New York Stock Exchange Listing Standards. These references are not intended to, and do not, incorporate the contents of our websites by reference into this release.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host a conference call today at 8:30 AM ET to discuss its third quarter 2026 financial results. This call is being webcast and can be accessed at investors.imax.com. To access the call via telephone, interested parties should pre-register at: https://register-conf.media-server.com/register/BIf4fcc885e18b4fce9844ecee1efeb2fb and you will be provided with a dial-in number and unique PIN. To avoid delays, we encourage participants to dial into the conference call ten minutes ahead of the scheduled start time. A replay of the call will be available via webcast at investors.imax.com.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IMAX Corporation</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IMAX, an innovator in entertainment technology, combines proprietary software, architecture, and equipment to create experiences that take you beyond the edge of your seat to a world you’ve never imagined. Top filmmakers and studios are utilizing IMAX systems to connect with audiences in extraordinary ways, making IMAX’s network among the most important and successful theatrical distribution platforms for major event films around the globe.</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IMAX’s principal executive offices are located in Mississauga, Ontario, Canada and New York, New York. As of September 30, 2026, there were 1,887 IMAX systems (1,820 commercial multiplexes, 10 commercial destinations, 57 institutional locations) operating in 91 countries and territories.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IMAX China Holding, Inc., a subsidiary of IMAX Corporation, trade on the Hong Kong Stock Exchange under the stock code “1970”.</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 For more information, visit www.imax.com. You can also connect with IMAX on Instagram (www.instagram.com/imax), Facebook (www.facebook.com/imax), LinkedIn (www.linkedin.com/company/imax), X (www.twitter.com/imax), and YouTube (www.youtube.com/imaxmovies).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contact:</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tc>
        <w:tc>
          <w:tcPr>
            <w:tcW w:w="39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Media:</w:t>
            </w:r>
          </w:p>
        </w:tc>
      </w:tr>
      <w:tr>
        <w:trPr>
          <w:trHeight w:val="216"/>
        </w:trPr>
        <w:tc>
          <w:tcPr>
            <w:tcW w:w="3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IMAX Corporation, New York</w:t>
            </w:r>
          </w:p>
        </w:tc>
        <w:tc>
          <w:tcPr>
            <w:tcW w:w="3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IMAX Corporation, New York</w:t>
            </w:r>
          </w:p>
        </w:tc>
      </w:tr>
      <w:tr>
        <w:trPr>
          <w:trHeight w:val="216"/>
        </w:trPr>
        <w:tc>
          <w:tcPr>
            <w:tcW w:w="3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Jennifer Horsley</w:t>
            </w:r>
          </w:p>
        </w:tc>
        <w:tc>
          <w:tcPr>
            <w:tcW w:w="3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 Jafar</w:t>
            </w:r>
          </w:p>
        </w:tc>
      </w:tr>
      <w:tr>
        <w:trPr>
          <w:trHeight w:val="216"/>
        </w:trPr>
        <w:tc>
          <w:tcPr>
            <w:tcW w:w="3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212-821-0154</w:t>
            </w:r>
          </w:p>
        </w:tc>
        <w:tc>
          <w:tcPr>
            <w:tcW w:w="3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212-821-0102</w:t>
            </w:r>
          </w:p>
        </w:tc>
      </w:tr>
      <w:tr>
        <w:trPr>
          <w:trHeight w:val="234"/>
        </w:trPr>
        <w:tc>
          <w:tcPr>
            <w:tcW w:w="3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jhorsley@imax.com</w:t>
            </w:r>
          </w:p>
        </w:tc>
        <w:tc>
          <w:tcPr>
            <w:tcW w:w="3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mjafar@imax.com</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earnings release contains forward looking statements that are based on IMAX Corporation (the “Company”) management’s assumptions and existing information and involve certain risks and uncertainties which could affect our future results and cause those results or other outcomes to differ materially from future results expressed or implied by such forward looking statements. In some cases, you can identify these statements by forward-looking words such as “believe,” “expect,” “if,” “may,” “plan,” “potential,” “promising,” “momentum” or the negative or other variations thereon or comparable terminology.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These forward-looking statements include, but are not limited to statements regarding: the Company’s business and technology strategies and measures to implement such strategies, including live events and exclusive content partnerships; the Company’s competitive strengths, differentiation, goals, market opportunity and penetration, including opportunities in and expected growth from international markets, momentum and runway for expansion and growth of business, networks, operations and technology; capital allocation, including with respect to share repurchase programs; the Company’s ability to benefit from and to impact changes in global culture, to unlock new commercial opportunities and to increase demand; the Company’s technological capabilities and the differentiation thereof; future releases of films and other content to the IMAX network, including the timing of such releases, the anticipated box office revenues, and other effects thereof; and plans and references to the future success of the Company and expectations regarding its future operating, financial and technological results.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industry conditions to both the Company and its partners; the ability of the Company’s exhibitor customers to fulfill their contractual payment obligations; risks related to the Company’s ability to attract and retain its employee population or the loss of the Company’s key personnel; the performance of IMAX remastered films and other films released to the IMAX network; conditions, changes and developments in the commercial exhibition industry; the Company’s ability to enter into new IMAX theater system agreements and sales and lease agreements and the effects thereof; fluctuations in operating results and cash flow;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with respect to AI products and AI-generated content; the potential impacts of consolidation among commercial exhibitors and studios; success of brand extensions and new business initiatives; conditions and competition in the in-home (including streaming) and out-of-home entertainment industries; the Company’s ability to identify and pursue new business opportunities (or lack thereof); cybersecurity and data privacy incidents; the Company’s ability to protect its intellectual property and to avoid infringing, misappropriating, or violating the intellectual property rights of others; effects of environmental laws and regulations, including with respect to climate 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and the resulting disruptions to the Company’s operations or supply chain; the Company’s ability to convert system backlog into revenue and cash flows; accuracy of assumptions underlying goodwill impairment assessment and fair value measurements;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earnings release are qualified by these cautionary statements, and actual results or anticipated developments by the Company may not be realized, and even if substantially realized, may not have the expected consequences to, or effects on, the Company. These factors, other risks and uncertainties and financial details are discussed in the Company’s most recent Annual Report on Form 10-K, as may be updated in filings the Company makes from time to time with the SEC, including the Company’s Quarterly Reports on Form 10-Q.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IMAX Network and Backlog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6"/>
                <w:szCs w:val="16"/>
                <w:color w:val="auto"/>
              </w:rPr>
            </w:pPr>
          </w:p>
        </w:tc>
      </w:tr>
      <w:tr>
        <w:trPr>
          <w:trHeight w:val="230"/>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9"/>
                <w:szCs w:val="19"/>
                <w:color w:val="auto"/>
              </w:rPr>
            </w:pPr>
          </w:p>
        </w:tc>
      </w:tr>
      <w:tr>
        <w:trPr>
          <w:trHeight w:val="37"/>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5560" w:type="dxa"/>
            <w:vAlign w:val="bottom"/>
            <w:gridSpan w:val="2"/>
          </w:tcPr>
          <w:p>
            <w:pPr>
              <w:ind w:left="5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15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5"/>
              </w:rPr>
              <w:t>2025</w:t>
            </w:r>
            <w:r>
              <w:rPr>
                <w:rFonts w:ascii="Times New Roman" w:cs="Times New Roman" w:eastAsia="Times New Roman" w:hAnsi="Times New Roman"/>
                <w:sz w:val="18"/>
                <w:szCs w:val="18"/>
                <w:b w:val="1"/>
                <w:bCs w:val="1"/>
                <w:color w:val="auto"/>
                <w:w w:val="95"/>
                <w:vertAlign w:val="superscript"/>
              </w:rPr>
              <w:t>(1)</w:t>
            </w:r>
          </w:p>
        </w:tc>
      </w:tr>
      <w:tr>
        <w:trPr>
          <w:trHeight w:val="250"/>
        </w:trPr>
        <w:tc>
          <w:tcPr>
            <w:tcW w:w="4620" w:type="dxa"/>
            <w:vAlign w:val="bottom"/>
            <w:tcBorders>
              <w:top w:val="single" w:sz="8" w:color="CCEEFF"/>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System Signings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43"/>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IMAX System Signings</w:t>
            </w:r>
          </w:p>
        </w:tc>
        <w:tc>
          <w:tcPr>
            <w:tcW w:w="9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70 traditional JRSA systems with AMC Entertainment in 2025.</w:t>
      </w:r>
    </w:p>
    <w:p>
      <w:pPr>
        <w:spacing w:after="0" w:line="29"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System signings include new signings of 8 in Q3 2026, 47 in YTD 2026, 18 in Q3 2025 and 81 in YTD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9"/>
        </w:trPr>
        <w:tc>
          <w:tcPr>
            <w:tcW w:w="4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4"/>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
        </w:trPr>
        <w:tc>
          <w:tcPr>
            <w:tcW w:w="46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6"/>
        </w:trPr>
        <w:tc>
          <w:tcPr>
            <w:tcW w:w="5540" w:type="dxa"/>
            <w:vAlign w:val="bottom"/>
            <w:gridSpan w:val="2"/>
          </w:tcPr>
          <w:p>
            <w:pPr>
              <w:ind w:left="52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r>
      <w:tr>
        <w:trPr>
          <w:trHeight w:val="37"/>
        </w:trPr>
        <w:tc>
          <w:tcPr>
            <w:tcW w:w="4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250"/>
        </w:trPr>
        <w:tc>
          <w:tcPr>
            <w:tcW w:w="46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1900" w:type="dxa"/>
            <w:vAlign w:val="bottom"/>
            <w:tcBorders>
              <w:bottom w:val="single" w:sz="8" w:color="CCEEFF"/>
            </w:tcBorders>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4"/>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1"/>
                <w:szCs w:val="2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 Installations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2"/>
                <w:szCs w:val="22"/>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7"/>
        </w:trPr>
        <w:tc>
          <w:tcPr>
            <w:tcW w:w="744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(1) System installations include new systems installations of 13 in Q3 2026, 38 in Q3 YTD, 23 in Q3 2025 and 55 in YTD 2025.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8"/>
        </w:trPr>
        <w:tc>
          <w:tcPr>
            <w:tcW w:w="4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37"/>
        </w:trPr>
        <w:tc>
          <w:tcPr>
            <w:tcW w:w="4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r>
      <w:tr>
        <w:trPr>
          <w:trHeight w:val="37"/>
        </w:trPr>
        <w:tc>
          <w:tcPr>
            <w:tcW w:w="5540" w:type="dxa"/>
            <w:vAlign w:val="bottom"/>
            <w:tcBorders>
              <w:bottom w:val="single" w:sz="8" w:color="CCEEFF"/>
            </w:tcBorders>
            <w:gridSpan w:val="2"/>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3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Backlog:</w:t>
            </w: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55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83"/>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System Backlog</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20" w:right="20" w:firstLine="6"/>
        <w:spacing w:after="0" w:line="305" w:lineRule="auto"/>
        <w:tabs>
          <w:tab w:leader="none" w:pos="224"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backlog changes include year-to-date installations along with restructuring of certain contracts resulting in cancellation of backlog for 17 system locations deemed mutually to no longer be beneficial to IMAX and its exhibition customers.</w:t>
      </w:r>
    </w:p>
    <w:p>
      <w:pPr>
        <w:spacing w:after="0" w:line="26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41910</wp:posOffset>
            </wp:positionV>
            <wp:extent cx="2074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Network:</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Multiplex Systems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Arrangements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43"/>
        </w:trPr>
        <w:tc>
          <w:tcPr>
            <w:tcW w:w="8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Hybrid JRSA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JRSA</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Commercial Multiplex Systems</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Destination Systems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Institutional Systems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4"/>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System Network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r>
      <w:tr>
        <w:trPr>
          <w:trHeight w:val="37"/>
        </w:trPr>
        <w:tc>
          <w:tcPr>
            <w:tcW w:w="6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6"/>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2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51,726</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61,763</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r>
      <w:tr>
        <w:trPr>
          <w:trHeight w:val="237"/>
        </w:trPr>
        <w:tc>
          <w:tcPr>
            <w:tcW w:w="6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174,552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358,773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285,005</w:t>
            </w:r>
          </w:p>
        </w:tc>
      </w:tr>
      <w:tr>
        <w:trPr>
          <w:trHeight w:val="27"/>
        </w:trPr>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26,029</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r>
      <w:tr>
        <w:trPr>
          <w:trHeight w:val="27"/>
        </w:trPr>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123,764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110,956</w:t>
            </w: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126,302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235,009</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174,049</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7"/>
        </w:trPr>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60,125</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 recovery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73,777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101,684</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56,689</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117,079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139,058</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43,001</w:t>
            </w: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r>
      <w:tr>
        <w:trPr>
          <w:trHeight w:val="26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113,805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133,433</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Disclosure: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207,918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151,168</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121,954</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91,402</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242,910</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incentives and other assets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1,029,944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894,031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244,034</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439,843</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466,298</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55,202,901 issued and outstanding (December 31, 2025 — 53,921,676 issued and outstanding)</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419,162</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164,782</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(239,967)</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491,549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337,891</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89,176</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589,372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427,067</w:t>
            </w: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1,029,944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894,031</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08"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139,058</w:t>
            </w:r>
          </w:p>
        </w:tc>
        <w:tc>
          <w:tcPr>
            <w:tcW w:w="1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43,001</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46,415</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 net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goodwill and asset impairments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(recovery) expense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loss (gain)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incentives provided to exhibitor customers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w:t>
            </w:r>
          </w:p>
        </w:tc>
      </w:tr>
      <w:tr>
        <w:trPr>
          <w:trHeight w:val="236"/>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243"/>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122,119</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97,694</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(24,114)</w:t>
            </w:r>
          </w:p>
        </w:tc>
      </w:tr>
      <w:tr>
        <w:trPr>
          <w:trHeight w:val="24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37"/>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(21,772)</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(34,779)</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capped calls related to convertible notes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convertible notes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 related to convertible notes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facility amendment fees paid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 - IMAX China</w:t>
            </w:r>
          </w:p>
        </w:tc>
        <w:tc>
          <w:tcPr>
            <w:tcW w:w="9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(9,742)</w:t>
            </w:r>
          </w:p>
        </w:tc>
      </w:tr>
      <w:tr>
        <w:trPr>
          <w:trHeight w:val="23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26,649</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3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(44,055)</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(20,381)</w:t>
            </w:r>
          </w:p>
        </w:tc>
      </w:tr>
      <w:tr>
        <w:trPr>
          <w:trHeight w:val="23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 during period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56,750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42,514</w:t>
            </w:r>
          </w:p>
        </w:tc>
      </w:tr>
      <w:tr>
        <w:trPr>
          <w:trHeight w:val="23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151,168</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r>
      <w:tr>
        <w:trPr>
          <w:trHeight w:val="26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207,918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Primary Reporting Groups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252" w:lineRule="exact"/>
        <w:rPr>
          <w:sz w:val="20"/>
          <w:szCs w:val="20"/>
          <w:color w:val="auto"/>
        </w:rPr>
      </w:pPr>
    </w:p>
    <w:p>
      <w:pPr>
        <w:jc w:val="both"/>
        <w:ind w:left="780" w:hanging="383"/>
        <w:spacing w:after="0" w:line="261" w:lineRule="auto"/>
        <w:tabs>
          <w:tab w:leader="none" w:pos="7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Solutions, which consists of services provided to studios and other content creators, and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206" w:lineRule="exact"/>
        <w:rPr>
          <w:rFonts w:ascii="Times New Roman" w:cs="Times New Roman" w:eastAsia="Times New Roman" w:hAnsi="Times New Roman"/>
          <w:sz w:val="18"/>
          <w:szCs w:val="18"/>
          <w:color w:val="auto"/>
        </w:rPr>
      </w:pPr>
    </w:p>
    <w:p>
      <w:pPr>
        <w:jc w:val="both"/>
        <w:ind w:left="780" w:hanging="383"/>
        <w:spacing w:after="0" w:line="266" w:lineRule="auto"/>
        <w:tabs>
          <w:tab w:leader="none" w:pos="7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Products and Services, which includes results from the sale or lease of IMAX Systems, as well as from the maintenance of IMAX Systems to exhibition customers. To a lesser extent, the Technology Product and Services segment also earns revenue from certain ancillary theater business activities, including after-market sales of IMAX System parts and 3D glasses.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Revenue and Gross Margin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Content Solutions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93,974</w:t>
            </w:r>
          </w:p>
        </w:tc>
        <w:tc>
          <w:tcPr>
            <w:tcW w:w="1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160,030</w:t>
            </w:r>
          </w:p>
        </w:tc>
        <w:tc>
          <w:tcPr>
            <w:tcW w:w="1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77,260</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190,407</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0" w:type="dxa"/>
            <w:vAlign w:val="bottom"/>
          </w:tcPr>
          <w:p>
            <w:pPr>
              <w:spacing w:after="0"/>
              <w:rPr>
                <w:sz w:val="1"/>
                <w:szCs w:val="1"/>
                <w:color w:val="auto"/>
              </w:rPr>
            </w:pPr>
          </w:p>
        </w:tc>
      </w:tr>
      <w:tr>
        <w:trPr>
          <w:trHeight w:val="23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171,234</w:t>
            </w: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350,437</w:t>
            </w: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174,552</w:t>
            </w:r>
          </w:p>
        </w:tc>
        <w:tc>
          <w:tcPr>
            <w:tcW w:w="1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106,654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358,773</w:t>
            </w:r>
          </w:p>
        </w:tc>
        <w:tc>
          <w:tcPr>
            <w:tcW w:w="1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285,005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Content Solutions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0" w:type="dxa"/>
            <w:vAlign w:val="bottom"/>
          </w:tcPr>
          <w:p>
            <w:pPr>
              <w:spacing w:after="0"/>
              <w:rPr>
                <w:sz w:val="1"/>
                <w:szCs w:val="1"/>
                <w:color w:val="auto"/>
              </w:rPr>
            </w:pPr>
          </w:p>
        </w:tc>
      </w:tr>
      <w:tr>
        <w:trPr>
          <w:trHeight w:val="243"/>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94,084</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125,065</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231,195</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126,302</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67,271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235,009</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174,049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the Company’s Streaming and Consumer Technology business, as well as other ancillary activities.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release, the Company presents adjusted net income attributable to common shareholders and adjusted net income attributable to common shareholders per diluted share, EBITDA, Adjusted EBITDA per Credit Facility, Adjusted EBITDA margin and free cash flow as supplemental measures of the Company’s performance, which are not recognized under U.S. GAAP.</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reconciliation from net income (loss) attributable to common shareholders and net income (loss) attributable to common shareholders per diluted share to adjusted net income attributable to common shareholders and adjusted net income attributable to common shareholders per diluted share is presented in the table below. Net income (loss) attributable to common shareholders and net income (loss) attributable to common shareholders per diluted share are the most directly comparable U.S. GAAP measures because they reflect the earnings relevant to the Company’s shareholders, rather than the earnings attributable to non-controlling interests.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goodwill impairment; (iv) restructuring charges and other impairments; and (v) employee retention credits, as well as the related tax impact of these adjustments.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well as “Adjusted EBITDA margin.”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and Adjusted EBITDA margin present relevant and useful information widely used by analysts, investors and other interested parties in the Company’s industry to evaluate, assess and benchmark the Company’s results.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Total Adjusted EBITDA is defined as EBITDA excluding: (i) share-based and other non-cash compensation expense; (ii) realized and unrealized investment losses or gains; (iii) restructuring charges and other impairments; (iv) write-downs including goodwill, asset impairments and credit loss expense or reversal and (v) induced conversion expense on settlement of convertible notes. Adjusted EBITDA per Credit Facility is defined as EBITDA excluding: (i) share-based and other non-cash compensation;</w:t>
      </w:r>
    </w:p>
    <w:p>
      <w:pPr>
        <w:spacing w:after="0" w:line="3" w:lineRule="exact"/>
        <w:rPr>
          <w:sz w:val="20"/>
          <w:szCs w:val="20"/>
          <w:color w:val="auto"/>
        </w:rPr>
      </w:pPr>
    </w:p>
    <w:p>
      <w:pPr>
        <w:jc w:val="both"/>
        <w:ind w:firstLine="8"/>
        <w:spacing w:after="0" w:line="255" w:lineRule="auto"/>
        <w:tabs>
          <w:tab w:leader="none" w:pos="2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and unrealized investment gains or losses; (iii) restructuring charges and other impairments; (iv) write-downs, net of recoveries, including goodwill, asset impairments and credit loss expense or reversal and (v) induced conversion expense on settlement of convertible notes. Total Adjusted EBITDA Margin is defined as Total Adjusted EBITDA divided by revenue.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of net income (loss) attributable to common shareholders, which is the most directly comparable GAAP measure, to EBITDA, Adjusted EBITDA per Credit Facility and Adjusted EBITDA Margin is presented in the table below. Net income (loss) attributable to common shareholders is the most directly comparable U.S. GAAP measure because it reflects the earnings relevant to the Company’s shareholders, rather than the earnings attributable to non-controlling interests.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release, the Company also presents free cash flow, which is not recognized under U.S. GAAP, as a supplemental measure of the Company’s liquidity. The Company’s definition of free cash flow deducts only normal recurring capital expenditures, including the Company’s investment in joint revenue sharing arrangements, the purchase of property, plant and equipment and the acquisition of other intangible assets (from the Condensed Consolidated Statements of Cash Flows), from net cash provided by or used in operating activities. Management believes that free cash flow is a supplemental measure of the cash flow available to reduce debt, add to cash balances, and fund other financing activities. Free cash flow does not represent residual cash flow available for discretionary expenditures. A reconciliation of cash used in operating activities to free cash flow is presented below.</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6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per Credit Facility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 xml:space="preserve">Three Months Ended </w:t>
            </w: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174,552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106,654</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7"/>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101,661</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goodwill, asset impairments and credit loss expense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120,897</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51,809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115,250</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47,959</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 of Operations.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per Credit Facility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 xml:space="preserve">Nine Months Ended </w:t>
            </w: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358,773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285,005</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139,058</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37"/>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163,227</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including goodwill, asset impairments and credit loss expense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199,372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127,837</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112,689</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40" w:hanging="314"/>
        <w:spacing w:after="0"/>
        <w:tabs>
          <w:tab w:leader="none" w:pos="3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 xml:space="preserve">Twelve Months Ended </w:t>
            </w:r>
            <w:r>
              <w:rPr>
                <w:rFonts w:ascii="Times New Roman" w:cs="Times New Roman" w:eastAsia="Times New Roman" w:hAnsi="Times New Roman"/>
                <w:sz w:val="14"/>
                <w:szCs w:val="14"/>
                <w:b w:val="1"/>
                <w:bCs w:val="1"/>
                <w:i w:val="1"/>
                <w:iCs w:val="1"/>
                <w:color w:val="auto"/>
              </w:rPr>
              <w:t>(Unaudited)</w:t>
            </w:r>
          </w:p>
        </w:tc>
      </w:tr>
      <w:tr>
        <w:trPr>
          <w:trHeight w:val="37"/>
        </w:trPr>
        <w:tc>
          <w:tcPr>
            <w:tcW w:w="7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45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4"/>
                <w:szCs w:val="24"/>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September 30, 2025</w:t>
            </w:r>
            <w:r>
              <w:rPr>
                <w:rFonts w:ascii="Times New Roman" w:cs="Times New Roman" w:eastAsia="Times New Roman" w:hAnsi="Times New Roman"/>
                <w:sz w:val="18"/>
                <w:szCs w:val="18"/>
                <w:b w:val="1"/>
                <w:bCs w:val="1"/>
                <w:color w:val="auto"/>
                <w:w w:val="97"/>
                <w:vertAlign w:val="superscript"/>
              </w:rPr>
              <w:t>(1)</w:t>
            </w:r>
          </w:p>
        </w:tc>
      </w:tr>
      <w:tr>
        <w:trPr>
          <w:trHeight w:val="263"/>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483,980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377,677</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141,583</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49,867</w:t>
            </w: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w:t>
            </w: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63,021</w:t>
            </w: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3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132,540</w:t>
            </w: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losses (gains)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including goodwill, asset impairments and credit loss expense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Induced conversion expense on settlement of convertible notes</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256,475</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165,040</w:t>
            </w:r>
          </w:p>
        </w:tc>
      </w:tr>
      <w:tr>
        <w:trPr>
          <w:trHeight w:val="27"/>
        </w:trPr>
        <w:tc>
          <w:tcPr>
            <w:tcW w:w="7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240,746</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146,902</w:t>
            </w:r>
          </w:p>
        </w:tc>
      </w:tr>
    </w:tbl>
    <w:p>
      <w:pPr>
        <w:spacing w:after="0" w:line="124" w:lineRule="exact"/>
        <w:rPr>
          <w:sz w:val="20"/>
          <w:szCs w:val="20"/>
          <w:color w:val="auto"/>
        </w:rPr>
      </w:pPr>
    </w:p>
    <w:p>
      <w:pPr>
        <w:ind w:left="340" w:hanging="314"/>
        <w:spacing w:after="0"/>
        <w:tabs>
          <w:tab w:leader="none" w:pos="3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Senior Secured Net Leverage Ratio is calculated using Adjusted EBITDA per Credit Facility determined on a trailing twelve-month basis.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81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Attributable to Common Shareholders and Adjusted Net Income Per Share</w:t>
      </w:r>
    </w:p>
    <w:p>
      <w:pPr>
        <w:spacing w:after="0" w:line="304"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9"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33020</wp:posOffset>
            </wp:positionV>
            <wp:extent cx="4208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 Diluted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 Diluted</w:t>
            </w: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Pr>
          <w:p>
            <w:pPr>
              <w:spacing w:after="0"/>
              <w:rPr>
                <w:sz w:val="16"/>
                <w:szCs w:val="16"/>
                <w:color w:val="auto"/>
              </w:rPr>
            </w:pPr>
          </w:p>
        </w:tc>
        <w:tc>
          <w:tcPr>
            <w:tcW w:w="13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7"/>
        </w:trPr>
        <w:tc>
          <w:tcPr>
            <w:tcW w:w="4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7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127,920</w:t>
            </w:r>
          </w:p>
        </w:tc>
        <w:tc>
          <w:tcPr>
            <w:tcW w:w="14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55,565</w:t>
            </w:r>
          </w:p>
        </w:tc>
      </w:tr>
      <w:tr>
        <w:trPr>
          <w:trHeight w:val="21"/>
        </w:trPr>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40" w:hanging="332"/>
        <w:spacing w:after="0" w:line="272" w:lineRule="auto"/>
        <w:tabs>
          <w:tab w:leader="none" w:pos="332"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months ended September 30, 2026, Net income attributable to common shareholders includes $36.7 million ($0.63 per diluted share) of valuation allowance release related to certain Canadian federal and provincial deferred tax assets that are expected to be utilized in future years.</w:t>
      </w:r>
    </w:p>
    <w:p>
      <w:pPr>
        <w:ind w:left="320" w:hanging="312"/>
        <w:spacing w:after="0"/>
        <w:tabs>
          <w:tab w:leader="none" w:pos="3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amounts attributable to common shareholders.</w:t>
      </w:r>
    </w:p>
    <w:p>
      <w:pPr>
        <w:spacing w:after="0" w:line="14"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a result of the valuation allowance release in 2026 the calculated tax impact as a percentage of the related non-GAAP adjustments is higher than in the comparative prior year period.</w:t>
      </w:r>
    </w:p>
    <w:p>
      <w:pPr>
        <w:spacing w:after="0" w:line="297"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9"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39370</wp:posOffset>
            </wp:positionV>
            <wp:extent cx="4208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58"/>
        </w:trPr>
        <w:tc>
          <w:tcPr>
            <w:tcW w:w="4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333"/>
              <w:spacing w:after="0" w:line="158"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53"/>
              <w:spacing w:after="0" w:line="158" w:lineRule="exact"/>
              <w:rPr>
                <w:sz w:val="20"/>
                <w:szCs w:val="20"/>
                <w:color w:val="auto"/>
              </w:rPr>
            </w:pPr>
            <w:r>
              <w:rPr>
                <w:rFonts w:ascii="Times New Roman" w:cs="Times New Roman" w:eastAsia="Times New Roman" w:hAnsi="Times New Roman"/>
                <w:sz w:val="14"/>
                <w:szCs w:val="14"/>
                <w:b w:val="1"/>
                <w:bCs w:val="1"/>
                <w:color w:val="auto"/>
              </w:rPr>
              <w:t>Per Diluted</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Pr>
          <w:p>
            <w:pPr>
              <w:spacing w:after="0"/>
              <w:rPr>
                <w:sz w:val="17"/>
                <w:szCs w:val="17"/>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Pr>
          <w:p>
            <w:pPr>
              <w:spacing w:after="0"/>
              <w:rPr>
                <w:sz w:val="17"/>
                <w:szCs w:val="17"/>
                <w:color w:val="auto"/>
              </w:rPr>
            </w:pPr>
          </w:p>
        </w:tc>
        <w:tc>
          <w:tcPr>
            <w:tcW w:w="13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7"/>
        </w:trPr>
        <w:tc>
          <w:tcPr>
            <w:tcW w:w="4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133,433</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7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8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53,561</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40" w:hanging="332"/>
        <w:spacing w:after="0" w:line="264"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2026, Net income attributable to common shareholders includes $36.7 million (or $0.65 per diluted share) of valuation allowance release related to certain Canadian federal and provincial deferred tax assets that are expected to be utilized in future years.</w:t>
      </w:r>
    </w:p>
    <w:p>
      <w:pPr>
        <w:spacing w:after="0" w:line="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amounts attributable to common shareholders.</w:t>
      </w:r>
    </w:p>
    <w:p>
      <w:pPr>
        <w:spacing w:after="0" w:line="1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a result of the valuation allowance release in 2026 the calculated tax impact as a percentage of the related non-GAAP adjustments is higher than in the comparative prior year period.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122,119</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before growth CAPEX</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114,332</w:t>
            </w:r>
          </w:p>
        </w:tc>
        <w:tc>
          <w:tcPr>
            <w:tcW w:w="1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87,029</w:t>
            </w:r>
          </w:p>
        </w:tc>
        <w:tc>
          <w:tcPr>
            <w:tcW w:w="0" w:type="dxa"/>
            <w:vAlign w:val="bottom"/>
          </w:tcPr>
          <w:p>
            <w:pPr>
              <w:spacing w:after="0"/>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equipment for joint revenue sharing arrangements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0" w:type="dxa"/>
            <w:vAlign w:val="bottom"/>
          </w:tcPr>
          <w:p>
            <w:pPr>
              <w:spacing w:after="0"/>
              <w:rPr>
                <w:sz w:val="1"/>
                <w:szCs w:val="1"/>
                <w:color w:val="auto"/>
              </w:rPr>
            </w:pP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100,347</w:t>
            </w:r>
          </w:p>
        </w:tc>
        <w:tc>
          <w:tcPr>
            <w:tcW w:w="1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62,915</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Growth CAPEX is defined as capital expenditures associated with investments in equipment for joint revenue sharing arrangements.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2026-11-05T07:17:31Z</dcterms:created>
  <dcterms:modified xsi:type="dcterms:W3CDTF">2026-11-05T07:17:31Z</dcterms:modified>
</cp:coreProperties>
</file>