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897.xml.htm"/>
      <w:bookmarkStart w:id="1" w:name="ksmarketforms738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WELTON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2525 SPEAKMAN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IMAX CORPORATION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MISSISSAUGA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L5K 1B1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IMAX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IMAX Global Theatres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2"/>
        <w:gridCol w:w="772"/>
        <w:gridCol w:w="599"/>
        <w:gridCol w:w="344"/>
        <w:gridCol w:w="919"/>
        <w:gridCol w:w="443"/>
        <w:gridCol w:w="924"/>
        <w:gridCol w:w="1176"/>
        <w:gridCol w:w="983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(opening balance)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173,216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54.4736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143,216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Mr. Welton's aggregate remaining restricted share unit and common share balances following this transaction will be 53,272 and 143,216,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I. Weissman (attorney-in-fact for Mark Welton)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5910" TargetMode="External"/><Relationship Id="rId5" Type="http://schemas.openxmlformats.org/officeDocument/2006/relationships/hyperlink" Target="http://www.sec.gov/cgi-bin/browse-edgar?action=getcompany&amp;CIK=0000921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3307</Characters>
  <CharactersWithSpaces>3834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