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5" w:lineRule="exact"/>
        <w:rPr>
          <w:sz w:val="24"/>
          <w:szCs w:val="24"/>
          <w:color w:val="auto"/>
        </w:rPr>
      </w:pPr>
    </w:p>
    <w:p>
      <w:pPr>
        <w:ind w:left="3680" w:right="1760" w:hanging="3673"/>
        <w:spacing w:after="0" w:line="286" w:lineRule="auto"/>
        <w:tabs>
          <w:tab w:leader="none" w:pos="5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-283845</wp:posOffset>
            </wp:positionV>
            <wp:extent cx="85725" cy="86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-94615</wp:posOffset>
            </wp:positionV>
            <wp:extent cx="85725" cy="8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ectPr>
          <w:pgSz w:w="11900" w:h="16838" w:orient="portrait"/>
          <w:cols w:equalWidth="0" w:num="1">
            <w:col w:w="11340"/>
          </w:cols>
          <w:pgMar w:left="320" w:top="433" w:right="239" w:bottom="1440" w:gutter="0" w:footer="0" w:header="0"/>
        </w:sectPr>
      </w:pPr>
    </w:p>
    <w:p>
      <w:pPr>
        <w:spacing w:after="0" w:line="5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55" w:lineRule="exact"/>
        <w:rPr>
          <w:sz w:val="24"/>
          <w:szCs w:val="24"/>
          <w:color w:val="auto"/>
        </w:rPr>
      </w:pPr>
    </w:p>
    <w:p>
      <w:pPr>
        <w:sectPr>
          <w:pgSz w:w="11900" w:h="16838" w:orient="portrait"/>
          <w:cols w:equalWidth="0" w:num="2">
            <w:col w:w="6380" w:space="640"/>
            <w:col w:w="4320"/>
          </w:cols>
          <w:pgMar w:left="320" w:top="433" w:right="2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Commission File Number 001-35066</w:t>
      </w:r>
    </w:p>
    <w:p>
      <w:pPr>
        <w:sectPr>
          <w:pgSz w:w="11900" w:h="16838" w:orient="portrait"/>
          <w:cols w:equalWidth="0" w:num="1">
            <w:col w:w="11340"/>
          </w:cols>
          <w:pgMar w:left="320" w:top="433" w:right="239" w:bottom="1440" w:gutter="0" w:footer="0" w:header="0"/>
          <w:type w:val="continuous"/>
        </w:sectPr>
      </w:pPr>
    </w:p>
    <w:p>
      <w:pPr>
        <w:spacing w:after="0" w:line="7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3" w:lineRule="exact"/>
        <w:rPr>
          <w:sz w:val="24"/>
          <w:szCs w:val="24"/>
          <w:color w:val="auto"/>
        </w:rPr>
      </w:pPr>
    </w:p>
    <w:tbl>
      <w:tblPr>
        <w:tblLayout w:type="fixed"/>
        <w:tblInd w:w="1320" w:type="dxa"/>
        <w:tblCellMar>
          <w:top w:w="0" w:type="dxa"/>
          <w:left w:w="0" w:type="dxa"/>
          <w:bottom w:w="0" w:type="dxa"/>
          <w:right w:w="0" w:type="dxa"/>
        </w:tblCellMar>
      </w:tblPr>
      <w:tr>
        <w:trPr>
          <w:trHeight w:val="211"/>
        </w:trPr>
        <w:tc>
          <w:tcPr>
            <w:tcW w:w="442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960" w:type="dxa"/>
            <w:vAlign w:val="bottom"/>
          </w:tcPr>
          <w:p>
            <w:pPr>
              <w:jc w:val="right"/>
              <w:ind w:right="757"/>
              <w:spacing w:after="0"/>
              <w:rPr>
                <w:sz w:val="20"/>
                <w:szCs w:val="20"/>
                <w:color w:val="auto"/>
              </w:rPr>
            </w:pPr>
            <w:r>
              <w:rPr>
                <w:rFonts w:ascii="Times New Roman" w:cs="Times New Roman" w:eastAsia="Times New Roman" w:hAnsi="Times New Roman"/>
                <w:sz w:val="18"/>
                <w:szCs w:val="18"/>
                <w:b w:val="1"/>
                <w:bCs w:val="1"/>
                <w:color w:val="auto"/>
              </w:rPr>
              <w:t>98-0140269</w:t>
            </w:r>
          </w:p>
        </w:tc>
      </w:tr>
      <w:tr>
        <w:trPr>
          <w:trHeight w:val="147"/>
        </w:trPr>
        <w:tc>
          <w:tcPr>
            <w:tcW w:w="4420" w:type="dxa"/>
            <w:vAlign w:val="bottom"/>
          </w:tcPr>
          <w:p>
            <w:pPr>
              <w:jc w:val="center"/>
              <w:ind w:right="1337"/>
              <w:spacing w:after="0" w:line="147"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960" w:type="dxa"/>
            <w:vAlign w:val="bottom"/>
          </w:tcPr>
          <w:p>
            <w:pPr>
              <w:jc w:val="center"/>
              <w:ind w:left="1357"/>
              <w:spacing w:after="0" w:line="147"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87"/>
        </w:trPr>
        <w:tc>
          <w:tcPr>
            <w:tcW w:w="4420" w:type="dxa"/>
            <w:vAlign w:val="bottom"/>
          </w:tcPr>
          <w:p>
            <w:pPr>
              <w:jc w:val="center"/>
              <w:ind w:right="1337"/>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960" w:type="dxa"/>
            <w:vAlign w:val="bottom"/>
          </w:tcPr>
          <w:p>
            <w:pPr>
              <w:jc w:val="center"/>
              <w:ind w:left="1357"/>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270"/>
        </w:trPr>
        <w:tc>
          <w:tcPr>
            <w:tcW w:w="442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2525 Speakman Drive,</w:t>
            </w:r>
          </w:p>
        </w:tc>
        <w:tc>
          <w:tcPr>
            <w:tcW w:w="3960" w:type="dxa"/>
            <w:vAlign w:val="bottom"/>
          </w:tcPr>
          <w:p>
            <w:pPr>
              <w:jc w:val="center"/>
              <w:ind w:left="1357"/>
              <w:spacing w:after="0"/>
              <w:rPr>
                <w:sz w:val="20"/>
                <w:szCs w:val="20"/>
                <w:color w:val="auto"/>
              </w:rPr>
            </w:pPr>
            <w:r>
              <w:rPr>
                <w:rFonts w:ascii="Times New Roman" w:cs="Times New Roman" w:eastAsia="Times New Roman" w:hAnsi="Times New Roman"/>
                <w:sz w:val="18"/>
                <w:szCs w:val="18"/>
                <w:b w:val="1"/>
                <w:bCs w:val="1"/>
                <w:color w:val="auto"/>
                <w:w w:val="97"/>
              </w:rPr>
              <w:t>902 Broadway, Floor 20</w:t>
            </w:r>
          </w:p>
        </w:tc>
      </w:tr>
      <w:tr>
        <w:trPr>
          <w:trHeight w:val="214"/>
        </w:trPr>
        <w:tc>
          <w:tcPr>
            <w:tcW w:w="442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8"/>
              </w:rPr>
              <w:t>Mississauga, Ontario, Canada L5K 1B1</w:t>
            </w:r>
          </w:p>
        </w:tc>
        <w:tc>
          <w:tcPr>
            <w:tcW w:w="3960" w:type="dxa"/>
            <w:vAlign w:val="bottom"/>
          </w:tcPr>
          <w:p>
            <w:pPr>
              <w:jc w:val="center"/>
              <w:ind w:left="1337"/>
              <w:spacing w:after="0"/>
              <w:rPr>
                <w:sz w:val="20"/>
                <w:szCs w:val="20"/>
                <w:color w:val="auto"/>
              </w:rPr>
            </w:pPr>
            <w:r>
              <w:rPr>
                <w:rFonts w:ascii="Times New Roman" w:cs="Times New Roman" w:eastAsia="Times New Roman" w:hAnsi="Times New Roman"/>
                <w:sz w:val="18"/>
                <w:szCs w:val="18"/>
                <w:b w:val="1"/>
                <w:bCs w:val="1"/>
                <w:color w:val="auto"/>
                <w:w w:val="97"/>
              </w:rPr>
              <w:t>New York, New York, USA 10010</w:t>
            </w:r>
          </w:p>
        </w:tc>
      </w:tr>
      <w:tr>
        <w:trPr>
          <w:trHeight w:val="237"/>
        </w:trPr>
        <w:tc>
          <w:tcPr>
            <w:tcW w:w="442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(905) 403-6500</w:t>
            </w:r>
          </w:p>
        </w:tc>
        <w:tc>
          <w:tcPr>
            <w:tcW w:w="396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(212) 821-0100</w:t>
            </w:r>
          </w:p>
        </w:tc>
      </w:tr>
    </w:tbl>
    <w:p>
      <w:pPr>
        <w:spacing w:after="0" w:line="5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0"/>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Shares, no par value</w:t>
            </w:r>
          </w:p>
        </w:tc>
        <w:tc>
          <w:tcPr>
            <w:tcW w:w="180" w:type="dxa"/>
            <w:vAlign w:val="bottom"/>
          </w:tcPr>
          <w:p>
            <w:pPr>
              <w:spacing w:after="0"/>
              <w:rPr>
                <w:sz w:val="20"/>
                <w:szCs w:val="20"/>
                <w:color w:val="auto"/>
              </w:rPr>
            </w:pPr>
          </w:p>
        </w:tc>
        <w:tc>
          <w:tcPr>
            <w:tcW w:w="314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IMAX</w:t>
            </w:r>
          </w:p>
        </w:tc>
        <w:tc>
          <w:tcPr>
            <w:tcW w:w="140" w:type="dxa"/>
            <w:vAlign w:val="bottom"/>
          </w:tcPr>
          <w:p>
            <w:pPr>
              <w:spacing w:after="0"/>
              <w:rPr>
                <w:sz w:val="20"/>
                <w:szCs w:val="20"/>
                <w:color w:val="auto"/>
              </w:rPr>
            </w:pPr>
          </w:p>
        </w:tc>
        <w:tc>
          <w:tcPr>
            <w:tcW w:w="3840" w:type="dxa"/>
            <w:vAlign w:val="bottom"/>
            <w:tcBorders>
              <w:top w:val="single" w:sz="8" w:color="auto"/>
            </w:tcBorders>
          </w:tcPr>
          <w:p>
            <w:pPr>
              <w:jc w:val="center"/>
              <w:ind w:left="40"/>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53" w:lineRule="exact"/>
        <w:rPr>
          <w:sz w:val="24"/>
          <w:szCs w:val="24"/>
          <w:color w:val="auto"/>
        </w:rPr>
      </w:pPr>
    </w:p>
    <w:p>
      <w:pPr>
        <w:jc w:val="both"/>
        <w:ind w:right="100" w:firstLine="22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120" w:firstLine="22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00" w:firstLine="225"/>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100" w:firstLine="225"/>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240"/>
        <w:spacing w:after="0" w:line="207" w:lineRule="exact"/>
        <w:tabs>
          <w:tab w:leader="none" w:pos="90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as of September 30, 2020</w:t>
            </w:r>
          </w:p>
        </w:tc>
      </w:tr>
      <w:tr>
        <w:trPr>
          <w:trHeight w:val="226"/>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40" w:type="dxa"/>
            <w:vAlign w:val="bottom"/>
          </w:tcPr>
          <w:p>
            <w:pPr>
              <w:spacing w:after="0"/>
              <w:rPr>
                <w:sz w:val="19"/>
                <w:szCs w:val="19"/>
                <w:color w:val="auto"/>
              </w:rPr>
            </w:pPr>
          </w:p>
        </w:tc>
        <w:tc>
          <w:tcPr>
            <w:tcW w:w="5480" w:type="dxa"/>
            <w:vAlign w:val="bottom"/>
            <w:tcBorders>
              <w:top w:val="single" w:sz="8" w:color="auto"/>
            </w:tcBorders>
          </w:tcPr>
          <w:p>
            <w:pPr>
              <w:jc w:val="right"/>
              <w:ind w:right="2260"/>
              <w:spacing w:after="0"/>
              <w:rPr>
                <w:sz w:val="20"/>
                <w:szCs w:val="20"/>
                <w:color w:val="auto"/>
              </w:rPr>
            </w:pPr>
            <w:r>
              <w:rPr>
                <w:rFonts w:ascii="Times New Roman" w:cs="Times New Roman" w:eastAsia="Times New Roman" w:hAnsi="Times New Roman"/>
                <w:sz w:val="18"/>
                <w:szCs w:val="18"/>
                <w:color w:val="auto"/>
              </w:rPr>
              <w:t>58,861,171</w:t>
            </w:r>
          </w:p>
        </w:tc>
      </w:tr>
      <w:tr>
        <w:trPr>
          <w:trHeight w:val="222"/>
        </w:trPr>
        <w:tc>
          <w:tcPr>
            <w:tcW w:w="5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7"/>
        </w:trPr>
        <w:tc>
          <w:tcPr>
            <w:tcW w:w="5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433"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9480" w:type="dxa"/>
            <w:vAlign w:val="bottom"/>
            <w:vMerge w:val="restart"/>
          </w:tcPr>
          <w:p>
            <w:pPr>
              <w:jc w:val="center"/>
              <w:ind w:left="31"/>
              <w:spacing w:after="0"/>
              <w:rPr>
                <w:rFonts w:ascii="Times New Roman" w:cs="Times New Roman" w:eastAsia="Times New Roman" w:hAnsi="Times New Roman"/>
                <w:sz w:val="18"/>
                <w:szCs w:val="18"/>
                <w:b w:val="1"/>
                <w:bCs w:val="1"/>
                <w:u w:val="single" w:color="auto"/>
                <w:color w:val="0000EE"/>
                <w:w w:val="98"/>
              </w:rPr>
            </w:pPr>
            <w:hyperlink w:anchor="page3">
              <w:r>
                <w:rPr>
                  <w:rFonts w:ascii="Times New Roman" w:cs="Times New Roman" w:eastAsia="Times New Roman" w:hAnsi="Times New Roman"/>
                  <w:sz w:val="18"/>
                  <w:szCs w:val="18"/>
                  <w:b w:val="1"/>
                  <w:bCs w:val="1"/>
                  <w:u w:val="single" w:color="auto"/>
                  <w:color w:val="0000EE"/>
                  <w:w w:val="98"/>
                </w:rPr>
                <w:t>PART I. FINANCIAL INFORMATION</w:t>
              </w:r>
            </w:hyperlink>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Quantitative and Qualitative Disclosures about Market Risk</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Controls and Procedures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480" w:type="dxa"/>
            <w:vAlign w:val="bottom"/>
          </w:tcPr>
          <w:p>
            <w:pPr>
              <w:jc w:val="center"/>
              <w:ind w:left="51"/>
              <w:spacing w:after="0"/>
              <w:rPr>
                <w:rFonts w:ascii="Times New Roman" w:cs="Times New Roman" w:eastAsia="Times New Roman" w:hAnsi="Times New Roman"/>
                <w:sz w:val="18"/>
                <w:szCs w:val="18"/>
                <w:b w:val="1"/>
                <w:bCs w:val="1"/>
                <w:u w:val="single" w:color="auto"/>
                <w:color w:val="0000EE"/>
                <w:w w:val="97"/>
              </w:rPr>
            </w:pPr>
            <w:hyperlink w:anchor="page81">
              <w:r>
                <w:rPr>
                  <w:rFonts w:ascii="Times New Roman" w:cs="Times New Roman" w:eastAsia="Times New Roman" w:hAnsi="Times New Roman"/>
                  <w:sz w:val="18"/>
                  <w:szCs w:val="18"/>
                  <w:b w:val="1"/>
                  <w:bCs w:val="1"/>
                  <w:u w:val="single" w:color="auto"/>
                  <w:color w:val="0000EE"/>
                  <w:w w:val="97"/>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Legal Proceedings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tcPr>
          <w:p>
            <w:pPr>
              <w:ind w:left="6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Exhibits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3"/>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Signatures</w:t>
              </w:r>
            </w:hyperlink>
          </w:p>
        </w:tc>
        <w:tc>
          <w:tcPr>
            <w:tcW w:w="9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641"/>
        </w:trPr>
        <w:tc>
          <w:tcPr>
            <w:tcW w:w="820" w:type="dxa"/>
            <w:vAlign w:val="bottom"/>
          </w:tcPr>
          <w:p>
            <w:pPr>
              <w:spacing w:after="0"/>
              <w:rPr>
                <w:sz w:val="24"/>
                <w:szCs w:val="24"/>
                <w:color w:val="auto"/>
              </w:rPr>
            </w:pPr>
          </w:p>
        </w:tc>
        <w:tc>
          <w:tcPr>
            <w:tcW w:w="94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88"/>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20" w:type="dxa"/>
            <w:vAlign w:val="bottom"/>
            <w:tcBorders>
              <w:bottom w:val="single" w:sz="8" w:color="9A9A9A"/>
            </w:tcBorders>
          </w:tcPr>
          <w:p>
            <w:pPr>
              <w:spacing w:after="0"/>
              <w:rPr>
                <w:sz w:val="9"/>
                <w:szCs w:val="9"/>
                <w:color w:val="auto"/>
              </w:rPr>
            </w:pPr>
          </w:p>
        </w:tc>
        <w:tc>
          <w:tcPr>
            <w:tcW w:w="9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105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Balance Sheets as at September 30, 2020 and December 31, 2019</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Operations for the three and nine months ended September 30, 2020 and 2019</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Comprehensive (Loss) Income for the three and nine months ended September 30, 2020 and 2019</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for the nine months ended September 30, 2020 and 2019</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2"/>
        </w:trPr>
        <w:tc>
          <w:tcPr>
            <w:tcW w:w="914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8"/>
              </w:rPr>
              <w:t>Condensed Consolidated Statements of Shareholders’ Equity for the three and nine months ended September 30, 2020 and 2019</w:t>
            </w:r>
          </w:p>
        </w:tc>
        <w:tc>
          <w:tcPr>
            <w:tcW w:w="144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41"/>
        </w:trPr>
        <w:tc>
          <w:tcPr>
            <w:tcW w:w="91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305,197</w:t>
            </w:r>
          </w:p>
        </w:tc>
        <w:tc>
          <w:tcPr>
            <w:tcW w:w="18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109,484</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59,674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99,513</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126,740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128,038</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consideration receivable, net of allowance for credit losses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39,394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40,040</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53,021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42,989</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10,812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10,237</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Film assets</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17,921</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282,854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306,849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15,685</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23,796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25,034</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23,905</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27,019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30,347</w:t>
            </w:r>
          </w:p>
        </w:tc>
        <w:tc>
          <w:tcPr>
            <w:tcW w:w="0" w:type="dxa"/>
            <w:vAlign w:val="bottom"/>
          </w:tcPr>
          <w:p>
            <w:pPr>
              <w:spacing w:after="0"/>
              <w:rPr>
                <w:sz w:val="1"/>
                <w:szCs w:val="1"/>
                <w:color w:val="auto"/>
              </w:rPr>
            </w:pPr>
          </w:p>
        </w:tc>
      </w:tr>
      <w:tr>
        <w:trPr>
          <w:trHeight w:val="22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39,027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39,027</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1,007,542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297,985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18,229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20,414</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103,970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112,779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99,770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94,552</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18,661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532,397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245,974</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5,908</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58,878,749 issued and 58,861,171 outstanding (December 31, 2019 — 61,362,872 issued and</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61,175,852 outstanding)</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405,583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423,386</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Treasury stock, 17,578 shares at cost (December 31, 2019 — 187,020)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equity</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177,110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171,789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2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398,834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547,694</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75,535</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89,493</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474,369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637,187</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1,007,542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448"/>
        </w:trPr>
        <w:tc>
          <w:tcPr>
            <w:tcW w:w="20" w:type="dxa"/>
            <w:vAlign w:val="bottom"/>
            <w:vMerge w:val="restart"/>
          </w:tcPr>
          <w:p>
            <w:pPr>
              <w:spacing w:after="0"/>
              <w:rPr>
                <w:sz w:val="24"/>
                <w:szCs w:val="24"/>
                <w:color w:val="auto"/>
              </w:rPr>
            </w:pP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sales</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15,753</w:t>
            </w:r>
          </w:p>
        </w:tc>
        <w:tc>
          <w:tcPr>
            <w:tcW w:w="50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21,735</w:t>
            </w:r>
          </w:p>
        </w:tc>
        <w:tc>
          <w:tcPr>
            <w:tcW w:w="1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24,102</w:t>
            </w:r>
          </w:p>
        </w:tc>
        <w:tc>
          <w:tcPr>
            <w:tcW w:w="1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56,629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14,589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44,168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39,109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144,977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rentals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4,473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61,675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7,495</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8,104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37,256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86,390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81,013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271,385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sales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9,222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33,114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16,989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42,049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66,205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Technology rentals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7,216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7,349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22,100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20,253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33,427</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39,270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79,786</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119,572</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151,813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24,815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29,482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83,247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89,267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Exit costs, restructuring charges and associated impairments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(27,390)</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14,409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(107,329)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52,458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Gain (loss) in fair value of investments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(27,806)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49,261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in (losses) gains of investees, net of tax</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(48,484)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10,896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(137,942)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37,219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15,412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(47,209)</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9,033</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(122,530)</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28,695</w:t>
            </w:r>
          </w:p>
        </w:tc>
        <w:tc>
          <w:tcPr>
            <w:tcW w:w="0" w:type="dxa"/>
            <w:vAlign w:val="bottom"/>
          </w:tcPr>
          <w:p>
            <w:pPr>
              <w:spacing w:after="0"/>
              <w:rPr>
                <w:sz w:val="1"/>
                <w:szCs w:val="1"/>
                <w:color w:val="auto"/>
              </w:rPr>
            </w:pPr>
          </w:p>
        </w:tc>
      </w:tr>
      <w:tr>
        <w:trPr>
          <w:trHeight w:val="20"/>
        </w:trPr>
        <w:tc>
          <w:tcPr>
            <w:tcW w:w="572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Net (loss) income per share attributable to common shareholders - basic and diluted:</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50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20"/>
        </w:trPr>
        <w:tc>
          <w:tcPr>
            <w:tcW w:w="55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(48,484)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10,896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(137,942)</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37,219</w:t>
            </w:r>
          </w:p>
        </w:tc>
      </w:tr>
      <w:tr>
        <w:trPr>
          <w:trHeight w:val="22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gain (loss) from cash flow hedging instruments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1,015</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3,107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1,678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r>
      <w:tr>
        <w:trPr>
          <w:trHeight w:val="22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 (loss)</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(45,566)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9,247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(136,200)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36,178</w:t>
            </w:r>
          </w:p>
        </w:tc>
      </w:tr>
      <w:tr>
        <w:trPr>
          <w:trHeight w:val="227"/>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14,876</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20"/>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common shareholders</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(45,013)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7,837</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(121,324)</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28,161</w:t>
            </w: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tcPr>
          <w:p>
            <w:pPr>
              <w:spacing w:after="0"/>
              <w:rPr>
                <w:sz w:val="16"/>
                <w:szCs w:val="16"/>
                <w:color w:val="auto"/>
              </w:rPr>
            </w:pPr>
          </w:p>
        </w:tc>
      </w:tr>
      <w:tr>
        <w:trPr>
          <w:trHeight w:val="212"/>
        </w:trPr>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8"/>
                <w:szCs w:val="18"/>
                <w:color w:val="auto"/>
              </w:rPr>
            </w:pPr>
          </w:p>
        </w:tc>
      </w:tr>
      <w:tr>
        <w:trPr>
          <w:trHeight w:val="220"/>
        </w:trPr>
        <w:tc>
          <w:tcPr>
            <w:tcW w:w="67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40" w:type="dxa"/>
            <w:vAlign w:val="bottom"/>
            <w:gridSpan w:val="2"/>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(137,942)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37,219</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cash from operating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41,294</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45,500</w:t>
            </w:r>
          </w:p>
        </w:tc>
      </w:tr>
      <w:tr>
        <w:trPr>
          <w:trHeight w:val="227"/>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loss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15,582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1,957</w:t>
            </w:r>
          </w:p>
        </w:tc>
      </w:tr>
      <w:tr>
        <w:trPr>
          <w:trHeight w:val="227"/>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Write-downs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13,339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1,027</w:t>
            </w:r>
          </w:p>
        </w:tc>
      </w:tr>
      <w:tr>
        <w:trPr>
          <w:trHeight w:val="227"/>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23,142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1,035</w:t>
            </w:r>
          </w:p>
        </w:tc>
      </w:tr>
      <w:tr>
        <w:trPr>
          <w:trHeight w:val="227"/>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16,345</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17,397</w:t>
            </w:r>
          </w:p>
        </w:tc>
      </w:tr>
      <w:tr>
        <w:trPr>
          <w:trHeight w:val="227"/>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exchange (gain) loss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r>
      <w:tr>
        <w:trPr>
          <w:trHeight w:val="227"/>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in fair value of investments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2,543</w:t>
            </w:r>
          </w:p>
        </w:tc>
      </w:tr>
      <w:tr>
        <w:trPr>
          <w:trHeight w:val="227"/>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losses of investees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7"/>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30,350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9,613</w:t>
            </w:r>
          </w:p>
        </w:tc>
      </w:tr>
      <w:tr>
        <w:trPr>
          <w:trHeight w:val="227"/>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(13,422)</w:t>
            </w:r>
          </w:p>
        </w:tc>
      </w:tr>
      <w:tr>
        <w:trPr>
          <w:trHeight w:val="227"/>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Film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27"/>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5,233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27"/>
        </w:trPr>
        <w:tc>
          <w:tcPr>
            <w:tcW w:w="6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(17,878)</w:t>
            </w:r>
          </w:p>
        </w:tc>
      </w:tr>
      <w:tr>
        <w:trPr>
          <w:trHeight w:val="220"/>
        </w:trPr>
        <w:tc>
          <w:tcPr>
            <w:tcW w:w="6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(30,818)</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67,257</w:t>
            </w:r>
          </w:p>
        </w:tc>
      </w:tr>
      <w:tr>
        <w:trPr>
          <w:trHeight w:val="2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equipment for joint revenue sharing arrangements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(31,099)</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w:t>
            </w:r>
          </w:p>
        </w:tc>
      </w:tr>
      <w:tr>
        <w:trPr>
          <w:trHeight w:val="220"/>
        </w:trPr>
        <w:tc>
          <w:tcPr>
            <w:tcW w:w="672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(7,608)</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(53,654)</w:t>
            </w:r>
          </w:p>
        </w:tc>
      </w:tr>
      <w:tr>
        <w:trPr>
          <w:trHeight w:val="2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revolving credit facility borrowings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280,244</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35,000</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revolving credit facility borrowings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amendment fees paid</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share units and options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repurchased for future settlement of restricted share units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shares, IMAX China</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withheld and paid on employee stock awards vested</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 stock options exercised</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2,391</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subsidiary shares to non-controlling interests (net of return on capital)</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1,106</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r>
      <w:tr>
        <w:trPr>
          <w:trHeight w:val="220"/>
        </w:trPr>
        <w:tc>
          <w:tcPr>
            <w:tcW w:w="6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233,509</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(53,372)</w:t>
            </w:r>
          </w:p>
        </w:tc>
      </w:tr>
      <w:tr>
        <w:trPr>
          <w:trHeight w:val="22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727</w:t>
            </w:r>
          </w:p>
        </w:tc>
      </w:tr>
      <w:tr>
        <w:trPr>
          <w:trHeight w:val="2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 during period</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195,713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(39,042)</w:t>
            </w:r>
          </w:p>
        </w:tc>
      </w:tr>
      <w:tr>
        <w:trPr>
          <w:trHeight w:val="22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109,484</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141,590</w:t>
            </w:r>
          </w:p>
        </w:tc>
      </w:tr>
      <w:tr>
        <w:trPr>
          <w:trHeight w:val="22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305,197</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102,548</w:t>
            </w:r>
          </w:p>
        </w:tc>
      </w:tr>
      <w:tr>
        <w:trPr>
          <w:trHeight w:val="20"/>
        </w:trPr>
        <w:tc>
          <w:tcPr>
            <w:tcW w:w="6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220"/>
        </w:trPr>
        <w:tc>
          <w:tcPr>
            <w:tcW w:w="55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405,254</w:t>
            </w:r>
          </w:p>
        </w:tc>
        <w:tc>
          <w:tcPr>
            <w:tcW w:w="50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422,101</w:t>
            </w:r>
          </w:p>
        </w:tc>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419,348</w:t>
            </w:r>
          </w:p>
        </w:tc>
        <w:tc>
          <w:tcPr>
            <w:tcW w:w="140" w:type="dxa"/>
            <w:vAlign w:val="bottom"/>
          </w:tcPr>
          <w:p>
            <w:pPr>
              <w:spacing w:after="0"/>
              <w:rPr>
                <w:sz w:val="19"/>
                <w:szCs w:val="19"/>
                <w:color w:val="auto"/>
              </w:rPr>
            </w:pPr>
          </w:p>
        </w:tc>
        <w:tc>
          <w:tcPr>
            <w:tcW w:w="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421,539</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 in shares held in treasury</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options exercised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1,740</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Fair value of stock options exercised at the grant date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r>
      <w:tr>
        <w:trPr>
          <w:trHeight w:val="227"/>
        </w:trPr>
        <w:tc>
          <w:tcPr>
            <w:tcW w:w="55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405,312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421,798</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405,312</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421,798</w:t>
            </w:r>
          </w:p>
        </w:tc>
      </w:tr>
      <w:tr>
        <w:trPr>
          <w:trHeight w:val="22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172,690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166,232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171,789</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179,595</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share-based payment expense - stock options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6,719</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3,337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11,099</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10,770</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(8,713)</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received from the issuance of common shares in excess of par value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651</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Fair value of stock options exercised at the grant date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shares repurchased, IMAX China</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 options exercised from treasury shares purchased on open market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177,110</w:t>
            </w:r>
          </w:p>
        </w:tc>
        <w:tc>
          <w:tcPr>
            <w:tcW w:w="1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168,204</w:t>
            </w: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177,110</w:t>
            </w:r>
          </w:p>
        </w:tc>
        <w:tc>
          <w:tcPr>
            <w:tcW w:w="14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168,204</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(85,385)</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(122,530)</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28,695</w:t>
            </w:r>
          </w:p>
        </w:tc>
      </w:tr>
      <w:tr>
        <w:trPr>
          <w:trHeight w:val="227"/>
        </w:trPr>
        <w:tc>
          <w:tcPr>
            <w:tcW w:w="55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(181,604)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(58,424)</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(181,604)</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(58,424)</w:t>
            </w:r>
          </w:p>
        </w:tc>
      </w:tr>
      <w:tr>
        <w:trPr>
          <w:trHeight w:val="22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27"/>
        </w:trPr>
        <w:tc>
          <w:tcPr>
            <w:tcW w:w="55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74,723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85,472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89,493</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80,757</w:t>
            </w:r>
          </w:p>
        </w:tc>
      </w:tr>
      <w:tr>
        <w:trPr>
          <w:trHeight w:val="22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9,309</w:t>
            </w:r>
          </w:p>
        </w:tc>
      </w:tr>
      <w:tr>
        <w:trPr>
          <w:trHeight w:val="227"/>
        </w:trPr>
        <w:tc>
          <w:tcPr>
            <w:tcW w:w="5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7"/>
        </w:trPr>
        <w:tc>
          <w:tcPr>
            <w:tcW w:w="55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Dividends paid to non-controlling shareholders</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r>
      <w:tr>
        <w:trPr>
          <w:trHeight w:val="22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75,535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85,175</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75,535</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85,175</w:t>
            </w:r>
          </w:p>
        </w:tc>
      </w:tr>
      <w:tr>
        <w:trPr>
          <w:trHeight w:val="22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474,369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612,631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474,369</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612,631</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ind w:left="3640" w:right="2500" w:hanging="925"/>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i w:val="1"/>
          <w:iCs w:val="1"/>
          <w:color w:val="auto"/>
        </w:rPr>
        <w:t>(Tabular amounts in thousands of U.S. dollars, unless otherwise stated)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b w:val="1"/>
          <w:bCs w:val="1"/>
          <w:i w:val="1"/>
          <w:iCs w:val="1"/>
          <w:color w:val="auto"/>
        </w:rPr>
        <w:t>)</w:t>
      </w:r>
    </w:p>
    <w:p>
      <w:pPr>
        <w:spacing w:after="0" w:line="7" w:lineRule="exact"/>
        <w:rPr>
          <w:sz w:val="20"/>
          <w:szCs w:val="20"/>
          <w:color w:val="auto"/>
        </w:rPr>
      </w:pPr>
    </w:p>
    <w:p>
      <w:pPr>
        <w:jc w:val="both"/>
        <w:ind w:left="240" w:right="9420" w:hanging="233"/>
        <w:spacing w:after="0" w:line="472" w:lineRule="auto"/>
        <w:tabs>
          <w:tab w:leader="none" w:pos="238"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i w:val="1"/>
          <w:iCs w:val="1"/>
          <w:color w:val="auto"/>
        </w:rPr>
        <w:t>Accounting Principles</w:t>
      </w: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interim results presented in the Company’s Condensed Consolidated Statements of Operations are not necessarily indicative of results for a full year, particularly in this interim period due to the impacts of the COVID-19 global pandemic (see Note 2).</w:t>
      </w:r>
    </w:p>
    <w:p>
      <w:pPr>
        <w:spacing w:after="0" w:line="148"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the Company’s 2019 Annual Report on Form 10-K (the “2019 Form 10-K”), which should be consulted for a summary of the significant accounting policies utilized by the Company. The Condensed Consolidated Financial Statements are prepared following the same accounting policies disclosed in the 2019 Form 10-K, except as described in Note 4 below. In the first quarter of 2020, the Company updated certain account names within Revenues and Costs and Expenses Applicable to Revenues in its Condensed Consolidated Statements of Operations to better describe the nature of its revenue-generating activities and related costs.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96"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except for subsidiaries which have been identified as variable interest entities (“VIEs”) where the Company is not the primary beneficiary. All intercompany accounts and transactions have been eliminated.</w:t>
      </w:r>
    </w:p>
    <w:p>
      <w:pPr>
        <w:spacing w:after="0" w:line="123"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value of an investment that is other than temporary is recognized as a charge in the Condensed Consolidated Statements of Operations.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and liabilities of the Company’s consolidated VIEs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9,677</w:t>
            </w:r>
          </w:p>
        </w:tc>
      </w:tr>
      <w:tr>
        <w:trPr>
          <w:trHeight w:val="233"/>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15"/>
                <w:szCs w:val="15"/>
                <w:color w:val="auto"/>
              </w:rPr>
              <w:t>(1)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r>
    </w:tbl>
    <w:p>
      <w:pPr>
        <w:spacing w:after="0" w:line="136" w:lineRule="exact"/>
        <w:rPr>
          <w:sz w:val="20"/>
          <w:szCs w:val="20"/>
          <w:color w:val="auto"/>
        </w:rPr>
      </w:pPr>
    </w:p>
    <w:p>
      <w:pPr>
        <w:ind w:left="340" w:hanging="333"/>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comparative has been reclassified to conform with current period presentation.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196"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preparing the Company’s Condensed Consolidated Financial Statements, management makes judgments in applying various accounting policies. The areas of policy judgment are consistent with those reported in Note 2(b) in the 2019 Form 10-K, with the exception of the estimates used by the Company in applying ASU No. 2016-13, “Financial Instruments – Credit Losses (Topic 326): Measurement of Credit Losses on Financial Instruments,” which was adopted on January 1, 2020 and also involves significant judgment and estimation (see Note 4). In addition, management makes assumptions about the Company’s future operating results and cash flows in deriving critical accounting estimates used in preparing the Condensed Consolidated Financial Statements. As disclosed in Note 2(b) in the 2019 Form 10-K, such sources of estimation include estimates used to determine the recoverable amounts of receivables, inventory, film assets, long-lived assets (including the theater system equipment supporting the Company’s joint revenue sharing arrangements), goodwill and deferred tax assets, as well as estimates of variable consideration related to future box office performance.</w:t>
      </w:r>
    </w:p>
    <w:p>
      <w:pPr>
        <w:spacing w:after="0" w:line="145" w:lineRule="exact"/>
        <w:rPr>
          <w:sz w:val="20"/>
          <w:szCs w:val="20"/>
          <w:color w:val="auto"/>
        </w:rPr>
      </w:pPr>
    </w:p>
    <w:p>
      <w:pPr>
        <w:jc w:val="both"/>
        <w:ind w:firstLine="225"/>
        <w:spacing w:after="0" w:line="250" w:lineRule="auto"/>
        <w:rPr>
          <w:sz w:val="20"/>
          <w:szCs w:val="20"/>
          <w:color w:val="auto"/>
        </w:rPr>
      </w:pPr>
      <w:r>
        <w:rPr>
          <w:rFonts w:ascii="Times New Roman" w:cs="Times New Roman" w:eastAsia="Times New Roman" w:hAnsi="Times New Roman"/>
          <w:sz w:val="18"/>
          <w:szCs w:val="18"/>
          <w:color w:val="auto"/>
        </w:rPr>
        <w:t>To date, the Company’s operations have been significantly impacted by the COVID-19 global pandemic, as described in Note 2. There continues to be significant ongoing uncertainty surrounding the extent and duration of the impacts that the pandemic will continue to have on box office results and the installation of IMAX Theater Systems, as well as the Company’s customers, suppliers, and employees. There is heightened potential for future credit losses on receivables, inventory write downs, impairments of film assets, impairments of long-lived assets (including the theater system equipment supporting the Company’s joint revenue sharing arrangements), impairments of goodwill, valuation allowances against deferred tax assets, and the reversal of variable consideration receivables that are based on estimates of future box office performance. In the current environment, assumptions about box office results, IMAX Theater System installations, and customer creditworthiness have greater variability than normal, which could in the future significantly affect the valuation of the Company’s assets, both financial and non-financial. The cash flow estimates used to test the recoverability of certain of the Company’s long-lived assets are based on a longer time horizon due to the long-term nature of the underlying contracts, allowing time for a recovery of the cash flows associated with the underlying assets groups, which management has factored into its estimates. The accuracy of management’s estimates is dependent, in part, on the timing and extent of the reopening of theaters in the IMAX network, and on the release of new films by movie studios. These theater reopening and film release scenarios are highly uncertain and have been factored into management’s cash flow estimates. As an understanding of the longer-term impacts of COVID-19 on the Company’s customers and business develops, there is a heightened potential for changes in management’s estimates over the remainder of 2020 and into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Impact of COVID-19 Pandemic</w:t>
      </w:r>
    </w:p>
    <w:p>
      <w:pPr>
        <w:spacing w:after="0" w:line="198" w:lineRule="exact"/>
        <w:rPr>
          <w:sz w:val="20"/>
          <w:szCs w:val="20"/>
          <w:color w:val="auto"/>
        </w:rPr>
      </w:pPr>
    </w:p>
    <w:p>
      <w:pPr>
        <w:jc w:val="both"/>
        <w:ind w:firstLine="225"/>
        <w:spacing w:after="0" w:line="249" w:lineRule="auto"/>
        <w:rPr>
          <w:sz w:val="20"/>
          <w:szCs w:val="20"/>
          <w:color w:val="auto"/>
        </w:rPr>
      </w:pPr>
      <w:r>
        <w:rPr>
          <w:rFonts w:ascii="Times New Roman" w:cs="Times New Roman" w:eastAsia="Times New Roman" w:hAnsi="Times New Roman"/>
          <w:sz w:val="18"/>
          <w:szCs w:val="18"/>
          <w:color w:val="auto"/>
        </w:rPr>
        <w:t>In late-January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Hollywood and Chinese movie studios postponed the theatrical release of multiple films, including many scheduled to be shown in IMAX theaters, while certain other films have been released directly to streaming platforms. More recently, stay-at-home orders have been lifted in many countries and movie theaters throughout the IMAX network gradually reopened in the third quarter of 2020 with reduced capacities, physical distancing requirements, and other safety measures. During the third quarter of 2020, a significant number of the theaters in the IMAX commercial multiplex network reopened, including substantially all of the theaters in Greater China and the majority of the theaters in Domestic (i.e., United States and Canada) locations and Rest of World markets. In many parts of Asia, audiences have returned to theaters, particularly IMAX theaters, in numbers consistent with pre-pandemic attendance. However, ticket sales have been significantly lower than normal levels in theaters outside of Asia and, in recent weeks, Hollywood movie studios further delayed a number of films due to be released in the fourth quarter of 2020. As a result, certain theater chains have recently closed again or have reduced their operating hours. In addition, theaters in major markets such as New York City and Los Angeles continue to remain temporarily closed.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10" w:name="page11"/>
    <w:bookmarkEnd w:id="10"/>
    <w:p>
      <w:pPr>
        <w:jc w:val="both"/>
        <w:ind w:firstLine="225"/>
        <w:spacing w:after="0" w:line="250" w:lineRule="auto"/>
        <w:rPr>
          <w:sz w:val="20"/>
          <w:szCs w:val="20"/>
          <w:color w:val="auto"/>
        </w:rPr>
      </w:pPr>
      <w:r>
        <w:rPr>
          <w:rFonts w:ascii="Times New Roman" w:cs="Times New Roman" w:eastAsia="Times New Roman" w:hAnsi="Times New Roman"/>
          <w:sz w:val="18"/>
          <w:szCs w:val="18"/>
          <w:color w:val="auto"/>
        </w:rPr>
        <w:t>The repercussions of the COVID-19 global pandemic have resulted in a significant decrease in the Company’s revenues, earnings and operating cash flows during the three and nine months ended September 30, 2020 as gross box office (“GBO”) results declined significantly, the installations of certain theater systems were delayed, and maintenance services were generally suspended for theaters that were closed. During time periods in which there is a lack of new films released by movie studios and a significant number of theaters in the IMAX network are closed, the Company has and will continue to experience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is likely to continue to experience delays in collecting payments due under existing theater sale or lease arrangements from its exhibitor partners who are now facing financial difficulties as a result of the theater closures. In response, the Company has provided temporary relief to exhibitor partners by waiving maintenance fees during periods when theaters are closed and, in certain situations, by providing extended payment terms on annual minimum payment obligations in exchange for a corresponding extension of the term of the underlying sale or lease arrangement. As discussed in Note 4, for the three and nine months ended September 30, 2020, the Company increased its provision for current expected credit losses by $3.9 million and $15.6 million, respectively, principally reflecting a reduction in the credit quality of its theater related accounts receivable, financing receivables and variable consideration receivables.</w:t>
      </w:r>
    </w:p>
    <w:p>
      <w:pPr>
        <w:spacing w:after="0" w:line="161"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12529"/>
        </w:rPr>
        <w:t>he Company may continue to be significantly impacted by the COVID-19 global pandemic even after a significant portion or all theaters are reopened.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such time as consumer behavior normalizes and consumer spending recovers.</w:t>
      </w:r>
    </w:p>
    <w:p>
      <w:pPr>
        <w:spacing w:after="0" w:line="142" w:lineRule="exact"/>
        <w:rPr>
          <w:sz w:val="20"/>
          <w:szCs w:val="20"/>
          <w:color w:val="auto"/>
        </w:rPr>
      </w:pPr>
    </w:p>
    <w:p>
      <w:pPr>
        <w:jc w:val="both"/>
        <w:ind w:firstLine="225"/>
        <w:spacing w:after="0" w:line="250"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for at least the remainder of the current fiscal year, reducing the working hours of other employees and deferring all non-essential capital expenditures to minimum levels. The Company has also implemented an active cash management process, which, among other things, requires senior management approval of all outgoing payments. In addition, in the first quarter of 2020, the Company drew down the $280.0 million in remaining available borrowing capacity under its credit facility, which was then amended in June 2020 to, among other things, suspend the senior secured net leverage ratio financial covenant in the underlying credit agreement through the first quarter of 2021 and substitute quarterly EBITDA from the third and fourth quarters of 2019 in lieu of the EBITDA for the corresponding quarters of 2020 to meet the original senior secured net leverage ratio financial covenant (see Note 7). Furthermore, the Company has applied for wage subsidies, tax credits and other financial support under the enacted COVID-19 relief legislation in the countries in which it operates. During 2020, the Company recognized $4.5 million under the Canada Emergency Wage Subsidy (“CEWS”) program and $0.7 million under the U.S. CARES Act, as reductions to Selling, General and Administrative Expenses ($4.5 million), Costs and Expenses Applicable to Revenues ($0.6 million) and Research and Development ($0.1 million) in the Condensed Consolidated Statements of Operations. The CEWS program has been extended to June 2021. The Company will continue to review and apply for additional subsidies and credits for the remaining terms of these programs, where applicable.</w:t>
      </w:r>
    </w:p>
    <w:p>
      <w:pPr>
        <w:spacing w:after="0" w:line="149"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Consistent with the first and second quarters of 2020, the Company performed a quantitative goodwill impairment test considering the latest available information and determined that its goodwill was not impaired as of September 30, 2020. As of that date, the Company’s total Goodwill was $39.0 million, of which $19.0 million relates to the IMAX Systems reporting unit, $13.6 million relates to the Joint Revenue Sharing Arrangement reporting unit, and $6.4 million relates to the IMAX Maintenance reporting unit. The impairment test was performed on a reporting unit level by comparing each unit’s carrying value, including goodwill, to its fair value. The fair value of each reporting unit was assessed using a discounted cash flow model based on management’s estimated long-term projections, against which various sensitivity analyses were performed.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 (see Note 1).</w:t>
      </w:r>
    </w:p>
    <w:p>
      <w:pPr>
        <w:spacing w:after="0" w:line="15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third quarter of 2020, the Company also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and determined that there was no impairment as of September 30, 2020. The cash flow estimates used in these tests are consistent with management’s estimated long-term projections, against which various sensitivity analyses were performed. These estimates are highly uncertain due to the COVID-19 global pandemic; therefore, management’s estimated cash flows factor in a number of underlying variables and ranges of possible cash flow scenarios. Actual results may materially differ from management’s estimates, especially due to the uncertainties associated with the COVID-19 pandemic (see Note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third quarter of 2020, the Company also assessed the recoverability of its deferred tax assets due to losses recognized in the period associated with the COVID-19 global pandemic. The utilization of the Company’s deferred tax assets is dependent on having sufficient future tax benefits, such as taxable income in each of the jurisdictions to which the deferred tax assets relate. In the third quarter of 2020, the Company recorded a $23.7 million valuation allowance to reduce the value of deferred tax assets in certain jurisdictions where the Company incurs corporate leadership and administrative costs and where management could not reliably estimate future taxable income in those jurisdictions due to uncertainties associated with the COVID-19 global pandemic. At the point in time when the uncertainties of COVID-19 resolve and the Company is able to reliably forecast sufficient future taxable income in the impacted jurisdictions, the $23.7 million valuation allowance recorded in the third quarter of 2020 may be reversed. Despite this valuation allowance, the Company remains entitled to benefit from tax attributes which currently have a valuation allowance applied (see Note 11).</w:t>
      </w:r>
    </w:p>
    <w:p>
      <w:pPr>
        <w:spacing w:after="0" w:line="158"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If business conditions deteriorate further, or should they remain depressed for a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as of the beginning of its fourth fiscal quarter and whenever events or changes in circumstances indicate there may be a potential impairment. In addition, estimates related to future expected credit losses (Note 4) and the recoverability of deferred tax assets (Note 11) could also be further materially impacted by changes in estimates in the future (see Note 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Standards Not Yet Adopted</w:t>
      </w:r>
    </w:p>
    <w:p>
      <w:pPr>
        <w:spacing w:after="0" w:line="184"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(“ASU 2020-04”). The purpose of ASU 2019-05 is to provide optional expedients and exceptions for applying GAAP to contracts, hedging relationships, and other transactions affected by reference rate reform if certain criteria are met. The amendments are effective for all entities from the beginning of an interim period that includes the issuance date of the ASU. An entity may elect to apply the amendments prospectively through December 31, 2022. The Company is currently assessing the impact of ASU 2020-04 on its Condensed Consolidated Financial Statements.</w:t>
      </w:r>
    </w:p>
    <w:p>
      <w:pPr>
        <w:spacing w:after="0" w:line="156"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standards updates that are not noted above were assessed and determined to be not applicable or not significant to the Company’s Condensed Consolidated Financial Statements for the period ended September 30,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Current Expected Credit Losses</w:t>
      </w:r>
    </w:p>
    <w:p>
      <w:pPr>
        <w:spacing w:after="0" w:line="184"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In 2016, the FASB issued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from movie studios and other content creators for digitally remastering films into IMAX formats, as well as for film distribution and post-production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60" w:lineRule="exact"/>
        <w:rPr>
          <w:sz w:val="20"/>
          <w:szCs w:val="20"/>
          <w:color w:val="auto"/>
        </w:rPr>
      </w:pPr>
    </w:p>
    <w:p>
      <w:pPr>
        <w:ind w:left="960" w:hanging="36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up to date.</w:t>
      </w:r>
    </w:p>
    <w:p>
      <w:pPr>
        <w:spacing w:after="0" w:line="180" w:lineRule="exact"/>
        <w:rPr>
          <w:rFonts w:ascii="Times New Roman" w:cs="Times New Roman" w:eastAsia="Times New Roman" w:hAnsi="Times New Roman"/>
          <w:sz w:val="18"/>
          <w:szCs w:val="18"/>
          <w:color w:val="auto"/>
        </w:rPr>
      </w:pPr>
    </w:p>
    <w:p>
      <w:pPr>
        <w:jc w:val="both"/>
        <w:ind w:left="960" w:hanging="365"/>
        <w:spacing w:after="0" w:line="255"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42" w:lineRule="exact"/>
        <w:rPr>
          <w:rFonts w:ascii="Times New Roman" w:cs="Times New Roman" w:eastAsia="Times New Roman" w:hAnsi="Times New Roman"/>
          <w:sz w:val="18"/>
          <w:szCs w:val="18"/>
          <w:color w:val="auto"/>
        </w:rPr>
      </w:pPr>
    </w:p>
    <w:p>
      <w:pPr>
        <w:jc w:val="both"/>
        <w:ind w:left="960" w:hanging="365"/>
        <w:spacing w:after="0" w:line="253"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46" w:lineRule="exact"/>
        <w:rPr>
          <w:rFonts w:ascii="Times New Roman" w:cs="Times New Roman" w:eastAsia="Times New Roman" w:hAnsi="Times New Roman"/>
          <w:sz w:val="18"/>
          <w:szCs w:val="18"/>
          <w:color w:val="auto"/>
        </w:rPr>
      </w:pPr>
    </w:p>
    <w:p>
      <w:pPr>
        <w:jc w:val="both"/>
        <w:ind w:left="960" w:hanging="365"/>
        <w:spacing w:after="0" w:line="26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37"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or other customers, may experience financial difficulties, such as those imposed by the COVID-19 global pandemic, that could cause them to be unable to fulfill their payment obligations to the Company.</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accounts receivable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0"/>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Theater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Theater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1"/>
                <w:szCs w:val="11"/>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7"/>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recorded provisions for current expected credit losses of $1.8 million and $9.5 million, respectively, reflecting a reduction in the credit quality of its theater and studio related accounts receivable, which management believes is primarily related to the COVID-19 global pandemic. For the three months ended September 30, 2020, the reduction to the provision for Studios is principally due to improved collection experience with a particular customer.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196" w:lineRule="exact"/>
        <w:rPr>
          <w:sz w:val="20"/>
          <w:szCs w:val="20"/>
          <w:color w:val="auto"/>
        </w:rPr>
      </w:pPr>
    </w:p>
    <w:p>
      <w:pPr>
        <w:jc w:val="both"/>
        <w:ind w:firstLine="225"/>
        <w:spacing w:after="0" w:line="270" w:lineRule="auto"/>
        <w:rPr>
          <w:sz w:val="20"/>
          <w:szCs w:val="20"/>
          <w:color w:val="auto"/>
        </w:rPr>
      </w:pPr>
      <w:r>
        <w:rPr>
          <w:rFonts w:ascii="Times New Roman" w:cs="Times New Roman" w:eastAsia="Times New Roman" w:hAnsi="Times New Roman"/>
          <w:sz w:val="17"/>
          <w:szCs w:val="17"/>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30" w:lineRule="exact"/>
        <w:rPr>
          <w:sz w:val="20"/>
          <w:szCs w:val="20"/>
          <w:color w:val="auto"/>
        </w:rPr>
      </w:pPr>
    </w:p>
    <w:p>
      <w:pPr>
        <w:jc w:val="both"/>
        <w:ind w:right="20" w:firstLine="225"/>
        <w:spacing w:after="0" w:line="262" w:lineRule="auto"/>
        <w:rPr>
          <w:sz w:val="20"/>
          <w:szCs w:val="20"/>
          <w:color w:val="auto"/>
        </w:rPr>
      </w:pPr>
      <w:r>
        <w:rPr>
          <w:rFonts w:ascii="Times New Roman" w:cs="Times New Roman" w:eastAsia="Times New Roman" w:hAnsi="Times New Roman"/>
          <w:sz w:val="18"/>
          <w:szCs w:val="18"/>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3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at September 30, 2020 and December 31, 2019, financing receivables consist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00" w:type="dxa"/>
            <w:vAlign w:val="bottom"/>
          </w:tcPr>
          <w:p>
            <w:pPr>
              <w:spacing w:after="0"/>
              <w:rPr>
                <w:sz w:val="19"/>
                <w:szCs w:val="19"/>
                <w:color w:val="auto"/>
              </w:rPr>
            </w:pPr>
          </w:p>
        </w:tc>
        <w:tc>
          <w:tcPr>
            <w:tcW w:w="4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120" w:type="dxa"/>
            <w:vAlign w:val="bottom"/>
          </w:tcPr>
          <w:p>
            <w:pPr>
              <w:spacing w:after="0"/>
              <w:rPr>
                <w:sz w:val="19"/>
                <w:szCs w:val="19"/>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Unearned finance income</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(1,005)</w:t>
            </w:r>
          </w:p>
        </w:tc>
      </w:tr>
      <w:tr>
        <w:trPr>
          <w:trHeight w:val="22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20" w:type="dxa"/>
            <w:vAlign w:val="bottom"/>
          </w:tcPr>
          <w:p>
            <w:pPr>
              <w:spacing w:after="0"/>
              <w:rPr>
                <w:sz w:val="19"/>
                <w:szCs w:val="19"/>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r>
      <w:tr>
        <w:trPr>
          <w:trHeight w:val="22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20" w:type="dxa"/>
            <w:vAlign w:val="bottom"/>
            <w:tcBorders>
              <w:bottom w:val="single" w:sz="8" w:color="CFF0FC"/>
            </w:tcBorders>
          </w:tcPr>
          <w:p>
            <w:pPr>
              <w:spacing w:after="0"/>
              <w:rPr>
                <w:sz w:val="19"/>
                <w:szCs w:val="19"/>
                <w:color w:val="auto"/>
              </w:rPr>
            </w:pPr>
          </w:p>
        </w:tc>
      </w:tr>
      <w:tr>
        <w:trPr>
          <w:trHeight w:val="22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146,660</w:t>
            </w:r>
          </w:p>
        </w:tc>
        <w:tc>
          <w:tcPr>
            <w:tcW w:w="120" w:type="dxa"/>
            <w:vAlign w:val="bottom"/>
          </w:tcPr>
          <w:p>
            <w:pPr>
              <w:spacing w:after="0"/>
              <w:rPr>
                <w:sz w:val="19"/>
                <w:szCs w:val="19"/>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Unearned finance income</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(30,106)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(33,313)</w:t>
            </w:r>
          </w:p>
        </w:tc>
      </w:tr>
      <w:tr>
        <w:trPr>
          <w:trHeight w:val="22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113,347</w:t>
            </w:r>
          </w:p>
        </w:tc>
        <w:tc>
          <w:tcPr>
            <w:tcW w:w="120" w:type="dxa"/>
            <w:vAlign w:val="bottom"/>
          </w:tcPr>
          <w:p>
            <w:pPr>
              <w:spacing w:after="0"/>
              <w:rPr>
                <w:sz w:val="19"/>
                <w:szCs w:val="19"/>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(915)</w:t>
            </w:r>
          </w:p>
        </w:tc>
      </w:tr>
      <w:tr>
        <w:trPr>
          <w:trHeight w:val="22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112,432</w:t>
            </w:r>
          </w:p>
        </w:tc>
        <w:tc>
          <w:tcPr>
            <w:tcW w:w="120" w:type="dxa"/>
            <w:vAlign w:val="bottom"/>
            <w:tcBorders>
              <w:bottom w:val="single" w:sz="8" w:color="CFF0FC"/>
            </w:tcBorders>
          </w:tcPr>
          <w:p>
            <w:pPr>
              <w:spacing w:after="0"/>
              <w:rPr>
                <w:sz w:val="19"/>
                <w:szCs w:val="19"/>
                <w:color w:val="auto"/>
              </w:rPr>
            </w:pPr>
          </w:p>
        </w:tc>
      </w:tr>
      <w:tr>
        <w:trPr>
          <w:trHeight w:val="22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126,740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100" w:type="dxa"/>
            <w:vAlign w:val="bottom"/>
          </w:tcPr>
          <w:p>
            <w:pPr>
              <w:spacing w:after="0"/>
              <w:rPr>
                <w:sz w:val="24"/>
                <w:szCs w:val="24"/>
                <w:color w:val="auto"/>
              </w:rPr>
            </w:pPr>
          </w:p>
        </w:tc>
        <w:tc>
          <w:tcPr>
            <w:tcW w:w="4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20" w:type="dxa"/>
            <w:vAlign w:val="bottom"/>
          </w:tcPr>
          <w:p>
            <w:pPr>
              <w:spacing w:after="0"/>
              <w:rPr>
                <w:sz w:val="24"/>
                <w:szCs w:val="24"/>
                <w:color w:val="auto"/>
              </w:rPr>
            </w:pP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75,448</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20" w:type="dxa"/>
            <w:vAlign w:val="bottom"/>
            <w:shd w:val="clear" w:color="auto" w:fill="CFF0FC"/>
          </w:tcPr>
          <w:p>
            <w:pPr>
              <w:spacing w:after="0"/>
              <w:rPr>
                <w:sz w:val="19"/>
                <w:szCs w:val="19"/>
                <w:color w:val="auto"/>
              </w:rPr>
            </w:pPr>
          </w:p>
        </w:tc>
      </w:tr>
      <w:tr>
        <w:trPr>
          <w:trHeight w:val="22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109,645</w:t>
            </w: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at September 30, 2020 and December 31, 2019,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 receivables, as applicable,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5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r>
      <w:tr>
        <w:trPr>
          <w:trHeight w:val="198"/>
        </w:trPr>
        <w:tc>
          <w:tcPr>
            <w:tcW w:w="768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r>
      <w:tr>
        <w:trPr>
          <w:trHeight w:val="22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9"/>
                <w:szCs w:val="19"/>
                <w:color w:val="auto"/>
              </w:rPr>
            </w:pPr>
          </w:p>
        </w:tc>
      </w:tr>
      <w:tr>
        <w:trPr>
          <w:trHeight w:val="22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14" w:name="page15"/>
    <w:bookmarkEnd w:id="14"/>
    <w:p>
      <w:pPr>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tables provide information on the Company’s net investment in leases by credit quality indicator as at September 30, 2020 and December 31, 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at September 30,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at December 31, 2019</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4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right="20"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tables provide information on the Company’s financed sale receivables by credit quality indicator as at September 30, 2020 and December 31, 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at September 30,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93,884</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at December 31, 2019</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 receivables as at September 30, 2020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As at September 30,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(4,643)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at 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 Company considers financing receivables with an aging between 60-89 days as indications of theaters with potential collection concerns. At this point,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potential impacts of the COVID-19 global pandemic on the Company’s customers, management is enhancing its monitoring procedures with respect to overdue receivables.</w:t>
      </w:r>
    </w:p>
    <w:p>
      <w:pPr>
        <w:spacing w:after="0" w:line="147"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with billed amounts past due for which it continues to accrue finance income as at September 30, 2020 and December 31,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at September 30, 2020</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at December 31, 2019</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are on nonaccrual status as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December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As at September 30,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As at December 31, 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20" w:type="dxa"/>
            <w:vAlign w:val="bottom"/>
          </w:tcPr>
          <w:p>
            <w:pPr>
              <w:spacing w:after="0"/>
              <w:rPr>
                <w:sz w:val="12"/>
                <w:szCs w:val="12"/>
                <w:color w:val="auto"/>
              </w:rPr>
            </w:pPr>
          </w:p>
        </w:tc>
        <w:tc>
          <w:tcPr>
            <w:tcW w:w="6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A theater operator that is classified within the “All Transactions Suspended” category is placed on nonaccrual status and all revenue recognitions related to the theater are stopped.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43"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recognized $0.1 million (2019 —$0.1 million) in finance income related to the net investment in leases with billed amounts past due. There was no such finance income recognized for the three months ended September 30, 2020 and 2019. For the three and nine months ended September 30, 2020, the Company recognized $1.4 million and $4.2 million, respectively (2019 —$1.5 million and $5.1 million, respectively) in finance income related to the financed sale receivables with billed amounts past due.</w:t>
      </w:r>
    </w:p>
    <w:p>
      <w:pPr>
        <w:spacing w:after="0" w:line="155"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the Company’s net investment in leases and financed sale receivables for the three and nine months ended September 30, 2020 and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0" w:type="dxa"/>
            <w:vAlign w:val="bottom"/>
          </w:tcPr>
          <w:p>
            <w:pPr>
              <w:spacing w:after="0"/>
              <w:rPr>
                <w:sz w:val="14"/>
                <w:szCs w:val="1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Financed</w:t>
            </w:r>
          </w:p>
        </w:tc>
      </w:t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19"/>
                <w:szCs w:val="19"/>
                <w:color w:val="auto"/>
              </w:rPr>
            </w:pPr>
          </w:p>
        </w:tc>
      </w:tr>
      <w:tr>
        <w:trPr>
          <w:trHeight w:val="22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27"/>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r>
      <w:tr>
        <w:trPr>
          <w:trHeight w:val="22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00" w:type="dxa"/>
            <w:vAlign w:val="bottom"/>
          </w:tcPr>
          <w:p>
            <w:pPr>
              <w:spacing w:after="0"/>
              <w:rPr>
                <w:sz w:val="24"/>
                <w:szCs w:val="2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2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recorded a provision for current expected credit losses of $1.3 million and $4.4 million, respectively, reflecting a reduction in the credit quality of its theater related financing receivables, which management believes is primarily related to the COVID-19 global pandemic.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Variable Consideration Receivable</w:t>
      </w:r>
    </w:p>
    <w:p>
      <w:pPr>
        <w:spacing w:after="0" w:line="196"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7" w:name="page18"/>
    <w:bookmarkEnd w:id="17"/>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utilizing historical loss rates for financed sale receivables which are then adjusted for specific receivables that are judged to have a higher than normal risk profile after taking into account management’s internal credit quality classifications, as well as macro-economic and industry risk factors.</w:t>
      </w:r>
    </w:p>
    <w:p>
      <w:pPr>
        <w:spacing w:after="0" w:line="150" w:lineRule="exact"/>
        <w:rPr>
          <w:sz w:val="20"/>
          <w:szCs w:val="20"/>
          <w:color w:val="auto"/>
        </w:rPr>
      </w:pPr>
    </w:p>
    <w:p>
      <w:pPr>
        <w:jc w:val="both"/>
        <w:ind w:right="20" w:firstLine="225"/>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and nine months ended September 30, 2020:</w:t>
      </w:r>
    </w:p>
    <w:p>
      <w:pPr>
        <w:sectPr>
          <w:pgSz w:w="11900" w:h="16838" w:orient="portrait"/>
          <w:cols w:equalWidth="0" w:num="1">
            <w:col w:w="11240"/>
          </w:cols>
          <w:pgMar w:left="320" w:top="509" w:right="339" w:bottom="1440" w:gutter="0" w:footer="0" w:header="0"/>
        </w:sectPr>
      </w:pPr>
    </w:p>
    <w:p>
      <w:pPr>
        <w:jc w:val="center"/>
        <w:ind w:left="7440"/>
        <w:spacing w:after="0" w:line="230"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-3810</wp:posOffset>
            </wp:positionV>
            <wp:extent cx="1119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jc w:val="center"/>
        <w:ind w:left="7440"/>
        <w:spacing w:after="0" w:line="237" w:lineRule="auto"/>
        <w:rPr>
          <w:sz w:val="20"/>
          <w:szCs w:val="20"/>
          <w:color w:val="auto"/>
        </w:rPr>
      </w:pPr>
      <w:r>
        <w:rPr>
          <w:rFonts w:ascii="Times New Roman" w:cs="Times New Roman" w:eastAsia="Times New Roman" w:hAnsi="Times New Roman"/>
          <w:sz w:val="14"/>
          <w:szCs w:val="14"/>
          <w:b w:val="1"/>
          <w:bCs w:val="1"/>
          <w:color w:val="auto"/>
        </w:rPr>
        <w:t>Theater</w:t>
      </w:r>
    </w:p>
    <w:p>
      <w:pPr>
        <w:jc w:val="center"/>
        <w:ind w:left="7440"/>
        <w:spacing w:after="0" w:line="229" w:lineRule="auto"/>
        <w:rPr>
          <w:sz w:val="20"/>
          <w:szCs w:val="20"/>
          <w:color w:val="auto"/>
        </w:rPr>
      </w:pPr>
      <w:r>
        <w:rPr>
          <w:rFonts w:ascii="Times New Roman" w:cs="Times New Roman" w:eastAsia="Times New Roman" w:hAnsi="Times New Roman"/>
          <w:sz w:val="14"/>
          <w:szCs w:val="14"/>
          <w:b w:val="1"/>
          <w:bCs w:val="1"/>
          <w:color w:val="auto"/>
        </w:rPr>
        <w:t>Operators</w:t>
      </w:r>
    </w:p>
    <w:p>
      <w:pPr>
        <w:spacing w:after="0" w:line="20" w:lineRule="exact"/>
        <w:rPr>
          <w:sz w:val="20"/>
          <w:szCs w:val="20"/>
          <w:color w:val="auto"/>
        </w:rPr>
      </w:pPr>
      <w:r>
        <w:rPr>
          <w:sz w:val="20"/>
          <w:szCs w:val="20"/>
          <w:color w:val="auto"/>
        </w:rPr>
        <w:br w:type="column"/>
      </w:r>
    </w:p>
    <w:p>
      <w:pPr>
        <w:ind w:left="20" w:right="400" w:hanging="14"/>
        <w:spacing w:after="0" w:line="239" w:lineRule="auto"/>
        <w:rPr>
          <w:sz w:val="20"/>
          <w:szCs w:val="20"/>
          <w:color w:val="auto"/>
        </w:rPr>
      </w:pPr>
      <w:r>
        <w:rPr>
          <w:rFonts w:ascii="Times New Roman" w:cs="Times New Roman" w:eastAsia="Times New Roman" w:hAnsi="Times New Roman"/>
          <w:sz w:val="14"/>
          <w:szCs w:val="14"/>
          <w:b w:val="1"/>
          <w:bCs w:val="1"/>
          <w:color w:val="auto"/>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-8255</wp:posOffset>
            </wp:positionV>
            <wp:extent cx="1128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jc w:val="center"/>
        <w:ind w:right="400"/>
        <w:spacing w:after="0" w:line="228" w:lineRule="auto"/>
        <w:rPr>
          <w:sz w:val="20"/>
          <w:szCs w:val="20"/>
          <w:color w:val="auto"/>
        </w:rPr>
      </w:pPr>
      <w:r>
        <w:rPr>
          <w:rFonts w:ascii="Times New Roman" w:cs="Times New Roman" w:eastAsia="Times New Roman" w:hAnsi="Times New Roman"/>
          <w:sz w:val="14"/>
          <w:szCs w:val="14"/>
          <w:b w:val="1"/>
          <w:bCs w:val="1"/>
          <w:color w:val="auto"/>
        </w:rPr>
        <w:t>Theater</w:t>
      </w:r>
    </w:p>
    <w:p>
      <w:pPr>
        <w:jc w:val="center"/>
        <w:ind w:right="400"/>
        <w:spacing w:after="0" w:line="229" w:lineRule="auto"/>
        <w:rPr>
          <w:sz w:val="20"/>
          <w:szCs w:val="20"/>
          <w:color w:val="auto"/>
        </w:rPr>
      </w:pPr>
      <w:r>
        <w:rPr>
          <w:rFonts w:ascii="Times New Roman" w:cs="Times New Roman" w:eastAsia="Times New Roman" w:hAnsi="Times New Roman"/>
          <w:sz w:val="14"/>
          <w:szCs w:val="14"/>
          <w:b w:val="1"/>
          <w:bCs w:val="1"/>
          <w:color w:val="auto"/>
        </w:rPr>
        <w:t>Operators</w:t>
      </w:r>
    </w:p>
    <w:p>
      <w:pPr>
        <w:spacing w:after="0" w:line="20" w:lineRule="exact"/>
        <w:rPr>
          <w:sz w:val="20"/>
          <w:szCs w:val="20"/>
          <w:color w:val="auto"/>
        </w:rPr>
      </w:pPr>
    </w:p>
    <w:p>
      <w:pPr>
        <w:sectPr>
          <w:pgSz w:w="11900" w:h="16838" w:orient="portrait"/>
          <w:cols w:equalWidth="0" w:num="2">
            <w:col w:w="8900" w:space="720"/>
            <w:col w:w="1620"/>
          </w:cols>
          <w:pgMar w:left="320" w:top="50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0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0"/>
        </w:trPr>
        <w:tc>
          <w:tcPr>
            <w:tcW w:w="460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color w:val="auto"/>
              </w:rPr>
              <w:t>Beginning balance</w:t>
            </w:r>
          </w:p>
        </w:tc>
        <w:tc>
          <w:tcPr>
            <w:tcW w:w="27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863</w:t>
            </w:r>
          </w:p>
        </w:tc>
        <w:tc>
          <w:tcPr>
            <w:tcW w:w="300" w:type="dxa"/>
            <w:vAlign w:val="bottom"/>
            <w:tcBorders>
              <w:righ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w:t>
            </w:r>
          </w:p>
        </w:tc>
      </w:tr>
      <w:tr>
        <w:trPr>
          <w:trHeight w:val="227"/>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9"/>
                <w:szCs w:val="19"/>
                <w:color w:val="auto"/>
              </w:rPr>
            </w:pPr>
          </w:p>
        </w:tc>
      </w:tr>
      <w:tr>
        <w:trPr>
          <w:trHeight w:val="227"/>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27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7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right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r>
      <w:tr>
        <w:trPr>
          <w:trHeight w:val="22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700" w:type="dxa"/>
            <w:vAlign w:val="bottom"/>
          </w:tcPr>
          <w:p>
            <w:pPr>
              <w:spacing w:after="0"/>
              <w:rPr>
                <w:sz w:val="19"/>
                <w:szCs w:val="19"/>
                <w:color w:val="auto"/>
              </w:rPr>
            </w:pPr>
          </w:p>
        </w:tc>
        <w:tc>
          <w:tcPr>
            <w:tcW w:w="7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recorded a provision of $1.7 million for current expected credit losses, reflecting a reduction in the credit quality of its theater related variable consideration receivables, which management believes is primarily related to the COVID-19 global pandemic.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183" w:lineRule="exact"/>
        <w:rPr>
          <w:sz w:val="20"/>
          <w:szCs w:val="20"/>
          <w:color w:val="auto"/>
        </w:rPr>
      </w:pPr>
    </w:p>
    <w:p>
      <w:pPr>
        <w:ind w:left="220" w:hanging="213"/>
        <w:spacing w:after="0"/>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182"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IMAX Corporation as a Lessee</w:t>
      </w:r>
    </w:p>
    <w:p>
      <w:pPr>
        <w:spacing w:after="0" w:line="196" w:lineRule="exact"/>
        <w:rPr>
          <w:sz w:val="20"/>
          <w:szCs w:val="20"/>
          <w:color w:val="auto"/>
        </w:rPr>
      </w:pPr>
    </w:p>
    <w:p>
      <w:pPr>
        <w:jc w:val="both"/>
        <w:ind w:firstLine="225"/>
        <w:spacing w:after="0" w:line="268" w:lineRule="auto"/>
        <w:rPr>
          <w:sz w:val="20"/>
          <w:szCs w:val="20"/>
          <w:color w:val="auto"/>
        </w:rPr>
      </w:pPr>
      <w:r>
        <w:rPr>
          <w:rFonts w:ascii="Times New Roman" w:cs="Times New Roman" w:eastAsia="Times New Roman" w:hAnsi="Times New Roman"/>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liability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33"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For three and nine months ended September 30, 2020 and 2019, the components of lease expense recorded within Selling, General and Administrative expenses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2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4"/>
                <w:szCs w:val="14"/>
                <w:color w:val="auto"/>
              </w:rPr>
            </w:pPr>
          </w:p>
        </w:tc>
      </w:tr>
      <w:tr>
        <w:trPr>
          <w:trHeight w:val="220"/>
        </w:trPr>
        <w:tc>
          <w:tcPr>
            <w:tcW w:w="3740" w:type="dxa"/>
            <w:vAlign w:val="bottom"/>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r>
      <w:tr>
        <w:trPr>
          <w:trHeight w:val="220"/>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15"/>
                <w:szCs w:val="15"/>
                <w:color w:val="auto"/>
              </w:rPr>
              <w:t>(1)</w:t>
            </w:r>
          </w:p>
        </w:tc>
        <w:tc>
          <w:tcPr>
            <w:tcW w:w="1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r>
      <w:tr>
        <w:trPr>
          <w:trHeight w:val="227"/>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FF0FC"/>
          </w:tcPr>
          <w:p>
            <w:pPr>
              <w:spacing w:after="0"/>
              <w:rPr>
                <w:sz w:val="19"/>
                <w:szCs w:val="19"/>
                <w:color w:val="auto"/>
              </w:rPr>
            </w:pPr>
          </w:p>
        </w:tc>
      </w:tr>
      <w:tr>
        <w:trPr>
          <w:trHeight w:val="22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720" w:type="dxa"/>
            <w:vAlign w:val="bottom"/>
          </w:tcPr>
          <w:p>
            <w:pPr>
              <w:spacing w:after="0"/>
              <w:rPr>
                <w:sz w:val="19"/>
                <w:szCs w:val="19"/>
                <w:color w:val="auto"/>
              </w:rPr>
            </w:pPr>
          </w:p>
        </w:tc>
        <w:tc>
          <w:tcPr>
            <w:tcW w:w="7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949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62" w:lineRule="exact"/>
        <w:rPr>
          <w:sz w:val="20"/>
          <w:szCs w:val="20"/>
          <w:color w:val="auto"/>
        </w:rPr>
      </w:pPr>
    </w:p>
    <w:p>
      <w:pPr>
        <w:ind w:left="380" w:hanging="373"/>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short-term leases and variable lease costs, which are not significant for the three and nine months ended September 30, 2020 and 2019.</w:t>
      </w:r>
    </w:p>
    <w:p>
      <w:pPr>
        <w:spacing w:after="0" w:line="22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color w:val="auto"/>
        </w:rPr>
        <w:t>For three and nine months ended September 30, 2020 and 2019, supplemental cash and non-cash information related to leases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620" w:type="dxa"/>
            <w:vAlign w:val="bottom"/>
            <w:tcBorders>
              <w:bottom w:val="single" w:sz="8" w:color="CFF0FC"/>
            </w:tcBorders>
          </w:tcPr>
          <w:p>
            <w:pPr>
              <w:spacing w:after="0"/>
              <w:rPr>
                <w:sz w:val="19"/>
                <w:szCs w:val="19"/>
                <w:color w:val="auto"/>
              </w:rPr>
            </w:pPr>
          </w:p>
        </w:tc>
        <w:tc>
          <w:tcPr>
            <w:tcW w:w="41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FF0FC"/>
          </w:tcPr>
          <w:p>
            <w:pPr>
              <w:spacing w:after="0"/>
              <w:rPr>
                <w:sz w:val="19"/>
                <w:szCs w:val="19"/>
                <w:color w:val="auto"/>
              </w:rPr>
            </w:pPr>
          </w:p>
        </w:tc>
      </w:tr>
      <w:tr>
        <w:trPr>
          <w:trHeight w:val="23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0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Pr>
          <w:p>
            <w:pPr>
              <w:spacing w:after="0"/>
              <w:rPr>
                <w:sz w:val="20"/>
                <w:szCs w:val="20"/>
                <w:color w:val="auto"/>
              </w:rPr>
            </w:pPr>
          </w:p>
        </w:tc>
      </w:tr>
      <w:tr>
        <w:trPr>
          <w:trHeight w:val="396"/>
        </w:trPr>
        <w:tc>
          <w:tcPr>
            <w:tcW w:w="9440" w:type="dxa"/>
            <w:vAlign w:val="bottom"/>
            <w:gridSpan w:val="8"/>
          </w:tcPr>
          <w:p>
            <w:pPr>
              <w:ind w:left="240"/>
              <w:spacing w:after="0"/>
              <w:rPr>
                <w:sz w:val="20"/>
                <w:szCs w:val="20"/>
                <w:color w:val="auto"/>
              </w:rPr>
            </w:pPr>
            <w:r>
              <w:rPr>
                <w:rFonts w:ascii="Times New Roman" w:cs="Times New Roman" w:eastAsia="Times New Roman" w:hAnsi="Times New Roman"/>
                <w:sz w:val="18"/>
                <w:szCs w:val="18"/>
                <w:color w:val="auto"/>
              </w:rPr>
              <w:t>As at September 30, 2020 and December 31, 2019, supplemental balance sheet information related to leases is as follows: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26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2620" w:type="dxa"/>
            <w:vAlign w:val="bottom"/>
            <w:tcBorders>
              <w:bottom w:val="single" w:sz="8" w:color="CFF0FC"/>
            </w:tcBorders>
          </w:tcPr>
          <w:p>
            <w:pPr>
              <w:spacing w:after="0"/>
              <w:rPr>
                <w:sz w:val="18"/>
                <w:szCs w:val="18"/>
                <w:color w:val="auto"/>
              </w:rPr>
            </w:pPr>
          </w:p>
        </w:tc>
        <w:tc>
          <w:tcPr>
            <w:tcW w:w="4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22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14,480</w:t>
            </w:r>
          </w:p>
        </w:tc>
        <w:tc>
          <w:tcPr>
            <w:tcW w:w="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00" w:type="dxa"/>
            <w:vAlign w:val="bottom"/>
          </w:tcPr>
          <w:p>
            <w:pPr>
              <w:spacing w:after="0"/>
              <w:rPr>
                <w:sz w:val="19"/>
                <w:szCs w:val="19"/>
                <w:color w:val="auto"/>
              </w:rPr>
            </w:pPr>
          </w:p>
        </w:tc>
      </w:tr>
      <w:tr>
        <w:trPr>
          <w:trHeight w:val="227"/>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17,156</w:t>
            </w:r>
          </w:p>
        </w:tc>
        <w:tc>
          <w:tcPr>
            <w:tcW w:w="2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at September 30, 2020 and December 31, 2019,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8"/>
        </w:trPr>
        <w:tc>
          <w:tcPr>
            <w:tcW w:w="8820" w:type="dxa"/>
            <w:vAlign w:val="bottom"/>
            <w:gridSpan w:val="2"/>
          </w:tcPr>
          <w:p>
            <w:pPr>
              <w:ind w:left="8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7"/>
                <w:szCs w:val="17"/>
                <w:color w:val="auto"/>
              </w:rPr>
            </w:pPr>
          </w:p>
        </w:tc>
      </w:tr>
      <w:tr>
        <w:trPr>
          <w:trHeight w:val="220"/>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3"/>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5.90  %</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5.90  %</w:t>
            </w:r>
          </w:p>
        </w:tc>
      </w:tr>
      <w:tr>
        <w:trPr>
          <w:trHeight w:val="422"/>
        </w:trPr>
        <w:tc>
          <w:tcPr>
            <w:tcW w:w="8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 at September 30, 2020, the maturities of the Company’s operating lease liabilities are as follows: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0"/>
        </w:trPr>
        <w:tc>
          <w:tcPr>
            <w:tcW w:w="7640" w:type="dxa"/>
            <w:vAlign w:val="bottom"/>
            <w:tcBorders>
              <w:bottom w:val="single" w:sz="8" w:color="CFF0FC"/>
            </w:tcBorders>
          </w:tcPr>
          <w:p>
            <w:pPr>
              <w:spacing w:after="0"/>
              <w:rPr>
                <w:sz w:val="24"/>
                <w:szCs w:val="24"/>
                <w:color w:val="auto"/>
              </w:rPr>
            </w:pPr>
          </w:p>
        </w:tc>
        <w:tc>
          <w:tcPr>
            <w:tcW w:w="1180" w:type="dxa"/>
            <w:vAlign w:val="bottom"/>
            <w:tcBorders>
              <w:bottom w:val="single" w:sz="8" w:color="CFF0FC"/>
            </w:tcBorders>
          </w:tcPr>
          <w:p>
            <w:pPr>
              <w:spacing w:after="0"/>
              <w:rPr>
                <w:sz w:val="24"/>
                <w:szCs w:val="24"/>
                <w:color w:val="auto"/>
              </w:rPr>
            </w:pPr>
          </w:p>
        </w:tc>
        <w:tc>
          <w:tcPr>
            <w:tcW w:w="44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0"/>
        </w:trPr>
        <w:tc>
          <w:tcPr>
            <w:tcW w:w="8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(three months remaining)</w:t>
            </w:r>
          </w:p>
        </w:tc>
        <w:tc>
          <w:tcPr>
            <w:tcW w:w="4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r>
      <w:tr>
        <w:trPr>
          <w:trHeight w:val="22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r>
      <w:tr>
        <w:trPr>
          <w:trHeight w:val="22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2,847</w:t>
            </w:r>
          </w:p>
        </w:tc>
      </w:tr>
      <w:tr>
        <w:trPr>
          <w:trHeight w:val="22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2,260</w:t>
            </w:r>
          </w:p>
        </w:tc>
      </w:tr>
      <w:tr>
        <w:trPr>
          <w:trHeight w:val="22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2,212</w:t>
            </w:r>
          </w:p>
        </w:tc>
      </w:tr>
      <w:tr>
        <w:trPr>
          <w:trHeight w:val="227"/>
        </w:trPr>
        <w:tc>
          <w:tcPr>
            <w:tcW w:w="8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10,137</w:t>
            </w:r>
          </w:p>
        </w:tc>
      </w:tr>
      <w:tr>
        <w:trPr>
          <w:trHeight w:val="220"/>
        </w:trPr>
        <w:tc>
          <w:tcPr>
            <w:tcW w:w="8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21,693</w:t>
            </w:r>
          </w:p>
        </w:tc>
      </w:tr>
      <w:tr>
        <w:trPr>
          <w:trHeight w:val="227"/>
        </w:trPr>
        <w:tc>
          <w:tcPr>
            <w:tcW w:w="8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interest expense</w:t>
            </w:r>
          </w:p>
        </w:tc>
        <w:tc>
          <w:tcPr>
            <w:tcW w:w="4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(4,537)</w:t>
            </w:r>
          </w:p>
        </w:tc>
      </w:tr>
      <w:tr>
        <w:trPr>
          <w:trHeight w:val="220"/>
        </w:trPr>
        <w:tc>
          <w:tcPr>
            <w:tcW w:w="8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17,156</w:t>
            </w:r>
          </w:p>
        </w:tc>
      </w:tr>
      <w:tr>
        <w:trPr>
          <w:trHeight w:val="20"/>
        </w:trPr>
        <w:tc>
          <w:tcPr>
            <w:tcW w:w="7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IMAX Corporation as a Lessor</w:t>
      </w:r>
    </w:p>
    <w:p>
      <w:pPr>
        <w:spacing w:after="0" w:line="182" w:lineRule="exact"/>
        <w:rPr>
          <w:sz w:val="20"/>
          <w:szCs w:val="20"/>
          <w:color w:val="auto"/>
        </w:rPr>
      </w:pPr>
    </w:p>
    <w:p>
      <w:pPr>
        <w:jc w:val="both"/>
        <w:ind w:firstLine="225"/>
        <w:spacing w:after="0" w:line="250" w:lineRule="auto"/>
        <w:rPr>
          <w:sz w:val="20"/>
          <w:szCs w:val="20"/>
          <w:color w:val="auto"/>
        </w:rPr>
      </w:pPr>
      <w:r>
        <w:rPr>
          <w:rFonts w:ascii="Times New Roman" w:cs="Times New Roman" w:eastAsia="Times New Roman" w:hAnsi="Times New Roman"/>
          <w:sz w:val="18"/>
          <w:szCs w:val="18"/>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2(n) in the Company’s 2019 Form 10-K. Under the Company’s sales-type lease arrangements, the customer has the ability and the right to operate the hardware components or direct others to operate them in a manner determined by the customer. The Company’s sales-type leases are typically non-cancellable for 10 to 20 years with renewal provisions from inception. Except for those sales arrangements that are classified as sales-type leases, the Company’s leases generally do not contain an automatic transfer of title at the end of the lease term. The Company’s sales-type lease arrangements do not contain a guarantee of residual value at the end of the lease term. The customer is required to pay for executory costs such as insurance and taxes and is required to pay the Company for maintenance and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jc w:val="both"/>
        <w:ind w:firstLine="225"/>
        <w:spacing w:after="0" w:line="250" w:lineRule="auto"/>
        <w:rPr>
          <w:sz w:val="20"/>
          <w:szCs w:val="20"/>
          <w:color w:val="auto"/>
        </w:rPr>
      </w:pPr>
      <w:r>
        <w:rPr>
          <w:rFonts w:ascii="Times New Roman" w:cs="Times New Roman" w:eastAsia="Times New Roman" w:hAnsi="Times New Roman"/>
          <w:sz w:val="18"/>
          <w:szCs w:val="18"/>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The Company has assessed the nature of its joint revenue sharing arrangements and concluded that the arrangements contain an operating lease.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equipment under joint revenue sharing arrangements does not transfer to the customer. The Company’s joint revenue sharing arrangements do not contain a guarantee of residual value at the end of the term. The customer is required to pay for executory costs such as insurance and taxes and is required to pay the Company for maintenance and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66"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classifies its lease arrangements at inception of the arrangement and, if required, after a modification of the lease arrangement, to determine whether they are sales-type leases or operating leases.</w:t>
      </w:r>
    </w:p>
    <w:p>
      <w:pPr>
        <w:spacing w:after="0" w:line="123"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On April 10, 2020, the FASB staff issued a question-and-answer document to address stakeholder questions on the application of the lease accounting guidance for lease concessions related to the effects of the COVID-19 pandemic.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In the second quarter of 2020, the Company adopted the FASB relief guidance and elected to account for any such lease concessions as if no change was made to the underlying contracts. The adoption of this guidance did not have a material effect on the Company’s Condensed Consolidated Financial Statements.</w:t>
      </w:r>
    </w:p>
    <w:p>
      <w:pPr>
        <w:spacing w:after="0" w:line="183" w:lineRule="exact"/>
        <w:rPr>
          <w:sz w:val="20"/>
          <w:szCs w:val="20"/>
          <w:color w:val="auto"/>
        </w:rPr>
      </w:pPr>
    </w:p>
    <w:p>
      <w:pPr>
        <w:ind w:left="220" w:hanging="213"/>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398"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2020 and December 31, 2019, inventories consist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34,181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26,538</w:t>
            </w: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4,608</w:t>
            </w:r>
          </w:p>
        </w:tc>
      </w:tr>
      <w:tr>
        <w:trPr>
          <w:trHeight w:val="22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14,796</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11,843</w:t>
            </w:r>
          </w:p>
        </w:tc>
      </w:tr>
      <w:tr>
        <w:trPr>
          <w:trHeight w:val="220"/>
        </w:trPr>
        <w:tc>
          <w:tcPr>
            <w:tcW w:w="77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53,021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42,989</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When compared to December 31, 2019, inventories increased by $10.0 million due to delays in manufacturing, shipments and installation of IMAX Theater Systems at customer sites due to the COVID-19 global pandemic.</w:t>
      </w:r>
    </w:p>
    <w:p>
      <w:pPr>
        <w:spacing w:after="0" w:line="137"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At September 30, 2020, inventories include finished goods of $4.8 million (December 31, 2019 — $0.7 million) for which title had passed to the customer, but the criteria for revenue recognition were not met as of the balance sheet date.</w:t>
      </w:r>
    </w:p>
    <w:p>
      <w:pPr>
        <w:spacing w:after="0" w:line="123"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write-downs of $0.6 million and $0.7 million, respectively, for excess and obsolete inventory based on current estimates of net realizable value. There were no write-downs recorded during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ind w:left="220" w:hanging="213"/>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Other Financing Arrangements</w:t>
      </w:r>
    </w:p>
    <w:p>
      <w:pPr>
        <w:spacing w:after="0" w:line="197"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2020 and December 31, 2019, bank indebtedness includes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5040" w:type="dxa"/>
            <w:vAlign w:val="bottom"/>
            <w:tcBorders>
              <w:bottom w:val="single" w:sz="8" w:color="CFF0FC"/>
            </w:tcBorders>
          </w:tcPr>
          <w:p>
            <w:pPr>
              <w:spacing w:after="0"/>
              <w:rPr>
                <w:sz w:val="18"/>
                <w:szCs w:val="18"/>
                <w:color w:val="auto"/>
              </w:rPr>
            </w:pPr>
          </w:p>
        </w:tc>
        <w:tc>
          <w:tcPr>
            <w:tcW w:w="27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2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9"/>
                <w:szCs w:val="19"/>
                <w:color w:val="auto"/>
              </w:rPr>
            </w:pPr>
          </w:p>
        </w:tc>
      </w:t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Facility</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(2,268)</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(1,771)</w:t>
            </w:r>
          </w:p>
        </w:tc>
      </w:tr>
      <w:tr>
        <w:trPr>
          <w:trHeight w:val="220"/>
        </w:trPr>
        <w:tc>
          <w:tcPr>
            <w:tcW w:w="5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297,985</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Agreement</w:t>
      </w:r>
    </w:p>
    <w:p>
      <w:pPr>
        <w:spacing w:after="0" w:line="22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3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the first quarter of 2020, in response to uncertainties associated with the outbreak of the COVID-19 global pandemic and its impact on the Company’s business, the Company drew down the $280.0 million in available borrowing capacity under the Credit Facility, resulting in total outstanding borrowings of $300.0 million.</w:t>
      </w:r>
    </w:p>
    <w:p>
      <w:pPr>
        <w:spacing w:after="0" w:line="150"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Credit Agreement contains a covenant that requires the Company to maintain a Senior Secured Net Leverage Ratio (as defined in the Credit Agreement), as at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43"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7"/>
          <w:szCs w:val="17"/>
          <w:color w:val="auto"/>
        </w:rPr>
        <w:t>On June 10, 2020, the Company entered into the First Amendment to the Credit Agreement (the “Amendment”), which, among other things, (i) suspends the Senior Secured Net Leverage Ratio covenant through the first quarter of 2021, (ii) re-establishes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the EBITDA for the corresponding quarters of 2020, (iii) adds a $75.0 million minimum liquidity covenant measured at the end of each calendar month and (iv) restricts the Company’s ability to make certain restricted payments, dispositions and investments, create or assume liens and incur debt that would otherwise have been permitted by the Credit Agreement. The modifications to the negative covenants, the minimum liquidity covenant and modifications to certain other provisions in the Credit Agreement pursuant to the Amendment were effective from the date of the Amendment until the earlier of the delivery of the compliance certificate for the fourth quarter of 2021 and the date on which the Company, in its sole discretion, elects to calculate its compliance with the Senior Secured Net Leverage Ratio by using either its actual EBITDA or annualized EBITDA (the “Designated Period”). The Company was in compliance with all of its requirements under the Credit Agreement, as amended, as at September 30, 2020, and based on current projections expects to be in compliance through the next twelve months.</w:t>
      </w:r>
    </w:p>
    <w:p>
      <w:pPr>
        <w:spacing w:after="0" w:line="141"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Amendment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nine months ended September 30, 2020 was 2.70% and 2.24%, respectively (2019 — 3.34% and 3.50%,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21" w:name="page22"/>
    <w:bookmarkEnd w:id="21"/>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addition, the Credit Facility has standby fees ranging from 0.25% to 0.38% per annum, based on the Company’s Total Leverage Ratio with respect to the unused portion of the Credit Facility; provided, however, that from the effective date of the Amendment until the Company delivers a compliance certificate under the Credit Facility following the end of the Designated Period, the standby fee will be 0.50% per annum.</w:t>
      </w:r>
    </w:p>
    <w:p>
      <w:pPr>
        <w:spacing w:after="0" w:line="15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incurred fees of approximately $1.1 million in connection with the Amendment, which are being amortized on a straight-line basis through December 31, 2021.</w:t>
      </w:r>
    </w:p>
    <w:p>
      <w:pPr>
        <w:spacing w:after="0" w:line="123"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As at September 30, 2020 and December 31, 2019, the Company did not have any letters of credit or advance payment guarantees outstanding under the Credit Facility.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Working Capital Facility</w:t>
      </w:r>
    </w:p>
    <w:p>
      <w:pPr>
        <w:spacing w:after="0" w:line="19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On July 24, 2020, IMAX (Shanghai) Multimedia Technology Co., Ltd. (“IMAX Shanghai”), one of the Company’s majority-owned subsidiaries in China, renewed its unsecured revolving facility for up to 200.0 million Renminbi (approximately $30.0 million) to fund ongoing working capital requirements (the “Working Capital Facility”). As at September 30, 2020, there was 1.7 million Renminbi ($0.3 million) in borrowings outstanding under the Working Capital Facility and 198.3 million Renminbi ($29.7 million) was available for future borrowings. There were no amounts drawn under the Working Capital facility at December 31, 2019. The amounts available for borrowing under the Working Capital Facility are not subject to a standby fee. The effective interest rate for the three and nine months ended September 30, 2020 was 4.35%, respectively.</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Wells Fargo Foreign Exchange Facility</w:t>
      </w:r>
    </w:p>
    <w:p>
      <w:pPr>
        <w:spacing w:after="0" w:line="18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The net settlement gain on its foreign currency forward contracts was $0.5 million at September 30, 2020, as the fair value of the forward contracts exceeded the notional value (December 31, 2019 — $0.5 million net settlement gain). As at September 30, 2020, the Company has $40.2 million in notional value of such arrangements outstanding (December 31, 2019 — $36.1 million).</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18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or advance payment guarantees outstanding as at September 30, 2020 and December 31, 2019 under the NBC Facility.</w:t>
      </w:r>
    </w:p>
    <w:p>
      <w:pPr>
        <w:spacing w:after="0" w:line="133" w:lineRule="exact"/>
        <w:rPr>
          <w:sz w:val="20"/>
          <w:szCs w:val="20"/>
          <w:color w:val="auto"/>
        </w:rPr>
      </w:pPr>
    </w:p>
    <w:p>
      <w:pPr>
        <w:ind w:left="240" w:right="7520" w:hanging="233"/>
        <w:spacing w:after="0" w:line="459" w:lineRule="auto"/>
        <w:tabs>
          <w:tab w:leader="none" w:pos="23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jc w:val="both"/>
        <w:ind w:firstLine="224"/>
        <w:spacing w:after="0" w:line="26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198"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will record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both"/>
        <w:ind w:firstLine="230"/>
        <w:spacing w:after="0" w:line="250" w:lineRule="auto"/>
        <w:tabs>
          <w:tab w:leader="none" w:pos="10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judgement and dismissed E-City’s petition. On March 29, 2017, the Company filed an Execution Application in the Bombay High Court seeking to enforce the ICC award against E-City and several related parties.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October 2015,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60" w:lineRule="exact"/>
        <w:rPr>
          <w:rFonts w:ascii="Times New Roman" w:cs="Times New Roman" w:eastAsia="Times New Roman" w:hAnsi="Times New Roman"/>
          <w:sz w:val="18"/>
          <w:szCs w:val="18"/>
          <w:color w:val="auto"/>
        </w:rPr>
      </w:pPr>
    </w:p>
    <w:p>
      <w:pPr>
        <w:jc w:val="both"/>
        <w:ind w:firstLine="230"/>
        <w:spacing w:after="0" w:line="249" w:lineRule="auto"/>
        <w:tabs>
          <w:tab w:leader="none" w:pos="10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An arbitration hearing for witness testimony was held during the week of December 14, 2015. At the hearing, Giencourt’s expert identified monetary damages of up to approximately $10.4 million, which Giencourt sought to recover from the Company. The Company asserted a counterclaim against Giencourt for breach of contract and sought to recover lost profits in excess of $24.0 million under the agreements. Subsequently, in December 2015, Giencourt made a motion to the panel seeking to enforce a purported settlement of the matter based on negotiations between Giencourt and the Company. The panel held a final hearing with closing arguments in October 2016. On February 7, 2017, the panel issued a Partial Final Award and on July 21, 2017, the panel issued a Final Award (collectively, the “Award”), which held that the parties had reached a binding settlement, and therefore the panel did not reach the merits of the dispute. The Company strongly disputes that discussions about a potential resolution of this matter amounted to an enforceable settlement. In October 2017, the Company filed a petition to vacate the arbitration award in the United States Court for the Southern District of Florida on various grounds, including that the panel exceeded its jurisdiction, and a hearing was held on June 27, 2019. On September 27, 2019, a Magistrate Judge filed a non-binding recommendation that the Company’s petition be dismissed. On October 14, 2019, the Company filed an objection to that recommendation. The Company’s petition to vacate the arbitration award was denied by the District Judge on January 10, 2020. The Company filed an appeal of this decision on February 7, 2020 with the Eleventh Circuit Court of Appeals, but such appeal was dismissed on May 29, 2020. At this time, the Company is unable to determine the amounts that it may ultimately owe pursuant to the Award, or the timing of any such payments, but believes it has adequate provisions recorded in its Condensed Consolidated Balance Sheets related to the Award. In addition to the above, the Company has initiated a claim against Giencourt in the Ontario Superior Court seeking damages from Giencourt with respect to contractual claims under various terminated agreements between the parties. These proceedings are in preliminary stages, and no assurances can be given with respect to the ultimate outcome of the matter, but any amounts, if awarded to the Company under these proceedings, may reduce the Company’s overall financial obligations to Giencourt.</w:t>
      </w:r>
    </w:p>
    <w:p>
      <w:pPr>
        <w:spacing w:after="0" w:line="368" w:lineRule="exact"/>
        <w:rPr>
          <w:rFonts w:ascii="Times New Roman" w:cs="Times New Roman" w:eastAsia="Times New Roman" w:hAnsi="Times New Roman"/>
          <w:sz w:val="18"/>
          <w:szCs w:val="18"/>
          <w:color w:val="auto"/>
        </w:rPr>
      </w:pPr>
    </w:p>
    <w:p>
      <w:pPr>
        <w:jc w:val="both"/>
        <w:ind w:firstLine="231"/>
        <w:spacing w:after="0" w:line="262" w:lineRule="auto"/>
        <w:tabs>
          <w:tab w:leader="none" w:pos="10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77" w:lineRule="exact"/>
        <w:rPr>
          <w:rFonts w:ascii="Times New Roman" w:cs="Times New Roman" w:eastAsia="Times New Roman" w:hAnsi="Times New Roman"/>
          <w:sz w:val="18"/>
          <w:szCs w:val="18"/>
          <w:color w:val="auto"/>
        </w:rPr>
      </w:pPr>
    </w:p>
    <w:p>
      <w:pPr>
        <w:jc w:val="both"/>
        <w:ind w:firstLine="230"/>
        <w:spacing w:after="0" w:line="255" w:lineRule="auto"/>
        <w:tabs>
          <w:tab w:leader="none" w:pos="10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8"/>
          <w:szCs w:val="18"/>
          <w:i w:val="1"/>
          <w:iCs w:val="1"/>
          <w:color w:val="auto"/>
        </w:rPr>
        <w:t>Financial Guarantees</w:t>
      </w:r>
    </w:p>
    <w:p>
      <w:pPr>
        <w:spacing w:after="0" w:line="196" w:lineRule="exact"/>
        <w:rPr>
          <w:sz w:val="20"/>
          <w:szCs w:val="20"/>
          <w:color w:val="auto"/>
        </w:rPr>
      </w:pPr>
    </w:p>
    <w:p>
      <w:pPr>
        <w:ind w:left="240" w:right="1920"/>
        <w:spacing w:after="0" w:line="449" w:lineRule="auto"/>
        <w:rPr>
          <w:sz w:val="20"/>
          <w:szCs w:val="20"/>
          <w:color w:val="auto"/>
        </w:rPr>
      </w:pPr>
      <w:r>
        <w:rPr>
          <w:rFonts w:ascii="Times New Roman" w:cs="Times New Roman" w:eastAsia="Times New Roman" w:hAnsi="Times New Roman"/>
          <w:sz w:val="18"/>
          <w:szCs w:val="18"/>
          <w:color w:val="auto"/>
        </w:rPr>
        <w:t xml:space="preserve">Certain subsidiaries of the Company have provided significant financial guarantees to third parties under the Credit Agreement. </w:t>
      </w:r>
      <w:r>
        <w:rPr>
          <w:rFonts w:ascii="Times New Roman" w:cs="Times New Roman" w:eastAsia="Times New Roman" w:hAnsi="Times New Roman"/>
          <w:sz w:val="18"/>
          <w:szCs w:val="18"/>
          <w:i w:val="1"/>
          <w:iCs w:val="1"/>
          <w:color w:val="auto"/>
        </w:rPr>
        <w:t>Product Warranties</w:t>
      </w: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Company’s accrual for product warranties, which was recorded as part of accrued and other liabilities in the Condensed Consolidated Balance Sheets, was less than $0.1 million and $0.2 million at September 30, 2020 and December 31, 2019, respectively.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Director/Officer Indemnifications</w:t>
      </w:r>
    </w:p>
    <w:p>
      <w:pPr>
        <w:spacing w:after="0" w:line="28" w:lineRule="exact"/>
        <w:rPr>
          <w:sz w:val="20"/>
          <w:szCs w:val="20"/>
          <w:color w:val="auto"/>
        </w:rPr>
      </w:pPr>
    </w:p>
    <w:p>
      <w:pPr>
        <w:jc w:val="both"/>
        <w:ind w:firstLine="225"/>
        <w:spacing w:after="0" w:line="248" w:lineRule="auto"/>
        <w:rPr>
          <w:sz w:val="20"/>
          <w:szCs w:val="20"/>
          <w:color w:val="auto"/>
        </w:rPr>
      </w:pPr>
      <w:r>
        <w:rPr>
          <w:rFonts w:ascii="Times New Roman" w:cs="Times New Roman" w:eastAsia="Times New Roman" w:hAnsi="Times New Roman"/>
          <w:sz w:val="18"/>
          <w:szCs w:val="18"/>
          <w:color w:val="auto"/>
        </w:rPr>
        <w:t xml:space="preserve">The Company’s General By-law contains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Condensed Consolidated Balance Sheets as at September 30, 2020 and December 31, 2019, with respect to this indemnity.</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Indemnification Agreements</w:t>
      </w:r>
    </w:p>
    <w:p>
      <w:pPr>
        <w:spacing w:after="0" w:line="28" w:lineRule="exact"/>
        <w:rPr>
          <w:sz w:val="20"/>
          <w:szCs w:val="20"/>
          <w:color w:val="auto"/>
        </w:rPr>
      </w:pPr>
    </w:p>
    <w:p>
      <w:pPr>
        <w:jc w:val="both"/>
        <w:ind w:firstLine="225"/>
        <w:spacing w:after="0" w:line="248" w:lineRule="auto"/>
        <w:rPr>
          <w:sz w:val="20"/>
          <w:szCs w:val="20"/>
          <w:color w:val="auto"/>
        </w:rPr>
      </w:pPr>
      <w:r>
        <w:rPr>
          <w:rFonts w:ascii="Times New Roman" w:cs="Times New Roman" w:eastAsia="Times New Roman" w:hAnsi="Times New Roman"/>
          <w:sz w:val="18"/>
          <w:szCs w:val="18"/>
          <w:color w:val="auto"/>
        </w:rPr>
        <w:t>In the normal course of the Company’s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Operations Supplemental Information</w:t>
      </w:r>
    </w:p>
    <w:p>
      <w:pPr>
        <w:spacing w:after="0" w:line="194"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Selling Expenses</w:t>
      </w:r>
    </w:p>
    <w:p>
      <w:pPr>
        <w:spacing w:after="0" w:line="184"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 defers direct selling costs such as sales commissions and other amounts related to its sales and sales-type lease arrangements until the related revenue is recognized. These costs and direct advertising and marketing, which are included in Costs and Expenses Applicable to Revenues – Technology Sales, totaled $0.6 million and $1.0 million for the three and nine months ended September 30, 2020, respectively (2019 — $0.6 million and $1.5 million, respectively).</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Film exploitation costs, including advertising and marketing expense, totaled $0.5 million and $3.1 million for the three and nine months ended September 30, 2020, respectively (2019 — expense of $4.3 million and $18.4 million, respectively), and are expensed as incurred in Costs and Expenses Applicable to Revenues – Image Enhancement and Maintenance Services.</w:t>
      </w:r>
    </w:p>
    <w:p>
      <w:pPr>
        <w:spacing w:after="0" w:line="137"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Sales commissions related to joint revenue sharing arrangements accounted for operating leases are recognized as Costs and Expenses Applicable to Revenues – Technology Rentals in the month they are earned. These costs totaled $0.3 million and $0.5 million for the three and nine months ended September 30, 2020, respectively (2019 — expense of $0.3 million and recovery of $0.3 million, respectively). Direct advertising and marketing costs for each theater are charged to Costs and Expenses Applicable to Revenues – Technology Rentals as incurred. These costs totaled $0.4 million and $0.8 million for the three and nine months ended September 30, 2020, respectively (2019 — $0.5 million and $1.4 million, respectively).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24" w:name="page25"/>
    <w:bookmarkEnd w:id="24"/>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Foreign Exchange</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and nine months ended September 30, 2020 is a gain of $0.2 million and a loss of $(0.8) million, respectively (2019 — loss of ($0.7) million and $(1.1) million, respectively) for net foreign exchange gains/losses related to the translation of foreign currency denominated monetary assets and liabilities. See Note 16(c) for additional information.</w:t>
      </w:r>
    </w:p>
    <w:p>
      <w:pPr>
        <w:spacing w:after="0" w:line="146"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Collaborative Arrangements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182"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18"/>
          <w:szCs w:val="18"/>
          <w:color w:val="auto"/>
        </w:rPr>
        <w:t>In a joint revenue sharing arrangement, the Company receives a portion of a theater’s box office receipts and in certain arrangements a portion of concession revenues and a small upfront or initial payment, in exchange for placing an IMAX Theater System at the theater operator’s venue.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equipment under joint revenue sharing arrangements generally does not transfer to the customer. The Company’s joint revenue sharing arrangements do not contain a guarantee of residual value at the end of the term. The customer is required to pay for executory costs such as insurance and taxes and is required to pay the Company for maintenance and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49"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 xml:space="preserve">The Company has signed traditional and hybrid joint revenue sharing agreements with </w:t>
      </w:r>
      <w:r>
        <w:rPr>
          <w:rFonts w:ascii="Times New Roman" w:cs="Times New Roman" w:eastAsia="Times New Roman" w:hAnsi="Times New Roman"/>
          <w:sz w:val="16"/>
          <w:szCs w:val="16"/>
          <w:color w:val="auto"/>
        </w:rPr>
        <w:t>41</w:t>
      </w:r>
      <w:r>
        <w:rPr>
          <w:rFonts w:ascii="Times New Roman" w:cs="Times New Roman" w:eastAsia="Times New Roman" w:hAnsi="Times New Roman"/>
          <w:sz w:val="18"/>
          <w:szCs w:val="18"/>
          <w:color w:val="auto"/>
        </w:rPr>
        <w:t xml:space="preserve"> exhibitors for a total of 1,233 IMAX Theater Systems, of which 881 theaters were included in the IMAX network as at September 30, 2020, the terms of which are similar in nature, rights and obligations. The accounting policy for the Company’s joint revenue sharing arrangements is disclosed in Note 2(n) of the Company’s 2019 Form 10-K.</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Amounts attributable to transactions arising between the Company and its customers under joint revenue sharing arrangements are included in Revenues</w:t>
      </w:r>
    </w:p>
    <w:p>
      <w:pPr>
        <w:spacing w:after="0" w:line="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Technology Sales and Revenues — Technology Rentals and for the three and nine months ended September 30, 2020 amounted to $4.5 million and $11.5 million, respectively (2019 — $17.9 million and $66.1 million, respectively).</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2"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In an IMAX DMR arrangement, the Company transforms conventional motion pictures into the Company’s large screen format, allowing the release of Hollywood content to the global IMAX theater network.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6"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and nine months ended September 30, 2020, the majority of IMAX DMR revenue was earned from the exhibition of six and 20 IMAX DMR films, respectively (2019 – 26 and 59, respectively) and the re-release of classic titles throughout the IMAX theater network. The accounting policy for the Company’s IMAX DMR arrangements is disclosed in Note 2(n) of the Company’s 2019 Form 10-K.</w:t>
      </w:r>
    </w:p>
    <w:p>
      <w:pPr>
        <w:spacing w:after="0" w:line="13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Amounts attributable to transactions arising between the Company and its customers under IMAX DMR arrangements are included in Revenues – Image Enhancement and Maintenance Services and for the three and nine months ended September 30, 2020 amounted to $6.9 million and $18.1 million, respectively (2019 — $26.7 million and $93.9 million, respectively).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196"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5" w:name="page26"/>
    <w:bookmarkEnd w:id="25"/>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As at September 30, 2020, the Company has two co-produced film arrangements which represent the VIE total assets balance of $1.6 million and liabilities balance of $0.2 million and three other co-produced film arrangements, the terms of which are similar. The accounting policies relating to co-produced film arrangements are disclosed in Notes 2(a) and 2(n) of the Company’s 2019 Form 10-K.</w:t>
      </w:r>
    </w:p>
    <w:p>
      <w:pPr>
        <w:spacing w:after="0" w:line="150"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and nine months ended September 30, 2020, expenses totaling $0.5 million and $1.9 million, respectively (2019 —$0.1 million and $0.3 million, respectively) attributable to transactions between the Company and other parties involved in the production of the films have been included in Costs and Expenses Applicable to Revenues – Image Enhancement and Maintenance Services.</w:t>
      </w:r>
    </w:p>
    <w:p>
      <w:pPr>
        <w:spacing w:after="0" w:line="133"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Consolidated Statements of Cash Flows Supplemental Information</w:t>
      </w:r>
    </w:p>
    <w:p>
      <w:pPr>
        <w:spacing w:after="0" w:line="184" w:lineRule="exact"/>
        <w:rPr>
          <w:rFonts w:ascii="Times New Roman" w:cs="Times New Roman" w:eastAsia="Times New Roman" w:hAnsi="Times New Roman"/>
          <w:sz w:val="18"/>
          <w:szCs w:val="18"/>
          <w:b w:val="1"/>
          <w:bCs w:val="1"/>
          <w:color w:val="auto"/>
        </w:rPr>
      </w:pPr>
    </w:p>
    <w:p>
      <w:pPr>
        <w:ind w:left="600" w:hanging="379"/>
        <w:spacing w:after="0" w:line="277" w:lineRule="auto"/>
        <w:tabs>
          <w:tab w:leader="none" w:pos="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operating assets and liabilities as reported in the Condensed Consolidated Statements of Cash Flows are comprised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w:t>
            </w:r>
          </w:p>
        </w:tc>
        <w:tc>
          <w:tcPr>
            <w:tcW w:w="2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receivables</w:t>
            </w:r>
          </w:p>
        </w:tc>
        <w:tc>
          <w:tcPr>
            <w:tcW w:w="3280" w:type="dxa"/>
            <w:vAlign w:val="bottom"/>
            <w:gridSpan w:val="2"/>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(3,212)</w:t>
            </w:r>
          </w:p>
        </w:tc>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(1,332)</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consideration receivable</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(8,320)</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(6,526)</w:t>
            </w: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(9,504)</w:t>
            </w:r>
          </w:p>
        </w:tc>
        <w:tc>
          <w:tcPr>
            <w:tcW w:w="0" w:type="dxa"/>
            <w:vAlign w:val="bottom"/>
          </w:tcPr>
          <w:p>
            <w:pPr>
              <w:spacing w:after="0"/>
              <w:rPr>
                <w:sz w:val="1"/>
                <w:szCs w:val="1"/>
                <w:color w:val="auto"/>
              </w:rPr>
            </w:pPr>
          </w:p>
        </w:tc>
      </w:tr>
      <w:tr>
        <w:trPr>
          <w:trHeight w:val="220"/>
        </w:trPr>
        <w:tc>
          <w:tcPr>
            <w:tcW w:w="5300" w:type="dxa"/>
            <w:vAlign w:val="bottom"/>
            <w:tcBorders>
              <w:top w:val="single" w:sz="8" w:color="CFF0FC"/>
              <w:bottom w:val="single" w:sz="8" w:color="CFF0FC"/>
            </w:tcBorders>
            <w:shd w:val="clear" w:color="auto" w:fill="CFF0FC"/>
          </w:tcPr>
          <w:p>
            <w:pPr>
              <w:spacing w:after="0"/>
              <w:rPr>
                <w:sz w:val="19"/>
                <w:szCs w:val="19"/>
                <w:color w:val="auto"/>
              </w:rPr>
            </w:pP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(24,109)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(b)  Depreciation and amortization are comprised of the following:</w:t>
            </w:r>
          </w:p>
        </w:tc>
        <w:tc>
          <w:tcPr>
            <w:tcW w:w="2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0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assets</w:t>
            </w:r>
          </w:p>
        </w:tc>
        <w:tc>
          <w:tcPr>
            <w:tcW w:w="2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80" w:type="dxa"/>
            <w:vAlign w:val="bottom"/>
            <w:vMerge w:val="restart"/>
          </w:tcPr>
          <w:p>
            <w:pPr>
              <w:jc w:val="right"/>
              <w:ind w:right="168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53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ind w:left="520"/>
        <w:spacing w:after="0"/>
        <w:tabs>
          <w:tab w:leader="none" w:pos="8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Write-downs are comprised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5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r>
      <w:tr>
        <w:trPr>
          <w:trHeight w:val="220"/>
        </w:trPr>
        <w:tc>
          <w:tcPr>
            <w:tcW w:w="5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15"/>
                <w:szCs w:val="15"/>
                <w:color w:val="auto"/>
              </w:rPr>
              <w:t>(1)</w:t>
            </w:r>
          </w:p>
        </w:tc>
        <w:tc>
          <w:tcPr>
            <w:tcW w:w="23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15"/>
                <w:szCs w:val="15"/>
                <w:color w:val="auto"/>
              </w:rPr>
              <w:t>(2)</w:t>
            </w:r>
          </w:p>
        </w:tc>
        <w:tc>
          <w:tcPr>
            <w:tcW w:w="2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w:t>
            </w:r>
            <w:r>
              <w:rPr>
                <w:rFonts w:ascii="Times New Roman" w:cs="Times New Roman" w:eastAsia="Times New Roman" w:hAnsi="Times New Roman"/>
                <w:sz w:val="15"/>
                <w:szCs w:val="15"/>
                <w:color w:val="auto"/>
              </w:rPr>
              <w:t>(3)</w:t>
            </w:r>
          </w:p>
        </w:tc>
        <w:tc>
          <w:tcPr>
            <w:tcW w:w="2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r>
      <w:tr>
        <w:trPr>
          <w:trHeight w:val="227"/>
        </w:trPr>
        <w:tc>
          <w:tcPr>
            <w:tcW w:w="5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2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9"/>
                <w:szCs w:val="19"/>
                <w:color w:val="auto"/>
              </w:rPr>
            </w:pPr>
          </w:p>
        </w:tc>
      </w:tr>
      <w:tr>
        <w:trPr>
          <w:trHeight w:val="22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15"/>
                <w:szCs w:val="15"/>
                <w:color w:val="auto"/>
              </w:rPr>
              <w:t>(4)</w:t>
            </w:r>
          </w:p>
        </w:tc>
        <w:tc>
          <w:tcPr>
            <w:tcW w:w="2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3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2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2" w:lineRule="exact"/>
        <w:rPr>
          <w:sz w:val="20"/>
          <w:szCs w:val="20"/>
          <w:color w:val="auto"/>
        </w:rPr>
      </w:pPr>
    </w:p>
    <w:p>
      <w:pPr>
        <w:jc w:val="both"/>
        <w:ind w:left="380" w:hanging="373"/>
        <w:spacing w:after="0" w:line="253"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 months ended September 30, 2020, the Company recorded impairment losses of $10.2 million (2019 — $0.2 million) principally to write-down the carrying value of certain documentary and alternative content film assets due to a decrease in projected box office totals and related revenues based on management’s regular quarterly recoverability assessments. To a much lesser extent, the impairment losses also relate to the write-down of DMR related film assets. As of September 30, 2020, following the recording of these write-downs, the Company’s film assets totaled $7.5 million, which principally consists of DMR and documentary content. There can be no assurances that there will not be additional write-downs to the carrying values of these assets as the Company continues to assess the ongoing impact of the COVID-19 pandemic (see Notes 1 and 2).</w:t>
      </w:r>
    </w:p>
    <w:p>
      <w:pPr>
        <w:spacing w:after="0" w:line="13" w:lineRule="exact"/>
        <w:rPr>
          <w:rFonts w:ascii="Times New Roman" w:cs="Times New Roman" w:eastAsia="Times New Roman" w:hAnsi="Times New Roman"/>
          <w:sz w:val="18"/>
          <w:szCs w:val="18"/>
          <w:color w:val="auto"/>
        </w:rPr>
      </w:pPr>
    </w:p>
    <w:p>
      <w:pPr>
        <w:ind w:left="380" w:hanging="373"/>
        <w:spacing w:after="0" w:line="27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 months ended September 30, 2020, the Company recorded a $1.2 million (2019 — $nil) write-down of other assets, of which $1.0 million relates to the write-down of certain content-related assets which became impaired in the period.</w:t>
      </w:r>
    </w:p>
    <w:p>
      <w:pPr>
        <w:jc w:val="both"/>
        <w:ind w:left="380" w:hanging="373"/>
        <w:spacing w:after="0" w:line="255"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 months ended September 30, 2020, the Company recorded charges of $1.1 million in Costs and Expenses Applicable to Technology Rentals principally related to the write-down of leased xenon-based digital systems which were taken out of service in connection with customer upgrades to laser-based digital systems. In the nine months ended September 30, 2019, the Company recorded a charge of $0.1 million in Costs and Expenses Applicable to Technology Rentals and $0.1 million in Revenues -Technology Rentals related to the write-down of leased xenon-based digital systems which were taken out of service in connection with customer upgrades to laser-based digital systems.</w:t>
      </w:r>
    </w:p>
    <w:p>
      <w:pPr>
        <w:spacing w:after="0" w:line="9"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 months ended September 30, 2020, the Company recorded write-downs of $0.7 million (2019 — $nil) related to excess inventory.</w:t>
      </w:r>
    </w:p>
    <w:p>
      <w:pPr>
        <w:spacing w:after="0" w:line="193" w:lineRule="exact"/>
        <w:rPr>
          <w:rFonts w:ascii="Times New Roman" w:cs="Times New Roman" w:eastAsia="Times New Roman" w:hAnsi="Times New Roman"/>
          <w:sz w:val="18"/>
          <w:szCs w:val="18"/>
          <w:color w:val="auto"/>
        </w:rPr>
      </w:pPr>
    </w:p>
    <w:p>
      <w:pPr>
        <w:ind w:left="600" w:hanging="379"/>
        <w:spacing w:after="0"/>
        <w:tabs>
          <w:tab w:leader="none" w:pos="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non-cash investing activities are comprised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58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r>
      <w:tr>
        <w:trPr>
          <w:trHeight w:val="220"/>
        </w:trPr>
        <w:tc>
          <w:tcPr>
            <w:tcW w:w="5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accruals related to:</w:t>
            </w:r>
          </w:p>
        </w:tc>
        <w:tc>
          <w:tcPr>
            <w:tcW w:w="19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joint revenue sharing arrangements</w:t>
            </w:r>
          </w:p>
        </w:tc>
        <w:tc>
          <w:tcPr>
            <w:tcW w:w="3040" w:type="dxa"/>
            <w:vAlign w:val="bottom"/>
            <w:gridSpan w:val="2"/>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(1,897)</w:t>
            </w:r>
          </w:p>
        </w:tc>
        <w:tc>
          <w:tcPr>
            <w:tcW w:w="62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9"/>
                <w:szCs w:val="19"/>
                <w:color w:val="auto"/>
              </w:rPr>
            </w:pPr>
          </w:p>
        </w:tc>
      </w:tr>
      <w:tr>
        <w:trPr>
          <w:trHeight w:val="227"/>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19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7"/>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20"/>
        </w:trPr>
        <w:tc>
          <w:tcPr>
            <w:tcW w:w="55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0"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Income Tax Expense</w:t>
      </w:r>
    </w:p>
    <w:p>
      <w:pPr>
        <w:spacing w:after="0" w:line="198"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2020, the Company recorded income tax expense of $19.3 million (2019 — tax expense of $3.0 million), which includes a $23.7 million valuation allowance to reduce the value of deferred tax assets in certain jurisdictions where the Company incurs corporate leadership and administrative costs and where management could not reliably estimate future taxable income in those jurisdictions due to uncertainties associated with the COVID-19 global pandemic. The Company’s effective tax rate for the three months ended September 30, 2020 of (69.6)% differs from the Canadian statutory tax rate of 26.2%, primarily due to the recording of this valuation allowance, permanent book to tax differences, jurisdictional tax rate differences, and management’s estimates of contingent liabilities related to the resolution of various tax examinations.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recorded income tax expense of $24.6 million (2019 — tax expense of $12.0 million), which includes the $23.7 million valuation allowance recorded in the third quarter of 2020, as discussed above. The Company’s effective tax rate for the nine months ended September 30, 2020 of (22.1)% differs from the Canadian statutory tax rate of 26.2%, primarily due to the recording of this valuation allowance, withholding taxes associated with the reversal of the indefinite reinvestment assertion for certain subsidiaries as discussed below, permanent book to tax differences, jurisdictional tax rate differences, and management’s estimates of contingent liabilities related to the resolution of various tax examinations.</w:t>
      </w:r>
    </w:p>
    <w:p>
      <w:pPr>
        <w:spacing w:after="0" w:line="160"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At the point in time when the uncertainties of COVID-19 resolve and the Company is able to reliably forecast sufficient future taxable income in the impacted jurisdictions, the $23.7 million valuation allowance recorded in the third quarter of 2020 may be reversed. Despite this valuation allowance, the Company remains entitled to benefit from tax attributes which currently have a valuation allowance applied.</w:t>
      </w:r>
    </w:p>
    <w:p>
      <w:pPr>
        <w:spacing w:after="0" w:line="137"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As at September 30, 2020, the Company’s Condensed Consolidated Balance Sheets include net deferred income tax assets of $17.7 million, net of a valuation allowance of $23.9 million (December 31, 2019 — $23.9 million, net of a valuation allowance of $0.2 million). The utilization of the Company’s deferred tax assets is dependent on having a sufficient level of future tax benefits, such as taxable income in each of the jurisdictions to which the deferred tax assets relate. Accordingly, the net amount recorded on the Condensed Consolidated Balance Sheets relies on management’s estimates of future taxable income and is therefore subject to the uncertainties associated with accounting estimates, as discussed in Note 1. Should actual results differ from management’s estimates of future taxable income, an increased valuation allowance may be required. As at September 30, 2020, the Company’s Condensed Consolidated Balance Sheets include a deferred income tax liability of $18.7 million (December 31, 2019 — $nil).</w:t>
      </w:r>
    </w:p>
    <w:p>
      <w:pPr>
        <w:spacing w:after="0" w:line="14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The estimate of the applicable foreign withholding taxes was subsequently reduced by $1.0 million, principally in the second quarter of 2020, to $18.7 million due to a reduction in the amount of distributable historical earnings. Cash held outside of Canada as at September 30, 2020 was $76.4 million (December 31, 2019 — $90.1 million), of which $62.6 million was held in the People’s Republic of China (“PRC”) (December 31, 2019 — $67.6 million).</w:t>
      </w:r>
    </w:p>
    <w:p>
      <w:pPr>
        <w:spacing w:after="0" w:line="328"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Income Tax Effect on Other Comprehensive (Loss) Income</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income tax (expense) benefit included in the Company’s other comprehensive (loss) income are related to the following items: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change in cash flow hedging instruments</w:t>
            </w:r>
          </w:p>
        </w:tc>
        <w:tc>
          <w:tcPr>
            <w:tcW w:w="1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(160)</w:t>
            </w: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Borders>
              <w:top w:val="single" w:sz="8" w:color="auto"/>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Realized change in cash flow hedging instruments upon settlement</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actuarial gain on defined benefit plan</w:t>
            </w:r>
          </w:p>
        </w:tc>
        <w:tc>
          <w:tcPr>
            <w:tcW w:w="1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(189)</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80" w:type="dxa"/>
            <w:vAlign w:val="bottom"/>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ind w:left="320" w:hanging="313"/>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80" w:lineRule="exact"/>
        <w:rPr>
          <w:rFonts w:ascii="Times New Roman" w:cs="Times New Roman" w:eastAsia="Times New Roman" w:hAnsi="Times New Roman"/>
          <w:sz w:val="18"/>
          <w:szCs w:val="18"/>
          <w:b w:val="1"/>
          <w:bCs w:val="1"/>
          <w:color w:val="auto"/>
        </w:rPr>
      </w:pPr>
    </w:p>
    <w:p>
      <w:pPr>
        <w:ind w:left="600" w:hanging="379"/>
        <w:spacing w:after="0"/>
        <w:tabs>
          <w:tab w:leader="none" w:pos="600" w:val="left"/>
        </w:tabs>
        <w:numPr>
          <w:ilvl w:val="1"/>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4" w:lineRule="exact"/>
        <w:rPr>
          <w:sz w:val="20"/>
          <w:szCs w:val="20"/>
          <w:color w:val="auto"/>
        </w:rPr>
      </w:pPr>
    </w:p>
    <w:p>
      <w:pPr>
        <w:ind w:firstLine="225"/>
        <w:spacing w:after="0" w:line="277" w:lineRule="auto"/>
        <w:rPr>
          <w:sz w:val="20"/>
          <w:szCs w:val="20"/>
          <w:color w:val="auto"/>
        </w:rPr>
      </w:pPr>
      <w:r>
        <w:rPr>
          <w:rFonts w:ascii="Times New Roman" w:cs="Times New Roman" w:eastAsia="Times New Roman" w:hAnsi="Times New Roman"/>
          <w:sz w:val="18"/>
          <w:szCs w:val="18"/>
          <w:color w:val="auto"/>
        </w:rPr>
        <w:t>For the three and nine months ended September 30, 2020, share-based compensation expense totaled $5.3 million and $16.0 million, respectively (2019 — $5.5 million and $16.9 million, respectively) and is reflected in the following accounts in the Condensed Consolidated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6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20"/>
        </w:trPr>
        <w:tc>
          <w:tcPr>
            <w:tcW w:w="60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 applicable to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1,268</w:t>
            </w:r>
          </w:p>
        </w:tc>
      </w:tr>
      <w:tr>
        <w:trPr>
          <w:trHeight w:val="22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3"/>
              </w:rPr>
              <w:t>5,151</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4,983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15,325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15,371</w:t>
            </w:r>
          </w:p>
        </w:tc>
      </w:tr>
      <w:tr>
        <w:trPr>
          <w:trHeight w:val="22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277</w:t>
            </w:r>
          </w:p>
        </w:tc>
      </w:tr>
      <w:tr>
        <w:trPr>
          <w:trHeight w:val="220"/>
        </w:trPr>
        <w:tc>
          <w:tcPr>
            <w:tcW w:w="6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93"/>
              </w:rPr>
              <w:t>5,310</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3"/>
              </w:rPr>
              <w:t>5,527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15,969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16,916</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354"/>
        <w:spacing w:after="0" w:line="262" w:lineRule="auto"/>
        <w:rPr>
          <w:sz w:val="20"/>
          <w:szCs w:val="20"/>
          <w:color w:val="auto"/>
        </w:rPr>
      </w:pPr>
      <w:r>
        <w:rPr>
          <w:rFonts w:ascii="Times New Roman" w:cs="Times New Roman" w:eastAsia="Times New Roman" w:hAnsi="Times New Roman"/>
          <w:sz w:val="18"/>
          <w:szCs w:val="18"/>
          <w:color w:val="auto"/>
        </w:rPr>
        <w:t>For the three and nine months ended September 30, 2020, there was a decrease in share-based compensation expenses allocated to Costs and Expenses Applicable to Revenues and Research and Development, when compared to same period in 2019, due to the lower level of production during the COVID-19 global pandemic.</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8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8"/>
        </w:trPr>
        <w:tc>
          <w:tcPr>
            <w:tcW w:w="5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207"/>
        </w:trPr>
        <w:tc>
          <w:tcPr>
            <w:tcW w:w="52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3"/>
              </w:rPr>
              <w:t>2,145</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6,228</w:t>
            </w:r>
          </w:p>
        </w:tc>
      </w:tr>
      <w:tr>
        <w:trPr>
          <w:trHeight w:val="22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3,430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2,933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10,866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9,175</w:t>
            </w:r>
          </w:p>
        </w:tc>
      </w:tr>
      <w:tr>
        <w:trPr>
          <w:trHeight w:val="22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IMAX China Stock Options</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230</w:t>
            </w:r>
          </w:p>
        </w:tc>
      </w:tr>
      <w:tr>
        <w:trPr>
          <w:trHeight w:val="22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1,283</w:t>
            </w:r>
          </w:p>
        </w:tc>
      </w:tr>
      <w:tr>
        <w:trPr>
          <w:trHeight w:val="227"/>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IMAX China Long Term Incentive Plan Performance Stock Units</w:t>
            </w:r>
          </w:p>
        </w:tc>
        <w:tc>
          <w:tcPr>
            <w:tcW w:w="5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8"/>
              </w:rPr>
              <w:t>5,310</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3"/>
              </w:rPr>
              <w:t>5,527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15,969</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16,916</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20" w:firstLine="225"/>
        <w:spacing w:after="0" w:line="277" w:lineRule="auto"/>
        <w:rPr>
          <w:sz w:val="20"/>
          <w:szCs w:val="20"/>
          <w:color w:val="auto"/>
        </w:rPr>
      </w:pPr>
      <w:r>
        <w:rPr>
          <w:rFonts w:ascii="Times New Roman" w:cs="Times New Roman" w:eastAsia="Times New Roman" w:hAnsi="Times New Roman"/>
          <w:sz w:val="18"/>
          <w:szCs w:val="18"/>
          <w:color w:val="auto"/>
        </w:rPr>
        <w:t>Included in the above table is an expense of $nil and $0.1 million in the three and nine months ended September 30, 2020, respectively (2019 — less than $0.1 million and less than $0.1 million, respectively) related to restricted share units granted to a certain advisor of the Company.</w:t>
      </w:r>
    </w:p>
    <w:p>
      <w:pPr>
        <w:spacing w:after="0" w:line="123"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In the third quarter of 2020, IMAX China modified the terms of certain fully vested stock options to extend their contractual life by two years and recorded an associated expense of $0.6 million.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182" w:lineRule="exact"/>
        <w:rPr>
          <w:sz w:val="20"/>
          <w:szCs w:val="20"/>
          <w:color w:val="auto"/>
        </w:rPr>
      </w:pPr>
    </w:p>
    <w:p>
      <w:pPr>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and IMAX Amended and Restated Long Term Incentive Plan (as amended, “IMAX LTIP”) for the nine months ended September 30, 2020 and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360" w:type="dxa"/>
            <w:vAlign w:val="bottom"/>
            <w:gridSpan w:val="3"/>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0" w:type="dxa"/>
            <w:vAlign w:val="bottom"/>
          </w:tcPr>
          <w:p>
            <w:pPr>
              <w:spacing w:after="0"/>
              <w:rPr>
                <w:sz w:val="1"/>
                <w:szCs w:val="1"/>
                <w:color w:val="auto"/>
              </w:rPr>
            </w:pPr>
          </w:p>
        </w:tc>
      </w:tr>
      <w:tr>
        <w:trPr>
          <w:trHeight w:val="172"/>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5,732,209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5,465,046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1,016,882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2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2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(772,665)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(299,134)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6"/>
              <w:spacing w:after="0"/>
              <w:rPr>
                <w:sz w:val="20"/>
                <w:szCs w:val="20"/>
                <w:color w:val="auto"/>
              </w:rPr>
            </w:pPr>
            <w:r>
              <w:rPr>
                <w:rFonts w:ascii="Times New Roman" w:cs="Times New Roman" w:eastAsia="Times New Roman" w:hAnsi="Times New Roman"/>
                <w:sz w:val="18"/>
                <w:szCs w:val="18"/>
                <w:color w:val="auto"/>
              </w:rPr>
              <w:t>27.97</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ind w:right="33"/>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4,917,428</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5,740,830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4,315,484</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4,511,208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are no longer granted under the Company’s previously approved SOP.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 (“RSU”) Summary</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nine months ended September 30,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360" w:type="dxa"/>
            <w:vAlign w:val="bottom"/>
            <w:gridSpan w:val="3"/>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0"/>
        </w:trPr>
        <w:tc>
          <w:tcPr>
            <w:tcW w:w="4160" w:type="dxa"/>
            <w:vAlign w:val="bottom"/>
          </w:tcPr>
          <w:p>
            <w:pPr>
              <w:spacing w:after="0"/>
              <w:rPr>
                <w:sz w:val="19"/>
                <w:szCs w:val="19"/>
                <w:color w:val="auto"/>
              </w:rPr>
            </w:pPr>
          </w:p>
        </w:tc>
        <w:tc>
          <w:tcPr>
            <w:tcW w:w="3040" w:type="dxa"/>
            <w:vAlign w:val="bottom"/>
            <w:gridSpan w:val="2"/>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9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1,065,347</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1,033,871</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1,050,385</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649,389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settled</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(386,451)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(367,020)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21.59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19.70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0"/>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1,674,348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1,109,647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vMerge w:val="restart"/>
          </w:tcPr>
          <w:p>
            <w:pPr>
              <w:jc w:val="right"/>
              <w:ind w:right="275"/>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Performance Stock Units Summary</w:t>
      </w:r>
    </w:p>
    <w:p>
      <w:pPr>
        <w:spacing w:after="0" w:line="182" w:lineRule="exact"/>
        <w:rPr>
          <w:sz w:val="20"/>
          <w:szCs w:val="20"/>
          <w:color w:val="auto"/>
        </w:rPr>
      </w:pPr>
    </w:p>
    <w:p>
      <w:pPr>
        <w:jc w:val="both"/>
        <w:ind w:firstLine="225"/>
        <w:spacing w:after="0" w:line="270" w:lineRule="auto"/>
        <w:rPr>
          <w:sz w:val="20"/>
          <w:szCs w:val="20"/>
          <w:color w:val="auto"/>
        </w:rPr>
      </w:pPr>
      <w:r>
        <w:rPr>
          <w:rFonts w:ascii="Times New Roman" w:cs="Times New Roman" w:eastAsia="Times New Roman" w:hAnsi="Times New Roman"/>
          <w:sz w:val="17"/>
          <w:szCs w:val="17"/>
          <w:color w:val="auto"/>
        </w:rPr>
        <w:t>In the first quarter of 2020, the Company expanded its share-based compensation program to include performance stock units (“PSUs”). The Company grants two types of PSU awards, one which vests based on a combination of employee service and the achievement of certain EBITDA-based targets and one which vests based on a combination of employee service and the achievement of certain stock-price targets. These awards vest over a three-year performance period. The grant date fair value of PSUs with EBITDA-based targets is equal to the closing price on date of grant or the average closing price of the Company’s common stock for five days prior to the date of grant. The grant date fair value of PSUs with stock-price targets is determined on the grant date using a Monte Carlo simulation, which is a valuation model that takes into account the likelihood of achieving the stock-price targets embedded in the award (“Monte Carlo Model”). The compensation expense attributable to each type of PSU is recognized on a straight-line basis over the requisite service period.</w:t>
      </w:r>
    </w:p>
    <w:p>
      <w:pPr>
        <w:spacing w:after="0" w:line="144" w:lineRule="exact"/>
        <w:rPr>
          <w:sz w:val="20"/>
          <w:szCs w:val="20"/>
          <w:color w:val="auto"/>
        </w:rPr>
      </w:pPr>
    </w:p>
    <w:p>
      <w:pPr>
        <w:jc w:val="both"/>
        <w:ind w:firstLine="225"/>
        <w:spacing w:after="0" w:line="285" w:lineRule="auto"/>
        <w:rPr>
          <w:sz w:val="20"/>
          <w:szCs w:val="20"/>
          <w:color w:val="auto"/>
        </w:rPr>
      </w:pPr>
      <w:r>
        <w:rPr>
          <w:rFonts w:ascii="Times New Roman" w:cs="Times New Roman" w:eastAsia="Times New Roman" w:hAnsi="Times New Roman"/>
          <w:sz w:val="17"/>
          <w:szCs w:val="17"/>
          <w:color w:val="auto"/>
        </w:rPr>
        <w:t>The fair value determined by the Monte Carlo Model is affected by the Company’s stock price, as well as assumptions regarding a number of highly complex and subjective variables. These variables include, but are not limited to, market conditions as of the grant date, the Company’s expected stock price volatility over the term of the awards, and other relevant data. The compensation expense is fixed on the date of grant based on the dollar value granted.</w:t>
      </w:r>
    </w:p>
    <w:p>
      <w:pPr>
        <w:spacing w:after="0" w:line="11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 The Company will complete an assessment of the likelihood of achieving these targets in the fourth quarter of 2020 in connection with its annual budget process for 2021. As a result, no adjustment to compensation expense has been recognized in the three and nine months ended September 30, 2020, respectively, related to the PSUs granted in 2020.</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Compensation expense is not adjusted for estimated forfeitures, but is instead adjusted based upon the actual forfeiture of the award.</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nine months ended September 30: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6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4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20" w:type="dxa"/>
            <w:vAlign w:val="bottom"/>
          </w:tcPr>
          <w:p>
            <w:pPr>
              <w:spacing w:after="0"/>
              <w:rPr>
                <w:sz w:val="19"/>
                <w:szCs w:val="19"/>
                <w:color w:val="auto"/>
              </w:rPr>
            </w:pPr>
          </w:p>
        </w:tc>
        <w:tc>
          <w:tcPr>
            <w:tcW w:w="3160" w:type="dxa"/>
            <w:vAlign w:val="bottom"/>
            <w:gridSpan w:val="2"/>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9"/>
                <w:szCs w:val="19"/>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370,265</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(2,526)</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9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2"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In 2017, the Company’s Board of Directors approved a new $200.0 million common stock share repurchase program which would have expired on June 30, 2020. In June 2020, the Board of Directors approved a 12-month extension of this program which will now expire on June 30, 2021.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There were no common stock repurchases during the three months ended September 30, 2020. During the nine months ended September 30, 2020, the Company repurchased 2,484,123 shares of its common stock at an average price of $14.72 per share, excluding commissions. During the three and nine months ended September 30, 2019, the Company repurchased 46,615 and 134,384 common shares, respectively at an average price of $20.35 and $19.76 per share, respectively excluding commissions.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total number of shares purchased during the three and nine months ended September 30, 2020 does not include nil and 200,000 common shares (2019</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45,000 and 445,000 common shares, respectively) purchased in the administration of employee share-based compensation plans, at an average price of $nil and $15.43 per share (2019 — $21.52 and $22.83 per share, respectively).</w:t>
      </w:r>
    </w:p>
    <w:p>
      <w:pPr>
        <w:spacing w:after="0" w:line="142"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8"/>
          <w:szCs w:val="18"/>
          <w:color w:val="auto"/>
        </w:rPr>
        <w:t>As at September 30, 2020, the IMAX LTIP trustee held 17,578 shares (December 31, 2019 — 187,020 shares) purchased for $0.3 million (December 31, 2019 — $4.0 million) in the open market to be issued upon the settlement of RSUs and certain stock options. The shares held with the trustee are recorded at cost and are reported as a reduction against capital stock on the Condensed Consolidated Balance Sheets.</w:t>
      </w:r>
    </w:p>
    <w:p>
      <w:pPr>
        <w:spacing w:after="0" w:line="137"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In 2019, IMAX China announced that its shareholders granted its Board of Directors a general mandate authorizing the Board, subject to applicable laws, to repurchase shares of IMAX China in an amount not to exceed 10% of the total number of issued shares as at June 6, 2019 (35,605,560 shares). The share repurchase program expired on the date of the 2020 Annual General Meeting of IMAX China on June 11, 2020. During the 2020 Annual General Meeting, shareholders approved the repurchase of shares of IMAX China not to exceed 10% of the total number of issued shares as of June 11, 2020 (34,848,398 shares). This program will be valid until the 2021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and nine months ended September 30, 2020, IMAX China repurchased nil and 906,400 shares of its common stock, respectively, at an average price of HKD nil and HKD 13.13 per share, respectively (U.S. $nil and U.S. $1.69, respectively). During the three and nine months ended September 30, 2019, IMAX China repurchased 1,025,800 and 8,051,500 of its common shares, respectively, at an average price of HKD 17.90 and HKD 18.63 per share, respectively (U.S. $2.29 and U.S. $2.38, respectively).</w:t>
      </w:r>
    </w:p>
    <w:p>
      <w:pPr>
        <w:spacing w:after="0" w:line="156"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Basic and Diluted Weighted Average Shares Outstanding</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6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8"/>
        </w:trPr>
        <w:tc>
          <w:tcPr>
            <w:tcW w:w="60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7"/>
        </w:trPr>
        <w:tc>
          <w:tcPr>
            <w:tcW w:w="600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Weighted average number of common shares (000's):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58,857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61,331</w:t>
            </w:r>
          </w:p>
        </w:tc>
        <w:tc>
          <w:tcPr>
            <w:tcW w:w="1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61,176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61,434</w:t>
            </w:r>
          </w:p>
        </w:tc>
      </w:tr>
      <w:tr>
        <w:trPr>
          <w:trHeight w:val="209"/>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repurchased, net of shares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2"/>
        </w:trPr>
        <w:tc>
          <w:tcPr>
            <w:tcW w:w="6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issued during the period</w:t>
            </w: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2"/>
        </w:trPr>
        <w:tc>
          <w:tcPr>
            <w:tcW w:w="6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number of shares used in computing basic</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2"/>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per share</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58,859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61,304</w:t>
            </w:r>
          </w:p>
        </w:tc>
        <w:tc>
          <w:tcPr>
            <w:tcW w:w="14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59,360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61,337</w:t>
            </w: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exercise of stock options, RSUs and PSUs, net of shares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2"/>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assumed repurchased, if dilutive</w:t>
            </w:r>
          </w:p>
        </w:tc>
        <w:tc>
          <w:tcPr>
            <w:tcW w:w="170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FF0FC"/>
          </w:tcPr>
          <w:p>
            <w:pPr>
              <w:spacing w:after="0"/>
              <w:rPr>
                <w:sz w:val="20"/>
                <w:szCs w:val="20"/>
                <w:color w:val="auto"/>
              </w:rPr>
            </w:pPr>
          </w:p>
        </w:tc>
        <w:tc>
          <w:tcPr>
            <w:tcW w:w="170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172</w:t>
            </w:r>
          </w:p>
        </w:tc>
      </w:tr>
      <w:tr>
        <w:trPr>
          <w:trHeight w:val="202"/>
        </w:trPr>
        <w:tc>
          <w:tcPr>
            <w:tcW w:w="6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number of shares used in computing diluted</w:t>
            </w: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2"/>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per share</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58,859</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61,479</w:t>
            </w: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59,360</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61,509</w:t>
            </w: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calculation of diluted weighted average shares outstanding excludes 6,959,515 and 6,959,515 shares, respectively (2019 — 5,289,172 and 5,902,208 shares, respectively) of common shares issuable upon the vesting of RSUs and PSUs and the exercise of stock options as the effect would be anti-dilutive.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13. Revenue from Contracts with Customers</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Disaggregated Information About Revenue</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three and nine months ended September 30,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Revenue from</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1"/>
                <w:szCs w:val="11"/>
                <w:color w:val="auto"/>
              </w:rPr>
            </w:pPr>
          </w:p>
        </w:tc>
        <w:tc>
          <w:tcPr>
            <w:tcW w:w="960" w:type="dxa"/>
            <w:vAlign w:val="bottom"/>
          </w:tcPr>
          <w:p>
            <w:pPr>
              <w:jc w:val="right"/>
              <w:ind w:right="273"/>
              <w:spacing w:after="0" w:line="12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Lease</w:t>
            </w:r>
          </w:p>
        </w:tc>
        <w:tc>
          <w:tcPr>
            <w:tcW w:w="116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14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64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13,515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14,996</w:t>
            </w: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(1)</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14,200</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1,496</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15,753</w:t>
            </w:r>
          </w:p>
        </w:tc>
        <w:tc>
          <w:tcPr>
            <w:tcW w:w="0" w:type="dxa"/>
            <w:vAlign w:val="bottom"/>
          </w:tcPr>
          <w:p>
            <w:pPr>
              <w:spacing w:after="0"/>
              <w:rPr>
                <w:sz w:val="1"/>
                <w:szCs w:val="1"/>
                <w:color w:val="auto"/>
              </w:rPr>
            </w:pPr>
          </w:p>
        </w:tc>
      </w:tr>
      <w:tr>
        <w:trPr>
          <w:trHeight w:val="22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DMR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5,855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7,344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7,245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14,589</w:t>
            </w: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4,473</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4,473</w:t>
            </w:r>
          </w:p>
        </w:tc>
        <w:tc>
          <w:tcPr>
            <w:tcW w:w="1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2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21,544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4,530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37,256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Revenue from</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1"/>
                <w:szCs w:val="11"/>
                <w:color w:val="auto"/>
              </w:rPr>
            </w:pPr>
          </w:p>
        </w:tc>
        <w:tc>
          <w:tcPr>
            <w:tcW w:w="94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(1)</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DMR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5540" w:right="3940" w:hanging="5533"/>
        <w:spacing w:after="0" w:line="773" w:lineRule="auto"/>
        <w:tabs>
          <w:tab w:leader="none" w:pos="4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include revenues associated with New Business Initiatives such as IMAX Enhanced.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-842645</wp:posOffset>
            </wp:positionV>
            <wp:extent cx="949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-223520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three and nine months ended September 30,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Revenue from</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1"/>
                <w:szCs w:val="11"/>
                <w:color w:val="auto"/>
              </w:rPr>
            </w:pPr>
          </w:p>
        </w:tc>
        <w:tc>
          <w:tcPr>
            <w:tcW w:w="86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64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(1)</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DMR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Revenue from</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1"/>
                <w:szCs w:val="11"/>
                <w:color w:val="auto"/>
              </w:rPr>
            </w:pPr>
          </w:p>
        </w:tc>
        <w:tc>
          <w:tcPr>
            <w:tcW w:w="94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Lease</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Theater Business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(1)</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44,319</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IMAX DMR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Maintenance</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Film Post-production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Distribution</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46,273</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IMAX Systems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68,174</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440" w:hanging="433"/>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include revenues associated with New Business Initiatives, such as IMAX Enhanced.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949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7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(See Note 2 for information on the current impacts and uncertainties relating to the COVID-19 global pandemic, which are impacting the Company’s revenues.)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Deferred Revenue</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At September 30, 2020, $16.7 million of consideration has been deferred in relation to outstanding maintenance services to be provided on existing maintenance contracts (December 31, 2019 — $17.7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62"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43" w:lineRule="exact"/>
        <w:rPr>
          <w:sz w:val="20"/>
          <w:szCs w:val="20"/>
          <w:color w:val="auto"/>
        </w:rPr>
      </w:pPr>
    </w:p>
    <w:p>
      <w:pPr>
        <w:jc w:val="both"/>
        <w:ind w:right="20" w:firstLine="225"/>
        <w:spacing w:after="0" w:line="277" w:lineRule="auto"/>
        <w:rPr>
          <w:sz w:val="20"/>
          <w:szCs w:val="20"/>
          <w:color w:val="auto"/>
        </w:rPr>
      </w:pPr>
      <w:r>
        <w:rPr>
          <w:rFonts w:ascii="Times New Roman" w:cs="Times New Roman" w:eastAsia="Times New Roman" w:hAnsi="Times New Roman"/>
          <w:sz w:val="18"/>
          <w:szCs w:val="18"/>
          <w:color w:val="auto"/>
        </w:rPr>
        <w:t>(See Note 2 for information on the current impacts of and uncertainties relating to the COVID-19 global pandemic which are impacting Company’s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4" w:lineRule="exact"/>
        <w:rPr>
          <w:sz w:val="20"/>
          <w:szCs w:val="20"/>
          <w:color w:val="auto"/>
        </w:rPr>
      </w:pPr>
    </w:p>
    <w:p>
      <w:pPr>
        <w:jc w:val="both"/>
        <w:ind w:firstLine="208"/>
        <w:spacing w:after="0" w:line="257"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intangibles, provisions for (recoveries of) current expected credit losses, certain write-downs, interest income, interest expense and tax (expense) benefit are not allocated to the segments.</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 organizes its reportable segments into the following four categories, identified by the nature of the product sold or service provided:</w:t>
      </w:r>
    </w:p>
    <w:p>
      <w:pPr>
        <w:spacing w:after="0" w:line="177" w:lineRule="exact"/>
        <w:rPr>
          <w:sz w:val="20"/>
          <w:szCs w:val="20"/>
          <w:color w:val="auto"/>
        </w:rPr>
      </w:pPr>
    </w:p>
    <w:p>
      <w:pPr>
        <w:ind w:left="1120" w:hanging="739"/>
        <w:spacing w:after="0" w:line="277"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63" w:lineRule="exact"/>
        <w:rPr>
          <w:rFonts w:ascii="Times New Roman" w:cs="Times New Roman" w:eastAsia="Times New Roman" w:hAnsi="Times New Roman"/>
          <w:sz w:val="18"/>
          <w:szCs w:val="18"/>
          <w:color w:val="auto"/>
        </w:rPr>
      </w:pPr>
    </w:p>
    <w:p>
      <w:pPr>
        <w:ind w:left="1120" w:hanging="739"/>
        <w:spacing w:after="0" w:line="277"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Sales and Maintenance, which includes results from the IMAX Systems, IMAX Maintenance and Other Theater Business segments, as well as fixed revenues from the JRSA segment;</w:t>
      </w:r>
    </w:p>
    <w:p>
      <w:pPr>
        <w:spacing w:after="0" w:line="163" w:lineRule="exact"/>
        <w:rPr>
          <w:rFonts w:ascii="Times New Roman" w:cs="Times New Roman" w:eastAsia="Times New Roman" w:hAnsi="Times New Roman"/>
          <w:sz w:val="18"/>
          <w:szCs w:val="18"/>
          <w:color w:val="auto"/>
        </w:rPr>
      </w:pPr>
    </w:p>
    <w:p>
      <w:pPr>
        <w:ind w:left="1120" w:hanging="739"/>
        <w:spacing w:after="0" w:line="277"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Initiatives, which is a segment that includes activities related to the exploration of new lines of business and new initiatives outside of the Company’s core business; and</w:t>
      </w:r>
    </w:p>
    <w:p>
      <w:pPr>
        <w:spacing w:after="0" w:line="163" w:lineRule="exact"/>
        <w:rPr>
          <w:rFonts w:ascii="Times New Roman" w:cs="Times New Roman" w:eastAsia="Times New Roman" w:hAnsi="Times New Roman"/>
          <w:sz w:val="18"/>
          <w:szCs w:val="18"/>
          <w:color w:val="auto"/>
        </w:rPr>
      </w:pPr>
    </w:p>
    <w:p>
      <w:pPr>
        <w:jc w:val="both"/>
        <w:ind w:left="1120" w:hanging="739"/>
        <w:spacing w:after="0" w:line="26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and Post-production, which includes activities related to the licensing of film content, and the distribution of films primarily for the Company’s institutional theater partners (through the Film Distribution segment) and the provision of film post-production and quality control services (through the Film Post-production segment).</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is presenting information at a disaggregated level to provide more relevant information to readers.</w:t>
      </w:r>
    </w:p>
    <w:p>
      <w:pPr>
        <w:spacing w:after="0" w:line="220" w:lineRule="exact"/>
        <w:rPr>
          <w:sz w:val="20"/>
          <w:szCs w:val="20"/>
          <w:color w:val="auto"/>
        </w:rPr>
      </w:pPr>
    </w:p>
    <w:p>
      <w:pPr>
        <w:ind w:right="20" w:firstLine="225"/>
        <w:spacing w:after="0" w:line="277" w:lineRule="auto"/>
        <w:rPr>
          <w:sz w:val="20"/>
          <w:szCs w:val="20"/>
          <w:color w:val="auto"/>
        </w:rPr>
      </w:pPr>
      <w:r>
        <w:rPr>
          <w:rFonts w:ascii="Times New Roman" w:cs="Times New Roman" w:eastAsia="Times New Roman" w:hAnsi="Times New Roman"/>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ind w:left="240"/>
        <w:spacing w:after="0"/>
        <w:rPr>
          <w:sz w:val="20"/>
          <w:szCs w:val="20"/>
          <w:color w:val="auto"/>
        </w:rPr>
      </w:pPr>
      <w:r>
        <w:rPr>
          <w:rFonts w:ascii="Times New Roman" w:cs="Times New Roman" w:eastAsia="Times New Roman" w:hAnsi="Times New Roman"/>
          <w:sz w:val="18"/>
          <w:szCs w:val="18"/>
          <w:color w:val="auto"/>
        </w:rPr>
        <w:t>The following table sets forth the breakdown of revenue and gross margin (margin loss) by category for the three months ended September 30, 2020: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Gross Margin (Margin Loss) </w:t>
            </w:r>
            <w:r>
              <w:rPr>
                <w:rFonts w:ascii="Times New Roman" w:cs="Times New Roman" w:eastAsia="Times New Roman" w:hAnsi="Times New Roman"/>
                <w:sz w:val="12"/>
                <w:szCs w:val="12"/>
                <w:b w:val="1"/>
                <w:bCs w:val="1"/>
                <w:color w:val="auto"/>
              </w:rPr>
              <w:t>(3)</w:t>
            </w: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12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40" w:type="dxa"/>
            <w:vAlign w:val="bottom"/>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40" w:type="dxa"/>
            <w:vAlign w:val="bottom"/>
          </w:tcPr>
          <w:p>
            <w:pPr>
              <w:spacing w:after="0"/>
              <w:rPr>
                <w:sz w:val="19"/>
                <w:szCs w:val="19"/>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IMAX Systems </w:t>
            </w:r>
            <w:r>
              <w:rPr>
                <w:rFonts w:ascii="Times New Roman" w:cs="Times New Roman" w:eastAsia="Times New Roman" w:hAnsi="Times New Roman"/>
                <w:sz w:val="15"/>
                <w:szCs w:val="15"/>
                <w:color w:val="auto"/>
              </w:rPr>
              <w:t>(1)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Other Theater Business </w:t>
            </w:r>
            <w:r>
              <w:rPr>
                <w:rFonts w:ascii="Times New Roman" w:cs="Times New Roman" w:eastAsia="Times New Roman" w:hAnsi="Times New Roman"/>
                <w:sz w:val="15"/>
                <w:szCs w:val="15"/>
                <w:color w:val="auto"/>
              </w:rPr>
              <w:t>(2)</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Film Distribution</w:t>
            </w:r>
            <w:r>
              <w:rPr>
                <w:rFonts w:ascii="Times New Roman" w:cs="Times New Roman" w:eastAsia="Times New Roman" w:hAnsi="Times New Roman"/>
                <w:sz w:val="15"/>
                <w:szCs w:val="15"/>
                <w:color w:val="auto"/>
              </w:rPr>
              <w:t>(4)</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r>
      <w:tr>
        <w:trPr>
          <w:trHeight w:val="220"/>
        </w:trPr>
        <w:tc>
          <w:tcPr>
            <w:tcW w:w="4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37,256</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47,120</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the breakdown of revenue and gross margin (margin loss) by category for nine months ended September 30, 2020: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Gross Margin (Margin Loss) </w:t>
            </w:r>
            <w:r>
              <w:rPr>
                <w:rFonts w:ascii="Times New Roman" w:cs="Times New Roman" w:eastAsia="Times New Roman" w:hAnsi="Times New Roman"/>
                <w:sz w:val="12"/>
                <w:szCs w:val="12"/>
                <w:b w:val="1"/>
                <w:bCs w:val="1"/>
                <w:color w:val="auto"/>
              </w:rPr>
              <w:t>(3)</w:t>
            </w: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12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240" w:type="dxa"/>
            <w:vAlign w:val="bottom"/>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93,908</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240" w:type="dxa"/>
            <w:vAlign w:val="bottom"/>
          </w:tcPr>
          <w:p>
            <w:pPr>
              <w:spacing w:after="0"/>
              <w:rPr>
                <w:sz w:val="19"/>
                <w:szCs w:val="19"/>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(10,610)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154,097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102,379</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IMAX Systems </w:t>
            </w:r>
            <w:r>
              <w:rPr>
                <w:rFonts w:ascii="Times New Roman" w:cs="Times New Roman" w:eastAsia="Times New Roman" w:hAnsi="Times New Roman"/>
                <w:sz w:val="15"/>
                <w:szCs w:val="15"/>
                <w:color w:val="auto"/>
              </w:rPr>
              <w:t>(1)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Other Theater Business </w:t>
            </w:r>
            <w:r>
              <w:rPr>
                <w:rFonts w:ascii="Times New Roman" w:cs="Times New Roman" w:eastAsia="Times New Roman" w:hAnsi="Times New Roman"/>
                <w:sz w:val="15"/>
                <w:szCs w:val="15"/>
                <w:color w:val="auto"/>
              </w:rPr>
              <w:t>(2)</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Film Distribution</w:t>
            </w:r>
            <w:r>
              <w:rPr>
                <w:rFonts w:ascii="Times New Roman" w:cs="Times New Roman" w:eastAsia="Times New Roman" w:hAnsi="Times New Roman"/>
                <w:sz w:val="15"/>
                <w:szCs w:val="15"/>
                <w:color w:val="auto"/>
              </w:rPr>
              <w:t>(4)</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(9,296)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r>
      <w:tr>
        <w:trPr>
          <w:trHeight w:val="227"/>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r>
      <w:tr>
        <w:trPr>
          <w:trHeight w:val="220"/>
        </w:trPr>
        <w:tc>
          <w:tcPr>
            <w:tcW w:w="4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151,194</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81,013</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271,385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151,813</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49" w:lineRule="exact"/>
        <w:rPr>
          <w:sz w:val="20"/>
          <w:szCs w:val="20"/>
          <w:color w:val="auto"/>
        </w:rPr>
      </w:pPr>
    </w:p>
    <w:p>
      <w:pPr>
        <w:jc w:val="both"/>
        <w:ind w:left="380" w:hanging="373"/>
        <w:spacing w:after="0" w:line="26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initial upfront payments and the present value of fixed minimum payments from sales and sales-type lease arrangements of IMAX Theater Systems, and the present value of estimated variable consideration from sales of IMAX Theater Systems. To a lesser extent, also includes finance income associated with these revenue streams.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8" w:name="page39"/>
    <w:bookmarkEnd w:id="38"/>
    <w:p>
      <w:pPr>
        <w:ind w:left="380" w:hanging="373"/>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includes after-market sales of IMAX projection system parts and 3D glasses.</w:t>
      </w:r>
    </w:p>
    <w:p>
      <w:pPr>
        <w:spacing w:after="0" w:line="46" w:lineRule="exact"/>
        <w:rPr>
          <w:rFonts w:ascii="Times New Roman" w:cs="Times New Roman" w:eastAsia="Times New Roman" w:hAnsi="Times New Roman"/>
          <w:sz w:val="18"/>
          <w:szCs w:val="18"/>
          <w:color w:val="auto"/>
        </w:rPr>
      </w:pPr>
    </w:p>
    <w:p>
      <w:pPr>
        <w:jc w:val="both"/>
        <w:ind w:left="380" w:hanging="373"/>
        <w:spacing w:after="0" w:line="25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DMR gross margin includes marketing costs of $0.4 million and $2.8 million for the three and nine months ended September 30, 2020, respectively (2019 — $4.3 million and $17.7 million, respectively). JRSA gross margin includes advertising, marketing and commission expense of $0.7 million and $1.3 million for the three and nine months ended September 30, 2020, respectively (2019 —$0.8 million and $1.1 million, respectively). IMAX Systems gross margin includes marketing and commission costs of $0.6 million and $1.0 million for the three and nine months ended September 30, 2020, respectively, (2019 — $0.6 million and $1.5 million, respectively). Film Distribution segment gross margin includes marketing expense of $0.2 million and $0.4 million for the three and nine months ended September 30, 2020, respectively (2019 — $0.1 million and $0.7 million, respectively).</w:t>
      </w:r>
    </w:p>
    <w:p>
      <w:pPr>
        <w:spacing w:after="0" w:line="14" w:lineRule="exact"/>
        <w:rPr>
          <w:rFonts w:ascii="Times New Roman" w:cs="Times New Roman" w:eastAsia="Times New Roman" w:hAnsi="Times New Roman"/>
          <w:sz w:val="18"/>
          <w:szCs w:val="18"/>
          <w:color w:val="auto"/>
        </w:rPr>
      </w:pPr>
    </w:p>
    <w:p>
      <w:pPr>
        <w:jc w:val="both"/>
        <w:ind w:left="380" w:hanging="373"/>
        <w:spacing w:after="0" w:line="257"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2020, Film Distribution segment results were significantly influenced by impairment losses of $5.4 million and $9.9 million, respectively, to write-down the carrying value of certain documentary and alternative content film assets due to a decrease in projected box office totals and related revenues based on management’s regular quarterly recoverability assessments (2019 – $0.2 million and $0.2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2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20"/>
        </w:trPr>
        <w:tc>
          <w:tcPr>
            <w:tcW w:w="366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22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19,346</w:t>
            </w:r>
          </w:p>
        </w:tc>
        <w:tc>
          <w:tcPr>
            <w:tcW w:w="48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26,008</w:t>
            </w:r>
          </w:p>
        </w:tc>
        <w:tc>
          <w:tcPr>
            <w:tcW w:w="140" w:type="dxa"/>
            <w:vAlign w:val="bottom"/>
          </w:tcPr>
          <w:p>
            <w:pPr>
              <w:spacing w:after="0"/>
              <w:rPr>
                <w:sz w:val="19"/>
                <w:szCs w:val="19"/>
                <w:color w:val="auto"/>
              </w:rPr>
            </w:pPr>
          </w:p>
        </w:tc>
        <w:tc>
          <w:tcPr>
            <w:tcW w:w="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85,813</w:t>
            </w:r>
          </w:p>
        </w:tc>
      </w:tr>
      <w:tr>
        <w:trPr>
          <w:trHeight w:val="22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10,273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28,809</w:t>
            </w:r>
          </w:p>
        </w:tc>
      </w:t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China)</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12,663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32,287</w:t>
            </w:r>
          </w:p>
        </w:tc>
      </w:tr>
      <w:tr>
        <w:trPr>
          <w:trHeight w:val="22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21,112</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84,553</w:t>
            </w:r>
          </w:p>
        </w:tc>
      </w:t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7,725</w:t>
            </w:r>
          </w:p>
        </w:tc>
      </w:tr>
      <w:tr>
        <w:trPr>
          <w:trHeight w:val="22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Russia &amp; the CIS</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2,962</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10,216</w:t>
            </w:r>
          </w:p>
        </w:tc>
      </w:t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6,485</w:t>
            </w:r>
          </w:p>
        </w:tc>
      </w:tr>
      <w:tr>
        <w:trPr>
          <w:trHeight w:val="22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3,417</w:t>
            </w:r>
          </w:p>
        </w:tc>
        <w:tc>
          <w:tcPr>
            <w:tcW w:w="1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15,497</w:t>
            </w:r>
          </w:p>
        </w:tc>
      </w:tr>
      <w:tr>
        <w:trPr>
          <w:trHeight w:val="22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37,256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81,013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271,385</w:t>
            </w:r>
          </w:p>
        </w:tc>
      </w:tr>
      <w:tr>
        <w:trPr>
          <w:trHeight w:val="20"/>
        </w:trPr>
        <w:tc>
          <w:tcPr>
            <w:tcW w:w="3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No single country in the Rest of the World, Western Europe, Latin America and Asia (excluding Greater China) comprises more than 10% of the Company’s total revenue in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39" w:name="page40"/>
    <w:bookmarkEnd w:id="39"/>
    <w:p>
      <w:pPr>
        <w:ind w:left="320" w:hanging="313"/>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Pension and Postretirement Benefits</w:t>
      </w:r>
    </w:p>
    <w:p>
      <w:pPr>
        <w:spacing w:after="0" w:line="193" w:lineRule="exact"/>
        <w:rPr>
          <w:rFonts w:ascii="Times New Roman" w:cs="Times New Roman" w:eastAsia="Times New Roman" w:hAnsi="Times New Roman"/>
          <w:sz w:val="18"/>
          <w:szCs w:val="18"/>
          <w:b w:val="1"/>
          <w:bCs w:val="1"/>
          <w:color w:val="auto"/>
        </w:rPr>
      </w:pPr>
    </w:p>
    <w:p>
      <w:pPr>
        <w:ind w:left="600" w:hanging="379"/>
        <w:spacing w:after="0"/>
        <w:tabs>
          <w:tab w:leader="none" w:pos="600" w:val="left"/>
        </w:tabs>
        <w:numPr>
          <w:ilvl w:val="1"/>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Defined Benefit Plan</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has an unfunded defined benefit supplemental executive retirement plan (the “SERP”) covering Richard L. Gelfond, its CEO. The accounting for the SERP assumes that Mr. Gelfond will receive a lump sum payment of $20.3 million six months after retirement at the end of the current term of his employment agreement (December 31, 2022), although Mr. Gelfond has not informed the Company that he intends to retire at that time.</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at September 30, 2020 and December 31, 2019, the Company’s projected benefit obligation and unfunded status related to the SERP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5560" w:type="dxa"/>
            <w:vAlign w:val="bottom"/>
            <w:tcBorders>
              <w:bottom w:val="single" w:sz="8" w:color="CFF0FC"/>
            </w:tcBorders>
          </w:tcPr>
          <w:p>
            <w:pPr>
              <w:spacing w:after="0"/>
              <w:rPr>
                <w:sz w:val="18"/>
                <w:szCs w:val="18"/>
                <w:color w:val="auto"/>
              </w:rPr>
            </w:pPr>
          </w:p>
        </w:tc>
        <w:tc>
          <w:tcPr>
            <w:tcW w:w="2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7"/>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beginning of period</w:t>
            </w:r>
          </w:p>
        </w:tc>
        <w:tc>
          <w:tcPr>
            <w:tcW w:w="24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18,840</w:t>
            </w:r>
          </w:p>
        </w:tc>
        <w:tc>
          <w:tcPr>
            <w:tcW w:w="14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17,977</w:t>
            </w:r>
          </w:p>
        </w:tc>
      </w:tr>
      <w:tr>
        <w:trPr>
          <w:trHeight w:val="227"/>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Prior Service cost</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456</w:t>
            </w:r>
          </w:p>
        </w:tc>
      </w:tr>
      <w:tr>
        <w:trPr>
          <w:trHeight w:val="227"/>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564</w:t>
            </w:r>
          </w:p>
        </w:tc>
      </w:tr>
      <w:tr>
        <w:trPr>
          <w:trHeight w:val="227"/>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Actuarial gain</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end of period and unfunded status</w:t>
            </w:r>
          </w:p>
        </w:tc>
        <w:tc>
          <w:tcPr>
            <w:tcW w:w="2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19,124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18,840</w:t>
            </w:r>
          </w:p>
        </w:tc>
      </w:tr>
      <w:tr>
        <w:trPr>
          <w:trHeight w:val="20"/>
        </w:trPr>
        <w:tc>
          <w:tcPr>
            <w:tcW w:w="5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accumulated benefit obligation for the SERP was $19.1 million at September 30, 2020 (December 31, 2019 —$18.8 million). For the three and nine months ended September 30, 2020, the Company recorded interest costs of $0.1 million and $0.3 million, respectively, (2019 — $0.1 million and $0.4 million, respectively) related to the SERP. The Company expects to recognize additional interest costs of $0.1 million related to the SERP during the remainder of 2020. No contributions are expected to be made for the SERP during the remainder of 2020.</w:t>
      </w:r>
    </w:p>
    <w:p>
      <w:pPr>
        <w:spacing w:after="0" w:line="138"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Defined Contribution Pension Plan</w:t>
      </w:r>
    </w:p>
    <w:p>
      <w:pPr>
        <w:spacing w:after="0" w:line="18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nine months ended September 30, 2020, the Company contributed and recorded expense of $0.3 million and $0.8 million, respectively, (2019 — $0.3 million and $0.9 million, respectively) to its Canadian defined contribution plan and $0.1 million and $0.5 million, respectively, (2019 — $0.1 million and $0.5 million, respectively) to its defined contribution employee plan under Section 401(k) of the U.S. Internal Revenue Code.</w:t>
      </w:r>
    </w:p>
    <w:p>
      <w:pPr>
        <w:spacing w:after="0" w:line="152"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Postretirement Benefits – Executives</w:t>
      </w:r>
    </w:p>
    <w:p>
      <w:pPr>
        <w:spacing w:after="0" w:line="18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Chairman of the Company’s Board of Directors. The plan provides that the Company will maintain health benefits for Messrs. Gelfond and Wechsler until they become eligible for Medicare and, thereafter, the Company will provide Medicare supplemental coverage as selected by Messrs. Gelfond and Wechsler. As at September 30, 2020, the Company’s postretirement benefits obligation under this plan is $0.6 million (December 31, 2019 — $0.7 million). For the three and nine months ended September 30, 2020, the Company has recorded expense of less than $0.1 million and less than $0.1 million, respectively (2019 — less than $0.1 million and less than $0.1 million, respectively) related to this plan.</w:t>
      </w:r>
    </w:p>
    <w:p>
      <w:pPr>
        <w:spacing w:after="0" w:line="143"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Postretirement Benefits – Canadian Employees</w:t>
      </w:r>
    </w:p>
    <w:p>
      <w:pPr>
        <w:spacing w:after="0" w:line="184"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at September 30, 2020, the Company’s postretirement benefits obligation under this plan is $1.5 million (December 31, 2019 — $1.6 million). For the three and nine months ended September 30, 2020, the Company has recorded expense of less than $0.1 million and $0.1 million, respectively (2019 — less than $0.1 million and less than $0.1 million, respectively) related to this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0" w:name="page41"/>
    <w:bookmarkEnd w:id="40"/>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Deferred Compensation Benefit Plan</w:t>
      </w:r>
    </w:p>
    <w:p>
      <w:pPr>
        <w:spacing w:after="0" w:line="184"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at December 31, 2018 and the accelerated costs were recognized and reflected in Executive Transition Costs on the Consolidated Statement of Operations.</w:t>
      </w:r>
    </w:p>
    <w:p>
      <w:pPr>
        <w:spacing w:after="0" w:line="156"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As at September 30, 2020, the benefit obligation related to the Retirement Plan was $3.6 million (December 31, 2019 — $3.6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at September 30, 2020, fair value of the COLI asset was $3.1 million (December 31, 2019 — $3.2 million). Gains and losses resulting from changes in the cash surrender value of the COLI asset are recognized in the Condensed Consolidated Statement of Operations within Gain (Loss) In Fair Value of Investments.</w:t>
      </w:r>
    </w:p>
    <w:p>
      <w:pPr>
        <w:spacing w:after="0" w:line="138"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93" w:lineRule="exact"/>
        <w:rPr>
          <w:rFonts w:ascii="Times New Roman" w:cs="Times New Roman" w:eastAsia="Times New Roman" w:hAnsi="Times New Roman"/>
          <w:sz w:val="18"/>
          <w:szCs w:val="18"/>
          <w:b w:val="1"/>
          <w:bCs w:val="1"/>
          <w:color w:val="auto"/>
        </w:rPr>
      </w:pPr>
    </w:p>
    <w:p>
      <w:pPr>
        <w:ind w:left="600" w:hanging="379"/>
        <w:spacing w:after="0"/>
        <w:tabs>
          <w:tab w:leader="none" w:pos="600" w:val="left"/>
        </w:tabs>
        <w:numPr>
          <w:ilvl w:val="1"/>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4" w:lineRule="exact"/>
        <w:rPr>
          <w:sz w:val="20"/>
          <w:szCs w:val="20"/>
          <w:color w:val="auto"/>
        </w:rPr>
      </w:pPr>
    </w:p>
    <w:p>
      <w:pPr>
        <w:ind w:left="220" w:right="820" w:firstLine="11"/>
        <w:spacing w:after="0" w:line="449" w:lineRule="auto"/>
        <w:rPr>
          <w:sz w:val="20"/>
          <w:szCs w:val="20"/>
          <w:color w:val="auto"/>
        </w:rPr>
      </w:pPr>
      <w:r>
        <w:rPr>
          <w:rFonts w:ascii="Times New Roman" w:cs="Times New Roman" w:eastAsia="Times New Roman" w:hAnsi="Times New Roman"/>
          <w:sz w:val="18"/>
          <w:szCs w:val="18"/>
          <w:color w:val="auto"/>
        </w:rPr>
        <w:t xml:space="preserve">The Company maintains cash with various major financial institutions. The Company’s cash is invested with highly rated financial institutions. </w:t>
      </w:r>
      <w:r>
        <w:rPr>
          <w:rFonts w:ascii="Times New Roman" w:cs="Times New Roman" w:eastAsia="Times New Roman" w:hAnsi="Times New Roman"/>
          <w:sz w:val="18"/>
          <w:szCs w:val="18"/>
          <w:b w:val="1"/>
          <w:bCs w:val="1"/>
          <w:i w:val="1"/>
          <w:iCs w:val="1"/>
          <w:color w:val="auto"/>
        </w:rPr>
        <w:t>(b) Fair Value Measurements</w:t>
      </w: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As at September 30, 2020</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As at December 31,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108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top w:val="single" w:sz="8" w:color="CFF0FC"/>
            </w:tcBorders>
            <w:gridSpan w:val="2"/>
            <w:shd w:val="clear" w:color="auto" w:fill="CFF0FC"/>
          </w:tcPr>
          <w:p>
            <w:pPr>
              <w:spacing w:after="0" w:line="181" w:lineRule="exact"/>
              <w:rPr>
                <w:sz w:val="20"/>
                <w:szCs w:val="20"/>
                <w:color w:val="auto"/>
              </w:rPr>
            </w:pPr>
            <w:r>
              <w:rPr>
                <w:rFonts w:ascii="Times New Roman" w:cs="Times New Roman" w:eastAsia="Times New Roman" w:hAnsi="Times New Roman"/>
                <w:sz w:val="18"/>
                <w:szCs w:val="18"/>
                <w:color w:val="auto"/>
              </w:rPr>
              <w:t>Level 1</w:t>
            </w:r>
          </w:p>
        </w:tc>
        <w:tc>
          <w:tcPr>
            <w:tcW w:w="8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15"/>
                <w:szCs w:val="15"/>
                <w:color w:val="auto"/>
              </w:rPr>
              <w:t>(1)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305,197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305,197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109,484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109,484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14,803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14,803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15,685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8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rPr>
              <w:t>Level 2</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15"/>
                <w:szCs w:val="15"/>
                <w:color w:val="auto"/>
              </w:rPr>
              <w:t>(2)</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109,645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110,443</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112,432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111,441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15"/>
                <w:szCs w:val="15"/>
                <w:color w:val="auto"/>
              </w:rPr>
              <w:t>(2)</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 receivable</w:t>
            </w:r>
            <w:r>
              <w:rPr>
                <w:rFonts w:ascii="Times New Roman" w:cs="Times New Roman" w:eastAsia="Times New Roman" w:hAnsi="Times New Roman"/>
                <w:sz w:val="15"/>
                <w:szCs w:val="15"/>
                <w:color w:val="auto"/>
              </w:rPr>
              <w:t>(2)</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15"/>
                <w:szCs w:val="15"/>
                <w:color w:val="auto"/>
              </w:rPr>
              <w:t>(4)</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3,125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 — non-designated forwards</w:t>
            </w:r>
            <w:r>
              <w:rPr>
                <w:rFonts w:ascii="Times New Roman" w:cs="Times New Roman" w:eastAsia="Times New Roman" w:hAnsi="Times New Roman"/>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indebtedness - under the Working Capital Facility</w:t>
            </w:r>
            <w:r>
              <w:rPr>
                <w:rFonts w:ascii="Times New Roman" w:cs="Times New Roman" w:eastAsia="Times New Roman" w:hAnsi="Times New Roman"/>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indebtedness - under the Credit Facility</w:t>
            </w:r>
            <w:r>
              <w:rPr>
                <w:rFonts w:ascii="Times New Roman" w:cs="Times New Roman" w:eastAsia="Times New Roman" w:hAnsi="Times New Roman"/>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949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49" w:lineRule="exact"/>
        <w:rPr>
          <w:sz w:val="20"/>
          <w:szCs w:val="20"/>
          <w:color w:val="auto"/>
        </w:rPr>
      </w:pPr>
    </w:p>
    <w:p>
      <w:pPr>
        <w:ind w:left="380" w:hanging="373"/>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cost, which approximates fair value.</w:t>
      </w:r>
    </w:p>
    <w:p>
      <w:pPr>
        <w:spacing w:after="0" w:line="25"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based on discounting future cash flows at currently available interest rates with comparable terms.</w:t>
      </w:r>
    </w:p>
    <w:p>
      <w:pPr>
        <w:spacing w:after="0" w:line="6"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determined using quoted prices in active markets.</w:t>
      </w:r>
    </w:p>
    <w:p>
      <w:pPr>
        <w:spacing w:after="0" w:line="6"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cash surrender value, which approximates fair value.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1" w:name="page42"/>
    <w:bookmarkEnd w:id="41"/>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the determination is based upon the significance of the unobservable inputs to the overall fair value measurement. There were no significant transfers in or out of the Company’s Level 3 assets during the three and nine months ended September 30, 2020 and 2019.</w:t>
      </w:r>
    </w:p>
    <w:p>
      <w:pPr>
        <w:spacing w:after="0" w:line="146"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Foreign Exchange Risk Management</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Chinese Renminbi and Japanese yen, respectively. Net cash flows are converted to and from U.S. dollars through the spot market. The Company also has cash receipts under leases denominated in Chinese Renminbi, Japanese yen, Canadian dollars and Euros which are converted to U.S. dollars through the spot market. In addition, because IMAX films generate box office in 82 different countries, unfavourable exchange rates between applicable local currencies and the U.S. dollar affect the Company’s reported gross box-office and revenues, further impacting the Company’s results of operations. The Company’s policy is to not use any financial instruments for trading or other speculative purposes.</w:t>
      </w:r>
    </w:p>
    <w:p>
      <w:pPr>
        <w:spacing w:after="0" w:line="145" w:lineRule="exact"/>
        <w:rPr>
          <w:sz w:val="20"/>
          <w:szCs w:val="20"/>
          <w:color w:val="auto"/>
        </w:rPr>
      </w:pPr>
    </w:p>
    <w:p>
      <w:pPr>
        <w:jc w:val="both"/>
        <w:ind w:firstLine="225"/>
        <w:spacing w:after="0" w:line="250"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manage the Company’s risks associated with the volatility of foreign currencies. Certain of these foreign currency forward contracts met the criteria required for hedge accounting under the Derivatives and Hedging Topic of the FASB ASC at inception, and continue to meet hedge effectiveness tests at September 30, 2020 (the “Foreign Currency Hedges”), with settlement dates throughout 2020 and 2021. Foreign currency derivatives are recognized and measured in the Condensed Consolidated Balance Sheets at fair value. Changes in the fair value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and inventories.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in the Condensed Consolidated Balance Sheets when the forecasted transaction occurs. Any ineffective portion is recognized immediately in the Condensed Consolidated Statement of Operations.</w:t>
      </w:r>
    </w:p>
    <w:p>
      <w:pPr>
        <w:spacing w:after="0" w:line="151"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On April 28, 2020, the FASB staff issued a question-and-answer document (Q&amp;A) to respond to frequently asked questions about the disruptive effects of COVID-19 on cash flow hedge accounting. FASB Accounting Standards Codification Topic 815, Derivative and Hedging, provides guidance on when to discontinue cash flow hedge accounting and when and how to reclassify amounts deferred in accumulated other comprehensive income (AOCI) to earnings. The Q&amp;A document addresses how the postponement or cancellation of forecasted transactions related to the effects of the COVID-19 pandemic should be considered when applying cash flow hedge accounting under Topic 815. The Company has considered the Q&amp;A document when applying cash hedge flow accounting under Topic 815. The guidance did not have a material impact to the Company’s Condensed Consolidated Financial Statements.</w:t>
      </w:r>
    </w:p>
    <w:p>
      <w:pPr>
        <w:spacing w:after="0" w:line="16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Notional value of foreign exchange contracts: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5700" w:type="dxa"/>
            <w:vAlign w:val="bottom"/>
            <w:tcBorders>
              <w:bottom w:val="single" w:sz="8" w:color="CFF0FC"/>
            </w:tcBorders>
          </w:tcPr>
          <w:p>
            <w:pPr>
              <w:spacing w:after="0"/>
              <w:rPr>
                <w:sz w:val="18"/>
                <w:szCs w:val="18"/>
                <w:color w:val="auto"/>
              </w:rPr>
            </w:pPr>
          </w:p>
        </w:tc>
        <w:tc>
          <w:tcPr>
            <w:tcW w:w="20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2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36,659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36,052</w:t>
            </w:r>
          </w:p>
        </w:tc>
      </w:tr>
      <w:tr>
        <w:trPr>
          <w:trHeight w:val="22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57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3,579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70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40,238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36,052</w:t>
            </w: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2" w:name="page43"/>
    <w:bookmarkEnd w:id="42"/>
    <w:p>
      <w:pPr>
        <w:ind w:left="24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4300" w:type="dxa"/>
            <w:vAlign w:val="bottom"/>
          </w:tcPr>
          <w:p>
            <w:pPr>
              <w:spacing w:after="0"/>
              <w:rPr>
                <w:sz w:val="18"/>
                <w:szCs w:val="18"/>
                <w:color w:val="auto"/>
              </w:rPr>
            </w:pPr>
          </w:p>
        </w:tc>
        <w:tc>
          <w:tcPr>
            <w:tcW w:w="35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0"/>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64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r>
      <w:tr>
        <w:trPr>
          <w:trHeight w:val="227"/>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5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Pr>
          <w:p>
            <w:pPr>
              <w:jc w:val="right"/>
              <w:ind w:right="106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6"/>
              </w:rPr>
              <w:t>465</w:t>
            </w:r>
          </w:p>
        </w:tc>
        <w:tc>
          <w:tcPr>
            <w:tcW w:w="4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602</w:t>
            </w:r>
          </w:p>
        </w:tc>
      </w:tr>
      <w:tr>
        <w:trPr>
          <w:trHeight w:val="227"/>
        </w:trPr>
        <w:tc>
          <w:tcPr>
            <w:tcW w:w="4300" w:type="dxa"/>
            <w:vAlign w:val="bottom"/>
            <w:shd w:val="clear" w:color="auto" w:fill="CFF0FC"/>
          </w:tcPr>
          <w:p>
            <w:pPr>
              <w:spacing w:after="0"/>
              <w:rPr>
                <w:sz w:val="19"/>
                <w:szCs w:val="19"/>
                <w:color w:val="auto"/>
              </w:rPr>
            </w:pPr>
          </w:p>
        </w:tc>
        <w:tc>
          <w:tcPr>
            <w:tcW w:w="350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7"/>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50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6"/>
              </w:rPr>
              <w:t>107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30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gridSpan w:val="3"/>
          </w:tcPr>
          <w:p>
            <w:pPr>
              <w:ind w:left="6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6"/>
              </w:rPr>
              <w:t>482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Derivatives in Foreign Currency Hedging relationships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Gain (Loss)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in OCI</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(Effective Portion)</w:t>
            </w:r>
          </w:p>
        </w:tc>
        <w:tc>
          <w:tcPr>
            <w:tcW w:w="980" w:type="dxa"/>
            <w:vAlign w:val="bottom"/>
            <w:gridSpan w:val="3"/>
            <w:shd w:val="clear" w:color="auto" w:fill="CFF0FC"/>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6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gridSpan w:val="3"/>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right"/>
              <w:ind w:right="66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2"/>
        </w:trPr>
        <w:tc>
          <w:tcPr>
            <w:tcW w:w="2620" w:type="dxa"/>
            <w:vAlign w:val="bottom"/>
            <w:tcBorders>
              <w:top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Foreign exchange contracts</w:t>
            </w:r>
          </w:p>
        </w:tc>
        <w:tc>
          <w:tcPr>
            <w:tcW w:w="2720" w:type="dxa"/>
            <w:vAlign w:val="bottom"/>
            <w:tcBorders>
              <w:top w:val="single" w:sz="8" w:color="CFF0FC"/>
            </w:tcBorders>
            <w:shd w:val="clear" w:color="auto" w:fill="CFF0FC"/>
          </w:tcPr>
          <w:p>
            <w:pPr>
              <w:ind w:left="40"/>
              <w:spacing w:after="0" w:line="202" w:lineRule="exact"/>
              <w:rPr>
                <w:sz w:val="20"/>
                <w:szCs w:val="20"/>
                <w:color w:val="auto"/>
              </w:rPr>
            </w:pPr>
            <w:r>
              <w:rPr>
                <w:rFonts w:ascii="Times New Roman" w:cs="Times New Roman" w:eastAsia="Times New Roman" w:hAnsi="Times New Roman"/>
                <w:sz w:val="18"/>
                <w:szCs w:val="18"/>
                <w:color w:val="auto"/>
              </w:rPr>
              <w:t>Derivative Gain (Loss) Recognized</w:t>
            </w: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20" w:type="dxa"/>
            <w:vAlign w:val="bottom"/>
            <w:shd w:val="clear" w:color="auto" w:fill="CFF0FC"/>
          </w:tcPr>
          <w:p>
            <w:pPr>
              <w:spacing w:after="0"/>
              <w:rPr>
                <w:sz w:val="20"/>
                <w:szCs w:val="20"/>
                <w:color w:val="auto"/>
              </w:rPr>
            </w:pPr>
          </w:p>
        </w:tc>
        <w:tc>
          <w:tcPr>
            <w:tcW w:w="2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 of OCI</w:t>
            </w:r>
          </w:p>
        </w:tc>
        <w:tc>
          <w:tcPr>
            <w:tcW w:w="980" w:type="dxa"/>
            <w:vAlign w:val="bottom"/>
            <w:gridSpan w:val="3"/>
          </w:tcPr>
          <w:p>
            <w:pPr>
              <w:jc w:val="right"/>
              <w:ind w:right="62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 Designated Derivatives in Foreign Currency relationships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0"/>
        </w:trPr>
        <w:tc>
          <w:tcPr>
            <w:tcW w:w="2280" w:type="dxa"/>
            <w:vAlign w:val="bottom"/>
            <w:tcBorders>
              <w:bottom w:val="single" w:sz="8" w:color="CFF0FC"/>
            </w:tcBorders>
          </w:tcPr>
          <w:p>
            <w:pPr>
              <w:spacing w:after="0"/>
              <w:rPr>
                <w:sz w:val="19"/>
                <w:szCs w:val="19"/>
                <w:color w:val="auto"/>
              </w:rPr>
            </w:pPr>
          </w:p>
        </w:tc>
        <w:tc>
          <w:tcPr>
            <w:tcW w:w="2880" w:type="dxa"/>
            <w:vAlign w:val="bottom"/>
            <w:tcBorders>
              <w:bottom w:val="single" w:sz="8" w:color="CFF0FC"/>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Location of Derivative Gain</w:t>
            </w:r>
          </w:p>
        </w:tc>
        <w:tc>
          <w:tcPr>
            <w:tcW w:w="3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Selling, general and</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2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administrative expenses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20" w:firstLine="225"/>
        <w:spacing w:after="0" w:line="277" w:lineRule="auto"/>
        <w:rPr>
          <w:sz w:val="20"/>
          <w:szCs w:val="20"/>
          <w:color w:val="auto"/>
        </w:rPr>
      </w:pPr>
      <w:r>
        <w:rPr>
          <w:rFonts w:ascii="Times New Roman" w:cs="Times New Roman" w:eastAsia="Times New Roman" w:hAnsi="Times New Roman"/>
          <w:sz w:val="18"/>
          <w:szCs w:val="18"/>
          <w:color w:val="auto"/>
        </w:rPr>
        <w:t>The Company's estimated net amount of the existing gains as at September 30, 2020 is $0.5 million, which is expected to be reclassified to earnings within the next twelve months.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3" w:name="page44"/>
    <w:bookmarkEnd w:id="43"/>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Investments in Equity Securities</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As at September 30, 2020, the Condensed Consolidated Balance Sheets includes $14.8 million (December 31, 2019 — $15.7 million) of investments in equity securities.</w:t>
      </w:r>
    </w:p>
    <w:p>
      <w:pPr>
        <w:spacing w:after="0" w:line="137"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18"/>
          <w:szCs w:val="18"/>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This investment is classified as an equity security, with a readily determinable market value through the Hong Kong Stock Exchange. The changes in fair value are recorded in Gain (Loss) in Fair Value of Investment in the Company’s Condensed Consolidated Statement of Operations. As at September 30, 2020, the value of the Company’s investment in Maoyan was $13.7 million (December 31, 2019 — $14.6 million). For the three and nine months ended September 30, 2020, the Company has recorded a net unrealized gain of $1.6 million and a net unrealized loss of $0.9 million, respectively (2019— unrealized losses of $0.5 million and $2.5 million, respectively).</w:t>
      </w:r>
    </w:p>
    <w:p>
      <w:pPr>
        <w:spacing w:after="0" w:line="146"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has an investment of $1.1 million (December 31, 2019 — $1.0 million) in the shares of an exchange traded fund. This investment is classified as an equity investment.</w:t>
      </w:r>
    </w:p>
    <w:p>
      <w:pPr>
        <w:spacing w:after="0" w:line="123"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As at September 30, 2020, the Company held investments in the preferred shares of enterprises which meet the criteria for classification as an equity security under FASB ASC 325, carried at historical cost, net of impairment charges. The carrying value of these equity security investments was $1.0 million at September 30, 2020 (December 31, 2019 — $1.0 million) and is recorded in Other Assets.</w:t>
      </w:r>
    </w:p>
    <w:p>
      <w:pPr>
        <w:spacing w:after="0" w:line="146" w:lineRule="exact"/>
        <w:rPr>
          <w:sz w:val="20"/>
          <w:szCs w:val="20"/>
          <w:color w:val="auto"/>
        </w:rPr>
      </w:pPr>
    </w:p>
    <w:p>
      <w:pPr>
        <w:ind w:left="320" w:hanging="313"/>
        <w:spacing w:after="0"/>
        <w:tabs>
          <w:tab w:leader="none" w:pos="3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180" w:lineRule="exact"/>
        <w:rPr>
          <w:rFonts w:ascii="Times New Roman" w:cs="Times New Roman" w:eastAsia="Times New Roman" w:hAnsi="Times New Roman"/>
          <w:sz w:val="18"/>
          <w:szCs w:val="18"/>
          <w:b w:val="1"/>
          <w:bCs w:val="1"/>
          <w:color w:val="auto"/>
        </w:rPr>
      </w:pPr>
    </w:p>
    <w:p>
      <w:pPr>
        <w:ind w:left="600" w:hanging="379"/>
        <w:spacing w:after="0"/>
        <w:tabs>
          <w:tab w:leader="none" w:pos="600" w:val="left"/>
        </w:tabs>
        <w:numPr>
          <w:ilvl w:val="1"/>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184"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 indirectly owns approximately 69.89% of IMAX China Holding, Inc. (“IMAX China”), whose shares trade on the Hong Kong Stock Exchange. IMAX China is a consolidated subsidiary of the Company. The balance of the non-controlling interest in IMAX China as at September 30, 2020 is $75.5 million. For the three months ended September 30, 2020, the net income attributable to the non-controlling interest in IMAX China is $2.2 million (2019 — $2.3 million). For the nine months ended September 30, 2020, the net loss attributable to the non-controlling interest in IMAX China is $10.3 million (2019 — net income of $9.3 million).</w:t>
      </w:r>
    </w:p>
    <w:p>
      <w:pPr>
        <w:spacing w:after="0" w:line="139"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Other Non-Controlling Interest</w:t>
      </w:r>
    </w:p>
    <w:p>
      <w:pPr>
        <w:spacing w:after="0" w:line="184"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at September 30, 2020,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the movement of the non-controlling interest in temporary equity, in the Company’s subsidiary for the nine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at December 31, 2019</w:t>
            </w:r>
          </w:p>
        </w:tc>
        <w:tc>
          <w:tcPr>
            <w:tcW w:w="74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5,908</w:t>
            </w:r>
          </w:p>
        </w:tc>
      </w:tr>
      <w:tr>
        <w:trPr>
          <w:trHeight w:val="227"/>
        </w:trPr>
        <w:tc>
          <w:tcPr>
            <w:tcW w:w="9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r>
      <w:tr>
        <w:trPr>
          <w:trHeight w:val="22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at September 30, 2020</w:t>
            </w:r>
          </w:p>
        </w:tc>
        <w:tc>
          <w:tcPr>
            <w:tcW w:w="740" w:type="dxa"/>
            <w:vAlign w:val="bottom"/>
            <w:tcBorders>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776</w:t>
            </w: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18. Exit costs, restructuring charges and associated impairments</w:t>
      </w:r>
    </w:p>
    <w:p>
      <w:pPr>
        <w:spacing w:after="0" w:line="184"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In 2018, the Company performed a strategic review of its business and decided to exit from certain non-core businesses or initiatives, which included closing its VR locations. In addition, as part of management’s efforts to decrease costs, the Company reduced certain functions and realigned resources. During the nine months ended September 30, 2019, the Company recognized charges of $0.9 million associated with these actions in its Condensed Consolidated Statements of Operations, consisting of restructuring charges and costs to exit leases. Restructuring charges relate to the Company’s corporate unit and are comprised of employee severance costs including benefits and share-based compensation, costs of consolidating facilities and contract termination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October 2020, the Company furloughed approximately 150 employees for at least two months beginning on October 26, 2020. This action will enable the Company to temporarily reduce expenses, conserve resources and adjust its operations during the continuing business slowdown associated with the COVID-19 global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jc w:val="both"/>
        <w:ind w:right="20" w:firstLine="225"/>
        <w:spacing w:after="0" w:line="262"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(or "MD&amp;A") for IMAX Corporation and its consolidated subsidiaries (“IMAX” or the “Company”) for the three and nine months ended September 30, 2020 and 2019. MD&amp;A should be read in conjunction with Note 14, "Segment Reporting" in the accompanying Condensed Consolidated Financial Statements in Item 1.</w:t>
      </w:r>
    </w:p>
    <w:p>
      <w:pPr>
        <w:spacing w:after="0" w:line="137"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indirectly owns approximately 69.89% of IMAX China Holding, Inc. (“IMAX China”), whose shares trade on the Hong Kong Stock Exchange. IMAX China is a consolidated subsidiary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198" w:lineRule="exact"/>
        <w:rPr>
          <w:sz w:val="20"/>
          <w:szCs w:val="20"/>
          <w:color w:val="auto"/>
        </w:rPr>
      </w:pPr>
    </w:p>
    <w:p>
      <w:pPr>
        <w:jc w:val="both"/>
        <w:ind w:firstLine="224"/>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films; the signing of IMAX Theater System agreements; conditions, changes and developments in the commercial exhibition industry; risks related to currency fluctuations; the potential impact of increased competition in the markets within which the Company operates; competitive actions by other companies; the failure to respond to change and advancements in digital technology; risks relating to recent consolidation among commercial exhibitors and movie studios; risks related to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general economic, market or business conditions; the failure to convert IMAX Theater System backlog into revenue; changes in laws or regulations; the failure to fully realize the projected cost savings and benefits from any of the Company’s restructuring initiatives; the impact of COVID-19 on the Company’s business, financial condition, and results of operations and on the businesses of the Company’s customers and exhibitor partners;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Company undertakes no obligation to update publicly or otherwise revise any forward-looking information, whether as a result of new information, future events or otherwise.</w:t>
      </w:r>
    </w:p>
    <w:p>
      <w:pPr>
        <w:spacing w:after="0" w:line="15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43"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filings and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3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Dome,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3D,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3D Dome, Experience It In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IMAX nXos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Films to the Fullest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are trademarks and trade names of the Company or its subsidiaries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otherwise protected under laws of various jurisdictions.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8"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brand has become known globally. Top filmmakers and movie studios utilize the cutting-edge visual and sound technology of IMAX to connect with audiences in innovative ways, and, as a result, IMAX’s network is among the most important and successful distribution platforms for major films and other events around the world.</w:t>
      </w:r>
    </w:p>
    <w:p>
      <w:pPr>
        <w:spacing w:after="0" w:line="147"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leverages its innovative technology and engineering in all aspects of its business, which principally consists of the digital remastering of films and other presentations into the IMAX format (“IMAX DMR”) and the sale or lease of premium IMAX theater systems (“IMAX Theater Systems”).</w:t>
      </w:r>
    </w:p>
    <w:p>
      <w:pPr>
        <w:spacing w:after="0" w:line="123"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IMAX Theater Systems are based on proprietary and patented image, audio and other technology developed over the course of the Company’s 52-year history. The customers who purchase or lease IMAX Theater Systems are theater exhibitors that operate commercial theaters (particularly multiplexes), museums, science centers, or destination entertainment sites. The Company generally does not own the theaters in the IMAX network, but licenses the use of its trademarks along with the sale or lease of the IMAX Theater System.</w:t>
      </w:r>
    </w:p>
    <w:p>
      <w:pPr>
        <w:spacing w:after="0" w:line="155"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As at September 30, 2020, there were 1,632 IMAX Theater Systems operating in 82 countries and territories, including 1,542 commercial multiplexes, 13 commercial destinations and 77 institutional locations. This compares to 1,568 IMAX Theater Systems operating in 81 countries and territories as of September 30, 2019 including 1,473 commercial multiplexes, 14 commercial destinations and 81 institutional locations. (See the table below under “IMAX Network and Backlog” for additional information on the composition of the IMAX network.) In North America, IMAX accounts for approximately 450 screens out of a total of roughly 42,000 screens, and in 2019, about 85% of IMAX’s box office was generated in the top 20% of North American complexes. In contrast, in 2019, only 5% of IMAX’s North American box office was generated from the bottom 65% of multiplexes as ranked by revenue.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Theater System provides the Company’s exhibitor customers with a combination of the following benefits:</w:t>
      </w:r>
    </w:p>
    <w:p>
      <w:pPr>
        <w:spacing w:after="0" w:line="180" w:lineRule="exact"/>
        <w:rPr>
          <w:sz w:val="20"/>
          <w:szCs w:val="20"/>
          <w:color w:val="auto"/>
        </w:rPr>
      </w:pPr>
    </w:p>
    <w:p>
      <w:pPr>
        <w:ind w:left="600" w:right="20" w:hanging="379"/>
        <w:spacing w:after="0" w:line="277"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undergone the IMAX DMR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conversion process, which results in higher image and sound fidelity than conventional cinema experiences;</w:t>
      </w:r>
    </w:p>
    <w:p>
      <w:pPr>
        <w:spacing w:after="0" w:line="123" w:lineRule="exact"/>
        <w:rPr>
          <w:rFonts w:ascii="Times New Roman" w:cs="Times New Roman" w:eastAsia="Times New Roman" w:hAnsi="Times New Roman"/>
          <w:sz w:val="18"/>
          <w:szCs w:val="18"/>
          <w:color w:val="auto"/>
        </w:rPr>
      </w:pPr>
    </w:p>
    <w:p>
      <w:pPr>
        <w:ind w:left="600" w:hanging="379"/>
        <w:spacing w:after="0" w:line="277"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23" w:lineRule="exact"/>
        <w:rPr>
          <w:rFonts w:ascii="Times New Roman" w:cs="Times New Roman" w:eastAsia="Times New Roman" w:hAnsi="Times New Roman"/>
          <w:sz w:val="18"/>
          <w:szCs w:val="18"/>
          <w:color w:val="auto"/>
        </w:rPr>
      </w:pPr>
    </w:p>
    <w:p>
      <w:pPr>
        <w:ind w:left="600" w:hanging="379"/>
        <w:spacing w:after="0" w:line="277"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23" w:lineRule="exact"/>
        <w:rPr>
          <w:rFonts w:ascii="Times New Roman" w:cs="Times New Roman" w:eastAsia="Times New Roman" w:hAnsi="Times New Roman"/>
          <w:sz w:val="18"/>
          <w:szCs w:val="18"/>
          <w:color w:val="auto"/>
        </w:rPr>
      </w:pPr>
    </w:p>
    <w:p>
      <w:pPr>
        <w:ind w:left="600" w:hanging="379"/>
        <w:spacing w:after="0" w:line="277"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IMAX theater;</w:t>
      </w:r>
    </w:p>
    <w:p>
      <w:pPr>
        <w:spacing w:after="0" w:line="123" w:lineRule="exact"/>
        <w:rPr>
          <w:rFonts w:ascii="Times New Roman" w:cs="Times New Roman" w:eastAsia="Times New Roman" w:hAnsi="Times New Roman"/>
          <w:sz w:val="18"/>
          <w:szCs w:val="18"/>
          <w:color w:val="auto"/>
        </w:rPr>
      </w:pPr>
    </w:p>
    <w:p>
      <w:pPr>
        <w:ind w:left="600" w:hanging="37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and</w:t>
      </w:r>
    </w:p>
    <w:p>
      <w:pPr>
        <w:spacing w:after="0" w:line="180" w:lineRule="exact"/>
        <w:rPr>
          <w:rFonts w:ascii="Times New Roman" w:cs="Times New Roman" w:eastAsia="Times New Roman" w:hAnsi="Times New Roman"/>
          <w:sz w:val="18"/>
          <w:szCs w:val="18"/>
          <w:color w:val="auto"/>
        </w:rPr>
      </w:pPr>
    </w:p>
    <w:p>
      <w:pPr>
        <w:ind w:left="600" w:hanging="37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w:t>
      </w:r>
    </w:p>
    <w:p>
      <w:pPr>
        <w:spacing w:after="0" w:line="180"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addition, certain movies shown in IMAX theaters are filmed using proprietary IMAX film and IMAX certified digital cameras, which offer filmmakers customized guidance and a workflow process to provide further enhanced and differentiated image quality and a film aspect ratio that delivers up to 26% more image onto a movie screen.</w:t>
      </w:r>
    </w:p>
    <w:p>
      <w:pPr>
        <w:spacing w:after="0" w:line="15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7" w:name="page48"/>
    <w:bookmarkEnd w:id="47"/>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w:t>
      </w:r>
    </w:p>
    <w:p>
      <w:pPr>
        <w:spacing w:after="0" w:line="158"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As one of the world’s leaders in entertainment technology, the Company strives to remain at the forefront of advancements in cinema technology. In 2018, the Company introduced IMAX with Laser, a laser projection system designed for IMAX theaters in commercial multiplexes, which represents a further evolution of IMAX’s proprietary technology. The Company believes that IMAX with Laser delivers increased resolution, sharper and brighter images, deeper contrast as well as the widest range of colors available to filmmakers today. The Company further believes that IMAX with Laser is helping facilitate the next major lease renewal and upgrade cycle for the global commercial IMAX network.</w:t>
      </w:r>
    </w:p>
    <w:p>
      <w:pPr>
        <w:spacing w:after="0" w:line="143"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To date, the Company has signed IMAX with Laser agreements with leading, global exhibitors such as AMC Entertainment Holdings, Inc. (“AMC”), Cineworld Group PLC (“Cineworld”), CGV Holdings Limited (“CGV”) and Les Cinémas Pathé Gaumont (“Pathé”) (among others) which includes new theaters, upgrades to existing IMAX theaters, and upgrades to existing backlog arrangements. As at September 30, 2020, 150 IMAX with Laser systems have been installed, and the Company’s backlog included 155 new IMAX with Laser systems and 92 upgrades to IMAX with Laser systems.</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84" w:lineRule="exact"/>
        <w:rPr>
          <w:sz w:val="20"/>
          <w:szCs w:val="20"/>
          <w:color w:val="auto"/>
        </w:rPr>
      </w:pPr>
    </w:p>
    <w:p>
      <w:pPr>
        <w:jc w:val="both"/>
        <w:ind w:firstLine="225"/>
        <w:spacing w:after="0" w:line="249" w:lineRule="auto"/>
        <w:rPr>
          <w:sz w:val="20"/>
          <w:szCs w:val="20"/>
          <w:color w:val="auto"/>
        </w:rPr>
      </w:pPr>
      <w:r>
        <w:rPr>
          <w:rFonts w:ascii="Times New Roman" w:cs="Times New Roman" w:eastAsia="Times New Roman" w:hAnsi="Times New Roman"/>
          <w:sz w:val="18"/>
          <w:szCs w:val="18"/>
          <w:color w:val="auto"/>
        </w:rPr>
        <w:t>In late-January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Hollywood and Chinese movie studios postponed the theatrical release of multiple films, including many scheduled to be shown in IMAX theaters, while certain other films have been released directly to streaming platforms. More recently, stay-at-home orders have been lifted in many countries and movie theaters throughout the IMAX network gradually reopened in the third quarter of 2020 with reduced capacities, physical distancing requirements, and other safety measures. During the third quarter of 2020, 85% of the theaters in the IMAX commercial multiplex network spanning 57 countries reopened, including 73% of the theaters in Domestic (i.e., United States and Canada) locations, 97% of the theaters in Greater China and 78% of the theaters in Rest of World markets. In many parts of Asia, audiences have returned to theaters, particularly IMAX theaters, in numbers consistent with pre-pandemic attendance. The Company believes this indicates that moviegoers are eager to return to cinemas where and when theaters are open and they feel safe. However, ticket sales have been significantly lower than normal levels in theaters outside of Asia and, in recent weeks, Hollywood movie studios further delayed a number of films due to be released in the fourth quarter of 2020. As a result, certain theater chains have recently closed again or have reduced their operating hours. In addition, theaters in major markets such as New York City and Los Angeles continue to remain temporarily closed.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48" w:name="page49"/>
    <w:bookmarkEnd w:id="48"/>
    <w:p>
      <w:pPr>
        <w:jc w:val="both"/>
        <w:ind w:firstLine="225"/>
        <w:spacing w:after="0" w:line="266" w:lineRule="auto"/>
        <w:rPr>
          <w:sz w:val="20"/>
          <w:szCs w:val="20"/>
          <w:color w:val="auto"/>
        </w:rPr>
      </w:pPr>
      <w:r>
        <w:rPr>
          <w:rFonts w:ascii="Times New Roman" w:cs="Times New Roman" w:eastAsia="Times New Roman" w:hAnsi="Times New Roman"/>
          <w:sz w:val="17"/>
          <w:szCs w:val="17"/>
          <w:color w:val="auto"/>
        </w:rPr>
        <w:t>The repercussions of the COVID-19 global pandemic have resulted in a significant decrease in the Company’s revenues, earnings and operating cash flows during the three and nine months ended September 30, 2020 as gross box office (“GBO”) results declined significantly, the installations of certain theater systems were delayed, and maintenance services were generally suspended for theaters that were closed. During time periods in which there is a lack of new films released by movie studios and a significant number of theaters in the IMAX network are closed, the Company has and will continue to experience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is likely to continue to experience delays in collecting payments due under existing theater sale or lease arrangements from its exhibitor partners who are now facing financial difficulties as a result of the theater closures. In response, the Company has provided temporary relief to exhibitor partners by waiving maintenance fees during periods when theaters are closed and, in certain situations, by providing extended payment terms on annual minimum payment obligations in exchange for a corresponding extension of the term of the underlying sale or lease arrangement. For the three and nine months ended September 30, 2020, the Company increased its provision for current expected credit losses by $3.9 million and $15.6 million, respectively, principally reflecting a reduction in the credit quality of its theater related accounts receivable, financing receivables and variable consideration receivables.</w:t>
      </w:r>
    </w:p>
    <w:p>
      <w:pPr>
        <w:spacing w:after="0" w:line="149"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 xml:space="preserve">The Company may </w:t>
      </w:r>
      <w:r>
        <w:rPr>
          <w:rFonts w:ascii="Times New Roman" w:cs="Times New Roman" w:eastAsia="Times New Roman" w:hAnsi="Times New Roman"/>
          <w:sz w:val="18"/>
          <w:szCs w:val="18"/>
          <w:color w:val="212529"/>
        </w:rPr>
        <w:t>continue to be significantly impacted by the COVID-19 global pandemic even after a significant portion or all theaters are reopened.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such time as consumer behavior normalizes and consumer spending recovers.</w:t>
      </w:r>
    </w:p>
    <w:p>
      <w:pPr>
        <w:spacing w:after="0" w:line="142"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7"/>
          <w:szCs w:val="17"/>
          <w:color w:val="auto"/>
        </w:rPr>
        <w:t>In response to uncertainties associated with the COVID-19 global pandemic, the Company has taken and is continuing to take significant steps to preserve cash by eliminating non-essential costs, placing certain employees on a temporary furlough for at least the remainder of the current fiscal year, reducing the working hours of other employees and deferring all non-essential capital expenditures to minimum levels. The Company has also implemented an active cash management process, which, among other things, requires senior management approval of all outgoing payments. In addition, in the first quarter of 2020, the Company drew down the $280.0 million in remaining available borrowing capacity under its credit facility, which was then amended in June 2020 to, among other things, suspend the senior secured net leverage ratio financial covenant in the underlying credit agreement through the first quarter of 2021 and substitute quarterly EBITDA from the third and fourth quarters of 2019 in lieu of the EBITDA for the corresponding quarters of 2020 to meet the original senior secured net leverage ratio financial covenant (see Note 7 of Notes to Condensed Consolidated Financial Statements). Furthermore, the Company has applied for wage subsidies, tax credits and other financial support under the enacted COVID-19 relief legislation in the countries in which it operates. During 2020, the Company recognized $4.5 million under the Canada Emergency Wage Subsidy (“CEWS”) program and $0.7 million under the U.S. CARES Act, as reductions to Selling, General and Administrative Expenses ($4.5 million), Costs and Expenses Applicable to Revenues ($0.6 million) and Research and Development ($0.1 million) in the Condensed Consolidated Statements of Operations. The CEWS program has been extended to June 2021. The Company will continue to review and apply for additional subsidies and credits for the remaining terms of these programs, where applicable.</w:t>
      </w:r>
    </w:p>
    <w:p>
      <w:pPr>
        <w:spacing w:after="0" w:line="136" w:lineRule="exact"/>
        <w:rPr>
          <w:sz w:val="20"/>
          <w:szCs w:val="20"/>
          <w:color w:val="auto"/>
        </w:rPr>
      </w:pPr>
    </w:p>
    <w:p>
      <w:pPr>
        <w:jc w:val="both"/>
        <w:ind w:firstLine="225"/>
        <w:spacing w:after="0" w:line="268" w:lineRule="auto"/>
        <w:rPr>
          <w:sz w:val="20"/>
          <w:szCs w:val="20"/>
          <w:color w:val="auto"/>
        </w:rPr>
      </w:pPr>
      <w:r>
        <w:rPr>
          <w:rFonts w:ascii="Times New Roman" w:cs="Times New Roman" w:eastAsia="Times New Roman" w:hAnsi="Times New Roman"/>
          <w:sz w:val="17"/>
          <w:szCs w:val="17"/>
          <w:color w:val="auto"/>
        </w:rPr>
        <w:t>Consistent with the first and second quarters of 2020, the Company performed a quantitative goodwill impairment test considering the latest available information and determined that its goodwill was not impaired as of September 30, 2020. As of that date, the Company’s total Goodwill was $39.0 million, of which $19.0 million relates to the IMAX Systems reporting unit, $13.6 million relates to the Joint Revenue Sharing Arrangement reporting unit, and $6.4 million relates to the IMAX Maintenance reporting unit. The impairment test was performed on a reporting unit level by comparing each unit’s carrying value, including goodwill, to its fair value. The fair value of each reporting unit was assessed using a discounted cash flow model based on management’s estimated long-term projections, against which various sensitivity analyses were performed.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 (see Note 1 of Notes to Condensed Consolidated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9" w:name="page50"/>
    <w:bookmarkEnd w:id="49"/>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third quarter of 2020, the Company also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and determined that there was no impairment as of September 30, 2020. The cash flow estimates used in these tests are consistent with management’s estimated long-term projections, against which various sensitivity analyses were performed. These estimates are highly uncertain due to the COVID-19 global pandemic; therefore, management’s estimated cash flows factor in a number of underlying variables and ranges of possible cash flow scenarios. Actual results may materially differ from management’s estimates, especially due to the uncertainties associated with the COVID-19 pandemic (see Note 1 of Notes to Condensed Consolidated Financial Statements).</w:t>
      </w:r>
    </w:p>
    <w:p>
      <w:pPr>
        <w:spacing w:after="0" w:line="162"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third quarter of 2020, the Company also assessed the recoverability of its deferred tax assets due to losses recognized in the period associated with the COVID-19 global pandemic. The recoverability of these deferred tax assets is subject to certain levels of future taxable income and the uncertainties associated with accounting estimates. In the third quarter of 2020, the Company recorded a $23.7 million valuation allowance to reduce the value of deferred tax assets in certain jurisdictions where the Company incurs corporate leadership and administrative costs and where management could not reliably estimate future taxable income in those jurisdictions due to uncertainties associated with the COVID-19 global pandemic. At the point in time when the uncertainties of COVID-19 resolve and the Company is able to reliably forecast sufficient future taxable income in the impacted jurisdictions, the valuation allowance may be reversed. Despite this valuation allowance, the Company remains entitled to benefit from tax attributes which currently have a valuation allowance applied.</w:t>
      </w:r>
    </w:p>
    <w:p>
      <w:pPr>
        <w:spacing w:after="0" w:line="145"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If business conditions deteriorate further, or should they remain depressed for a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as of the beginning of its fourth fiscal quarter and whenever events or changes in circumstances indicate there may be a potential impairment. In addition, estimates related to future expected credit losses and the recoverability of deferred tax assets could also be further materially impacted by changes in management’s estimates (see Notes 1, 4 and 11 of Notes to Condensed Consolidated Financial Statements).</w:t>
      </w:r>
    </w:p>
    <w:p>
      <w:pPr>
        <w:spacing w:after="0" w:line="14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purposes of MD&amp;A the Company has organized its reportable segments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In the first quarter of 2020, the Company updated certain account names within Revenues and Costs and Expenses Applicable to Revenues in its Condensed Consolidated Statements of Operations to better describe the nature of its revenue-generating activities and related costs. For additional details regarding the Company’s sources of revenue, refer to its Form 10-K for the year ended December 31, 2019 (the “2019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p>
      <w:pPr>
        <w:spacing w:after="0" w:line="198"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IMAX Technology Network earns revenue based on contingent box office receipts and includes the IMAX DMR segment and contingent rent from the Joint Revenue Sharing Arrangement (“JRSA”) segment, as described in more detail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2"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 has developed IMAX DMR, a proprietary technology that digitally remasters Hollywood films into IMAX formats.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0" w:name="page51"/>
    <w:bookmarkEnd w:id="50"/>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IMAX DMR digitally enhances the image resolution of motion picture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56"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taking advantage of the unique dimensions of the IMAX screen by projecting the film in a larger aspect ratio that delivers up to 26% more image onto a movie screen. </w:t>
      </w:r>
      <w:r>
        <w:rPr>
          <w:rFonts w:ascii="Times New Roman" w:cs="Times New Roman" w:eastAsia="Times New Roman" w:hAnsi="Times New Roman"/>
          <w:sz w:val="18"/>
          <w:szCs w:val="18"/>
          <w:i w:val="1"/>
          <w:iCs w:val="1"/>
          <w:color w:val="auto"/>
        </w:rPr>
        <w:t>Avengers: Endgame</w:t>
      </w:r>
      <w:r>
        <w:rPr>
          <w:rFonts w:ascii="Times New Roman" w:cs="Times New Roman" w:eastAsia="Times New Roman" w:hAnsi="Times New Roman"/>
          <w:sz w:val="18"/>
          <w:szCs w:val="18"/>
          <w:color w:val="auto"/>
        </w:rPr>
        <w:t xml:space="preserve">, the highest-grossing film in history, released in April 2019, was shot entirely using IMAX cameras. In addition, in 2020, Universal Pictures’ </w:t>
      </w:r>
      <w:r>
        <w:rPr>
          <w:rFonts w:ascii="Times New Roman" w:cs="Times New Roman" w:eastAsia="Times New Roman" w:hAnsi="Times New Roman"/>
          <w:sz w:val="18"/>
          <w:szCs w:val="18"/>
          <w:i w:val="1"/>
          <w:iCs w:val="1"/>
          <w:color w:val="auto"/>
        </w:rPr>
        <w:t>1917</w:t>
      </w:r>
      <w:r>
        <w:rPr>
          <w:rFonts w:ascii="Times New Roman" w:cs="Times New Roman" w:eastAsia="Times New Roman" w:hAnsi="Times New Roman"/>
          <w:sz w:val="18"/>
          <w:szCs w:val="18"/>
          <w:color w:val="auto"/>
        </w:rPr>
        <w:t xml:space="preserve"> was released with select scenes specifically formatted for IMAX screens and Warner Bros. Pictures’ </w:t>
      </w:r>
      <w:r>
        <w:rPr>
          <w:rFonts w:ascii="Times New Roman" w:cs="Times New Roman" w:eastAsia="Times New Roman" w:hAnsi="Times New Roman"/>
          <w:sz w:val="18"/>
          <w:szCs w:val="18"/>
          <w:i w:val="1"/>
          <w:iCs w:val="1"/>
          <w:color w:val="auto"/>
        </w:rPr>
        <w:t>Tenet</w:t>
      </w:r>
      <w:r>
        <w:rPr>
          <w:rFonts w:ascii="Times New Roman" w:cs="Times New Roman" w:eastAsia="Times New Roman" w:hAnsi="Times New Roman"/>
          <w:sz w:val="18"/>
          <w:szCs w:val="18"/>
          <w:color w:val="auto"/>
        </w:rPr>
        <w:t>, released in the third quarter, was filmed with IMAX cameras.</w:t>
      </w:r>
    </w:p>
    <w:p>
      <w:pPr>
        <w:spacing w:after="0" w:line="14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 xml:space="preserve">The Company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2019, 18 local language IMAX DMR films were released to the IMAX network, including 14 in China and one in each of Japan, South Korea, India and Russia. The blockbuster </w:t>
      </w:r>
      <w:r>
        <w:rPr>
          <w:rFonts w:ascii="Times New Roman" w:cs="Times New Roman" w:eastAsia="Times New Roman" w:hAnsi="Times New Roman"/>
          <w:sz w:val="18"/>
          <w:szCs w:val="18"/>
          <w:i w:val="1"/>
          <w:iCs w:val="1"/>
          <w:color w:val="auto"/>
        </w:rPr>
        <w:t>Ne Zha: 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was released in China in July 2019 and was the Company’s first Chinese animated local language film title. During the nine months ended September 30, 2020, six local language IMAX DMR films were released to the IMAX network, including two in Russia, two in China, and one in each of Japan and South Korea. The Company released additional local language IMAX DMR films in the fourth quarter of 2020 and expects to announce additional local language IMAX DMR films to be released to the IMAX network in 2021.</w:t>
      </w:r>
    </w:p>
    <w:p>
      <w:pPr>
        <w:spacing w:after="0" w:line="145"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 remains in active negotiations with all of the major Hollywood studios for additional films to fill out its short and long-term film slate for the IMAX network. However, as a result of the theater closures associated with the COVID-19 global pandemic, Hollywood movie studios in particular have postponed the theatrical release of multiple films, including many scheduled to be shown in IMAX theaters, while other films have been released directly to streaming platforms. Accordingly, there remains uncertainty around the release dates of certain major films.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2"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47"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knowns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6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these theater systems, the nature of the arrangement, the location, size and management of the theater and other factors specific to individual arrangements.</w:t>
      </w:r>
    </w:p>
    <w:p>
      <w:pPr>
        <w:spacing w:after="0" w:line="15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IMAX Technology Sales and Maintenance category includes results from the IMAX Systems, IMAX Maintenance, and Other Theater Business segments, as well as certain revenues from the JRSA segment, as described in more detail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82"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18"/>
          <w:szCs w:val="18"/>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46"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55"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theater systems, the nature of the arrangement and other factors specific to individual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Fixed Fees</w:t>
      </w:r>
    </w:p>
    <w:p>
      <w:pPr>
        <w:spacing w:after="0" w:line="18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8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Theater Business</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Other Theater Business segment principally includes after-market sales of IMAX projection system parts and 3D glasses.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p>
      <w:pPr>
        <w:spacing w:after="0" w:line="198"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 xml:space="preserve">The New Business Initiatives segment includes activities related to the </w:t>
      </w:r>
      <w:r>
        <w:rPr>
          <w:rFonts w:ascii="Times New Roman" w:cs="Times New Roman" w:eastAsia="Times New Roman" w:hAnsi="Times New Roman"/>
          <w:sz w:val="18"/>
          <w:szCs w:val="18"/>
          <w:color w:val="212529"/>
        </w:rPr>
        <w:t>exploration of new lines of business and new initiatives outside 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core business, which seek to leverage its proprietary, innovative technologies, its leadership position in the entertainment technology space and its unique relationship with content creators. Such new business initiatives currently include IMAX Enhanced and Connected Theaters, as discussed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Enhanced</w:t>
      </w:r>
    </w:p>
    <w:p>
      <w:pPr>
        <w:spacing w:after="0" w:line="18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In September 2018, the Company announced a new home entertainment licensing and certification program called IMAX Enhanced. This initiative was launched along with audio leader DTS (an Xperi subsidiary), capitalizing on the Company’s decades of combined expertise in image and sound science. The certification program combines high-end consumer electronics products with IMAX digitally remastered 4K high dynamic range (HDR) content and DTS audio technologies to offer consumers immersive sight and sound experiences for the home.</w:t>
      </w:r>
    </w:p>
    <w:p>
      <w:pPr>
        <w:spacing w:after="0" w:line="155"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To be accepted into the program, leading consumer electronics manufacturers must design 4K HDR televisions, A/V receivers, sound systems and other home theater equipment to meet a carefully prescribed set of audio and video performance standards, set by a certification committee of IMAX and DTS engineers and some of Hollywood’s leading technical specialists.</w:t>
      </w:r>
    </w:p>
    <w:p>
      <w:pPr>
        <w:spacing w:after="0" w:line="137"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program will digitally remaster content to produce more vibrant colors, greater contrast and sharper clarity, and will also deliver an IMAX signature sound experience.</w:t>
      </w:r>
    </w:p>
    <w:p>
      <w:pPr>
        <w:spacing w:after="0" w:line="123"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IMAX Enhanced Program device partners include Sony Electronics, Denon, Marantz, Pioneer, and TCL (among others), as well as movie studio partners including Sony Pictures and Paramount Pictures.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Connected Theaters</w:t>
      </w:r>
    </w:p>
    <w:p>
      <w:pPr>
        <w:spacing w:after="0" w:line="22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42"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p>
      <w:pPr>
        <w:spacing w:after="0" w:line="198"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 xml:space="preserve">Through the Film Distribution segment, the Company licenses film content and distributes large-format films, primarily for its institutional theater partners. The Company generally distributes films which it produces or for which it has acquired distribution rights from independent producers. The Company receives either a percentage of the theater box office receipts or a fixed amount as a distribution fee. The Company released the IMAX original production, </w:t>
      </w:r>
      <w:r>
        <w:rPr>
          <w:rFonts w:ascii="Times New Roman" w:cs="Times New Roman" w:eastAsia="Times New Roman" w:hAnsi="Times New Roman"/>
          <w:sz w:val="18"/>
          <w:szCs w:val="18"/>
          <w:i w:val="1"/>
          <w:iCs w:val="1"/>
          <w:color w:val="auto"/>
        </w:rPr>
        <w:t>Asteroid Hunters</w:t>
      </w:r>
      <w:r>
        <w:rPr>
          <w:rFonts w:ascii="Times New Roman" w:cs="Times New Roman" w:eastAsia="Times New Roman" w:hAnsi="Times New Roman"/>
          <w:sz w:val="18"/>
          <w:szCs w:val="18"/>
          <w:color w:val="auto"/>
        </w:rPr>
        <w:t>, in October 2020.</w:t>
      </w:r>
    </w:p>
    <w:p>
      <w:pPr>
        <w:spacing w:after="0" w:line="142"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Film Post-production segment provides film post-production and quality control services for large-format films (whether produced by IMAX or third parties), and digital post-production services.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at September 30, 2020 and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Canada</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Times New Roman" w:cs="Times New Roman" w:eastAsia="Times New Roman" w:hAnsi="Times New Roman"/>
                <w:sz w:val="16"/>
                <w:szCs w:val="16"/>
                <w:color w:val="auto"/>
              </w:rPr>
              <w:t>Greater China</w:t>
            </w:r>
            <w:r>
              <w:rPr>
                <w:rFonts w:ascii="Times New Roman" w:cs="Times New Roman" w:eastAsia="Times New Roman" w:hAnsi="Times New Roman"/>
                <w:sz w:val="26"/>
                <w:szCs w:val="26"/>
                <w:color w:val="auto"/>
                <w:vertAlign w:val="superscript"/>
              </w:rPr>
              <w:t>(1)</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Western Europe</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Asia (excluding Greater China)</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Russia &amp; the CIS</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Times New Roman" w:cs="Times New Roman" w:eastAsia="Times New Roman" w:hAnsi="Times New Roman"/>
                <w:sz w:val="16"/>
                <w:szCs w:val="16"/>
                <w:color w:val="auto"/>
              </w:rPr>
              <w:t>Latin America</w:t>
            </w:r>
            <w:r>
              <w:rPr>
                <w:rFonts w:ascii="Times New Roman" w:cs="Times New Roman" w:eastAsia="Times New Roman" w:hAnsi="Times New Roman"/>
                <w:sz w:val="26"/>
                <w:szCs w:val="26"/>
                <w:color w:val="auto"/>
                <w:vertAlign w:val="superscript"/>
              </w:rPr>
              <w:t>(2)</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 of the World</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3"/>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25"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75"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The Company currently believes that over time its commercial multiplex network could grow to approximately 3,318 IMAX theaters worldwide from the 1,542 operating as at September 30, 2020. The Company believes that the majority of its future growth will come from international markets. As at September 30, 2020, 72.2% of IMAX Theater Systems in operation were located within international markets (defined as all countries other than the United States and Canada), an increase from 71.0% as at September 30, 2019. Revenues and gross box office derived from international markets continue to exceed revenues and gross box office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Item 1A of the Company’s 2019 Form 10-K.</w:t>
      </w:r>
    </w:p>
    <w:p>
      <w:pPr>
        <w:spacing w:after="0" w:line="14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Greater China is the Company’s largest market, measured by revenues, with approximately 31% of overall revenues generated from its Greater China operations in the year ended December 31, 2019. As at September 30, 2020, the Company had 726 theaters operating in Greater China with an additional 258 theaters in backlog that are scheduled to be installed by 2028. The Company’s backlog in Greater China represents 47.3% of its total current backlog, including upgrades. The Company’s largest single international partnership is in China with Wanda Film (“Wanda”). Wanda’s total commitment to the Company is for 358 IMAX Theater Systems in Greater China (of which 353 IMAX Theater Systems are under the parties’ joint revenue sharing arrangement). See “Risk Factors – The Company faces risks in connection with the continued expansion of its business in China” in Item 1A of the Company’s 2019 Form 10-K.</w:t>
      </w:r>
    </w:p>
    <w:p>
      <w:pPr>
        <w:spacing w:after="0" w:line="14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54" w:name="page55"/>
    <w:bookmarkEnd w:id="54"/>
    <w:p>
      <w:pPr>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Commercial Multiplex theaters in operation within the IMAX network by arrangement type and geographic location as at September 30, 2020 and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35"/>
              <w:spacing w:after="0" w:line="154" w:lineRule="exact"/>
              <w:rPr>
                <w:sz w:val="20"/>
                <w:szCs w:val="20"/>
                <w:color w:val="auto"/>
              </w:rPr>
            </w:pPr>
            <w:r>
              <w:rPr>
                <w:rFonts w:ascii="Times New Roman" w:cs="Times New Roman" w:eastAsia="Times New Roman" w:hAnsi="Times New Roman"/>
                <w:sz w:val="14"/>
                <w:szCs w:val="14"/>
                <w:b w:val="1"/>
                <w:bCs w:val="1"/>
                <w:color w:val="auto"/>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3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1640" w:type="dxa"/>
            <w:vAlign w:val="bottom"/>
            <w:gridSpan w:val="3"/>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 of the World</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8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19"/>
                <w:szCs w:val="19"/>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Commercial Multiplex Theaters in IMAX Network</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3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1640" w:type="dxa"/>
            <w:vAlign w:val="bottom"/>
            <w:gridSpan w:val="3"/>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 of the World</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Period-to-period changes in the tables above are reported net of the effect of permanently closed theaters.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949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As at September 30, 2020, 279 (2019 — 276) of the 742 (2019 — 706) theaters under traditional joint revenue sharing arrangements in operation, or 37.6% (2019 — 39.1%), were located in the United States or Canada, with the remaining 463 (2019 — 430) or 62.4% (2019 — 60.9%) of theaters under traditional joint revenue sharing arrangements located in international markets.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Sales Backlog</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sales backlog as at September 30, 2020 and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3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200" w:type="dxa"/>
            <w:vAlign w:val="bottom"/>
          </w:tcPr>
          <w:p>
            <w:pPr>
              <w:spacing w:after="0"/>
              <w:rPr>
                <w:sz w:val="18"/>
                <w:szCs w:val="18"/>
                <w:color w:val="auto"/>
              </w:rPr>
            </w:pPr>
          </w:p>
        </w:tc>
      </w:tr>
      <w:tr>
        <w:trPr>
          <w:trHeight w:val="198"/>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7"/>
                <w:szCs w:val="17"/>
                <w:color w:val="auto"/>
              </w:rPr>
            </w:pPr>
          </w:p>
        </w:tc>
      </w:tr>
      <w:tr>
        <w:trPr>
          <w:trHeight w:val="194"/>
        </w:trPr>
        <w:tc>
          <w:tcPr>
            <w:tcW w:w="1500" w:type="dxa"/>
            <w:vAlign w:val="bottom"/>
            <w:tcBorders>
              <w:bottom w:val="single" w:sz="8" w:color="CFF0FC"/>
            </w:tcBorders>
          </w:tcPr>
          <w:p>
            <w:pPr>
              <w:spacing w:after="0"/>
              <w:rPr>
                <w:sz w:val="16"/>
                <w:szCs w:val="16"/>
                <w:color w:val="auto"/>
              </w:rPr>
            </w:pPr>
          </w:p>
        </w:tc>
        <w:tc>
          <w:tcPr>
            <w:tcW w:w="14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Borders>
              <w:bottom w:val="single" w:sz="8" w:color="CFF0FC"/>
            </w:tcBorders>
          </w:tcPr>
          <w:p>
            <w:pPr>
              <w:spacing w:after="0"/>
              <w:rPr>
                <w:sz w:val="16"/>
                <w:szCs w:val="16"/>
                <w:color w:val="auto"/>
              </w:rPr>
            </w:pPr>
          </w:p>
        </w:tc>
      </w:tr>
      <w:tr>
        <w:trPr>
          <w:trHeight w:val="202"/>
        </w:trPr>
        <w:tc>
          <w:tcPr>
            <w:tcW w:w="290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Sales and sales-type lease</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2"/>
        </w:trPr>
        <w:tc>
          <w:tcPr>
            <w:tcW w:w="2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$ 212,623</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$ 11,418</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$ 223,834</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5"/>
              </w:rPr>
              <w:t>$ 23,692</w:t>
            </w:r>
          </w:p>
        </w:tc>
        <w:tc>
          <w:tcPr>
            <w:tcW w:w="200" w:type="dxa"/>
            <w:vAlign w:val="bottom"/>
            <w:shd w:val="clear" w:color="auto" w:fill="CFF0FC"/>
          </w:tcPr>
          <w:p>
            <w:pPr>
              <w:spacing w:after="0"/>
              <w:rPr>
                <w:sz w:val="20"/>
                <w:szCs w:val="20"/>
                <w:color w:val="auto"/>
              </w:rPr>
            </w:pPr>
          </w:p>
        </w:tc>
      </w:tr>
      <w:tr>
        <w:trPr>
          <w:trHeight w:val="227"/>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Hybrid JRSA</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5,560</w:t>
            </w: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7,110</w:t>
            </w:r>
          </w:p>
        </w:tc>
        <w:tc>
          <w:tcPr>
            <w:tcW w:w="200" w:type="dxa"/>
            <w:vAlign w:val="bottom"/>
          </w:tcPr>
          <w:p>
            <w:pPr>
              <w:spacing w:after="0"/>
              <w:rPr>
                <w:sz w:val="19"/>
                <w:szCs w:val="19"/>
                <w:color w:val="auto"/>
              </w:rPr>
            </w:pPr>
          </w:p>
        </w:tc>
      </w:tr>
      <w:tr>
        <w:trPr>
          <w:trHeight w:val="227"/>
        </w:trPr>
        <w:tc>
          <w:tcPr>
            <w:tcW w:w="2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JRSA</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FF0FC"/>
          </w:tcPr>
          <w:p>
            <w:pPr>
              <w:jc w:val="center"/>
              <w:ind w:right="44"/>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91"/>
              </w:rPr>
              <w:t>(1)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91"/>
              </w:rPr>
              <w:t>(2)</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shd w:val="clear" w:color="auto" w:fill="CFF0FC"/>
          </w:tcPr>
          <w:p>
            <w:pPr>
              <w:jc w:val="center"/>
              <w:ind w:right="44"/>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91"/>
              </w:rPr>
              <w:t>(1)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1"/>
              </w:rPr>
              <w:t>(2)</w:t>
            </w:r>
          </w:p>
        </w:tc>
      </w:tr>
      <w:tr>
        <w:trPr>
          <w:trHeight w:val="220"/>
        </w:trPr>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$ 311,321</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95"/>
              </w:rPr>
              <w:t>$ 22,478</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$ 325,529</w:t>
            </w: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91"/>
              </w:rPr>
              <w:t>$ 37,802</w:t>
            </w:r>
          </w:p>
        </w:tc>
        <w:tc>
          <w:tcPr>
            <w:tcW w:w="2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2" w:lineRule="exact"/>
        <w:rPr>
          <w:sz w:val="20"/>
          <w:szCs w:val="20"/>
          <w:color w:val="auto"/>
        </w:rPr>
      </w:pPr>
    </w:p>
    <w:p>
      <w:pPr>
        <w:ind w:left="380" w:hanging="373"/>
        <w:spacing w:after="0" w:line="27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IMAX Theater Systems (2019 — 50) where the customer has the option to convert from a joint revenue sharing arrangement to a sales arrangement.</w:t>
      </w:r>
    </w:p>
    <w:p>
      <w:pPr>
        <w:ind w:left="380" w:hanging="373"/>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contractual upfront payments. Future contingent payments are not reflected as these are based on negotiated shares of box office results.</w:t>
      </w:r>
    </w:p>
    <w:p>
      <w:pPr>
        <w:spacing w:after="0" w:line="180" w:lineRule="exact"/>
        <w:rPr>
          <w:sz w:val="20"/>
          <w:szCs w:val="20"/>
          <w:color w:val="auto"/>
        </w:rPr>
      </w:pPr>
    </w:p>
    <w:p>
      <w:pPr>
        <w:jc w:val="both"/>
        <w:ind w:firstLine="224"/>
        <w:spacing w:after="0" w:line="251" w:lineRule="auto"/>
        <w:rPr>
          <w:sz w:val="20"/>
          <w:szCs w:val="20"/>
          <w:color w:val="auto"/>
        </w:rPr>
      </w:pPr>
      <w:r>
        <w:rPr>
          <w:rFonts w:ascii="Times New Roman" w:cs="Times New Roman" w:eastAsia="Times New Roman" w:hAnsi="Times New Roman"/>
          <w:sz w:val="18"/>
          <w:szCs w:val="18"/>
          <w:color w:val="auto"/>
        </w:rPr>
        <w:t>The number of IMAX Theater Systems in the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Sales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in sales arrangements, however it excludes amounts allocated to maintenance and extended warranty revenues. The value of sales backlog does not include revenue from theaters in which the Company has an equity interest, operating leases and long-term conditional theater commitments. Theaters under joint revenue sharing arrangements do not usually have dollar value in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sales backlog are valid and binding commitments.</w:t>
      </w:r>
    </w:p>
    <w:p>
      <w:pPr>
        <w:spacing w:after="0" w:line="16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43" w:lineRule="exact"/>
        <w:rPr>
          <w:sz w:val="20"/>
          <w:szCs w:val="20"/>
          <w:color w:val="auto"/>
        </w:rPr>
      </w:pPr>
    </w:p>
    <w:p>
      <w:pPr>
        <w:jc w:val="both"/>
        <w:ind w:firstLine="224"/>
        <w:spacing w:after="0" w:line="277"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56" w:name="page57"/>
    <w:bookmarkEnd w:id="56"/>
    <w:p>
      <w:pPr>
        <w:ind w:firstLine="224"/>
        <w:spacing w:after="0" w:line="277"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sales backlog by arrangement type and geographic location as at September 30, 2020 and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7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IMAX Theater System Backlog</w:t>
            </w:r>
          </w:p>
        </w:tc>
        <w:tc>
          <w:tcPr>
            <w:tcW w:w="1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3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JRSA</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7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IMAX Theater System Backlog</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3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JRSA</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 of the World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49" w:lineRule="exact"/>
        <w:rPr>
          <w:sz w:val="20"/>
          <w:szCs w:val="20"/>
          <w:color w:val="auto"/>
        </w:rPr>
      </w:pPr>
    </w:p>
    <w:p>
      <w:pPr>
        <w:ind w:left="380" w:hanging="373"/>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155 new IMAX with Laser projection system configurations and 92 upgrades of existing locations to IMAX with Laser projection system configurations.</w:t>
      </w:r>
    </w:p>
    <w:p>
      <w:pPr>
        <w:spacing w:after="0" w:line="1" w:lineRule="exact"/>
        <w:rPr>
          <w:rFonts w:ascii="Times New Roman" w:cs="Times New Roman" w:eastAsia="Times New Roman" w:hAnsi="Times New Roman"/>
          <w:sz w:val="18"/>
          <w:szCs w:val="18"/>
          <w:color w:val="auto"/>
        </w:rPr>
      </w:pPr>
    </w:p>
    <w:p>
      <w:pPr>
        <w:ind w:left="380" w:hanging="373"/>
        <w:spacing w:after="0" w:line="27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 new IMAX with Laser projection system configurations and 119 upgrades of existing locations to IMAX with Laser projection system configurations.</w:t>
      </w:r>
    </w:p>
    <w:p>
      <w:pPr>
        <w:spacing w:after="0" w:line="128"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Approximately 75.0% of IMAX Theater System arrangements in backlog as at September 30, 2020 are scheduled to be installed in international markets (2019 — 73.1%).</w:t>
      </w:r>
    </w:p>
    <w:p>
      <w:pPr>
        <w:spacing w:after="0" w:line="12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provide detailed information about IMAX Theater System signings and installations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40" w:type="dxa"/>
            <w:vAlign w:val="bottom"/>
            <w:gridSpan w:val="4"/>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2"/>
        </w:trPr>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7"/>
        </w:trPr>
        <w:tc>
          <w:tcPr>
            <w:tcW w:w="6600" w:type="dxa"/>
            <w:vAlign w:val="bottom"/>
            <w:gridSpan w:val="2"/>
          </w:tcPr>
          <w:p>
            <w:pPr>
              <w:ind w:left="6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r>
      <w:tr>
        <w:trPr>
          <w:trHeight w:val="220"/>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Theater System Signings:</w:t>
            </w: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IMAX Theater Systems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sales-type lease arrangements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r>
      <w:tr>
        <w:trPr>
          <w:trHeight w:val="227"/>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Hybrid joint revenue sharing lease arrangements</w:t>
            </w:r>
          </w:p>
        </w:tc>
        <w:tc>
          <w:tcPr>
            <w:tcW w:w="14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r>
      <w:tr>
        <w:trPr>
          <w:trHeight w:val="227"/>
        </w:trPr>
        <w:tc>
          <w:tcPr>
            <w:tcW w:w="6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Traditional joint revenue sharing arrangements</w:t>
            </w:r>
          </w:p>
        </w:tc>
        <w:tc>
          <w:tcPr>
            <w:tcW w:w="1480" w:type="dxa"/>
            <w:vAlign w:val="bottom"/>
            <w:gridSpan w:val="3"/>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r>
      <w:tr>
        <w:trPr>
          <w:trHeight w:val="227"/>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Upgrades of IMAX Theater Systems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IMAX Theater System signings</w:t>
            </w:r>
          </w:p>
        </w:tc>
        <w:tc>
          <w:tcPr>
            <w:tcW w:w="7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9"/>
        </w:trPr>
        <w:tc>
          <w:tcPr>
            <w:tcW w:w="5840" w:type="dxa"/>
            <w:vAlign w:val="bottom"/>
          </w:tcPr>
          <w:p>
            <w:pPr>
              <w:spacing w:after="0"/>
              <w:rPr>
                <w:sz w:val="24"/>
                <w:szCs w:val="24"/>
                <w:color w:val="auto"/>
              </w:rPr>
            </w:pPr>
          </w:p>
        </w:tc>
        <w:tc>
          <w:tcPr>
            <w:tcW w:w="2240" w:type="dxa"/>
            <w:vAlign w:val="bottom"/>
            <w:gridSpan w:val="4"/>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2"/>
        </w:trPr>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7"/>
        </w:trPr>
        <w:tc>
          <w:tcPr>
            <w:tcW w:w="6600" w:type="dxa"/>
            <w:vAlign w:val="bottom"/>
            <w:gridSpan w:val="2"/>
          </w:tcPr>
          <w:p>
            <w:pPr>
              <w:ind w:left="6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r>
      <w:tr>
        <w:trPr>
          <w:trHeight w:val="220"/>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Theater System Installations:</w:t>
            </w: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IMAX Theater Systems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sales-type lease arrangements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r>
      <w:tr>
        <w:trPr>
          <w:trHeight w:val="227"/>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Hybrid joint revenue sharing lease arrangements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r>
      <w:tr>
        <w:trPr>
          <w:trHeight w:val="227"/>
        </w:trPr>
        <w:tc>
          <w:tcPr>
            <w:tcW w:w="6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Traditional joint revenue sharing arrangements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r>
      <w:tr>
        <w:trPr>
          <w:trHeight w:val="227"/>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Upgrades of IMAX Theater Systems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IMAX Theater System installations</w:t>
            </w:r>
          </w:p>
        </w:tc>
        <w:tc>
          <w:tcPr>
            <w:tcW w:w="7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firstLine="225"/>
        <w:spacing w:after="0" w:line="277" w:lineRule="auto"/>
        <w:rPr>
          <w:sz w:val="20"/>
          <w:szCs w:val="20"/>
          <w:color w:val="auto"/>
        </w:rPr>
      </w:pPr>
      <w:r>
        <w:rPr>
          <w:rFonts w:ascii="Times New Roman" w:cs="Times New Roman" w:eastAsia="Times New Roman" w:hAnsi="Times New Roman"/>
          <w:sz w:val="18"/>
          <w:szCs w:val="18"/>
          <w:color w:val="auto"/>
        </w:rPr>
        <w:t>The Company’s business and future prospects are evaluated by Richard L. Gelfond, its Chief Executive Officer (“CEO”), using a variety of financial and operational metrics including:</w:t>
      </w:r>
    </w:p>
    <w:p>
      <w:pPr>
        <w:spacing w:after="0" w:line="163" w:lineRule="exact"/>
        <w:rPr>
          <w:sz w:val="20"/>
          <w:szCs w:val="20"/>
          <w:color w:val="auto"/>
        </w:rPr>
      </w:pPr>
    </w:p>
    <w:p>
      <w:pPr>
        <w:ind w:left="580" w:hanging="359"/>
        <w:spacing w:after="0" w:line="277"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installation and financial performance of theater system arrangements, particularly joint revenue sharing arrangements and those involving laser-based projection systems;</w:t>
      </w:r>
    </w:p>
    <w:p>
      <w:pPr>
        <w:spacing w:after="0" w:line="163"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performance and the securing of new film projects, particularly IMAX DMR films;</w:t>
      </w:r>
    </w:p>
    <w:p>
      <w:pPr>
        <w:spacing w:after="0" w:line="218" w:lineRule="exact"/>
        <w:rPr>
          <w:rFonts w:ascii="Times New Roman" w:cs="Times New Roman" w:eastAsia="Times New Roman" w:hAnsi="Times New Roman"/>
          <w:sz w:val="18"/>
          <w:szCs w:val="18"/>
          <w:color w:val="auto"/>
        </w:rPr>
      </w:pPr>
    </w:p>
    <w:p>
      <w:pPr>
        <w:ind w:left="580" w:hanging="359"/>
        <w:spacing w:after="0" w:line="279"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cinematic experiences;</w:t>
      </w:r>
    </w:p>
    <w:p>
      <w:pPr>
        <w:spacing w:after="0" w:line="161"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gross margins from the Company’s segments, as discussed below;</w:t>
      </w:r>
    </w:p>
    <w:p>
      <w:pPr>
        <w:spacing w:after="0" w:line="220"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earnings from operations, as adjusted for unusual items;</w:t>
      </w:r>
    </w:p>
    <w:p>
      <w:pPr>
        <w:spacing w:after="0" w:line="218"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and</w:t>
      </w:r>
    </w:p>
    <w:p>
      <w:pPr>
        <w:spacing w:after="0" w:line="220"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and long-term cash flow projections.</w:t>
      </w:r>
    </w:p>
    <w:p>
      <w:pPr>
        <w:spacing w:after="0" w:line="180"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intangibles, provisions for (recoveries of) current expected credit losses, certain write-downs, interest income, interest expense and income tax (expense) benefit are not allocated to the Company’s segments.</w:t>
      </w:r>
    </w:p>
    <w:p>
      <w:pPr>
        <w:spacing w:after="0" w:line="142" w:lineRule="exact"/>
        <w:rPr>
          <w:sz w:val="20"/>
          <w:szCs w:val="20"/>
          <w:color w:val="auto"/>
        </w:rPr>
      </w:pPr>
    </w:p>
    <w:p>
      <w:pPr>
        <w:jc w:val="both"/>
        <w:ind w:firstLine="225"/>
        <w:spacing w:after="0" w:line="270" w:lineRule="auto"/>
        <w:rPr>
          <w:sz w:val="20"/>
          <w:szCs w:val="20"/>
          <w:color w:val="auto"/>
        </w:rPr>
      </w:pPr>
      <w:r>
        <w:rPr>
          <w:rFonts w:ascii="Times New Roman" w:cs="Times New Roman" w:eastAsia="Times New Roman" w:hAnsi="Times New Roman"/>
          <w:sz w:val="17"/>
          <w:szCs w:val="17"/>
          <w:color w:val="auto"/>
        </w:rPr>
        <w:t>The Company has organized its reportable segments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consolidated statements of operations captions combine results from several segments.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2020 and September 30, 2019</w:t>
      </w:r>
    </w:p>
    <w:p>
      <w:pPr>
        <w:spacing w:after="0" w:line="19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2020, the Company reported a net loss attributable to common shareholders of $(47.2) million, or $(0.80) per basic and diluted share, as compared to net income attributable to common shareholders of $9.0 million, or $0.15 per basic and diluted share, for the same period in 2019. For the three months ended September 30, 2020, the Company reported an adjusted net loss attributable to common shareholders* of $(44.6) million, or $(0.75) per basic and diluted share*, as compared to adjusted net income attributable to common shareholders* of $12.8 million, or $0.21 per diluted share*, for the same period in 2019.</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the breakdown of revenue and gross margin (margin loss) by category and reportable segment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r>
      <w:tr>
        <w:trPr>
          <w:trHeight w:val="220"/>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12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40" w:type="dxa"/>
            <w:vAlign w:val="bottom"/>
          </w:tcPr>
          <w:p>
            <w:pPr>
              <w:spacing w:after="0"/>
              <w:rPr>
                <w:sz w:val="19"/>
                <w:szCs w:val="19"/>
                <w:color w:val="auto"/>
              </w:rPr>
            </w:pPr>
          </w:p>
        </w:tc>
        <w:tc>
          <w:tcPr>
            <w:tcW w:w="38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240" w:type="dxa"/>
            <w:vAlign w:val="bottom"/>
          </w:tcPr>
          <w:p>
            <w:pPr>
              <w:spacing w:after="0"/>
              <w:rPr>
                <w:sz w:val="19"/>
                <w:szCs w:val="19"/>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80" w:type="dxa"/>
            <w:vAlign w:val="bottom"/>
          </w:tcPr>
          <w:p>
            <w:pPr>
              <w:spacing w:after="0"/>
              <w:rPr>
                <w:sz w:val="19"/>
                <w:szCs w:val="19"/>
                <w:color w:val="auto"/>
              </w:rPr>
            </w:pPr>
          </w:p>
        </w:tc>
        <w:tc>
          <w:tcPr>
            <w:tcW w:w="3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100" w:type="dxa"/>
            <w:vAlign w:val="bottom"/>
          </w:tcPr>
          <w:p>
            <w:pPr>
              <w:spacing w:after="0"/>
              <w:rPr>
                <w:sz w:val="19"/>
                <w:szCs w:val="19"/>
                <w:color w:val="auto"/>
              </w:rPr>
            </w:pPr>
          </w:p>
        </w:tc>
      </w:tr>
      <w:tr>
        <w:trPr>
          <w:trHeight w:val="227"/>
        </w:trPr>
        <w:tc>
          <w:tcPr>
            <w:tcW w:w="4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100" w:type="dxa"/>
            <w:vAlign w:val="bottom"/>
            <w:tcBorders>
              <w:bottom w:val="single" w:sz="8" w:color="CFF0FC"/>
            </w:tcBorders>
          </w:tcPr>
          <w:p>
            <w:pPr>
              <w:spacing w:after="0"/>
              <w:rPr>
                <w:sz w:val="19"/>
                <w:szCs w:val="19"/>
                <w:color w:val="auto"/>
              </w:rPr>
            </w:pPr>
          </w:p>
        </w:tc>
      </w:tr>
      <w:tr>
        <w:trPr>
          <w:trHeight w:val="220"/>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IMAX Systems </w:t>
            </w:r>
            <w:r>
              <w:rPr>
                <w:rFonts w:ascii="Times New Roman" w:cs="Times New Roman" w:eastAsia="Times New Roman" w:hAnsi="Times New Roman"/>
                <w:sz w:val="15"/>
                <w:szCs w:val="15"/>
                <w:color w:val="auto"/>
              </w:rPr>
              <w:t>(1)</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Pr>
          <w:p>
            <w:pPr>
              <w:spacing w:after="0"/>
              <w:rPr>
                <w:sz w:val="19"/>
                <w:szCs w:val="19"/>
                <w:color w:val="auto"/>
              </w:rPr>
            </w:pPr>
          </w:p>
        </w:tc>
      </w:tr>
      <w:tr>
        <w:trPr>
          <w:trHeight w:val="227"/>
        </w:trPr>
        <w:tc>
          <w:tcPr>
            <w:tcW w:w="4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19"/>
                <w:szCs w:val="19"/>
                <w:color w:val="auto"/>
              </w:rPr>
            </w:pPr>
          </w:p>
        </w:tc>
      </w:tr>
      <w:tr>
        <w:trPr>
          <w:trHeight w:val="227"/>
        </w:trPr>
        <w:tc>
          <w:tcPr>
            <w:tcW w:w="4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Other Theater Business </w:t>
            </w:r>
            <w:r>
              <w:rPr>
                <w:rFonts w:ascii="Times New Roman" w:cs="Times New Roman" w:eastAsia="Times New Roman" w:hAnsi="Times New Roman"/>
                <w:sz w:val="15"/>
                <w:szCs w:val="15"/>
                <w:color w:val="auto"/>
              </w:rPr>
              <w:t>(2)</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00" w:type="dxa"/>
            <w:vAlign w:val="bottom"/>
            <w:tcBorders>
              <w:bottom w:val="single" w:sz="8" w:color="CFF0FC"/>
            </w:tcBorders>
          </w:tcPr>
          <w:p>
            <w:pPr>
              <w:spacing w:after="0"/>
              <w:rPr>
                <w:sz w:val="19"/>
                <w:szCs w:val="19"/>
                <w:color w:val="auto"/>
              </w:rPr>
            </w:pPr>
          </w:p>
        </w:tc>
      </w:tr>
      <w:tr>
        <w:trPr>
          <w:trHeight w:val="220"/>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r>
      <w:tr>
        <w:trPr>
          <w:trHeight w:val="220"/>
        </w:trPr>
        <w:tc>
          <w:tcPr>
            <w:tcW w:w="48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r>
      <w:tr>
        <w:trPr>
          <w:trHeight w:val="220"/>
        </w:trPr>
        <w:tc>
          <w:tcPr>
            <w:tcW w:w="4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2" w:lineRule="exact"/>
        <w:rPr>
          <w:sz w:val="20"/>
          <w:szCs w:val="20"/>
          <w:color w:val="auto"/>
        </w:rPr>
      </w:pPr>
    </w:p>
    <w:p>
      <w:pPr>
        <w:jc w:val="both"/>
        <w:ind w:left="380" w:hanging="373"/>
        <w:spacing w:after="0" w:line="255"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this line item also includes finance income associated with these revenue streams.</w:t>
      </w:r>
    </w:p>
    <w:p>
      <w:pPr>
        <w:ind w:left="380" w:hanging="373"/>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2082165</wp:posOffset>
            </wp:positionV>
            <wp:extent cx="9499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hanging="373"/>
        <w:spacing w:after="0" w:line="277"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for a description of this non-GAAP financial measure and a reconciliation to the most comparable GAAP amount.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0" w:name="page61"/>
    <w:bookmarkEnd w:id="60"/>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198"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In the third quarter of 2020, approximately 85% of the theaters in the commercial multiplex network gradually reopened subject to capacity restrictions due to the COVID-19 global pandemic; however, the availability of new film content was limited, especially in the Domestic and Rest of World markets, and ticket sales were significantly lower than normal levels in theaters outside of Asia. As a result, the Company’s results of operations for the period materially declined when compared to the prior year. For the three months ended September 30, 2020, revenues and gross margin decreased by $49.1 million (57%) and $43.3 million (92%), respectively, when compared to the same period in 2019.</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Network</w:t>
      </w:r>
    </w:p>
    <w:p>
      <w:pPr>
        <w:spacing w:after="0" w:line="184"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period. Other factors impacting IMAX Technology Network results include fluctuations in the value of foreign currencies versus the U.S. dollar and potential currency devaluations.</w:t>
      </w:r>
    </w:p>
    <w:p>
      <w:pPr>
        <w:spacing w:after="0" w:line="155"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2020, IMAX Technology Network revenues and gross margin decreased by $31.9 million (74%) and $26.8 million (98%), respectively, when compared to the same period in 2019. See below for separate discussions of IMAX DMR and JRSA contingent rent results for the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2"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third quarter of 2020, approximately 85% of the theaters in the commercial multiplex network gradually reopened subject to capacity restrictions due to the COVID-19 global pandemic; however, the availability of new film content was limited, especially in the Domestic and Rest of World markets, and ticket sales were significantly lower than normal levels in theaters outside of Asia. As a result, for the three months ended September 30, 2020, IMAX DMR revenues and gross margin decreased by $19.8 million (74%) and $14.8 million (83%), respectively, when compared to the same period in 2019. These decreases are due to a $175.9 million (72%) reduction in GBO receipts generated by IMAX DMR films in the third quarter of 2020, from $246.1 million to $70.2 million. In the third quarter of 2020, GBO was generated by the exhibition of six new films and the re-release of classic titles as compared to 26 films (20 new and 6 carryovers) exhibited in the third quarter of 2019.</w:t>
      </w:r>
    </w:p>
    <w:p>
      <w:pPr>
        <w:spacing w:after="0" w:line="16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addition to the level of revenues, IMAX DMR gross margin is also influenced by the costs associated with the films exhibited in the period, and can vary from period-to-period, particularly with respect to marketing expenses. For the three months ended September 30, 2020, marketing expenses were $0.4 million, as compared to $4.3 million during the same period of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2" w:lineRule="exact"/>
        <w:rPr>
          <w:sz w:val="20"/>
          <w:szCs w:val="20"/>
          <w:color w:val="auto"/>
        </w:rPr>
      </w:pPr>
    </w:p>
    <w:p>
      <w:pPr>
        <w:jc w:val="both"/>
        <w:ind w:firstLine="325"/>
        <w:spacing w:after="0" w:line="252" w:lineRule="auto"/>
        <w:rPr>
          <w:sz w:val="20"/>
          <w:szCs w:val="20"/>
          <w:color w:val="auto"/>
        </w:rPr>
      </w:pPr>
      <w:r>
        <w:rPr>
          <w:rFonts w:ascii="Times New Roman" w:cs="Times New Roman" w:eastAsia="Times New Roman" w:hAnsi="Times New Roman"/>
          <w:sz w:val="18"/>
          <w:szCs w:val="18"/>
          <w:color w:val="auto"/>
        </w:rPr>
        <w:t>In the third quarter of 2020, approximately 85% of the theaters in the commercial multiplex network gradually reopened subject to capacity restrictions due to the COVID-19 global pandemic; however, the availability of new film content was limited, especially in the Domestic and Rest of World markets, and ticket sales were significantly lower than normal levels in theaters outside of Greater China. As a result, for the three months ended September 30, 2020, JRSA contingent rent revenue and gross margin decreased by $12.1 million (73%) and $12.0 million (126%), respectively, when compared to the same period in 2019. These decreases are due to an $85.5 million (70%) reduction in GBO generated by theaters under joint revenue sharing arrangements in the third quarter of 2020, from $121.9 million to $36.4 million. As at September 30, 2020, 881 theaters were operating under joint revenue sharing arrangements, as compared to 841 theaters as at September 30, 2019, an increase of 5%.</w:t>
      </w:r>
    </w:p>
    <w:p>
      <w:pPr>
        <w:spacing w:after="0" w:line="162"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addition to the level of revenues, JRSA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three months ended September 30, 2020, JRSA gross margin included depreciation expense of $6.1 million, as compared to $5.9 million in the same period of the prior year as a result of the 5% increase in the number of theaters operating under joint revenue sharing arrangements. For the three months ended September 30, 2020, JRSA gross margin includes advertising, marketing and commission costs of $0.7 million, as compared to $0.8 million in the same period of the prior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1" w:name="page62"/>
    <w:bookmarkEnd w:id="61"/>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Sales and Maintenance</w:t>
      </w:r>
    </w:p>
    <w:p>
      <w:pPr>
        <w:spacing w:after="0" w:line="198"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42"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mix of IMAX Theater System installations for the three months ended September 30, 2020 and 2019:</w:t>
      </w:r>
    </w:p>
    <w:p>
      <w:pPr>
        <w:spacing w:after="0" w:line="23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6985</wp:posOffset>
            </wp:positionV>
            <wp:extent cx="34270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709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920" w:type="dxa"/>
            <w:vAlign w:val="bottom"/>
          </w:tcPr>
          <w:p>
            <w:pPr>
              <w:jc w:val="center"/>
              <w:ind w:left="109"/>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IMAX Theater Systems — installed and recognized</w:t>
            </w: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Sales and sales-types lease arrangements</w:t>
            </w:r>
            <w:r>
              <w:rPr>
                <w:rFonts w:ascii="Times New Roman" w:cs="Times New Roman" w:eastAsia="Times New Roman" w:hAnsi="Times New Roman"/>
                <w:sz w:val="15"/>
                <w:szCs w:val="15"/>
                <w:color w:val="auto"/>
              </w:rPr>
              <w:t>(1)</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9,721</w:t>
            </w: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17,282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Joint revenue sharing arrangements — hybrid</w:t>
            </w:r>
            <w:r>
              <w:rPr>
                <w:rFonts w:ascii="Times New Roman" w:cs="Times New Roman" w:eastAsia="Times New Roman" w:hAnsi="Times New Roman"/>
                <w:sz w:val="15"/>
                <w:szCs w:val="15"/>
                <w:color w:val="auto"/>
              </w:rPr>
              <w:t>(2)</w:t>
            </w:r>
          </w:p>
        </w:tc>
        <w:tc>
          <w:tcPr>
            <w:tcW w:w="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9,778</w:t>
            </w:r>
          </w:p>
        </w:tc>
        <w:tc>
          <w:tcPr>
            <w:tcW w:w="16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18,826</w:t>
            </w: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IMAX theater system upgrades — installed and recognized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sales-types lease arrangements</w:t>
            </w:r>
          </w:p>
        </w:tc>
        <w:tc>
          <w:tcPr>
            <w:tcW w:w="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4,811</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IMAX Theater Systems installed and recognized</w:t>
            </w: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14,589</w:t>
            </w: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380" w:hanging="373"/>
        <w:spacing w:after="0" w:line="26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3" w:lineRule="exact"/>
        <w:rPr>
          <w:rFonts w:ascii="Times New Roman" w:cs="Times New Roman" w:eastAsia="Times New Roman" w:hAnsi="Times New Roman"/>
          <w:sz w:val="18"/>
          <w:szCs w:val="18"/>
          <w:color w:val="auto"/>
        </w:rPr>
      </w:pPr>
    </w:p>
    <w:p>
      <w:pPr>
        <w:ind w:left="380" w:hanging="373"/>
        <w:spacing w:after="0" w:line="277"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theater system relocated from a previous location. This installation is incremental to the IMAX network but full revenue for the digital system was not received.</w:t>
      </w:r>
    </w:p>
    <w:p>
      <w:pPr>
        <w:spacing w:after="0" w:line="137"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$1.1 million for the three months ended September 30, 2020, as compared to $1.2 million during the same period of the prior year.</w:t>
      </w:r>
    </w:p>
    <w:p>
      <w:pPr>
        <w:spacing w:after="0" w:line="14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2020, IMAX Technology Sales and Maintenance revenue and gross margin decreased by $14.0 million (37%) and $9.0 million (49%), respectively, when compared to the same period in the prior year as the pace of theater system installations slowed significantly and maintenance revenue was not recognized for theaters that remained closed during the period due to the COVID-19 global pandemic. See below for separate discussions of IMAX Systems and IMAX Maintenance results for the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96" w:lineRule="exact"/>
        <w:rPr>
          <w:sz w:val="20"/>
          <w:szCs w:val="20"/>
          <w:color w:val="auto"/>
        </w:rPr>
      </w:pPr>
    </w:p>
    <w:p>
      <w:pPr>
        <w:jc w:val="both"/>
        <w:ind w:right="20" w:firstLine="225"/>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2020, IMAX Systems revenue and gross margin decreased by $3.5 million (17%) and $3.0 million (26%), respectively, when compared to the same period in the prior year. These decreases are the result of five fewer IMAX Theater System installations in the current period as the pace of theater system installations slowed significantly due to the COVID-19 global pandemic.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8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the third quarter of 2020, as the theaters in the IMAX network gradually reopened, the Company was able to again provide its normal maintenance services and, accordingly, resumed revenue recognition for those theaters. For the three months ended September 30, 2020, IMAX Maintenance revenue and gross margin decreased by $7.8 million (57%) and $5.3 million (87%), respectively, due to the pace and extent of theater reopenings during the period.</w:t>
      </w:r>
    </w:p>
    <w:p>
      <w:pPr>
        <w:spacing w:after="0" w:line="15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2" w:name="page63"/>
    <w:bookmarkEnd w:id="62"/>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Film Distribution and Post-production</w:t>
      </w:r>
    </w:p>
    <w:p>
      <w:pPr>
        <w:spacing w:after="0" w:line="19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2020, Film Distribution and Post-production revenue and gross margin decreased by $1.7 million (47%) and $6.1 million, respectively, when compared to the same period in the prior year. The results for the third quarter of 2020 are significantly influenced by a $5.4 million impairment loss recorded in the period principally to write-down the carrying value of certain documentary and alternative content film assets due to a decrease in projected box office totals and related revenues based on management’s regular quarterly recoverability assessments. As of September 30, 2020, following the recording of these write-downs, the Company’s film assets totaled $7.5 million, which principally consists of DMR and documentary content. There can be no assurances that there will not be additional write-downs to the carrying values of these assets as the Company continues to assess the ongoing impact of the COVID-19 pandemic (see Notes 1 and 2 of Notes to Condensed Consolidated Financial Statements).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2020, Selling, General and Administrative Expenses decreased by $4.7 million (16%), when compared to the same period in 2019. For the three months ended September 30, 2020, Selling, General and Administrative Expenses excluding the impact of share-based compensation were $19.7 million, as compared to $24.5 million in the same period in 2019, representing a decrease of $4.8 million (20%).</w:t>
      </w:r>
    </w:p>
    <w:p>
      <w:pPr>
        <w:spacing w:after="0" w:line="150"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 comparison to the prior year is significantly influenced by COVID-19 government relief that the Company became entitled to receive during the period, of which $1.7 million was recognized in the third quarter of 2020 as a reduction to Selling, General and Administrative Expenses. Also impacting the comparison to the prior period are management’s cost control efforts amidst the COVID-19 global pandemic, resulting in lower staff costs, travel, facilities and marketing related expenses, among others. These factors are partially offset by a $4.5 million (35%) decrease in labor and other costs capitalized to inventory, film assets, and joint venture theater equipment or allocated to costs applicable to revenues, due to the lower level of production during the COVID-19 global pandemic.</w:t>
      </w:r>
    </w:p>
    <w:p>
      <w:pPr>
        <w:spacing w:after="0" w:line="14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for at lease the remainder of the current fiscal year, reducing the working hours of other employees and deferring all non-essential capital expenditures to minimum levels.</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19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2020, the Company recorded a provision for current expected credit losses of $3.9 million, reflecting a reduction in the credit quality of its theater and studio related receivable balances, which management believes is primarily related to the COVID-19 pandemic, as discussed in Note 2 of Notes to Condensed Consolidated Financial Statements.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For the three months ended September 30, 2019, credit loss expense was $0.6 million. (See Notes 2 and 3 of Notes to Condensed Consolidated Financial Statements.)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Gain (loss) in fair value of investments</w:t>
      </w:r>
    </w:p>
    <w:p>
      <w:pPr>
        <w:spacing w:after="0" w:line="184"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In the first quarter of 2019, IMAX China (Hong Kong), Limited, a wholly-owned subsidiary of IMAX China, entered into a cornerstone investment agreement with Maoyan Entertainment (“Maoyan”) and purchased equity securities for $15.2 million. These equity securities are traded on the Hong Kong Stock Exchange, and the Company is required to adjust the fair value of the securities each period to reflect the current market value. This adjustment will fluctuate based on the closing market price at the end of each period. For the three months ended September 30, 2020, the fair value of the Company’s investment in Maoyan increased by $1.6 million resulting in a corresponding unrealized gain, as compared to an unrealized loss of $0.5 million in the same period of the prior year, which are both recognized in the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3" w:name="page64"/>
    <w:bookmarkEnd w:id="63"/>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8"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2020, the Company recorded income tax expense of $19.3 million (2019 — tax expense of $3.0 million), which includes a $23.7 million valuation allowance to reduce the value of deferred tax assets in certain jurisdictions where the Company incurs corporate leadership and administrative costs and where management could not reliably estimate future taxable income in those jurisdictions due to uncertainties associated with the COVID-19 global pandemic. At the point in time when the uncertainties of COVID-19 resolve and the Company is able to reliably forecast sufficient future taxable income in the impacted jurisdictions, the valuation allowance may be reversed. Despite this valuation allowance, the Company remains entitled to benefit from tax attributes which currently have a valuation allowance applied.</w:t>
      </w:r>
    </w:p>
    <w:p>
      <w:pPr>
        <w:spacing w:after="0" w:line="14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2020 of (69.6)% differs from the Canadian statutory tax rate of 26.2%, primarily due to the recording of this valuation allowance, permanent book to tax differences, jurisdictional tax rate differences, and management’s estimates of contingent liabilities related to the resolution of various tax examinations.</w:t>
      </w:r>
    </w:p>
    <w:p>
      <w:pPr>
        <w:spacing w:after="0" w:line="177"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As at September 30, 2020, the Company’s Condensed Consolidated Balance Sheets include net deferred income tax assets of $17.7 million, net of a valuation allowance of $23.9 million (December 31, 2019 — $23.9 million, net of a valuation allowance of $0.2 million). The utilization of the Company’s deferred tax assets is dependent on having a sufficient level of future tax benefits, such as taxable income in each of the jurisdictions to which the deferred tax assets relate. Accordingly, the net amount recorded on the Condensed Consolidated Balance Sheets relies on management’s estimates of future taxable income and is therefore subject to the uncertainties associated with accounting estimates, as discussed in Note 1 of Notes to Condensed Consolidated Financial Statements. Should actual results differ from management’s estimates of future taxable income, an increased valuation allowance may be required. As at September 30, 2020, the Company’s Condensed Consolidated Balance Sheets include a deferred income tax liability of $18.7 million (December 31, 2019 — $nil).</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98"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2020, the Company reported a loss of $1.3 million due to the write-off of deferred tax assets related to an equity method investment, as compared to a gain of $0.2 million in the same period in the prior year related to its proportionate share of equity investee results.</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primarily include the non-controlling interest in the net income (loss) of IMAX China, as well as the impact of non-controlling interests in the activity of its Original Film Fund subsidiary. For the three months ended September 30, 2020, the net loss attributable to non-controlling interests of the Company’s subsidiaries was $1.3 million (2019 ─ net income of $1.9 million).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2020 and 2019</w:t>
      </w:r>
    </w:p>
    <w:p>
      <w:pPr>
        <w:spacing w:after="0" w:line="19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2020, the Company reported a net loss attributable to common shareholders of $(122.5) million, or $(2.06) per basic and diluted share, as compared to net income attributable to common shareholders of $28.7 million, or $0.47 per basic and diluted share, for the same period in 2019. For the nine months ended September 30, 2020, the Company reported an adjusted net loss attributable to common shareholders* of $(99.4) million, or $(1.67) per basic and diluted share*, as compared to adjusted net income attributable to common shareholders* of $43.3 million, or $0.70 per diluted share*, for the same period in 2019.</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the breakdown of revenue and gross margin (margin loss) by category and reportable segment for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260" w:type="dxa"/>
            <w:vAlign w:val="bottom"/>
          </w:tcPr>
          <w:p>
            <w:pPr>
              <w:spacing w:after="0"/>
              <w:rPr>
                <w:sz w:val="15"/>
                <w:szCs w:val="15"/>
                <w:color w:val="auto"/>
              </w:rPr>
            </w:pPr>
          </w:p>
        </w:tc>
        <w:tc>
          <w:tcPr>
            <w:tcW w:w="138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r>
      <w:tr>
        <w:trPr>
          <w:trHeight w:val="220"/>
        </w:trPr>
        <w:tc>
          <w:tcPr>
            <w:tcW w:w="15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5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93,908</w:t>
            </w:r>
          </w:p>
        </w:tc>
        <w:tc>
          <w:tcPr>
            <w:tcW w:w="2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80" w:type="dxa"/>
            <w:vAlign w:val="bottom"/>
          </w:tcPr>
          <w:p>
            <w:pPr>
              <w:spacing w:after="0"/>
              <w:rPr>
                <w:sz w:val="19"/>
                <w:szCs w:val="19"/>
                <w:color w:val="auto"/>
              </w:rPr>
            </w:pPr>
          </w:p>
        </w:tc>
        <w:tc>
          <w:tcPr>
            <w:tcW w:w="3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120" w:type="dxa"/>
            <w:vAlign w:val="bottom"/>
          </w:tcPr>
          <w:p>
            <w:pPr>
              <w:spacing w:after="0"/>
              <w:rPr>
                <w:sz w:val="19"/>
                <w:szCs w:val="19"/>
                <w:color w:val="auto"/>
              </w:rPr>
            </w:pPr>
          </w:p>
        </w:tc>
      </w:tr>
      <w:tr>
        <w:trPr>
          <w:trHeight w:val="227"/>
        </w:trPr>
        <w:tc>
          <w:tcPr>
            <w:tcW w:w="5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2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154,097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102,379</w:t>
            </w:r>
          </w:p>
        </w:tc>
        <w:tc>
          <w:tcPr>
            <w:tcW w:w="120" w:type="dxa"/>
            <w:vAlign w:val="bottom"/>
            <w:tcBorders>
              <w:bottom w:val="single" w:sz="8" w:color="CFF0FC"/>
            </w:tcBorders>
          </w:tcPr>
          <w:p>
            <w:pPr>
              <w:spacing w:after="0"/>
              <w:rPr>
                <w:sz w:val="19"/>
                <w:szCs w:val="19"/>
                <w:color w:val="auto"/>
              </w:rPr>
            </w:pPr>
          </w:p>
        </w:tc>
      </w:tr>
      <w:tr>
        <w:trPr>
          <w:trHeight w:val="220"/>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IMAX Systems </w:t>
            </w:r>
            <w:r>
              <w:rPr>
                <w:rFonts w:ascii="Times New Roman" w:cs="Times New Roman" w:eastAsia="Times New Roman" w:hAnsi="Times New Roman"/>
                <w:sz w:val="15"/>
                <w:szCs w:val="15"/>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120" w:type="dxa"/>
            <w:vAlign w:val="bottom"/>
          </w:tcPr>
          <w:p>
            <w:pPr>
              <w:spacing w:after="0"/>
              <w:rPr>
                <w:sz w:val="19"/>
                <w:szCs w:val="19"/>
                <w:color w:val="auto"/>
              </w:rPr>
            </w:pPr>
          </w:p>
        </w:tc>
      </w:tr>
      <w:tr>
        <w:trPr>
          <w:trHeight w:val="227"/>
        </w:trPr>
        <w:tc>
          <w:tcPr>
            <w:tcW w:w="5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120" w:type="dxa"/>
            <w:vAlign w:val="bottom"/>
          </w:tcPr>
          <w:p>
            <w:pPr>
              <w:spacing w:after="0"/>
              <w:rPr>
                <w:sz w:val="19"/>
                <w:szCs w:val="19"/>
                <w:color w:val="auto"/>
              </w:rPr>
            </w:pPr>
          </w:p>
        </w:tc>
      </w:tr>
      <w:tr>
        <w:trPr>
          <w:trHeight w:val="227"/>
        </w:trPr>
        <w:tc>
          <w:tcPr>
            <w:tcW w:w="5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Other Theater Business </w:t>
            </w:r>
            <w:r>
              <w:rPr>
                <w:rFonts w:ascii="Times New Roman" w:cs="Times New Roman" w:eastAsia="Times New Roman" w:hAnsi="Times New Roman"/>
                <w:sz w:val="15"/>
                <w:szCs w:val="15"/>
                <w:color w:val="auto"/>
              </w:rPr>
              <w:t>(2)</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20" w:type="dxa"/>
            <w:vAlign w:val="bottom"/>
            <w:tcBorders>
              <w:bottom w:val="single" w:sz="8" w:color="CFF0FC"/>
            </w:tcBorders>
          </w:tcPr>
          <w:p>
            <w:pPr>
              <w:spacing w:after="0"/>
              <w:rPr>
                <w:sz w:val="19"/>
                <w:szCs w:val="19"/>
                <w:color w:val="auto"/>
              </w:rPr>
            </w:pPr>
          </w:p>
        </w:tc>
      </w:tr>
      <w:tr>
        <w:trPr>
          <w:trHeight w:val="220"/>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Business Initiatives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9"/>
                <w:szCs w:val="19"/>
                <w:color w:val="auto"/>
              </w:rPr>
            </w:pPr>
          </w:p>
        </w:tc>
      </w:tr>
      <w:tr>
        <w:trPr>
          <w:trHeight w:val="220"/>
        </w:trPr>
        <w:tc>
          <w:tcPr>
            <w:tcW w:w="58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268,406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r>
      <w:tr>
        <w:trPr>
          <w:trHeight w:val="220"/>
        </w:trPr>
        <w:tc>
          <w:tcPr>
            <w:tcW w:w="5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0"/>
        </w:trPr>
        <w:tc>
          <w:tcPr>
            <w:tcW w:w="15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2" w:lineRule="exact"/>
        <w:rPr>
          <w:sz w:val="20"/>
          <w:szCs w:val="20"/>
          <w:color w:val="auto"/>
        </w:rPr>
      </w:pPr>
    </w:p>
    <w:p>
      <w:pPr>
        <w:jc w:val="both"/>
        <w:ind w:left="380" w:hanging="373"/>
        <w:spacing w:after="0" w:line="255"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also includes finance income associated with these revenue streams.</w:t>
      </w:r>
    </w:p>
    <w:p>
      <w:pPr>
        <w:ind w:left="380" w:hanging="373"/>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2132965</wp:posOffset>
            </wp:positionV>
            <wp:extent cx="949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 w:hanging="373"/>
        <w:spacing w:after="0" w:line="277"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for a description of this non-GAAP financial measure and a reconciliation to the most comparable GAAP amount.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5" w:name="page66"/>
    <w:bookmarkEnd w:id="65"/>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19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Due to the COVID-19 global pandemic, substantially all of the theaters in the IMAX network were closed for a significant portion of the six months ended June 30, 2020, with the theaters in Greater China closed beginning in late-January and substantially all of the Company’s remaining theaters closed beginning in mid-to-late March. In the third quarter of 2020, approximately 85% of the theaters in the commercial multiplex network gradually reopened subject to capacity restrictions; however, the availability of new film content was limited, especially in the Domestic and Rest of World markets, and ticket sales were significantly lower than normal levels in theaters outside of Asia. As a result of these factors, the Company’s results of operations for the nine months ended September 30, 2020 materially declined versus the prior year with revenues and gross margin decreasing by $190.4 million (70%) and $150.6 million (99%), respectively, when compared to the same period in 2019.</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Network</w:t>
      </w:r>
    </w:p>
    <w:p>
      <w:pPr>
        <w:spacing w:after="0" w:line="184"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period. Other factors impacting IMAX Technology Network results include fluctuations in the value of foreign currencies versus the U.S. dollar and potential currency devaluations.</w:t>
      </w:r>
    </w:p>
    <w:p>
      <w:pPr>
        <w:spacing w:after="0" w:line="155"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nine months ended September 30, 2020, IMAX Technology Network revenues and gross margin decreased by $125.7 million (82%) and $105.5 million (103%), respectively, when compared to the same period in 2019. See below for separate discussions of IMAX DMR and JRSA contingent rent results for the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2"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18"/>
          <w:szCs w:val="18"/>
          <w:color w:val="auto"/>
        </w:rPr>
        <w:t>Due to the COVID-19 global pandemic, substantially all of the theaters in the IMAX network were closed for a significant portion of the six months ended June 30, 2020, with the theaters in Greater China closed beginning in late-January and substantially all of the Company’s remaining theaters closed beginning in mid-to-late March. In the third quarter of 2020, approximately 85% of the theaters in the commercial multiplex network gradually reopened subject to capacity restrictions; however, the availability of new film content was limited, especially in the Domestic and Rest of World markets, and ticket sales were significantly lower than normal levels in theaters outside of Asia. As a result of these factors, for the nine months ended September 30, 2020, IMAX DMR revenues and gross margin decreased by $75.8 million (81%) and $54.1 million (88%), respectively, when compared to the same period in 2019. These decreases are due to a $699.2 million (81%) reduction in GBO generated by IMAX DMR films, from $867.3 million to $168.1 million. For the nine months ended September 30, 2020, GBO was generated primarily by the exhibition of 20 films (16 new and 4 carryovers) and the re-release of classic titles, as compared to 59 films (47 new and 12 carryovers) exhibited in the nine months ended September 30, 2019.</w:t>
      </w:r>
    </w:p>
    <w:p>
      <w:pPr>
        <w:spacing w:after="0" w:line="16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addition to the level of revenues, IMAX DMR gross margin is also influenced by the costs associated with the films exhibited in the period, and can vary from period-to-period, particularly with respect to marketing expenses. For the nine months ended September 30, 2020, marketing expenses were $2.8 million, as compared to $17.7 million during the same period of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2"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18"/>
          <w:szCs w:val="18"/>
          <w:color w:val="auto"/>
        </w:rPr>
        <w:t>Due to the COVID-19 global pandemic, substantially all of the theaters in the IMAX network were closed for a significant portion of the six months ended June 30, 2020, with the theaters in Greater China closed beginning in late-January and substantially all of the Company’s remaining theaters closed beginning in mid-to-late March. In the third quarter of 2020, approximately 85% of the theaters in the commercial multiplex network gradually reopened subject to capacity restrictions; however, the availability of new film content was limited, especially in the Domestic and Rest of World markets, and ticket sales were significantly lower than normal levels in theaters outside of Asia. As a result of these factors, for the nine months ended September 30, 2020, JRSA contingent rent revenue and gross margin decreased by $49.9 million (83%) and $51.4 million (126%), respectively, when compared to the same period in 2019. These decreases are due to a $359.5 million (81%) reduction in GBO generated by theaters under joint revenue sharing arrangements during the current period, from $441.6 million to $82.1 million. As at September 30, 2020, 881 theaters were operating under joint revenue sharing arrangements, as compared to 841 theaters as at September 30, 2019, an increase of 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6" w:name="page67"/>
    <w:bookmarkEnd w:id="66"/>
    <w:p>
      <w:pPr>
        <w:jc w:val="both"/>
        <w:ind w:firstLine="225"/>
        <w:spacing w:after="0" w:line="270" w:lineRule="auto"/>
        <w:rPr>
          <w:sz w:val="20"/>
          <w:szCs w:val="20"/>
          <w:color w:val="auto"/>
        </w:rPr>
      </w:pPr>
      <w:r>
        <w:rPr>
          <w:rFonts w:ascii="Times New Roman" w:cs="Times New Roman" w:eastAsia="Times New Roman" w:hAnsi="Times New Roman"/>
          <w:sz w:val="17"/>
          <w:szCs w:val="17"/>
          <w:color w:val="auto"/>
        </w:rPr>
        <w:t>In addition to the level of revenues, JRSA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nine months ended September 30, 2020, JRSA gross margin included depreciation expense of $19.2 million, as compared to $17.2 million in the same period of the prior year as a result of the 5% increase in the number of theaters operating under joint revenue sharing arrangements. For the nine months ended September 30, 2020, JRSA gross margin includes certain advertising, marketing and commission costs of $1.3 million, as compared to $1.1 million in the same period of the prior year.</w:t>
      </w:r>
    </w:p>
    <w:p>
      <w:pPr>
        <w:spacing w:after="0" w:line="1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Sales and Maintenance</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w:t>
      </w:r>
    </w:p>
    <w:p>
      <w:pPr>
        <w:spacing w:after="0" w:line="123"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installation of IMAX Theater Systems in newly built theaters or multiplexes, which make up a large portion of the Company’s theater system backlog, depends primarily on the timing of the construction of those projects, which is not under the Company’s control. The following table provides detailed information about the mix of IMAX Theater System installations for the nine months ended September 30, 2020 and 2019:</w:t>
      </w:r>
    </w:p>
    <w:p>
      <w:pPr>
        <w:spacing w:after="0" w:line="25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6985</wp:posOffset>
            </wp:positionV>
            <wp:extent cx="3359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920" w:type="dxa"/>
            <w:vAlign w:val="bottom"/>
          </w:tcPr>
          <w:p>
            <w:pPr>
              <w:jc w:val="center"/>
              <w:ind w:left="109"/>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9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IMAX Theater Systems — installed and recognized</w:t>
            </w: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sales-types lease arrangements</w:t>
            </w:r>
            <w:r>
              <w:rPr>
                <w:rFonts w:ascii="Times New Roman" w:cs="Times New Roman" w:eastAsia="Times New Roman" w:hAnsi="Times New Roman"/>
                <w:sz w:val="15"/>
                <w:szCs w:val="15"/>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Joint revenue sharing arrangements — hybrid</w:t>
            </w:r>
            <w:r>
              <w:rPr>
                <w:rFonts w:ascii="Times New Roman" w:cs="Times New Roman" w:eastAsia="Times New Roman" w:hAnsi="Times New Roman"/>
                <w:sz w:val="15"/>
                <w:szCs w:val="15"/>
                <w:color w:val="auto"/>
              </w:rPr>
              <w:t>(2)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9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2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5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IMAX theater system upgrades — installed and recognized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sales-types lease arrangements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IMAX Theater Systems installed and recognized</w:t>
            </w:r>
          </w:p>
        </w:tc>
        <w:tc>
          <w:tcPr>
            <w:tcW w:w="9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49" w:lineRule="exact"/>
        <w:rPr>
          <w:sz w:val="20"/>
          <w:szCs w:val="20"/>
          <w:color w:val="auto"/>
        </w:rPr>
      </w:pPr>
    </w:p>
    <w:p>
      <w:pPr>
        <w:jc w:val="both"/>
        <w:ind w:left="380" w:hanging="373"/>
        <w:spacing w:after="0" w:line="26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3" w:lineRule="exact"/>
        <w:rPr>
          <w:rFonts w:ascii="Times New Roman" w:cs="Times New Roman" w:eastAsia="Times New Roman" w:hAnsi="Times New Roman"/>
          <w:sz w:val="18"/>
          <w:szCs w:val="18"/>
          <w:color w:val="auto"/>
        </w:rPr>
      </w:pPr>
    </w:p>
    <w:p>
      <w:pPr>
        <w:ind w:left="380" w:right="20" w:hanging="373"/>
        <w:spacing w:after="0" w:line="277"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digital theater system relocated from a previous location. This installation is incremental to the IMAX network but full revenue for the digital system was not received.</w:t>
      </w:r>
    </w:p>
    <w:p>
      <w:pPr>
        <w:spacing w:after="0" w:line="137"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IMAX Theater System under sales and sales-type lease arrangements was $1.0 million during the nine months ended September 30, 2020, compared to $1.3 million during the same period of the prior year.</w:t>
      </w:r>
    </w:p>
    <w:p>
      <w:pPr>
        <w:spacing w:after="0" w:line="14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2020, IMAX Technology Sales and Maintenance revenue and gross margin decreased by $59.3 million (58%) and $32.6 million (69%), respectively, when compared to the same period in the prior year as the pace of theater system installations slowed significantly and maintenance revenue was not recognized during the periods of time when theaters were closed due to the COVID-19 global pandemic. See below for separate discussions of IMAX Systems and IMAX Maintenance results for the period.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96"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nine months ended September 30, 2020, IMAX Systems revenue and gross margin decreased by $22.8 million (45%) and $12.2 million (46%), respectively, when compared to the same period in the prior year. These decreases are the result of 25 fewer IMAX Theater System installations in the current period as the pace of theater system installations slowed significantly due to the COVID-19 global pandemic.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8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nine months ended September 30, 2020, IMAX Maintenance revenue and gross margin decreased by $26.6 million (67%) and $17.4 million (102.1%), respectively, as maintenance revenue was not recognized during the periods of time when theaters were closed due to the COVID-19 global pandemic.</w:t>
      </w:r>
    </w:p>
    <w:p>
      <w:pPr>
        <w:spacing w:after="0" w:line="15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Film Distribution and Post-production</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2020, Film Distribution and Post-production revenue and gross margin decreased by $2.3 million (23%) and $9.9 million, respectively, when compared to the same period in the prior year. The results for the current nine-month period are significantly influenced by a $9.9 million impairment loss recorded in the period principally to write-down the carrying value of certain documentary and alternative content film assets due to a decrease in projected box office totals and related revenues based on management’s regular quarterly recoverability assessments. As of September 30, 2020, following the recording of these write-downs, the Company’s film assets totaled $7.5 million, which principally consists of DMR and documentary content. There can be no assurances that there will not be additional write-downs to the carrying values of these assets as the Company continues to assess the ongoing impact of the COVID-19 pandemic (see Notes 1 and 2 of Notes to Condensed Consolidated Financial Statements).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nine months ended September 30, 2020, Selling, General and Administrative Expenses decreased by $6.0 million (7%), when compared to the same period in 2019. For the nine months ended September 30, 2020, Selling, General and Administrative Expenses excluding the impact of share-based compensation were $67.9 million, as compared to $73.9 million in the same period in 2019, representing a decrease of $6.0 million (8%).</w:t>
      </w:r>
    </w:p>
    <w:p>
      <w:pPr>
        <w:spacing w:after="0" w:line="137"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 comparison to the prior year is significantly influenced by COVID-19 government relief that the Company became entitled to receive during the period under the Canada Emergency Wage Subsidy program and the U.S. CARES Act, of which $4.5 million was recognized in the nine months ended September 30, 2020 as a reduction to Selling, General and Administrative Expenses. Also impacting the comparison to the prior period are management’s cost control efforts amidst the COVID-19 global pandemic resulting in lower staff costs, travel, facilities and marketing related expenses, among others. These factors are partially offset by a $13.6 million (36%) decrease in labor and other costs capitalized to inventory, film assets, and joint venture theater equipment or allocated to costs applicable to revenues, due to the lower level of production during the COVID-19 global pandemic.</w:t>
      </w:r>
    </w:p>
    <w:p>
      <w:pPr>
        <w:spacing w:after="0" w:line="160"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the cash by eliminating non-essential costs, placing certain employees on a temporary furlough for at least the remainder of the current fiscal year, reducing the working hours of other employees and deferring all non-essential capital expenditures to minimum levels.</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A significant portion of the Company’s research and development efforts over the past several years have been focused on IMAX with Laser, the Company’s laser-based projection system, which the Company believes delivers increased resolution, sharper and brighter images, deeper contrast as well as the widest range of colors available to filmmakers today.</w:t>
      </w:r>
    </w:p>
    <w:p>
      <w:pPr>
        <w:spacing w:after="0" w:line="150"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2020, Research and Development expenses increased by $0.9 million (23%), when compared to the same period in the prior year, primarily due to costs associated with the </w:t>
      </w:r>
      <w:r>
        <w:rPr>
          <w:rFonts w:ascii="Times New Roman" w:cs="Times New Roman" w:eastAsia="Times New Roman" w:hAnsi="Times New Roman"/>
          <w:sz w:val="18"/>
          <w:szCs w:val="18"/>
          <w:color w:val="212529"/>
        </w:rPr>
        <w:t>Connected Theaters initiative.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68" w:name="page69"/>
    <w:bookmarkEnd w:id="68"/>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also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50"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In addition, the Company has been, and intends to continue, using time and resources during the business slowdown caused by the COVID-19 global pandemic to work on leveraging and developing technologies and systems to help bring additional interactivity to its theater network, better manage certain of the Company’s internal workflows and better organize and codify certain of the Company’s data. During previous adverse events and downturns in the cinema business, the Company fostered many of the innovations that helped enable its global growth in recent years, including the development of its proprietary DMR process and the creation of its joint-revenue sharing business model.</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recorded a provision for current expected credit losses of $15.6 million reflecting a reduction in the credit quality of its theater and studio related receivable balances, which management believes is primarily related to the COVID-19 pandemic, as discussed in Note 2 of Notes to Condensed Consolidated Financial Statements.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For the nine months ended September 30, 2019, credit loss expense was $2.0 million. (See Notes 2 and 3 of Notes to Condensed Consolidated Financial Statements.)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recorded asset impairments of $1.2 million (2019 — $nil) principally related to write-down of content-related assets which became impaired in the period (see Notes 1 and 2 of Notes to Condensed Consolidated Financial Statements).</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Gain (loss) in fair value of investments</w:t>
      </w:r>
    </w:p>
    <w:p>
      <w:pPr>
        <w:spacing w:after="0" w:line="198"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In the third quarter of 2019, IMAX China (Hong Kong), Limited, a wholly-owned subsidiary of IMAX China, entered into a cornerstone investment agreement with Maoyan Entertainment (“Maoyan”) and purchased equity securities for $15.2 million. These equity securities are traded on the Hong Kong Stock Exchange, and the Company is required to adjust the fair value of the securities each period to reflect the current market value. This adjustment will fluctuate based on the closing market price at the end of each period. For the nine months ended September 30, 2020, the fair value of the Company’s investment in Maoyan decreased by $0.9 million resulting in a corresponding unrealized loss, as compared to an unrealized loss of $2.5 million in the same period in the prior year, which are both recognized in the Condensed Consolidated Statements of Operations.</w:t>
      </w:r>
    </w:p>
    <w:p>
      <w:pPr>
        <w:spacing w:after="0" w:line="1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recorded income tax expense of $24.6 million (2019 — tax expense of $12.0 million), which includes the $23.7 million valuation allowance recorded in the third quarter of 2020, to reduce the value of deferred tax assets in certain jurisdictions where the Company incurs corporate leadership and administrative costs and where management could not reliably estimate future taxable income in those jurisdictions due to uncertainties associated with the COVID-19 global pandemic. At the point in time when the uncertainties of COVID-19 resolve and the Company is able to reliably forecast sufficient future taxable income in the impacted jurisdictions, the $23.7 million valuation allowance recorded in the third quarter of 2020 may be reversed. Despite this valuation allowance, the Company remains entitled to benefit from tax attributes which currently have a valuation allowance applied.</w:t>
      </w:r>
    </w:p>
    <w:p>
      <w:pPr>
        <w:spacing w:after="0" w:line="162"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2020 of (22.1)% differs from the Canadian statutory tax rate of 26.2%, primarily due to the recording of this valuation allowance, withholding taxes associated with the reversal of the indefinite reinvestment assertion for certain foreign subsidiaries, as discussed below, permanent book to tax differences, jurisdictional tax rate differences, and management’s estimates of contingent liabilities related to the resolution of various tax examinations.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9" w:name="page70"/>
    <w:bookmarkEnd w:id="69"/>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The estimate of the applicable foreign withholding taxes was subsequently reduced by $1.0 million, principally in the second quarter of 2020, to $18.7 million due to a reduction in the amount of distributable historical earnings. Cash held outside of Canada as at September 30, 2020 was $76.4 million (December 31, 2019 — $90.1 million), of which $62.6 million was held in the People’s Republic of China (“PRC”) (December 31, 2019 — $67.6 million).</w:t>
      </w:r>
    </w:p>
    <w:p>
      <w:pPr>
        <w:spacing w:after="0" w:line="158"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As at September 30, 2020, the Company’s Condensed Consolidated Balance Sheets include net deferred income tax assets of $17.7 million, net of a valuation allowance of $23.9 million (December 31, 2019 — $23.9 million, net of a valuation allowance of $0.2 million). The utilization of the Company’s deferred tax assets is dependent on having a sufficient level of future tax benefits, such as taxable income in each of the jurisdictions to which the deferred tax assets relate. Accordingly, the net amount recorded on the Condensed Consolidated Balance Sheets relies on management’s estimates of future taxable income and is therefore subject to the uncertainties associated with accounting estimates, as discussed in Note 1 of Notes to Condensed Consolidated Financial Statements. Should actual results differ from management’s estimates of future taxable income, an increased valuation allowance may be required. As at September 30, 2020, the Company’s Condensed Consolidated Balance Sheets include a deferred income tax liability of $18.7 million (December 31, 2019 — $nil).</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For the nine months ended September 30, 2020, the Company reported a loss of $1.9 million due to the write-off of deferred tax assets related to an equity method investment, as compared to $0.1 million in the same period in the prior year related to its proportionate share of equity investee results.</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4"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non-controlling interest in the net income (loss) of IMAX China as well as the impact of non-controlling interests in the activity of its Original Film Fund subsidiary. For the nine months ended September 30, 2020, the net loss attributable to non-controlling interests of the Company’s subsidiaries was $15.4 million (2019 ─ net income of $8.5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84"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4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50"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the first quarter of 2020, in response to uncertainties associated with the outbreak of the COVID-19 global pandemic and its impact on the Company’s business, the Company drew down the $280.0 million in available borrowing capacity under the Credit Facility, resulting in total outstanding borrowings of $300.0 million.</w:t>
      </w:r>
    </w:p>
    <w:p>
      <w:pPr>
        <w:spacing w:after="0" w:line="137"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Credit Agreement contains a covenant that requires the Company to maintain a Senior Secured Net Leverage Ratio (as defined in the Credit Agreement), as at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0" w:name="page71"/>
    <w:bookmarkEnd w:id="70"/>
    <w:p>
      <w:pPr>
        <w:jc w:val="both"/>
        <w:ind w:firstLine="225"/>
        <w:spacing w:after="0" w:line="266" w:lineRule="auto"/>
        <w:rPr>
          <w:sz w:val="20"/>
          <w:szCs w:val="20"/>
          <w:color w:val="auto"/>
        </w:rPr>
      </w:pPr>
      <w:r>
        <w:rPr>
          <w:rFonts w:ascii="Times New Roman" w:cs="Times New Roman" w:eastAsia="Times New Roman" w:hAnsi="Times New Roman"/>
          <w:sz w:val="17"/>
          <w:szCs w:val="17"/>
          <w:color w:val="auto"/>
        </w:rPr>
        <w:t>On June 10, 2020, the Company entered into the First Amendment to the Credit Agreement (the “Amendment”), which, among other things, (i) suspends the Senior Secured Net Leverage Ratio covenant through the first quarter of 2021, (ii) re-establishes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the EBITDA for the corresponding quarters of 2020, (iii) adds a $75.0 million minimum liquidity covenant measured at the end of each calendar month and (iv) restricts the Company’s ability to make certain restricted payments, dispositions and investments, create or assume liens and incur debt that would otherwise have been permitted by the Credit Agreement. The modifications to the negative covenants, the minimum liquidity covenant and modifications to certain other provisions in the Credit Agreement pursuant to the Amendment are effective from the date of the Amendment until the earlier of the delivery of the compliance certificate for the fourth quarter of 2021 and the date on which the Company, in its sole discretion, elects to calculate its compliance with the Senior Secured Net Leverage Ratio by using either its actual EBITDA or annualized EBITDA (the “Designated Period”). The Company was in compliance with all of its requirements under the Credit Agreement, as amended, as at September 30, 2020, and based on current projections expects to be in compliance through the next twelve months.</w:t>
      </w:r>
    </w:p>
    <w:p>
      <w:pPr>
        <w:spacing w:after="0" w:line="155"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Amendment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nine months ended September 30, 2020 was 2.70% and 2.24%, respectively (2019 ― 3.34% and 3.50%, respectively).</w:t>
      </w:r>
    </w:p>
    <w:p>
      <w:pPr>
        <w:spacing w:after="0" w:line="14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addition, the Credit Facility has standby fees ranging from 0.25% to 0.38% per annum, based on the Company’s Total Leverage Ratio with respect to the unused portion of the Credit Facility; provided, however, that from the effective date of the Amendment until the Company delivers a compliance certificate under the Credit Facility following the end of the Designated Period, the standby fee will be 0.50% per annum.</w:t>
      </w:r>
    </w:p>
    <w:p>
      <w:pPr>
        <w:spacing w:after="0" w:line="137"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 incurred fees of approximately $1.1 million in connection with the Amendment, which are being amortized on a straight-line basis through December 31, 2021.</w:t>
      </w:r>
    </w:p>
    <w:p>
      <w:pPr>
        <w:spacing w:after="0" w:line="1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w:t>
      </w:r>
    </w:p>
    <w:p>
      <w:pPr>
        <w:spacing w:after="0" w:line="184"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On July 24, 2020, IMAX (Shanghai) Multimedia Technology Co., Ltd. (“IMAX Shanghai”), the Company’s majority-owned subsidiary in China, renewed its unsecured revolving facility for up to 200.0 million Renminbi (approximately $30.0 million) to fund ongoing working capital requirements (the “Working Capital Facility”). As at September 30, 2020, there was 1.7 million Renminbi ($0.3 million) in borrowings outstanding under the Working Capital Facility, and 198.3 million Renminbi ($29.7 million) was available for future borrowings. There were no amounts drawn under the Working Capital facility at December 31, 2019. The amounts available for borrowing under the Working Capital Facility are not subject to a standby fee. The effective interest rate related to the Working Capital Facility for the three and nine months ended September 30, 2020 was 4.35%.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Commitments</w:t>
      </w:r>
    </w:p>
    <w:p>
      <w:pPr>
        <w:spacing w:after="0" w:line="184" w:lineRule="exact"/>
        <w:rPr>
          <w:sz w:val="20"/>
          <w:szCs w:val="20"/>
          <w:color w:val="auto"/>
        </w:rPr>
      </w:pPr>
    </w:p>
    <w:p>
      <w:pPr>
        <w:jc w:val="both"/>
        <w:ind w:firstLine="224"/>
        <w:spacing w:after="0" w:line="277" w:lineRule="auto"/>
        <w:rPr>
          <w:sz w:val="20"/>
          <w:szCs w:val="20"/>
          <w:color w:val="auto"/>
        </w:rPr>
      </w:pPr>
      <w:r>
        <w:rPr>
          <w:rFonts w:ascii="Times New Roman" w:cs="Times New Roman" w:eastAsia="Times New Roman" w:hAnsi="Times New Roman"/>
          <w:sz w:val="18"/>
          <w:szCs w:val="18"/>
          <w:color w:val="auto"/>
        </w:rPr>
        <w:t>As at September 30, 2020, the Company did not have any letters of credit or advance payment guarantees outstanding (December 31, 2019 — $nil), under the Credit Facility.</w:t>
      </w:r>
    </w:p>
    <w:p>
      <w:pPr>
        <w:spacing w:after="0" w:line="123"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On October 28, 2019, the Company entered into a $5.0 million facility for advance payment guarantees and letters of credit through the National Bank of Canada for use solely in conjunction with guarantees fully insured by Export Development Canada (the “NBC Facility”) to replace a Bank of Montreal Facility with substantially the same terms which expired on September 30, 2019. The NBC Facility is unsecured and includes typical affirmative and negative covenants, including delivery of annual consolidated financial statements within 120 days of the end of the fiscal year. As at September 30, 2020, the Company did not have any letters of credit or advance payment guarantees outstanding under the NBC Facility.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98" w:lineRule="exact"/>
        <w:rPr>
          <w:sz w:val="20"/>
          <w:szCs w:val="20"/>
          <w:color w:val="auto"/>
        </w:rPr>
      </w:pPr>
    </w:p>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As of September 30, 2020, the Company’s principal sources of liquidity included: (i) its balances of cash and cash equivalents ($305.2 million, which reflects the full draw of the Credit Facility in the first quarter of 2020); (ii) the anticipated collection of trade accounts receivable, which includes amounts owed under joint revenue sharing arrangements and DMR agreements with movie studios; (iii) the anticipated collection of financing receivables due in the next 12 months; and (iv) payments expected in the next 12 months on its existing sales and sales type lease backlog.</w:t>
      </w:r>
    </w:p>
    <w:p>
      <w:pPr>
        <w:spacing w:after="0" w:line="142"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Company’s $305.2 million balance of cash and cash equivalents as of September 30, 2020 includes $76.4 million in cash held outside of Canada (December 31, 2019 — $90.1 million), of which $62.6 million was held in the People’s Republic of China (the “PRC”) (December 31, 2019 — $67.6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during the nine months ended September 30, 2020, the Company recognized a deferred tax liability of $18.7 million for the applicable foreign withholding taxes associated with these historical earnings, which will become payable upon the repatriation of any such earnings.</w:t>
      </w:r>
    </w:p>
    <w:p>
      <w:pPr>
        <w:spacing w:after="0" w:line="14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2020, cash and cash equivalents increased by $195.7 million principally due to financing cash inflows of $233.5 million, which include the full draw of the Credit Facility in the first quarter of 2020, as discussed above. These financing cash inflows are partially offset by $30.8 million of cash used to fund the Company’s operating activities as the COVID-19 global pandemic resulted in a significant decline in revenue and earnings. In addition, during the nine months ended September 30, 2020, the Company invested $7.6 million in equipment to be used in its joint revenue sharing arrangements with exhibitors, intangible assets and property, plant and equipment. Based on management’s current operating plan for 2020, the Company expects to continue to use cash to deploy additional IMAX Theater Systems under joint revenue sharing arrangements.</w:t>
      </w:r>
    </w:p>
    <w:p>
      <w:pPr>
        <w:spacing w:after="0" w:line="160"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Company’s operating cash flows will be adversely affected if management’s projections of future signings of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Item 1A in the Company’s 2019 Form 10-K), there is no guarantee that the Company will continue to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w:t>
      </w:r>
    </w:p>
    <w:p>
      <w:pPr>
        <w:spacing w:after="0" w:line="148"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repercussions of the COVID-19 global pandemic have resulted in a significant decrease in the Company’s revenues, earnings and operating cash flows during the three and nine months ended September 30, 2020 as GBO results declined significantly, the installation of certain theater systems was delayed, and maintenance services were generally suspended for theaters that were closed. During time periods in which there is a lack of new films released by movie studios and a significant number of theaters in the IMAX network are closed, the Company has and will continue to experience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may continue to experience delays in collecting payments due under existing theater sale or lease arrangements from its exhibitor partners who are facing financial difficulties as a result of the theater closures. In response, the Company has provided temporary relief to exhibitor partners by waiving maintenance fees during periods when theaters are closed and, in certain situations, by providing extended payment terms on annual minimum payment obligations in exchange for a corresponding extension of the term of the underlying sale or lease arrangement.</w:t>
      </w:r>
    </w:p>
    <w:p>
      <w:pPr>
        <w:spacing w:after="0" w:line="153"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8"/>
          <w:szCs w:val="18"/>
          <w:color w:val="auto"/>
        </w:rPr>
        <w:t>Based on the Company’s current cash forecasts, management expects the Company’s average monthly change in cash and cash equivalents for the fourth quarter of 2020 and first quarter of 2021 to be approximately break-even. This reflects an improvement when compared to the Company’s average monthly change in cash and cash equivalents of $7.8 million in the second and third quarters of 2020.</w:t>
      </w:r>
    </w:p>
    <w:p>
      <w:pPr>
        <w:spacing w:after="0" w:line="150" w:lineRule="exact"/>
        <w:rPr>
          <w:sz w:val="20"/>
          <w:szCs w:val="20"/>
          <w:color w:val="auto"/>
        </w:rPr>
      </w:pPr>
    </w:p>
    <w:p>
      <w:pPr>
        <w:jc w:val="both"/>
        <w:ind w:firstLine="224"/>
        <w:spacing w:after="0" w:line="277"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it expects to have sufficient capital and liquidity to fund its operations in the normal course for the next twelve months.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72" w:name="page73"/>
    <w:bookmarkEnd w:id="72"/>
    <w:p>
      <w:pPr>
        <w:jc w:val="both"/>
        <w:ind w:firstLine="224"/>
        <w:spacing w:after="0" w:line="257"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2"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Company’s net cash used in or provided by operating activities is affected by a number of factors, including: (i) the level of cash collections from customers in respect of existing IMAX Theater System sale and lease agreements, (ii) the amount of upfront payments collected from newly signed IMAX Theater System sale and lease agreements,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43"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totaled $30.8 million for the nine months ended September 30, 2020 as compared to net cash provided by operating activities of $67.3 million for the nine months ended September 30, 2019. In the nine months ended September 30, 2020, the net cash outflow from operating activities is principally due to the significant decrease in the Company’s revenue and earnings as a result of the COVID-19 global pandemic. In addition, the Company has experienced a slowdown in manufacturing, shipments and installation of IMAX Theater Systems at customer sites, resulting in an increase in inventories. These cash outflows are partially offset by a $30.4 million decrease in accounts receivable.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2"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totaled $7.6 million for the nine months ended September 30, 2020, which includes $5.3 million invested in equipment to be used in the Company’s joint revenue sharing arrangements with exhibitors. In addition, the Company acquired $1.7 million of intangible assets, principally related to the purchase or development of software, and purchased $0.7 million of property, plant and equipment. In the nine months ended September 30, 2019, net cash used in investing activities totaled $53.7 million including the purchase by IMAX China (Hong Kong), Limited, a wholly-owned subsidiary of IMAX China of equity securities in Maoyan for $15.2 million.</w:t>
      </w:r>
    </w:p>
    <w:p>
      <w:pPr>
        <w:spacing w:after="0" w:line="143"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Capital expenditures, including the Company’s investment in joint revenue sharing equipment, purchase of property, plant and equipment, other intangible assets and investments in film assets were $13.8 million for the nine months ended September 30, 2020 as compared to $53.9 million for the nine months ended September 30, 2019.</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2"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Net cash provided by financing activities totaled $233.5 million for the nine months ended September 30, 2020, as compared to $53.4 million used in financing activities in the nine months ended September 30, 2019. During the nine months ended September 30, 2020, the net cash provided by financing activities was principally due to the $280.0 million in Credit Facility borrowings drawn in the first quarter of 2020, as discussed above, and $0.2 million drawn on IMAX China’s Working Capital Facility, partially offset by $36.6 million paid to repurchase common shares under the Company’s share repurchase program, $3.3 million paid to purchase treasury stock for the settlement of restricted share units and related taxes, $1.5 million for the repurchase of common shares under the IMAX China share repurchase program, $4.2 million of dividends paid to the non-controlling interest shareholders of IMAX China and $1.0 million in credit agreement amendment fees.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at September 30, 2020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2"/>
        </w:trPr>
        <w:tc>
          <w:tcPr>
            <w:tcW w:w="5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35,758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19,890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8,366</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15"/>
                <w:szCs w:val="15"/>
                <w:color w:val="auto"/>
              </w:rPr>
              <w:t>(4)</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Facility</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378,369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326,011</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4,046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20" w:hanging="373"/>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1" w:lineRule="exact"/>
        <w:rPr>
          <w:rFonts w:ascii="Times New Roman" w:cs="Times New Roman" w:eastAsia="Times New Roman" w:hAnsi="Times New Roman"/>
          <w:sz w:val="18"/>
          <w:szCs w:val="18"/>
          <w:color w:val="auto"/>
        </w:rPr>
      </w:pPr>
    </w:p>
    <w:p>
      <w:pPr>
        <w:jc w:val="both"/>
        <w:ind w:left="380" w:hanging="373"/>
        <w:spacing w:after="0" w:line="247"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the SERP, covering Mr. Gelfond, with a fixed benefit payable of $20.3 million. The table above assumes that Mr. Gelfond will receive a lump sum payment of $20.3 million six months after retirement at the end of the term of his current employment agreement (December 31, 2022) in accordance with the terms of the SERP, although Mr. Gelfond has not informed the Company that he intends to retire at that time.</w:t>
      </w:r>
    </w:p>
    <w:p>
      <w:pPr>
        <w:spacing w:after="0" w:line="2" w:lineRule="exact"/>
        <w:rPr>
          <w:rFonts w:ascii="Times New Roman" w:cs="Times New Roman" w:eastAsia="Times New Roman" w:hAnsi="Times New Roman"/>
          <w:sz w:val="18"/>
          <w:szCs w:val="18"/>
          <w:color w:val="auto"/>
        </w:rPr>
      </w:pPr>
    </w:p>
    <w:p>
      <w:pPr>
        <w:ind w:left="380" w:hanging="373"/>
        <w:spacing w:after="0" w:line="247"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minimum annual rental payments to be made under operating leases, mostly consisting of rent at the Company’s property in New York and at the various owned and operated theaters.</w:t>
      </w:r>
    </w:p>
    <w:p>
      <w:pPr>
        <w:spacing w:after="0" w:line="1"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make any minimum payments on the Credit Facility.</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Pension and Postretirement Obligations</w:t>
      </w:r>
    </w:p>
    <w:p>
      <w:pPr>
        <w:spacing w:after="0" w:line="19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SERP, covering Mr. Gelfond. Pursuant to an amendment dated November 1, 2019 to an existing employment agreement, the term of Mr. Gelfond’s employment was extended through December 31, 2022, although Mr. Gelfond has not informed the Company that he intends to retire at that time. Under the terms of the amendment to his employment agreement, the total amount of benefit payable to Mr. Gelfond under the SERP has been fixed at $20.3 million. As at September 30, 2020, the Company’s Condensed Consolidated Balance Sheet includes the present value of the related benefit obligation of approximately $19.1 million recorded within accrued and other liabilities (December 31, 2019— $18.8 million).</w:t>
      </w:r>
    </w:p>
    <w:p>
      <w:pPr>
        <w:spacing w:after="0" w:line="14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has a postretirement plan to provide health and welfare benefits to Canadian employees meeting certain eligibility requirements. As at September 30, 2020, the Company’s Condensed Consolidated Balance Sheet includes an unfunded benefit obligation of $1.5 million recorded within accrued and other liabilities (December 31, 2019 — $1.6 million).</w:t>
      </w:r>
    </w:p>
    <w:p>
      <w:pPr>
        <w:spacing w:after="0" w:line="13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In July 2000, the Company agreed to maintain health benefits for Messrs. Gelfond and Bradley J. Wechsler, the Company’s former Co-CEO and current Chairman of its Board of Directors, upon retirement. As at September 30, 2020, the Company’s Condensed Consolidated Balance Sheet includes an unfunded benefit obligation of $0.6 million recorded within accrued and other liabilities (December 31, 2019 — $0.7 million).</w:t>
      </w:r>
    </w:p>
    <w:p>
      <w:pPr>
        <w:spacing w:after="0" w:line="150"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at December 31, 2018 and the accelerated costs were recognized and reflected in Executive Transition Costs in the Consolidated Statement of Operations.</w:t>
      </w:r>
    </w:p>
    <w:p>
      <w:pPr>
        <w:spacing w:after="0" w:line="143"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As at September 30, 2020, the benefit obligation related to the Retirement Plan was $3.6 million (December 31, 2019 — $3.6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74" w:name="page75"/>
    <w:bookmarkEnd w:id="74"/>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at September 30, 2020, fair value of the COLI asset was $3.1 million (December 31, 2019 — $3.2 million). Gains and losses resulting from changes in the cash surrender value of the COLI asset are recognized in the Condensed Consolidated Statement of Operations within Gain (Loss) In Fair Value of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4" w:lineRule="exact"/>
        <w:rPr>
          <w:sz w:val="20"/>
          <w:szCs w:val="20"/>
          <w:color w:val="auto"/>
        </w:rPr>
      </w:pPr>
    </w:p>
    <w:p>
      <w:pPr>
        <w:jc w:val="both"/>
        <w:ind w:right="20" w:firstLine="225"/>
        <w:spacing w:after="0" w:line="277" w:lineRule="auto"/>
        <w:rPr>
          <w:sz w:val="20"/>
          <w:szCs w:val="20"/>
          <w:color w:val="auto"/>
        </w:rPr>
      </w:pPr>
      <w:r>
        <w:rPr>
          <w:rFonts w:ascii="Times New Roman" w:cs="Times New Roman" w:eastAsia="Times New Roman" w:hAnsi="Times New Roman"/>
          <w:sz w:val="18"/>
          <w:szCs w:val="18"/>
          <w:color w:val="auto"/>
        </w:rPr>
        <w:t>See Note 3 of Notes to Condensed Consolidated Financial Statements in Item 1 for a discussion of recently issued accounting standards and their impact on the Company’s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U.S. Securities and Exchange Commission rules. Specifically, the Company presents the following non-GAAP financial measures as supplemental measures of its performance:</w:t>
      </w:r>
    </w:p>
    <w:p>
      <w:pPr>
        <w:spacing w:after="0" w:line="177" w:lineRule="exact"/>
        <w:rPr>
          <w:sz w:val="20"/>
          <w:szCs w:val="20"/>
          <w:color w:val="auto"/>
        </w:rPr>
      </w:pPr>
    </w:p>
    <w:p>
      <w:pPr>
        <w:ind w:left="580" w:hanging="359"/>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income attributable to common shareholders;</w:t>
      </w:r>
    </w:p>
    <w:p>
      <w:pPr>
        <w:spacing w:after="0" w:line="247"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income attributable to common shareholders per basic and diluted share;</w:t>
      </w:r>
    </w:p>
    <w:p>
      <w:pPr>
        <w:spacing w:after="0" w:line="220"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47" w:lineRule="exact"/>
        <w:rPr>
          <w:rFonts w:ascii="Times New Roman" w:cs="Times New Roman" w:eastAsia="Times New Roman" w:hAnsi="Times New Roman"/>
          <w:sz w:val="18"/>
          <w:szCs w:val="18"/>
          <w:color w:val="auto"/>
        </w:rPr>
      </w:pPr>
    </w:p>
    <w:p>
      <w:pPr>
        <w:ind w:left="580" w:hanging="359"/>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180"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Adjusted net (loss) income attributable to common shareholders and adjusted net (loss) income attributable to common shareholders per basic and diluted share exclude, where applicable: (i) share-based compensation; (ii) exit costs, restructuring charges and associated impairments, (iii) gain (loss) in the fair value of investments, (iv) COVID-19 government relief benefits, as well as the related tax impact of these adjustments, and (v) the income tax effects related to the removal of the indefinitely reinvested assertion on the historical earnings of certain subsidiaries.</w:t>
      </w:r>
    </w:p>
    <w:p>
      <w:pPr>
        <w:spacing w:after="0" w:line="142"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The Company believes that these non-GAAP financial measures are important supplemental measures that allow management and users of the Company’s financial statements to </w:t>
      </w:r>
      <w:r>
        <w:rPr>
          <w:rFonts w:ascii="Times New Roman" w:cs="Times New Roman" w:eastAsia="Times New Roman" w:hAnsi="Times New Roman"/>
          <w:sz w:val="18"/>
          <w:szCs w:val="18"/>
          <w:color w:val="212529"/>
        </w:rPr>
        <w:t>view operating trends and analyze controllable operating performance on a comparable basis between periods without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after-tax impact of share-based compensation and </w:t>
      </w:r>
      <w:r>
        <w:rPr>
          <w:rFonts w:ascii="Times New Roman" w:cs="Times New Roman" w:eastAsia="Times New Roman" w:hAnsi="Times New Roman"/>
          <w:sz w:val="18"/>
          <w:szCs w:val="18"/>
          <w:color w:val="000000"/>
        </w:rPr>
        <w:t>certain unusual items included in net (loss) income attributable to common shareholders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Although share-based compensation is an important aspect of the Company’s employee and executive compensation packages, it is a non-cash expense and is excluded from certain internal business performance measures.</w:t>
      </w:r>
    </w:p>
    <w:p>
      <w:pPr>
        <w:spacing w:after="0" w:line="156"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 reconciliation of net (loss) income attributable to common shareholders and the comparable per share amounts, the most directly comparable GAAP measures, to adjusted net (loss) income attributable to common shareholders and adjusted net (loss) income attributable to common shareholders per diluted share is presented in the table below. The Company believes that net (loss) income attributable to common shareholders is the most directly comparable GAAP measure because it reflects the earnings relevant to the Company’s shareholders, rather than including the non-controlling interest. As such, beginning in the first quarter of 2020, the Company has updated the reconciliations for such non-GAAP financial measures included herein.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2"/>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 except per share amounts)</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7"/>
              </w:rPr>
              <w:t>Diluted EPS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net (loss) income attributable to common shareholders</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loss in fair value of investments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COVID-19 government relief benefits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effects related to the removal of the indefinitely reinvested</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assertion on the historical earnings of certain subsidiaries</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(loss) income</w:t>
            </w:r>
            <w:r>
              <w:rPr>
                <w:rFonts w:ascii="Times New Roman" w:cs="Times New Roman" w:eastAsia="Times New Roman" w:hAnsi="Times New Roman"/>
                <w:sz w:val="15"/>
                <w:szCs w:val="15"/>
                <w:color w:val="auto"/>
              </w:rPr>
              <w:t>(1)</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4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6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6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1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96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61,304</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61,479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 except per share amounts)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net (loss) income attributable to common shareholders</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(122,530)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Exit costs, restructuring charges and associated impairments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in fair value of investments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COVID-19 government relief benefits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impact on items listed above</w:t>
            </w: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effects related to the removal of the indefinitely reinvested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assertion on the historical earnings of certain subsidiaries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 income</w:t>
            </w:r>
            <w:r>
              <w:rPr>
                <w:rFonts w:ascii="Times New Roman" w:cs="Times New Roman" w:eastAsia="Times New Roman" w:hAnsi="Times New Roman"/>
                <w:sz w:val="15"/>
                <w:szCs w:val="15"/>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59,360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61,337</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3"/>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attributable to common shareholders.</w:t>
      </w:r>
    </w:p>
    <w:p>
      <w:pPr>
        <w:spacing w:after="0" w:line="25" w:lineRule="exact"/>
        <w:rPr>
          <w:rFonts w:ascii="Times New Roman" w:cs="Times New Roman" w:eastAsia="Times New Roman" w:hAnsi="Times New Roman"/>
          <w:sz w:val="18"/>
          <w:szCs w:val="18"/>
          <w:color w:val="auto"/>
        </w:rPr>
      </w:pPr>
    </w:p>
    <w:p>
      <w:pPr>
        <w:ind w:left="380" w:hanging="373"/>
        <w:spacing w:after="0" w:line="255"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impact on the listed items includes a year-to-date additive adjustment in the current year related to the valuation allowance recorded in respect of certain deferred tax assets in the three months ended September 30, 2020.</w:t>
      </w:r>
    </w:p>
    <w:p>
      <w:pPr>
        <w:spacing w:after="0" w:line="142"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against its Credit Agreement requirements in the current period, if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6" w:name="page77"/>
    <w:bookmarkEnd w:id="76"/>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EBITDA is defined as net (loss) income excluding: (i) interest expense, net of interest income; (ii) income tax (benefit) expense; and (iii) depreciation and amortization, including film asset amortization. Adjusted EBITDA per Credit Facility is defined as EBITDA excluding: (i) share-based and other non-cash compensation; (ii) gain (loss) in fair value of investments; (iii) write-downs, net of recoveries, including asset impairments and credit loss expense; and (iv) (gain) loss from equity accounted investments.</w:t>
      </w:r>
    </w:p>
    <w:p>
      <w:pPr>
        <w:spacing w:after="0" w:line="155"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A reconciliation of net loss attributable to common shareholders, the most directly comparable GAAP measure, to EBITDA and Adjusted EBITDA per Credit Facility is presented in the table below. The Company believes that net loss attributable to common shareholders is the most directly comparable GAAP measure because it reflects the earnings relevant to the Company’s shareholders, rather than including the non-controlling interest. As such, beginning in the first quarter of 2020, the Company has updated the reconciliations for such non-GAAP financial measures included herein.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For the Three Months Ended September 30, 2020 </w:t>
            </w:r>
            <w:r>
              <w:rPr>
                <w:rFonts w:ascii="Times New Roman" w:cs="Times New Roman" w:eastAsia="Times New Roman" w:hAnsi="Times New Roman"/>
                <w:sz w:val="12"/>
                <w:szCs w:val="12"/>
                <w:b w:val="1"/>
                <w:bCs w:val="1"/>
                <w:color w:val="auto"/>
              </w:rPr>
              <w:t>(1)</w:t>
            </w:r>
          </w:p>
        </w:tc>
      </w:tr>
      <w:tr>
        <w:trPr>
          <w:trHeight w:val="236"/>
        </w:trPr>
        <w:tc>
          <w:tcPr>
            <w:tcW w:w="1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 and</w:t>
            </w:r>
          </w:p>
        </w:tc>
        <w:tc>
          <w:tcPr>
            <w:tcW w:w="140" w:type="dxa"/>
            <w:vAlign w:val="bottom"/>
          </w:tcPr>
          <w:p>
            <w:pPr>
              <w:spacing w:after="0"/>
              <w:rPr>
                <w:sz w:val="19"/>
                <w:szCs w:val="19"/>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10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Attributable to</w:t>
            </w:r>
          </w:p>
        </w:tc>
      </w:tr>
      <w:tr>
        <w:trPr>
          <w:trHeight w:val="212"/>
        </w:trPr>
        <w:tc>
          <w:tcPr>
            <w:tcW w:w="1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1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Shareholders</w:t>
            </w:r>
          </w:p>
        </w:tc>
      </w:tr>
      <w:tr>
        <w:trPr>
          <w:trHeight w:val="220"/>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net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(48,484)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(47,209)</w:t>
            </w:r>
          </w:p>
        </w:tc>
      </w:tr>
      <w:tr>
        <w:trPr>
          <w:trHeight w:val="22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20" w:type="dxa"/>
            <w:vAlign w:val="bottom"/>
            <w:shd w:val="clear" w:color="auto" w:fill="CFF0FC"/>
          </w:tcPr>
          <w:p>
            <w:pPr>
              <w:spacing w:after="0"/>
              <w:rPr>
                <w:sz w:val="19"/>
                <w:szCs w:val="19"/>
                <w:color w:val="auto"/>
              </w:rPr>
            </w:pPr>
          </w:p>
        </w:tc>
      </w:tr>
      <w:tr>
        <w:trPr>
          <w:trHeight w:val="220"/>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in fair value of investments</w:t>
            </w:r>
          </w:p>
        </w:tc>
        <w:tc>
          <w:tcPr>
            <w:tcW w:w="8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w:t>
            </w: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from equity accounted investments</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9"/>
                <w:szCs w:val="19"/>
                <w:color w:val="auto"/>
              </w:rPr>
            </w:pPr>
          </w:p>
        </w:tc>
      </w:tr>
      <w:tr>
        <w:trPr>
          <w:trHeight w:val="220"/>
        </w:trPr>
        <w:tc>
          <w:tcPr>
            <w:tcW w:w="5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8"/>
        </w:trPr>
        <w:tc>
          <w:tcPr>
            <w:tcW w:w="1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For the Twelve Months Ended September 30, 2020 </w:t>
            </w:r>
            <w:r>
              <w:rPr>
                <w:rFonts w:ascii="Times New Roman" w:cs="Times New Roman" w:eastAsia="Times New Roman" w:hAnsi="Times New Roman"/>
                <w:sz w:val="12"/>
                <w:szCs w:val="12"/>
                <w:b w:val="1"/>
                <w:bCs w:val="1"/>
                <w:color w:val="auto"/>
              </w:rPr>
              <w:t>(1)</w:t>
            </w:r>
          </w:p>
        </w:tc>
      </w:tr>
      <w:tr>
        <w:trPr>
          <w:trHeight w:val="236"/>
        </w:trPr>
        <w:tc>
          <w:tcPr>
            <w:tcW w:w="1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 and</w:t>
            </w:r>
          </w:p>
        </w:tc>
        <w:tc>
          <w:tcPr>
            <w:tcW w:w="140" w:type="dxa"/>
            <w:vAlign w:val="bottom"/>
          </w:tcPr>
          <w:p>
            <w:pPr>
              <w:spacing w:after="0"/>
              <w:rPr>
                <w:sz w:val="19"/>
                <w:szCs w:val="19"/>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10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Attributable to</w:t>
            </w:r>
          </w:p>
        </w:tc>
      </w:tr>
      <w:tr>
        <w:trPr>
          <w:trHeight w:val="212"/>
        </w:trPr>
        <w:tc>
          <w:tcPr>
            <w:tcW w:w="1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1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Shareholders</w:t>
            </w:r>
          </w:p>
        </w:tc>
      </w:tr>
      <w:tr>
        <w:trPr>
          <w:trHeight w:val="215"/>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(104,359)</w:t>
            </w:r>
          </w:p>
        </w:tc>
      </w:tr>
      <w:tr>
        <w:trPr>
          <w:trHeight w:val="227"/>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20" w:type="dxa"/>
            <w:vAlign w:val="bottom"/>
            <w:tcBorders>
              <w:bottom w:val="single" w:sz="8" w:color="CFF0FC"/>
            </w:tcBorders>
          </w:tcPr>
          <w:p>
            <w:pPr>
              <w:spacing w:after="0"/>
              <w:rPr>
                <w:sz w:val="19"/>
                <w:szCs w:val="19"/>
                <w:color w:val="auto"/>
              </w:rPr>
            </w:pPr>
          </w:p>
        </w:tc>
      </w:tr>
      <w:tr>
        <w:trPr>
          <w:trHeight w:val="220"/>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(23,024)</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in fair value of investments</w:t>
            </w:r>
          </w:p>
        </w:tc>
        <w:tc>
          <w:tcPr>
            <w:tcW w:w="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r>
      <w:tr>
        <w:trPr>
          <w:trHeight w:val="227"/>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24,153</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equity accounted investments</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FF0FC"/>
          </w:tcPr>
          <w:p>
            <w:pPr>
              <w:spacing w:after="0"/>
              <w:rPr>
                <w:sz w:val="19"/>
                <w:szCs w:val="19"/>
                <w:color w:val="auto"/>
              </w:rPr>
            </w:pPr>
          </w:p>
        </w:tc>
      </w:tr>
      <w:tr>
        <w:trPr>
          <w:trHeight w:val="22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1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22" w:lineRule="exact"/>
        <w:rPr>
          <w:sz w:val="20"/>
          <w:szCs w:val="20"/>
          <w:color w:val="auto"/>
        </w:rPr>
      </w:pPr>
    </w:p>
    <w:p>
      <w:pPr>
        <w:jc w:val="both"/>
        <w:ind w:left="380" w:hanging="373"/>
        <w:spacing w:after="0" w:line="257"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Net Leverage Ratio calculated using twelve months ended Adjusted EBITDA per Credit Facility. During the second quarter of 2020, the Company entered into the Amendment to the Credit Facility Agreement which provides for, among other things, the suspension of the Senior Secured Net Leverage Ratio financial covenant through the first quarter of 2021. For more information see Note 7 of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7" w:name="page78"/>
    <w:bookmarkEnd w:id="77"/>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as a substitute for, or superior to, the comparable GAAP amounts.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98"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84" w:lineRule="exact"/>
        <w:rPr>
          <w:sz w:val="20"/>
          <w:szCs w:val="20"/>
          <w:color w:val="auto"/>
        </w:rPr>
      </w:pPr>
    </w:p>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82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Multimedia Technology Co., Ltd. In Japan, the Company has ongoing Yen-denominated operating expenses related to its Japanese operations. Net Renminbi and Japanese Yen cash flows are converted to U.S. dollars through the spot market. The Company also has cash receipts under leases denominated in Renminbi, Japanese Yen, Euros and Canadian dollars.</w:t>
      </w:r>
    </w:p>
    <w:p>
      <w:pPr>
        <w:spacing w:after="0" w:line="158"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the Company’s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37"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Certain of the Company’s subsidiaries held approximately 420.9 million Renminbi ($62.6 million) in cash and cash equivalents as at September 30, 2020 (December 31, 2019 — 471.6 million Renminbi or $67.6 million) and are required to transact locally in Renminbi.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China government are beyond the control of the Company; however, the Company monitors and manages its capital and liquidity requirements to ensure compliance with local regulatory and policy requirements.</w:t>
      </w:r>
    </w:p>
    <w:p>
      <w:pPr>
        <w:spacing w:after="0" w:line="147"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recorded a foreign exchange net gain of $0.2 million and net loss of ($0.8) million, respectively, as compared to a foreign exchange net loss of ($0.7) million and ($1.1) million for the three and nine months ended September 30, 2019, respectively, associated with the translation of foreign currency denominated monetary assets and liabilities.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8" w:name="page79"/>
    <w:bookmarkEnd w:id="78"/>
    <w:p>
      <w:pPr>
        <w:jc w:val="both"/>
        <w:ind w:firstLine="225"/>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Company’s risks associated with the volatility of foreign currencies. The forward contracts have settlement dates throughout the remainder of 2020 and 2021. Foreign currency derivatives are recognized and measured in the balance sheet at fair value. Changes in the fair value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Any ineffective portion is recognized immediately in the Condensed Consolidated Statement of Operations.</w:t>
      </w:r>
    </w:p>
    <w:p>
      <w:pPr>
        <w:spacing w:after="0" w:line="158"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at September 30, 2020 was $36.7 million (December 31, 2019 — $36.1 million). A gain of $0.6 million and a loss of ($0.9) million was recorded to Other Comprehensive Income with respect to the change in fair value of these contracts for the three and nine months ended September 30, 2020, respectively (2019 — loss of ($0.5) million and a loss of ($0.2) million, respectively). A loss of ($0.1) million and a loss of ($0.8) million was reclassified from Accumulated Other Comprehensive Income to Selling, General and Administrative Expenses, Inventories and Property, Plant and Equipment for the three and nine months ended September 30, 2020, respectively (2019 — loss of ($0.3) million and a loss of ($1.0) million, respectively). The Company's estimated net amount of existing gains as at September 30, 2020 is $0.5 million, which is expected to be reclassified to earnings within the next twelve months. Appreciation or depreciation on forward contracts not meeting the requirements for hedge accounting in the Derivatives and Hedging Topic of the FASB Accounting Standards Codification are recorded to Selling, General and Administrative Expenses. The notional value of forward contracts that do not qualify for hedge accounting at September 30, 2020 was $3.5 million (December 31, 2019 — $nil).</w:t>
      </w:r>
    </w:p>
    <w:p>
      <w:pPr>
        <w:spacing w:after="0" w:line="146"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23"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At September 30, 2020, the Company’s financing receivables and working capital items denominated in Canadian dollars, Renminbi, Japanese yen, Euros and other foreign currencies translated into U.S. dollars was $141.3 million. Assuming a 10% appreciation or depreciation in foreign currency exchange rates from the quoted foreign currency exchange rates at September 30, 2020, the potential change in the fair value of foreign currency-denominated financing receivables and working capital items would have been $14.1 million. A significant portion of the Company’s selling, general, and administrative expenses is denominated in Canadian dollars. Assuming a 1% appreciation or depreciation in foreign currency exchange rates at September 30, 2020, the potential change in the amount of selling, general, and administrative expenses would be $0.1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184"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The Company’s earnings are also affected by changes in interest rates due to the impact those changes have on its interest income from cash, and its interest expense from variable-rate borrowings under the Credit Facility.</w:t>
      </w:r>
    </w:p>
    <w:p>
      <w:pPr>
        <w:spacing w:after="0" w:line="123" w:lineRule="exact"/>
        <w:rPr>
          <w:sz w:val="20"/>
          <w:szCs w:val="20"/>
          <w:color w:val="auto"/>
        </w:rPr>
      </w:pPr>
    </w:p>
    <w:p>
      <w:pPr>
        <w:jc w:val="both"/>
        <w:ind w:firstLine="225"/>
        <w:spacing w:after="0" w:line="277" w:lineRule="auto"/>
        <w:rPr>
          <w:sz w:val="20"/>
          <w:szCs w:val="20"/>
          <w:color w:val="auto"/>
        </w:rPr>
      </w:pPr>
      <w:r>
        <w:rPr>
          <w:rFonts w:ascii="Times New Roman" w:cs="Times New Roman" w:eastAsia="Times New Roman" w:hAnsi="Times New Roman"/>
          <w:sz w:val="18"/>
          <w:szCs w:val="18"/>
          <w:color w:val="auto"/>
        </w:rPr>
        <w:t>As at September 30, 2020, the Company had drawn down $300.0 million on its Credit Facility (December 31, 2019 — $20.0 million) and $0.3 million on IMAX China’s Working Capital Facility (December 31, 2019 — $nil).</w:t>
      </w:r>
    </w:p>
    <w:p>
      <w:pPr>
        <w:spacing w:after="0" w:line="137"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Company’s largest exposure with respect to variable rate debt comes from changes in the LIBOR. The Company had variable rate debt instruments representing 56.3% and 8.1% of its total liabilities as at September 30, 2020 and December 31, 2019, respectively. If the interest rates available to the Company increased by 10%, the Company’s interest expense would increase by $0.4 million and interest income from cash would increase by $0.2 million. These amounts are determined by considering the impact of the hypothetical interest rates on the Company’s variable rate debt and cash balances at September 30, 2020.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4"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47"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at September 30, 2020 and has concluded that, as at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4" w:lineRule="exact"/>
        <w:rPr>
          <w:sz w:val="20"/>
          <w:szCs w:val="20"/>
          <w:color w:val="auto"/>
        </w:rPr>
      </w:pPr>
    </w:p>
    <w:p>
      <w:pPr>
        <w:jc w:val="both"/>
        <w:ind w:firstLine="225"/>
        <w:spacing w:after="0" w:line="25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September 30, 2020, that have materially affected, or are reasonably likely to materially affect, the Company’s internal control over financial reporting. The Company has not experienced any material impact to its internal control over financial reporting despite the fact that most of its employees are working remotely due to the COVID-19 pandemic. The Company will continue to monitor the evolving COVID-19 situation to minimize its impact on the design and operating effectiveness of the Company’s internal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98" w:lineRule="exact"/>
        <w:rPr>
          <w:sz w:val="20"/>
          <w:szCs w:val="20"/>
          <w:color w:val="auto"/>
        </w:rPr>
      </w:pPr>
    </w:p>
    <w:p>
      <w:pPr>
        <w:jc w:val="both"/>
        <w:ind w:firstLine="224"/>
        <w:spacing w:after="0" w:line="277" w:lineRule="auto"/>
        <w:rPr>
          <w:sz w:val="20"/>
          <w:szCs w:val="20"/>
          <w:color w:val="auto"/>
        </w:rPr>
      </w:pPr>
      <w:r>
        <w:rPr>
          <w:rFonts w:ascii="Times New Roman" w:cs="Times New Roman" w:eastAsia="Times New Roman" w:hAnsi="Times New Roman"/>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8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This Form 10-Q and the risk factor below should be read together with, and supplement, the risk factors in Item 1A. Risk Factors in the Company’s 2019 Form 10-K, which describes various risks and uncertainties to which the Company is or may become subject, and the risk factor below supersedes the risk factor disclosed in Item 1A of the Company’s Quarterly Report on Form 10-Q for the quarterly period ended June 30, 2020. The risks described below and in the Company’s 2019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5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9"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8"/>
          <w:szCs w:val="18"/>
          <w:color w:val="212529"/>
        </w:rPr>
        <w:t>In late-January 2020, in response to the public health risks associated with an outbreak of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Hollywood and Chinese movie studios have postponed the theatrical release of multiple films, including many scheduled to be shown in IMAX theaters</w:t>
      </w:r>
      <w:r>
        <w:rPr>
          <w:rFonts w:ascii="Times New Roman" w:cs="Times New Roman" w:eastAsia="Times New Roman" w:hAnsi="Times New Roman"/>
          <w:sz w:val="18"/>
          <w:szCs w:val="18"/>
          <w:color w:val="000000"/>
        </w:rPr>
        <w:t>, while certain other films have been released directly to streaming platforms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More recently, stay-at-home orders have been lifted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many countries and movie theaters throughout the IMAX network gradually reopened in the third quarter of 2020 with reduced capacities, physical distancing requirements, and other safety measures. During the third quarter of 2020, approximately 85% of the theaters in the IMAX commercial multiplex network spanning 57 countries reopened, including 73% of the theaters in Domestic (i.e., United States and Canada) locations, 97% of the theaters in Greater China and 78% of the theaters in Rest of World markets. However, ticket sales were significantly lower than normal levels in theaters outside of Asia and, in recent weeks, Hollywood movie studios further delayed a number of films due to be released in the fourth quarter of 2020. As a result, certain theater chains have recently closed again or have reduced their operating hours. In addition, theaters in major markets such as New York City and Los Angeles continue to remain temporarily closed.</w:t>
      </w:r>
    </w:p>
    <w:p>
      <w:pPr>
        <w:spacing w:after="0" w:line="187" w:lineRule="exact"/>
        <w:rPr>
          <w:sz w:val="20"/>
          <w:szCs w:val="20"/>
          <w:color w:val="auto"/>
        </w:rPr>
      </w:pPr>
    </w:p>
    <w:p>
      <w:pPr>
        <w:jc w:val="both"/>
        <w:ind w:firstLine="255"/>
        <w:spacing w:after="0" w:line="251" w:lineRule="auto"/>
        <w:rPr>
          <w:sz w:val="20"/>
          <w:szCs w:val="20"/>
          <w:color w:val="auto"/>
        </w:rPr>
      </w:pPr>
      <w:r>
        <w:rPr>
          <w:rFonts w:ascii="Times New Roman" w:cs="Times New Roman" w:eastAsia="Times New Roman" w:hAnsi="Times New Roman"/>
          <w:sz w:val="18"/>
          <w:szCs w:val="18"/>
          <w:color w:val="212529"/>
        </w:rPr>
        <w:t>The repercussions of the COVID-19 global pandemic have resulted in a significant decrease in the Company’s revenues, earnings, and operating cash flows during the first three quarters of 2020 due to a decline in the box office related revenues from its joint revenue sharing arrangements and digital remastering services, delays in the installation of certain theater systems and suspension of maintenance services. During this period, the Company is generating significantly lower than normal levels of box-office based revenue and expects that it will continue to experience a significant decrease in overall revenues and earnings during the time period when a significant number of the theaters in the IMAX network are closed. Moreover, given the uncertainty around when movie-going will return to historical levels, there can be no guarantees that the Company will not continue to be significantly impacted by the COVID-19 global pandemic even after some or all theaters are reopened. In addition, the global economic impact of COVID-19 has resulted in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such time as consumer behavior normalizes and consumer spending recovers.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1" w:name="page82"/>
    <w:bookmarkEnd w:id="81"/>
    <w:p>
      <w:pPr>
        <w:jc w:val="both"/>
        <w:ind w:firstLine="225"/>
        <w:spacing w:after="0" w:line="249" w:lineRule="auto"/>
        <w:rPr>
          <w:sz w:val="20"/>
          <w:szCs w:val="20"/>
          <w:color w:val="auto"/>
        </w:rPr>
      </w:pPr>
      <w:r>
        <w:rPr>
          <w:rFonts w:ascii="Times New Roman" w:cs="Times New Roman" w:eastAsia="Times New Roman" w:hAnsi="Times New Roman"/>
          <w:sz w:val="18"/>
          <w:szCs w:val="18"/>
          <w:color w:val="auto"/>
        </w:rPr>
        <w:t>In response to uncertainties associated with the COVID-19 global pandemic, the Company has taken and is continuing to take significant steps to preserve cash by eliminating non-essential costs, placing certain employees on a temporary furlough for at least the remainder of the current fiscal year, reducing the working hours of other employees and deferring all non-essential capital expenditures to minimum levels. The Company has also implemented an active cash management process, which, among other things, requires senior management approval of all outgoing payments. In addition, in the first quarter of 2020, the Company drew down the $280.0 million in remaining available borrowing capacity under its credit facility, which was then amended in June 2020 to, among other things, suspend the senior secured net leverage ratio financial covenant in the underlying credit agreement through the first quarter of 2021 and substitute quarterly EBITDA from the third and fourth quarters of 2019 in lieu of the EBITDA for the corresponding quarters of 2020 to meet the original senior secured net leverage ratio financial covenant. Furthermore, the Company has applied for wage subsidies, tax credits and other financial support under the enacted COVID-19 relief legislation in the countries in which it operates. There can, however, be no guarantees that the steps the Company has taken and continues to take to preserve cash and manage its expenditures will result in the cost savings the Company anticipates. There can also be no guarantees that any wage subsidies, tax credits and other financial support or any other governmental benefits and support for which the Company is eligible domestically or internationally under newly enacted COVID-19 relief legislation in the countries in which the Company operates will materialize in the amounts expected. The Company cannot predict the manner in which such benefits will be allocated or administered, and the Company cannot guarantee that it will be able to access such benefits in a timely manner or at all. Certain of the benefits the Company seeks to access or may apply for in the future have not previously been administered on the present scale or at all. Any benefits the Company expects to receive, or may apply for in the future, may not be at the same levels as currently estimated, may impose additional conditions and restrictions on the Company’s operations or may otherwise provide less relief than currently contemplated. There can be no guarantees that the Company will receive any additional material financial support through these or other programs that may be created, expanded or implemented by governments in the countries in which the Company operates.</w:t>
      </w:r>
    </w:p>
    <w:p>
      <w:pPr>
        <w:spacing w:after="0" w:line="195"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8"/>
          <w:szCs w:val="18"/>
          <w:color w:val="212529"/>
        </w:rPr>
        <w:t xml:space="preserve">In addition, the Company has experienced and is likely to continue to experience delays in collecting payments due under existing theater sale or lease arrangements from its exhibitor partners who are now facing financial difficulties as a result of the theater closures. Certain of the Company’s </w:t>
      </w:r>
      <w:r>
        <w:rPr>
          <w:rFonts w:ascii="Times New Roman" w:cs="Times New Roman" w:eastAsia="Times New Roman" w:hAnsi="Times New Roman"/>
          <w:sz w:val="18"/>
          <w:szCs w:val="18"/>
          <w:color w:val="000000"/>
        </w:rPr>
        <w:t>exhibitor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partners that had reopened theaters have temporarily suspended operations of their theater network in certain jurisdictions and other exhibitor partners have reduced their theaters’ operating hours, which may exacerbate existing financial difficulties. Other exhibitor partners in the future may make similar decisions to close all or part of their global theater networks or to reduce their operating hours if the COVID-19 pandemic continues and Hollywood movie studios continue to delay the release of new films, or for other reasons, which would further increase the risks associated with payments under existing agreements with the Company. </w:t>
      </w:r>
      <w:r>
        <w:rPr>
          <w:rFonts w:ascii="Times New Roman" w:cs="Times New Roman" w:eastAsia="Times New Roman" w:hAnsi="Times New Roman"/>
          <w:sz w:val="18"/>
          <w:szCs w:val="18"/>
          <w:color w:val="212529"/>
        </w:rPr>
        <w:t>The ability of such partners to make payments cannot be guaranteed and is subject to changing economic circumstances.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There are no guarantees that due to such theater closures and other challenges in the theatrical industry some of the Company’s exhibitor partners will not enter into bankruptcy proceedings. In such cases, the local laws governing restructurings would apply, and there can be no guarantees of the Company’s success in obtaining complete or partial payments owed to it under these regulatory regimes.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91" w:lineRule="exact"/>
        <w:rPr>
          <w:sz w:val="20"/>
          <w:szCs w:val="20"/>
          <w:color w:val="auto"/>
        </w:rPr>
      </w:pPr>
    </w:p>
    <w:p>
      <w:pPr>
        <w:jc w:val="both"/>
        <w:ind w:firstLine="308"/>
        <w:spacing w:after="0" w:line="250" w:lineRule="auto"/>
        <w:rPr>
          <w:sz w:val="20"/>
          <w:szCs w:val="20"/>
          <w:color w:val="auto"/>
        </w:rPr>
      </w:pPr>
      <w:r>
        <w:rPr>
          <w:rFonts w:ascii="Times New Roman" w:cs="Times New Roman" w:eastAsia="Times New Roman" w:hAnsi="Times New Roman"/>
          <w:sz w:val="18"/>
          <w:szCs w:val="18"/>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on the Company will depend on future developments, including, but not limited to, the timing of reopening of movie theaters worldwide and their return to historical levels of attendance, the timing of when new films are released, consumer behavior and general economic conditions, the solvency of the Company’s exhibitor partners, their ability to make timely payments and any potential construction or installation delays involving our exhibitor partners. Such events are highly uncertain and cannot be accurately forecast. Moreover, there can be no guarantees that the Company’s liquidity needs will not increase materially over the course of this pandemic. In addition, liquidity needs as well as other changes to the Company’s business and operations may impact the Company’s ability to maintain compliance with certain covenants under the amended Credit Agreement. The Company may also be subject to impairment losses based on long-term estimated projections. </w:t>
      </w:r>
      <w:r>
        <w:rPr>
          <w:rFonts w:ascii="Times New Roman" w:cs="Times New Roman" w:eastAsia="Times New Roman" w:hAnsi="Times New Roman"/>
          <w:sz w:val="18"/>
          <w:szCs w:val="18"/>
          <w:color w:val="000000"/>
        </w:rPr>
        <w:t>These estimates and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likelihood of future changes in these estimates depend on a number of underlying variables and a range of possible outcomes. Actual results may materially differ from management’s estimates, especially due to the uncertainties associated with the COVID-19 pandemic. </w:t>
      </w:r>
      <w:r>
        <w:rPr>
          <w:rFonts w:ascii="Times New Roman" w:cs="Times New Roman" w:eastAsia="Times New Roman" w:hAnsi="Times New Roman"/>
          <w:sz w:val="18"/>
          <w:szCs w:val="18"/>
          <w:color w:val="212529"/>
        </w:rPr>
        <w:t>If business conditions deteriorate 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or should they remain depressed for a prolonged period of time, management’s estimates of operating results and future cash flows for reporting units may be insufficient to support the goodwill assigned to them, thus requiring impairment charges. Estimates related to future expected credit losses and deferred tax assets could also be materially impacted by changes in estimates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2" w:name="page83"/>
    <w:bookmarkEnd w:id="82"/>
    <w:p>
      <w:pPr>
        <w:jc w:val="both"/>
        <w:ind w:firstLine="255"/>
        <w:spacing w:after="0" w:line="252" w:lineRule="auto"/>
        <w:rPr>
          <w:sz w:val="20"/>
          <w:szCs w:val="20"/>
          <w:color w:val="auto"/>
        </w:rPr>
      </w:pPr>
      <w:r>
        <w:rPr>
          <w:rFonts w:ascii="Times New Roman" w:cs="Times New Roman" w:eastAsia="Times New Roman" w:hAnsi="Times New Roman"/>
          <w:sz w:val="18"/>
          <w:szCs w:val="18"/>
          <w:color w:val="212529"/>
        </w:rPr>
        <w:t xml:space="preserve">The COVID-19 pandemic and public health measures implemented to contain it may also have the effect of heightening many of the other risks described in the Company’s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12529"/>
        </w:rPr>
        <w:t xml:space="preserve"> Form 10-K, including, but not limited to, risks relating to harm to our key personnel, diverting management’s resources and time to addressing the impacts of COVID-19 which may negatively affect the Company’s ability to implement its business plan and pursue certain opportunities, potential impairments, the effectiveness of our internal control of financial reporting, cybersecurity and data privacy risks due to employees working from home, and risks of increased indebtedness due to the full draw 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2017, the Company’s Board of Directors approved a new $200.0 million share repurchase program for shares of the Company’s common shares that would have expired on June 30, 2020. In June 2020, the Board of Directors approved a 12-month extension of this program which will now expire on June 30, 2021.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During the three months ended September 30, 2020, the Company did not repurchase any shares under this program. As at September 30, 2020, the Company has $89.4 million available under its approved repurchase program.</w:t>
      </w:r>
    </w:p>
    <w:p>
      <w:pPr>
        <w:spacing w:after="0" w:line="147"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In 2019, IMAX China announced that its shareholders granted its Board of Directors a general mandate authorizing the Board, subject to applicable laws, to repurchase shares of IMAX China in an amount not to exceed 10% of the total number of issued shares of IMAX China as at June 6, 2019 (35,605,560 shares). This program expired on the date of the 2020 Annual General Meeting of IMAX China on June 11, 2020. During the 2020 Annual General Meeting, shareholders approved the repurchase of shares of IMAX China not to exceed 10% of the total number of issued shares as of June 11, 2020 (34,848,398 shares). This program will be valid until the 2021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2020, IMAX China did not repurchase any shares under this program.</w:t>
      </w:r>
    </w:p>
    <w:p>
      <w:pPr>
        <w:spacing w:after="0" w:line="158" w:lineRule="exact"/>
        <w:rPr>
          <w:sz w:val="20"/>
          <w:szCs w:val="20"/>
          <w:color w:val="auto"/>
        </w:rPr>
      </w:pPr>
    </w:p>
    <w:p>
      <w:pPr>
        <w:jc w:val="both"/>
        <w:ind w:firstLine="224"/>
        <w:spacing w:after="0" w:line="277" w:lineRule="auto"/>
        <w:rPr>
          <w:sz w:val="20"/>
          <w:szCs w:val="20"/>
          <w:color w:val="auto"/>
        </w:rPr>
      </w:pPr>
      <w:r>
        <w:rPr>
          <w:rFonts w:ascii="Times New Roman" w:cs="Times New Roman" w:eastAsia="Times New Roman" w:hAnsi="Times New Roman"/>
          <w:sz w:val="18"/>
          <w:szCs w:val="18"/>
          <w:color w:val="auto"/>
        </w:rPr>
        <w:t>The total number of shares purchased during the nine months ended September 30, 2020, under both the Company and IMAX China’s repurchase plans, does not include any shares purchased in the administration of employee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0" w:type="dxa"/>
            <w:vAlign w:val="bottom"/>
          </w:tcPr>
          <w:p>
            <w:pPr>
              <w:spacing w:after="0"/>
              <w:rPr>
                <w:sz w:val="13"/>
                <w:szCs w:val="13"/>
                <w:color w:val="auto"/>
              </w:rPr>
            </w:pPr>
          </w:p>
        </w:tc>
        <w:tc>
          <w:tcPr>
            <w:tcW w:w="880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42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20" w:type="dxa"/>
            <w:vAlign w:val="bottom"/>
          </w:tcPr>
          <w:p>
            <w:pPr>
              <w:spacing w:after="0"/>
              <w:rPr>
                <w:sz w:val="14"/>
                <w:szCs w:val="14"/>
                <w:color w:val="auto"/>
              </w:rPr>
            </w:pPr>
          </w:p>
        </w:tc>
        <w:tc>
          <w:tcPr>
            <w:tcW w:w="8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020" w:type="dxa"/>
            <w:vAlign w:val="bottom"/>
          </w:tcPr>
          <w:p>
            <w:pPr>
              <w:spacing w:after="0"/>
              <w:rPr>
                <w:sz w:val="19"/>
                <w:szCs w:val="19"/>
                <w:color w:val="auto"/>
              </w:rPr>
            </w:pPr>
          </w:p>
        </w:tc>
        <w:tc>
          <w:tcPr>
            <w:tcW w:w="880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Employment Memorandum, dated September 18, 2020, between IMAX Corporation and Mark Welton.</w:t>
              </w:r>
            </w:hyperlink>
          </w:p>
        </w:tc>
        <w:tc>
          <w:tcPr>
            <w:tcW w:w="0" w:type="dxa"/>
            <w:vAlign w:val="bottom"/>
          </w:tcPr>
          <w:p>
            <w:pPr>
              <w:spacing w:after="0"/>
              <w:rPr>
                <w:sz w:val="1"/>
                <w:szCs w:val="1"/>
                <w:color w:val="auto"/>
              </w:rPr>
            </w:pPr>
          </w:p>
        </w:tc>
      </w:tr>
      <w:tr>
        <w:trPr>
          <w:trHeight w:val="3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2"/>
          </w:tcPr>
          <w:p>
            <w:pPr>
              <w:ind w:left="1020"/>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Certification Pursuant to Section 302 of the Sarbanes-Oxley Act of 2002, dated October 29, 2020, by Richard L. Gelfond.</w:t>
              </w:r>
            </w:hyperlink>
          </w:p>
        </w:tc>
        <w:tc>
          <w:tcPr>
            <w:tcW w:w="0" w:type="dxa"/>
            <w:vAlign w:val="bottom"/>
          </w:tcPr>
          <w:p>
            <w:pPr>
              <w:spacing w:after="0"/>
              <w:rPr>
                <w:sz w:val="1"/>
                <w:szCs w:val="1"/>
                <w:color w:val="auto"/>
              </w:rPr>
            </w:pPr>
          </w:p>
        </w:tc>
      </w:tr>
      <w:tr>
        <w:trPr>
          <w:trHeight w:val="334"/>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2"/>
          </w:tcPr>
          <w:p>
            <w:pPr>
              <w:ind w:left="1020"/>
              <w:spacing w:after="0"/>
              <w:rPr>
                <w:rFonts w:ascii="Times New Roman" w:cs="Times New Roman" w:eastAsia="Times New Roman" w:hAnsi="Times New Roman"/>
                <w:sz w:val="18"/>
                <w:szCs w:val="18"/>
                <w:u w:val="single" w:color="auto"/>
                <w:color w:val="0000EE"/>
                <w:w w:val="99"/>
              </w:rPr>
            </w:pPr>
            <w:hyperlink w:anchor="page92">
              <w:r>
                <w:rPr>
                  <w:rFonts w:ascii="Times New Roman" w:cs="Times New Roman" w:eastAsia="Times New Roman" w:hAnsi="Times New Roman"/>
                  <w:sz w:val="18"/>
                  <w:szCs w:val="18"/>
                  <w:u w:val="single" w:color="auto"/>
                  <w:color w:val="0000EE"/>
                  <w:w w:val="99"/>
                </w:rPr>
                <w:t>Certification Pursuant to Section 302 of the Sarbanes-Oxley Act of 2002, dated October 29, 2020, by Patrick McClymont.</w:t>
              </w:r>
            </w:hyperlink>
          </w:p>
        </w:tc>
        <w:tc>
          <w:tcPr>
            <w:tcW w:w="0" w:type="dxa"/>
            <w:vAlign w:val="bottom"/>
          </w:tcPr>
          <w:p>
            <w:pPr>
              <w:spacing w:after="0"/>
              <w:rPr>
                <w:sz w:val="1"/>
                <w:szCs w:val="1"/>
                <w:color w:val="auto"/>
              </w:rPr>
            </w:pPr>
          </w:p>
        </w:tc>
      </w:tr>
      <w:tr>
        <w:trPr>
          <w:trHeight w:val="334"/>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2"/>
          </w:tcPr>
          <w:p>
            <w:pPr>
              <w:ind w:left="1020"/>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Certification Pursuant to Section 906 of the Sarbanes-Oxley Act of 2002, dated October 29, 2020, by Richard L. Gelfond.</w:t>
              </w:r>
            </w:hyperlink>
          </w:p>
        </w:tc>
        <w:tc>
          <w:tcPr>
            <w:tcW w:w="0" w:type="dxa"/>
            <w:vAlign w:val="bottom"/>
          </w:tcPr>
          <w:p>
            <w:pPr>
              <w:spacing w:after="0"/>
              <w:rPr>
                <w:sz w:val="1"/>
                <w:szCs w:val="1"/>
                <w:color w:val="auto"/>
              </w:rPr>
            </w:pPr>
          </w:p>
        </w:tc>
      </w:tr>
      <w:tr>
        <w:trPr>
          <w:trHeight w:val="334"/>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2"/>
          </w:tcPr>
          <w:p>
            <w:pPr>
              <w:ind w:left="1020"/>
              <w:spacing w:after="0"/>
              <w:rPr>
                <w:rFonts w:ascii="Times New Roman" w:cs="Times New Roman" w:eastAsia="Times New Roman" w:hAnsi="Times New Roman"/>
                <w:sz w:val="18"/>
                <w:szCs w:val="18"/>
                <w:u w:val="single" w:color="auto"/>
                <w:color w:val="0000EE"/>
                <w:w w:val="99"/>
              </w:rPr>
            </w:pPr>
            <w:hyperlink w:anchor="page94">
              <w:r>
                <w:rPr>
                  <w:rFonts w:ascii="Times New Roman" w:cs="Times New Roman" w:eastAsia="Times New Roman" w:hAnsi="Times New Roman"/>
                  <w:sz w:val="18"/>
                  <w:szCs w:val="18"/>
                  <w:u w:val="single" w:color="auto"/>
                  <w:color w:val="0000EE"/>
                  <w:w w:val="99"/>
                </w:rPr>
                <w:t>Certification Pursuant to Section 906 of the Sarbanes-Oxley Act of 2002, dated October 29, 2020, by Patrick McClymont.</w:t>
              </w:r>
            </w:hyperlink>
          </w:p>
        </w:tc>
        <w:tc>
          <w:tcPr>
            <w:tcW w:w="0" w:type="dxa"/>
            <w:vAlign w:val="bottom"/>
          </w:tcPr>
          <w:p>
            <w:pPr>
              <w:spacing w:after="0"/>
              <w:rPr>
                <w:sz w:val="1"/>
                <w:szCs w:val="1"/>
                <w:color w:val="auto"/>
              </w:rPr>
            </w:pPr>
          </w:p>
        </w:tc>
      </w:tr>
      <w:tr>
        <w:trPr>
          <w:trHeight w:val="382"/>
        </w:trPr>
        <w:tc>
          <w:tcPr>
            <w:tcW w:w="1420" w:type="dxa"/>
            <w:vAlign w:val="bottom"/>
          </w:tcPr>
          <w:p>
            <w:pPr>
              <w:jc w:val="center"/>
              <w:ind w:right="574"/>
              <w:spacing w:after="0"/>
              <w:rPr>
                <w:sz w:val="20"/>
                <w:szCs w:val="20"/>
                <w:color w:val="auto"/>
              </w:rPr>
            </w:pPr>
            <w:r>
              <w:rPr>
                <w:rFonts w:ascii="Times New Roman" w:cs="Times New Roman" w:eastAsia="Times New Roman" w:hAnsi="Times New Roman"/>
                <w:sz w:val="18"/>
                <w:szCs w:val="18"/>
                <w:color w:val="auto"/>
                <w:w w:val="99"/>
              </w:rPr>
              <w:t>101.INS</w:t>
            </w: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101.SCH</w:t>
            </w: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7"/>
              </w:rPr>
              <w:t>101.CAL</w:t>
            </w: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7"/>
              </w:rPr>
              <w:t>101.LAB</w:t>
            </w: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74"/>
              <w:spacing w:after="0"/>
              <w:rPr>
                <w:sz w:val="20"/>
                <w:szCs w:val="20"/>
                <w:color w:val="auto"/>
              </w:rPr>
            </w:pPr>
            <w:r>
              <w:rPr>
                <w:rFonts w:ascii="Times New Roman" w:cs="Times New Roman" w:eastAsia="Times New Roman" w:hAnsi="Times New Roman"/>
                <w:sz w:val="18"/>
                <w:szCs w:val="18"/>
                <w:color w:val="auto"/>
                <w:w w:val="99"/>
              </w:rPr>
              <w:t>101.PRE</w:t>
            </w:r>
          </w:p>
        </w:tc>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540" w:right="3000" w:hanging="5286"/>
        <w:spacing w:after="0" w:line="897" w:lineRule="auto"/>
        <w:tabs>
          <w:tab w:leader="none" w:pos="17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71335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225"/>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42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2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PATRICK MCCLYMONT</w:t>
            </w:r>
          </w:p>
        </w:tc>
      </w:tr>
      <w:tr>
        <w:trPr>
          <w:trHeight w:val="189"/>
        </w:trPr>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Patrick McClymont</w:t>
            </w:r>
          </w:p>
        </w:tc>
      </w:tr>
      <w:tr>
        <w:trPr>
          <w:trHeight w:val="214"/>
        </w:trPr>
        <w:tc>
          <w:tcPr>
            <w:tcW w:w="3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Vice-President &amp; Chief Financial Officer</w:t>
            </w:r>
          </w:p>
        </w:tc>
      </w:tr>
      <w:tr>
        <w:trPr>
          <w:trHeight w:val="233"/>
        </w:trPr>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2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2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M. DELANEY</w:t>
            </w:r>
          </w:p>
        </w:tc>
      </w:tr>
      <w:tr>
        <w:trPr>
          <w:trHeight w:val="189"/>
        </w:trPr>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Kevin M. Delaney</w:t>
            </w:r>
          </w:p>
        </w:tc>
      </w:tr>
      <w:tr>
        <w:trPr>
          <w:trHeight w:val="214"/>
        </w:trPr>
        <w:tc>
          <w:tcPr>
            <w:tcW w:w="3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Vice-President, Finance &amp; Controller</w:t>
            </w:r>
          </w:p>
        </w:tc>
      </w:tr>
      <w:tr>
        <w:trPr>
          <w:trHeight w:val="233"/>
        </w:trPr>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641"/>
        </w:trPr>
        <w:tc>
          <w:tcPr>
            <w:tcW w:w="3600" w:type="dxa"/>
            <w:vAlign w:val="bottom"/>
          </w:tcPr>
          <w:p>
            <w:pPr>
              <w:spacing w:after="0"/>
              <w:rPr>
                <w:sz w:val="24"/>
                <w:szCs w:val="24"/>
                <w:color w:val="auto"/>
              </w:rPr>
            </w:pPr>
          </w:p>
        </w:tc>
        <w:tc>
          <w:tcPr>
            <w:tcW w:w="2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85</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70305" cy="2203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70305" cy="220345"/>
                    </a:xfrm>
                    <a:prstGeom prst="rect">
                      <a:avLst/>
                    </a:prstGeom>
                    <a:noFill/>
                  </pic:spPr>
                </pic:pic>
              </a:graphicData>
            </a:graphic>
          </wp:anchor>
        </w:drawing>
        <w:t>IMAX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Exhibit 10.52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Memorandum</w:t>
      </w:r>
    </w:p>
    <w:p>
      <w:pPr>
        <w:sectPr>
          <w:pgSz w:w="11900" w:h="16838" w:orient="portrait"/>
          <w:cols w:equalWidth="0" w:num="1">
            <w:col w:w="11220"/>
          </w:cols>
          <w:pgMar w:left="320" w:top="460" w:right="359" w:bottom="144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 WELTON</w:t>
      </w:r>
    </w:p>
    <w:p>
      <w:pPr>
        <w:spacing w:after="0" w:line="146" w:lineRule="exact"/>
        <w:rPr>
          <w:sz w:val="20"/>
          <w:szCs w:val="20"/>
          <w:color w:val="auto"/>
        </w:rPr>
      </w:pPr>
    </w:p>
    <w:p>
      <w:pPr>
        <w:sectPr>
          <w:pgSz w:w="11900" w:h="16838" w:orient="portrait"/>
          <w:cols w:equalWidth="0" w:num="2">
            <w:col w:w="1860" w:space="720"/>
            <w:col w:w="8640"/>
          </w:cols>
          <w:pgMar w:left="320" w:top="46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JACKI BASSANI</w:t>
      </w:r>
    </w:p>
    <w:p>
      <w:pPr>
        <w:spacing w:after="0" w:line="146" w:lineRule="exact"/>
        <w:rPr>
          <w:sz w:val="20"/>
          <w:szCs w:val="20"/>
          <w:color w:val="auto"/>
        </w:rPr>
      </w:pPr>
    </w:p>
    <w:p>
      <w:pPr>
        <w:sectPr>
          <w:pgSz w:w="11900" w:h="16838" w:orient="portrait"/>
          <w:cols w:equalWidth="0" w:num="2">
            <w:col w:w="1860" w:space="720"/>
            <w:col w:w="8640"/>
          </w:cols>
          <w:pgMar w:left="320" w:top="46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RICH GELFOND</w:t>
      </w:r>
    </w:p>
    <w:p>
      <w:pPr>
        <w:spacing w:after="0" w:line="146" w:lineRule="exact"/>
        <w:rPr>
          <w:sz w:val="20"/>
          <w:szCs w:val="20"/>
          <w:color w:val="auto"/>
        </w:rPr>
      </w:pPr>
    </w:p>
    <w:p>
      <w:pPr>
        <w:sectPr>
          <w:pgSz w:w="11900" w:h="16838" w:orient="portrait"/>
          <w:cols w:equalWidth="0" w:num="2">
            <w:col w:w="1860" w:space="720"/>
            <w:col w:w="8640"/>
          </w:cols>
          <w:pgMar w:left="320" w:top="46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SEPTEMBER 18, 2020</w:t>
      </w:r>
    </w:p>
    <w:p>
      <w:pPr>
        <w:spacing w:after="0" w:line="146" w:lineRule="exact"/>
        <w:rPr>
          <w:sz w:val="20"/>
          <w:szCs w:val="20"/>
          <w:color w:val="auto"/>
        </w:rPr>
      </w:pPr>
    </w:p>
    <w:p>
      <w:pPr>
        <w:sectPr>
          <w:pgSz w:w="11900" w:h="16838" w:orient="portrait"/>
          <w:cols w:equalWidth="0" w:num="2">
            <w:col w:w="1860" w:space="720"/>
            <w:col w:w="8640"/>
          </w:cols>
          <w:pgMar w:left="320" w:top="46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EMPLOYMENT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265430</wp:posOffset>
            </wp:positionV>
            <wp:extent cx="71335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720"/>
            <w:col w:w="8640"/>
          </w:cols>
          <w:pgMar w:left="320" w:top="460" w:right="359" w:bottom="1440" w:gutter="0" w:footer="0" w:header="0"/>
          <w:type w:val="continuous"/>
        </w:sectPr>
      </w:pPr>
    </w:p>
    <w:p>
      <w:pPr>
        <w:spacing w:after="0" w:line="3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Mark, you are an integral part of the IMAX Leadership Team; we appreciate your loyalty and commitment to the Company and we value your ongoing contributions. Per your request, I am writing to confirm the terms and conditions of your ongoing employment.</w:t>
      </w:r>
    </w:p>
    <w:p>
      <w:pPr>
        <w:sectPr>
          <w:pgSz w:w="11900" w:h="16838" w:orient="portrait"/>
          <w:cols w:equalWidth="0" w:num="1">
            <w:col w:w="11220"/>
          </w:cols>
          <w:pgMar w:left="320" w:top="460" w:right="35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President, IMAX Theatres</w:t>
      </w:r>
    </w:p>
    <w:p>
      <w:pPr>
        <w:spacing w:after="0" w:line="200" w:lineRule="exact"/>
        <w:rPr>
          <w:sz w:val="20"/>
          <w:szCs w:val="20"/>
          <w:color w:val="auto"/>
        </w:rPr>
      </w:pPr>
    </w:p>
    <w:p>
      <w:pPr>
        <w:sectPr>
          <w:pgSz w:w="11900" w:h="16838" w:orient="portrait"/>
          <w:cols w:equalWidth="0" w:num="2">
            <w:col w:w="460" w:space="640"/>
            <w:col w:w="10120"/>
          </w:cols>
          <w:pgMar w:left="320" w:top="460" w:right="3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Reporting to: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Rich Gelfond, CEO</w:t>
      </w:r>
    </w:p>
    <w:p>
      <w:pPr>
        <w:spacing w:after="0" w:line="200" w:lineRule="exact"/>
        <w:rPr>
          <w:sz w:val="20"/>
          <w:szCs w:val="20"/>
          <w:color w:val="auto"/>
        </w:rPr>
      </w:pPr>
    </w:p>
    <w:p>
      <w:pPr>
        <w:sectPr>
          <w:pgSz w:w="11900" w:h="16838" w:orient="portrait"/>
          <w:cols w:equalWidth="0" w:num="2">
            <w:col w:w="1880" w:space="720"/>
            <w:col w:w="8620"/>
          </w:cols>
          <w:pgMar w:left="320" w:top="460" w:right="3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Salary: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1"/>
          <w:szCs w:val="21"/>
          <w:color w:val="auto"/>
        </w:rPr>
        <w:t>Your annual salary is CAD $750,750, less applicable withholding taxes. Your salary is eligible for review during our annual performance/compensation review process.</w:t>
      </w:r>
    </w:p>
    <w:p>
      <w:pPr>
        <w:spacing w:after="0" w:line="168" w:lineRule="exact"/>
        <w:rPr>
          <w:sz w:val="20"/>
          <w:szCs w:val="20"/>
          <w:color w:val="auto"/>
        </w:rPr>
      </w:pPr>
    </w:p>
    <w:p>
      <w:pPr>
        <w:sectPr>
          <w:pgSz w:w="11900" w:h="16838" w:orient="portrait"/>
          <w:cols w:equalWidth="0" w:num="2">
            <w:col w:w="1880" w:space="720"/>
            <w:col w:w="8620"/>
          </w:cols>
          <w:pgMar w:left="320" w:top="46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Bonus:</w:t>
      </w:r>
    </w:p>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Times New Roman" w:cs="Times New Roman" w:eastAsia="Times New Roman" w:hAnsi="Times New Roman"/>
          <w:sz w:val="21"/>
          <w:szCs w:val="21"/>
          <w:color w:val="auto"/>
        </w:rPr>
        <w:t xml:space="preserve">You remain eligible to receive a discretionary incentive bonus as determined in the sole discretion of the Company (the </w:t>
      </w:r>
      <w:r>
        <w:rPr>
          <w:rFonts w:ascii="Times New Roman" w:cs="Times New Roman" w:eastAsia="Times New Roman" w:hAnsi="Times New Roman"/>
          <w:sz w:val="21"/>
          <w:szCs w:val="21"/>
          <w:b w:val="1"/>
          <w:bCs w:val="1"/>
          <w:i w:val="1"/>
          <w:iCs w:val="1"/>
          <w:color w:val="auto"/>
        </w:rPr>
        <w:t>“Bonus”</w:t>
      </w:r>
      <w:r>
        <w:rPr>
          <w:rFonts w:ascii="Times New Roman" w:cs="Times New Roman" w:eastAsia="Times New Roman" w:hAnsi="Times New Roman"/>
          <w:sz w:val="21"/>
          <w:szCs w:val="21"/>
          <w:color w:val="auto"/>
        </w:rPr>
        <w:t>). The target amount of the Bonus shall be 70% of your base salary. The actual amount of the Bonus shall be based upon the attainment of individual and Company performance goals and objectives consistent with the Company’s practices with respect to similarly-situated executives and approved by the Compensation Committee of the Board of Directors of the Company in its sole discretion. The Bonus (if any) shall be paid on the date on which the Company pays out bonuses to senior executives generally; provided, however, that you remain employed by the Company as of such date (except as otherwise provided herein); and provided, further, that in no event shall the Bonus be paid later than March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1"/>
          <w:szCs w:val="21"/>
          <w:color w:val="auto"/>
        </w:rPr>
        <w:t xml:space="preserve"> of the subsequent year.</w:t>
      </w:r>
    </w:p>
    <w:p>
      <w:pPr>
        <w:spacing w:after="0" w:line="200" w:lineRule="exact"/>
        <w:rPr>
          <w:sz w:val="20"/>
          <w:szCs w:val="20"/>
          <w:color w:val="auto"/>
        </w:rPr>
      </w:pPr>
    </w:p>
    <w:p>
      <w:pPr>
        <w:sectPr>
          <w:pgSz w:w="11900" w:h="16838" w:orient="portrait"/>
          <w:cols w:equalWidth="0" w:num="2">
            <w:col w:w="1840" w:space="720"/>
            <w:col w:w="8660"/>
          </w:cols>
          <w:pgMar w:left="320" w:top="460" w:right="3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Car Allowance: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Times New Roman" w:cs="Times New Roman" w:eastAsia="Times New Roman" w:hAnsi="Times New Roman"/>
          <w:sz w:val="21"/>
          <w:szCs w:val="21"/>
          <w:color w:val="auto"/>
        </w:rPr>
        <w:t>CAD $1,100.00 per month paid with your regular pay taxed as income. Additionally, you may expense and be reimbursed for reasonable car-related expenses like gas, maintenance and insurance costs in</w:t>
      </w:r>
    </w:p>
    <w:p>
      <w:pPr>
        <w:spacing w:after="0" w:line="170" w:lineRule="exact"/>
        <w:rPr>
          <w:sz w:val="20"/>
          <w:szCs w:val="20"/>
          <w:color w:val="auto"/>
        </w:rPr>
      </w:pPr>
    </w:p>
    <w:p>
      <w:pPr>
        <w:sectPr>
          <w:pgSz w:w="11900" w:h="16838" w:orient="portrait"/>
          <w:cols w:equalWidth="0" w:num="2">
            <w:col w:w="1880" w:space="720"/>
            <w:col w:w="8620"/>
          </w:cols>
          <w:pgMar w:left="320" w:top="460"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0072CE"/>
        </w:rPr>
        <w:t>IMAX Corporation | 902 Broadway, 20th Floor, New York, NY 10010 | 212-821-0100 | Fax: 212-821-0105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507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accordance with Company policies in effect for senior executives from time to time, up to an annual</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maximum of CAD $11,800.00.</w:t>
            </w:r>
          </w:p>
        </w:tc>
      </w:tr>
      <w:tr>
        <w:trPr>
          <w:trHeight w:val="443"/>
        </w:trPr>
        <w:tc>
          <w:tcPr>
            <w:tcW w:w="2240" w:type="dxa"/>
            <w:vAlign w:val="bottom"/>
          </w:tcPr>
          <w:p>
            <w:pPr>
              <w:ind w:left="600"/>
              <w:spacing w:after="0"/>
              <w:rPr>
                <w:sz w:val="20"/>
                <w:szCs w:val="20"/>
                <w:color w:val="auto"/>
              </w:rPr>
            </w:pPr>
            <w:r>
              <w:rPr>
                <w:rFonts w:ascii="Times New Roman" w:cs="Times New Roman" w:eastAsia="Times New Roman" w:hAnsi="Times New Roman"/>
                <w:sz w:val="21"/>
                <w:szCs w:val="21"/>
                <w:color w:val="auto"/>
              </w:rPr>
              <w:t>Vacation and</w:t>
            </w:r>
          </w:p>
        </w:tc>
        <w:tc>
          <w:tcPr>
            <w:tcW w:w="9020" w:type="dxa"/>
            <w:vAlign w:val="bottom"/>
          </w:tcPr>
          <w:p>
            <w:pPr>
              <w:spacing w:after="0"/>
              <w:rPr>
                <w:sz w:val="24"/>
                <w:szCs w:val="24"/>
                <w:color w:val="auto"/>
              </w:rPr>
            </w:pPr>
          </w:p>
        </w:tc>
      </w:tr>
      <w:tr>
        <w:trPr>
          <w:trHeight w:val="240"/>
        </w:trPr>
        <w:tc>
          <w:tcPr>
            <w:tcW w:w="224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Benefits:</w:t>
            </w: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Your vacation entitlement and benefits will continue unchanged, including entitlement to the</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Wellness Allowance reimbursement of up to $2,500 per year, which is a taxable benefit, and your</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Medcan benefit.</w:t>
            </w:r>
          </w:p>
        </w:tc>
      </w:tr>
      <w:tr>
        <w:trPr>
          <w:trHeight w:val="443"/>
        </w:trPr>
        <w:tc>
          <w:tcPr>
            <w:tcW w:w="2240" w:type="dxa"/>
            <w:vAlign w:val="bottom"/>
          </w:tcPr>
          <w:p>
            <w:pPr>
              <w:spacing w:after="0"/>
              <w:rPr>
                <w:sz w:val="20"/>
                <w:szCs w:val="20"/>
                <w:color w:val="auto"/>
              </w:rPr>
            </w:pPr>
            <w:r>
              <w:rPr>
                <w:rFonts w:ascii="Times New Roman" w:cs="Times New Roman" w:eastAsia="Times New Roman" w:hAnsi="Times New Roman"/>
                <w:sz w:val="21"/>
                <w:szCs w:val="21"/>
                <w:color w:val="auto"/>
              </w:rPr>
              <w:t>LTIP:</w:t>
            </w: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 xml:space="preserve">Each year while you are employed, you shall receive an equity award (an </w:t>
            </w:r>
            <w:r>
              <w:rPr>
                <w:rFonts w:ascii="Times New Roman" w:cs="Times New Roman" w:eastAsia="Times New Roman" w:hAnsi="Times New Roman"/>
                <w:sz w:val="21"/>
                <w:szCs w:val="21"/>
                <w:b w:val="1"/>
                <w:bCs w:val="1"/>
                <w:i w:val="1"/>
                <w:iCs w:val="1"/>
                <w:color w:val="auto"/>
              </w:rPr>
              <w:t>“Annual Grant”</w:t>
            </w:r>
            <w:r>
              <w:rPr>
                <w:rFonts w:ascii="Times New Roman" w:cs="Times New Roman" w:eastAsia="Times New Roman" w:hAnsi="Times New Roman"/>
                <w:sz w:val="21"/>
                <w:szCs w:val="21"/>
                <w:color w:val="auto"/>
              </w:rPr>
              <w:t>) with an</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aggregate grant date fair market value of at least USD $1,450,000.</w:t>
            </w:r>
          </w:p>
        </w:tc>
      </w:tr>
      <w:tr>
        <w:trPr>
          <w:trHeight w:val="437"/>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 xml:space="preserve">The vehicles, mix of nonqualified stock options </w:t>
            </w:r>
            <w:r>
              <w:rPr>
                <w:rFonts w:ascii="Times New Roman" w:cs="Times New Roman" w:eastAsia="Times New Roman" w:hAnsi="Times New Roman"/>
                <w:sz w:val="21"/>
                <w:szCs w:val="21"/>
                <w:b w:val="1"/>
                <w:bCs w:val="1"/>
                <w:i w:val="1"/>
                <w:iCs w:val="1"/>
                <w:color w:val="auto"/>
              </w:rPr>
              <w:t>(“Options”</w:t>
            </w:r>
            <w:r>
              <w:rPr>
                <w:rFonts w:ascii="Times New Roman" w:cs="Times New Roman" w:eastAsia="Times New Roman" w:hAnsi="Times New Roman"/>
                <w:sz w:val="21"/>
                <w:szCs w:val="21"/>
                <w:color w:val="auto"/>
              </w:rPr>
              <w:t xml:space="preserve">), Performance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w:t>
            </w:r>
          </w:p>
        </w:tc>
      </w:tr>
      <w:tr>
        <w:trPr>
          <w:trHeight w:val="246"/>
        </w:trPr>
        <w:tc>
          <w:tcPr>
            <w:tcW w:w="2240" w:type="dxa"/>
            <w:vAlign w:val="bottom"/>
          </w:tcPr>
          <w:p>
            <w:pPr>
              <w:spacing w:after="0"/>
              <w:rPr>
                <w:sz w:val="21"/>
                <w:szCs w:val="21"/>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and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vesting schedules, and valuation for the Options, PSUs,</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and/or RSUs for the Annual Grants will be consistent with the Company’s standard process and</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grants given to other senior executives at the time (and, for years in which you are a named</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executive officer, consistent with the Company’s process and grants given to other named executive</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officers for that year). The Annual Grants shall be granted on or about the time that awards are</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generally granted to the Company’s senior executives. Except as otherwise provided herein, you</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must be employed by the Company on the date of grant in order to receive an Annual Grant.</w:t>
            </w:r>
          </w:p>
        </w:tc>
      </w:tr>
      <w:tr>
        <w:trPr>
          <w:trHeight w:val="443"/>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The Options, PSUs, and RSUs to be granted pursuant to this provision shall be granted on the terms</w:t>
            </w:r>
          </w:p>
        </w:tc>
      </w:tr>
      <w:tr>
        <w:trPr>
          <w:trHeight w:val="234"/>
        </w:trPr>
        <w:tc>
          <w:tcPr>
            <w:tcW w:w="2240" w:type="dxa"/>
            <w:vAlign w:val="bottom"/>
          </w:tcPr>
          <w:p>
            <w:pPr>
              <w:spacing w:after="0"/>
              <w:rPr>
                <w:sz w:val="20"/>
                <w:szCs w:val="20"/>
                <w:color w:val="auto"/>
              </w:rPr>
            </w:pPr>
          </w:p>
        </w:tc>
        <w:tc>
          <w:tcPr>
            <w:tcW w:w="9020" w:type="dxa"/>
            <w:vAlign w:val="bottom"/>
          </w:tcPr>
          <w:p>
            <w:pPr>
              <w:ind w:left="360"/>
              <w:spacing w:after="0" w:line="235" w:lineRule="exact"/>
              <w:rPr>
                <w:sz w:val="20"/>
                <w:szCs w:val="20"/>
                <w:color w:val="auto"/>
              </w:rPr>
            </w:pPr>
            <w:r>
              <w:rPr>
                <w:rFonts w:ascii="Times New Roman" w:cs="Times New Roman" w:eastAsia="Times New Roman" w:hAnsi="Times New Roman"/>
                <w:sz w:val="21"/>
                <w:szCs w:val="21"/>
                <w:color w:val="auto"/>
              </w:rPr>
              <w:t>and conditions set forth in the IMAX Corporation Second Amended and Restated Long-Term</w:t>
            </w:r>
          </w:p>
        </w:tc>
      </w:tr>
      <w:tr>
        <w:trPr>
          <w:trHeight w:val="246"/>
        </w:trPr>
        <w:tc>
          <w:tcPr>
            <w:tcW w:w="2240" w:type="dxa"/>
            <w:vAlign w:val="bottom"/>
          </w:tcPr>
          <w:p>
            <w:pPr>
              <w:spacing w:after="0"/>
              <w:rPr>
                <w:sz w:val="21"/>
                <w:szCs w:val="21"/>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 xml:space="preserve">Incentive Plan (as amended from time to time, the </w:t>
            </w:r>
            <w:r>
              <w:rPr>
                <w:rFonts w:ascii="Times New Roman" w:cs="Times New Roman" w:eastAsia="Times New Roman" w:hAnsi="Times New Roman"/>
                <w:sz w:val="21"/>
                <w:szCs w:val="21"/>
                <w:b w:val="1"/>
                <w:bCs w:val="1"/>
                <w:i w:val="1"/>
                <w:iCs w:val="1"/>
                <w:color w:val="auto"/>
              </w:rPr>
              <w:t>“LTIP”</w:t>
            </w:r>
            <w:r>
              <w:rPr>
                <w:rFonts w:ascii="Times New Roman" w:cs="Times New Roman" w:eastAsia="Times New Roman" w:hAnsi="Times New Roman"/>
                <w:sz w:val="21"/>
                <w:szCs w:val="21"/>
                <w:color w:val="auto"/>
              </w:rPr>
              <w:t>), the grant agreements to be entered into</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between the Company and you pursuant to the LTIP, and this memorandum.</w:t>
            </w:r>
          </w:p>
        </w:tc>
      </w:tr>
      <w:tr>
        <w:trPr>
          <w:trHeight w:val="443"/>
        </w:trPr>
        <w:tc>
          <w:tcPr>
            <w:tcW w:w="2240" w:type="dxa"/>
            <w:vAlign w:val="bottom"/>
          </w:tcPr>
          <w:p>
            <w:pPr>
              <w:ind w:left="600"/>
              <w:spacing w:after="0"/>
              <w:rPr>
                <w:sz w:val="20"/>
                <w:szCs w:val="20"/>
                <w:color w:val="auto"/>
              </w:rPr>
            </w:pPr>
            <w:r>
              <w:rPr>
                <w:rFonts w:ascii="Times New Roman" w:cs="Times New Roman" w:eastAsia="Times New Roman" w:hAnsi="Times New Roman"/>
                <w:sz w:val="21"/>
                <w:szCs w:val="21"/>
                <w:color w:val="auto"/>
              </w:rPr>
              <w:t>Termination</w:t>
            </w:r>
          </w:p>
        </w:tc>
        <w:tc>
          <w:tcPr>
            <w:tcW w:w="9020" w:type="dxa"/>
            <w:vAlign w:val="bottom"/>
          </w:tcPr>
          <w:p>
            <w:pPr>
              <w:spacing w:after="0"/>
              <w:rPr>
                <w:sz w:val="24"/>
                <w:szCs w:val="24"/>
                <w:color w:val="auto"/>
              </w:rPr>
            </w:pPr>
          </w:p>
        </w:tc>
      </w:tr>
      <w:tr>
        <w:trPr>
          <w:trHeight w:val="240"/>
        </w:trPr>
        <w:tc>
          <w:tcPr>
            <w:tcW w:w="224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Generally:</w:t>
            </w: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You understand and acknowledge that the Company is entitled to terminate your employment at any</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time with or without cause.</w:t>
            </w:r>
          </w:p>
        </w:tc>
      </w:tr>
      <w:tr>
        <w:trPr>
          <w:trHeight w:val="416"/>
        </w:trPr>
        <w:tc>
          <w:tcPr>
            <w:tcW w:w="2240" w:type="dxa"/>
            <w:vAlign w:val="bottom"/>
          </w:tcPr>
          <w:p>
            <w:pPr>
              <w:ind w:left="600"/>
              <w:spacing w:after="0"/>
              <w:rPr>
                <w:sz w:val="20"/>
                <w:szCs w:val="20"/>
                <w:color w:val="auto"/>
              </w:rPr>
            </w:pPr>
            <w:r>
              <w:rPr>
                <w:rFonts w:ascii="Times New Roman" w:cs="Times New Roman" w:eastAsia="Times New Roman" w:hAnsi="Times New Roman"/>
                <w:sz w:val="21"/>
                <w:szCs w:val="21"/>
                <w:color w:val="auto"/>
              </w:rPr>
              <w:t>Termination with</w:t>
            </w:r>
          </w:p>
        </w:tc>
        <w:tc>
          <w:tcPr>
            <w:tcW w:w="9020" w:type="dxa"/>
            <w:vAlign w:val="bottom"/>
          </w:tcPr>
          <w:p>
            <w:pPr>
              <w:spacing w:after="0"/>
              <w:rPr>
                <w:sz w:val="24"/>
                <w:szCs w:val="24"/>
                <w:color w:val="auto"/>
              </w:rPr>
            </w:pPr>
          </w:p>
        </w:tc>
      </w:tr>
      <w:tr>
        <w:trPr>
          <w:trHeight w:val="240"/>
        </w:trPr>
        <w:tc>
          <w:tcPr>
            <w:tcW w:w="224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Cause:</w:t>
            </w: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The Company may terminate your employment for cause without notice or severance pay.</w:t>
            </w:r>
          </w:p>
        </w:tc>
      </w:tr>
      <w:tr>
        <w:trPr>
          <w:trHeight w:val="240"/>
        </w:trPr>
        <w:tc>
          <w:tcPr>
            <w:tcW w:w="2240" w:type="dxa"/>
            <w:vAlign w:val="bottom"/>
          </w:tcPr>
          <w:p>
            <w:pPr>
              <w:ind w:left="600"/>
              <w:spacing w:after="0" w:line="240" w:lineRule="exact"/>
              <w:rPr>
                <w:sz w:val="20"/>
                <w:szCs w:val="20"/>
                <w:color w:val="auto"/>
              </w:rPr>
            </w:pPr>
            <w:r>
              <w:rPr>
                <w:rFonts w:ascii="Times New Roman" w:cs="Times New Roman" w:eastAsia="Times New Roman" w:hAnsi="Times New Roman"/>
                <w:sz w:val="21"/>
                <w:szCs w:val="21"/>
                <w:color w:val="auto"/>
              </w:rPr>
              <w:t>Termination</w:t>
            </w:r>
          </w:p>
        </w:tc>
        <w:tc>
          <w:tcPr>
            <w:tcW w:w="9020" w:type="dxa"/>
            <w:vAlign w:val="bottom"/>
          </w:tcPr>
          <w:p>
            <w:pPr>
              <w:spacing w:after="0"/>
              <w:rPr>
                <w:sz w:val="20"/>
                <w:szCs w:val="20"/>
                <w:color w:val="auto"/>
              </w:rPr>
            </w:pPr>
          </w:p>
        </w:tc>
      </w:tr>
      <w:tr>
        <w:trPr>
          <w:trHeight w:val="240"/>
        </w:trPr>
        <w:tc>
          <w:tcPr>
            <w:tcW w:w="224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Without Cause:</w:t>
            </w: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The Company may terminate your employment without cause by providing you with pay in lieu of</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notice as follows. You will receive accrued but unpaid base salary, car allowance and benefits</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through the date of termination, reimbursement for properly incurred and unpaid business expenses,</w:t>
            </w:r>
          </w:p>
        </w:tc>
      </w:tr>
      <w:tr>
        <w:trPr>
          <w:trHeight w:val="240"/>
        </w:trPr>
        <w:tc>
          <w:tcPr>
            <w:tcW w:w="2240" w:type="dxa"/>
            <w:vAlign w:val="bottom"/>
          </w:tcPr>
          <w:p>
            <w:pPr>
              <w:spacing w:after="0"/>
              <w:rPr>
                <w:sz w:val="20"/>
                <w:szCs w:val="20"/>
                <w:color w:val="auto"/>
              </w:rPr>
            </w:pPr>
          </w:p>
        </w:tc>
        <w:tc>
          <w:tcPr>
            <w:tcW w:w="9020" w:type="dxa"/>
            <w:vAlign w:val="bottom"/>
          </w:tcPr>
          <w:p>
            <w:pPr>
              <w:ind w:left="360"/>
              <w:spacing w:after="0" w:line="240" w:lineRule="exact"/>
              <w:rPr>
                <w:sz w:val="20"/>
                <w:szCs w:val="20"/>
                <w:color w:val="auto"/>
              </w:rPr>
            </w:pPr>
            <w:r>
              <w:rPr>
                <w:rFonts w:ascii="Times New Roman" w:cs="Times New Roman" w:eastAsia="Times New Roman" w:hAnsi="Times New Roman"/>
                <w:sz w:val="21"/>
                <w:szCs w:val="21"/>
                <w:color w:val="auto"/>
              </w:rPr>
              <w:t>pay for accrued and unused vacation as of the termination date and your target Bonus (adjusted pro</w:t>
            </w:r>
          </w:p>
        </w:tc>
      </w:tr>
      <w:tr>
        <w:trPr>
          <w:trHeight w:val="278"/>
        </w:trPr>
        <w:tc>
          <w:tcPr>
            <w:tcW w:w="224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rata through the</w:t>
            </w:r>
          </w:p>
        </w:tc>
      </w:tr>
      <w:tr>
        <w:trPr>
          <w:trHeight w:val="363"/>
        </w:trPr>
        <w:tc>
          <w:tcPr>
            <w:tcW w:w="224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0072CE"/>
              </w:rPr>
              <w:t>IMAX Corporation | 902 Broadway, 20th Floor, New York, NY 10010 | 212-821-0100 | Fax: 212-821-0105</w:t>
            </w:r>
          </w:p>
        </w:tc>
      </w:tr>
      <w:tr>
        <w:trPr>
          <w:trHeight w:val="247"/>
        </w:trPr>
        <w:tc>
          <w:tcPr>
            <w:tcW w:w="2240" w:type="dxa"/>
            <w:vAlign w:val="bottom"/>
            <w:tcBorders>
              <w:bottom w:val="single" w:sz="8" w:color="9A9A9A"/>
            </w:tcBorders>
          </w:tcPr>
          <w:p>
            <w:pPr>
              <w:spacing w:after="0"/>
              <w:rPr>
                <w:sz w:val="21"/>
                <w:szCs w:val="21"/>
                <w:color w:val="auto"/>
              </w:rPr>
            </w:pPr>
          </w:p>
        </w:tc>
        <w:tc>
          <w:tcPr>
            <w:tcW w:w="90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70305" cy="220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70305" cy="220345"/>
                    </a:xfrm>
                    <a:prstGeom prst="rect">
                      <a:avLst/>
                    </a:prstGeom>
                    <a:noFill/>
                  </pic:spPr>
                </pic:pic>
              </a:graphicData>
            </a:graphic>
          </wp:anchor>
        </w:drawing>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58" w:right="319" w:bottom="1440" w:gutter="0" w:footer="0" w:header="0"/>
        </w:sectPr>
      </w:pPr>
    </w:p>
    <w:bookmarkStart w:id="87" w:name="page88"/>
    <w:bookmarkEnd w:id="87"/>
    <w:p>
      <w:pPr>
        <w:ind w:left="2580" w:right="80"/>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70305" cy="2203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70305" cy="220345"/>
                    </a:xfrm>
                    <a:prstGeom prst="rect">
                      <a:avLst/>
                    </a:prstGeom>
                    <a:noFill/>
                  </pic:spPr>
                </pic:pic>
              </a:graphicData>
            </a:graphic>
          </wp:anchor>
        </w:drawing>
        <w:t xml:space="preserve">termination date) for the year in which you were terminated (collectively, the </w:t>
      </w:r>
      <w:r>
        <w:rPr>
          <w:rFonts w:ascii="Times New Roman" w:cs="Times New Roman" w:eastAsia="Times New Roman" w:hAnsi="Times New Roman"/>
          <w:sz w:val="21"/>
          <w:szCs w:val="21"/>
          <w:b w:val="1"/>
          <w:bCs w:val="1"/>
          <w:i w:val="1"/>
          <w:iCs w:val="1"/>
          <w:color w:val="auto"/>
        </w:rPr>
        <w:t>“Other Accrued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Compensation and Benefits”</w:t>
      </w:r>
      <w:r>
        <w:rPr>
          <w:rFonts w:ascii="Times New Roman" w:cs="Times New Roman" w:eastAsia="Times New Roman" w:hAnsi="Times New Roman"/>
          <w:sz w:val="21"/>
          <w:szCs w:val="21"/>
          <w:color w:val="auto"/>
        </w:rPr>
        <w:t>). You will also receive pay in lieu of notice for a period equal to one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month per year of service with the Company (prorated for partial years), up to a maximum of twenty-four (24) months (the </w:t>
      </w:r>
      <w:r>
        <w:rPr>
          <w:rFonts w:ascii="Times New Roman" w:cs="Times New Roman" w:eastAsia="Times New Roman" w:hAnsi="Times New Roman"/>
          <w:sz w:val="21"/>
          <w:szCs w:val="21"/>
          <w:b w:val="1"/>
          <w:bCs w:val="1"/>
          <w:i w:val="1"/>
          <w:iCs w:val="1"/>
          <w:color w:val="auto"/>
        </w:rPr>
        <w:t>“Severance Period”</w:t>
      </w:r>
      <w:r>
        <w:rPr>
          <w:rFonts w:ascii="Times New Roman" w:cs="Times New Roman" w:eastAsia="Times New Roman" w:hAnsi="Times New Roman"/>
          <w:sz w:val="21"/>
          <w:szCs w:val="21"/>
          <w:color w:val="auto"/>
        </w:rPr>
        <w:t>) of your then current base salary, target Bonus and car allowance. You will not receive any additional equity grants during the Severance Period. In addition to such payment, you will continue to be provided with benefits or, at the Company’s option, pay in lieu of benefits for the duration of the Severance Period. The payments provided for in this provision shall be paid in a lump sum within sixty (60) days following your termination date.</w:t>
      </w:r>
    </w:p>
    <w:p>
      <w:pPr>
        <w:spacing w:after="0" w:line="198" w:lineRule="exact"/>
        <w:rPr>
          <w:sz w:val="20"/>
          <w:szCs w:val="20"/>
          <w:color w:val="auto"/>
        </w:rPr>
      </w:pPr>
    </w:p>
    <w:p>
      <w:pPr>
        <w:ind w:left="2580"/>
        <w:spacing w:after="0" w:line="248" w:lineRule="auto"/>
        <w:rPr>
          <w:sz w:val="20"/>
          <w:szCs w:val="20"/>
          <w:color w:val="auto"/>
        </w:rPr>
      </w:pPr>
      <w:r>
        <w:rPr>
          <w:rFonts w:ascii="Times New Roman" w:cs="Times New Roman" w:eastAsia="Times New Roman" w:hAnsi="Times New Roman"/>
          <w:sz w:val="21"/>
          <w:szCs w:val="21"/>
          <w:color w:val="auto"/>
        </w:rPr>
        <w:t>All equity that remains unvested as of the date of a termination without cause will, pursuant to the Service Factor provision in the LTIP and the grant agreements entered into between the Company and you pursuant to the LTIP, continue to vest in accordance with the original vesting schedule (in the case of PSUs, subject to the achievement of the original performance conditions, measured at the conclusion of the relevant performance period).</w:t>
      </w:r>
    </w:p>
    <w:p>
      <w:pPr>
        <w:spacing w:after="0" w:line="168" w:lineRule="exact"/>
        <w:rPr>
          <w:sz w:val="20"/>
          <w:szCs w:val="20"/>
          <w:color w:val="auto"/>
        </w:rPr>
      </w:pPr>
    </w:p>
    <w:p>
      <w:pPr>
        <w:ind w:left="2580" w:right="180"/>
        <w:spacing w:after="0" w:line="257" w:lineRule="auto"/>
        <w:rPr>
          <w:sz w:val="20"/>
          <w:szCs w:val="20"/>
          <w:color w:val="auto"/>
        </w:rPr>
      </w:pPr>
      <w:r>
        <w:rPr>
          <w:rFonts w:ascii="Times New Roman" w:cs="Times New Roman" w:eastAsia="Times New Roman" w:hAnsi="Times New Roman"/>
          <w:sz w:val="21"/>
          <w:szCs w:val="21"/>
          <w:color w:val="auto"/>
        </w:rPr>
        <w:t>The compensation set forth in this provision will be inclusive of all entitlements to notice or pay in lieu of notice, termination pay and/or severance pay pursuant to the Employment Standards Act, 2000 (Ontario) or any other applicable contract, statute, common law or other legal entitlement.</w:t>
      </w:r>
    </w:p>
    <w:p>
      <w:pPr>
        <w:spacing w:after="0" w:line="159" w:lineRule="exact"/>
        <w:rPr>
          <w:sz w:val="20"/>
          <w:szCs w:val="20"/>
          <w:color w:val="auto"/>
        </w:rPr>
      </w:pPr>
    </w:p>
    <w:p>
      <w:pPr>
        <w:ind w:left="2580"/>
        <w:spacing w:after="0" w:line="246" w:lineRule="auto"/>
        <w:rPr>
          <w:sz w:val="20"/>
          <w:szCs w:val="20"/>
          <w:color w:val="auto"/>
        </w:rPr>
      </w:pPr>
      <w:r>
        <w:rPr>
          <w:rFonts w:ascii="Times New Roman" w:cs="Times New Roman" w:eastAsia="Times New Roman" w:hAnsi="Times New Roman"/>
          <w:sz w:val="21"/>
          <w:szCs w:val="21"/>
          <w:color w:val="auto"/>
        </w:rPr>
        <w:t>Notwithstanding anything to the contrary herein, upon your termination without cause, the Company may, at its option, require you to work for up to six (6) months of the Severance Period immediately following your notice of termination to assist in transitioning your duties. If the Company elects this option, it will provide you with written notice of such election at the time you are notified of your termination. In such case, the end of the working transition period will constitute your termination date and the Severance Period will be reduced by the duration of such transition period.</w:t>
      </w:r>
    </w:p>
    <w:p>
      <w:pPr>
        <w:spacing w:after="0" w:line="200" w:lineRule="exact"/>
        <w:rPr>
          <w:sz w:val="20"/>
          <w:szCs w:val="20"/>
          <w:color w:val="auto"/>
        </w:rPr>
      </w:pP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1"/>
          <w:szCs w:val="21"/>
          <w:color w:val="auto"/>
        </w:rPr>
        <w:t>Termination Due</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1"/>
          <w:szCs w:val="21"/>
          <w:color w:val="auto"/>
        </w:rPr>
        <w:t>To Death or</w:t>
      </w:r>
    </w:p>
    <w:p>
      <w:pPr>
        <w:jc w:val="both"/>
        <w:ind w:left="2580" w:right="260" w:hanging="2599"/>
        <w:spacing w:after="0" w:line="245" w:lineRule="auto"/>
        <w:tabs>
          <w:tab w:leader="none" w:pos="2560" w:val="left"/>
        </w:tabs>
        <w:rPr>
          <w:sz w:val="20"/>
          <w:szCs w:val="20"/>
          <w:color w:val="auto"/>
        </w:rPr>
      </w:pPr>
      <w:r>
        <w:rPr>
          <w:rFonts w:ascii="Times New Roman" w:cs="Times New Roman" w:eastAsia="Times New Roman" w:hAnsi="Times New Roman"/>
          <w:sz w:val="21"/>
          <w:szCs w:val="21"/>
          <w:color w:val="auto"/>
        </w:rPr>
        <w:t>Disability:</w:t>
      </w:r>
      <w:r>
        <w:rPr>
          <w:sz w:val="20"/>
          <w:szCs w:val="20"/>
          <w:color w:val="auto"/>
        </w:rPr>
        <w:tab/>
      </w:r>
      <w:r>
        <w:rPr>
          <w:rFonts w:ascii="Times New Roman" w:cs="Times New Roman" w:eastAsia="Times New Roman" w:hAnsi="Times New Roman"/>
          <w:sz w:val="21"/>
          <w:szCs w:val="21"/>
          <w:color w:val="auto"/>
        </w:rPr>
        <w:t>In the event that your employment terminates as a result of your death or disability, the Company will pay to you (or to your estate, if applicable) the Other Accrued Compensation and Benefits, as well as any Bonus earned, but unpaid, for the year prior to the year of termination.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0072CE"/>
        </w:rPr>
        <w:t>IMAX Corporation | 902 Broadway, 20th Floor, New York, NY 10010 | 212-821-0100 | Fax: 212-821-0105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170180</wp:posOffset>
            </wp:positionV>
            <wp:extent cx="7150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40" w:top="453" w:right="359" w:bottom="1440" w:gutter="0" w:footer="0" w:header="0"/>
        </w:sectPr>
      </w:pPr>
    </w:p>
    <w:bookmarkStart w:id="88" w:name="page89"/>
    <w:bookmarkEnd w:id="88"/>
    <w:p>
      <w:pPr>
        <w:ind w:left="24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70305" cy="2203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70305" cy="220345"/>
                    </a:xfrm>
                    <a:prstGeom prst="rect">
                      <a:avLst/>
                    </a:prstGeom>
                    <a:noFill/>
                  </pic:spPr>
                </pic:pic>
              </a:graphicData>
            </a:graphic>
          </wp:anchor>
        </w:drawing>
        <w:t>Resignation for</w:t>
      </w:r>
    </w:p>
    <w:p>
      <w:pPr>
        <w:spacing w:after="0" w:line="23" w:lineRule="exact"/>
        <w:rPr>
          <w:sz w:val="20"/>
          <w:szCs w:val="20"/>
          <w:color w:val="auto"/>
        </w:rPr>
      </w:pPr>
    </w:p>
    <w:p>
      <w:pPr>
        <w:ind w:left="2560" w:hanging="2591"/>
        <w:spacing w:after="0" w:line="238" w:lineRule="auto"/>
        <w:tabs>
          <w:tab w:leader="none" w:pos="2540" w:val="left"/>
        </w:tabs>
        <w:rPr>
          <w:sz w:val="20"/>
          <w:szCs w:val="20"/>
          <w:color w:val="auto"/>
        </w:rPr>
      </w:pPr>
      <w:r>
        <w:rPr>
          <w:rFonts w:ascii="Times New Roman" w:cs="Times New Roman" w:eastAsia="Times New Roman" w:hAnsi="Times New Roman"/>
          <w:sz w:val="21"/>
          <w:szCs w:val="21"/>
          <w:color w:val="auto"/>
        </w:rPr>
        <w:t>Good Reason:</w:t>
      </w:r>
      <w:r>
        <w:rPr>
          <w:sz w:val="20"/>
          <w:szCs w:val="20"/>
          <w:color w:val="auto"/>
        </w:rPr>
        <w:tab/>
      </w:r>
      <w:r>
        <w:rPr>
          <w:rFonts w:ascii="Times New Roman" w:cs="Times New Roman" w:eastAsia="Times New Roman" w:hAnsi="Times New Roman"/>
          <w:sz w:val="21"/>
          <w:szCs w:val="21"/>
          <w:color w:val="auto"/>
        </w:rPr>
        <w:t>If at any time you resign from employment for Good Reason (as defined below), you will be entitled to the same severance payments and benefits as if you had been terminated without cause in accordance with the provisions above. For the sake of clarity, the Company may, at its option, require you to work for up to six (6) months of the Severance Period immediately following your resignation for Good Reason to assist in transitioning your duties, as is the case following a termination without cause. For purposes of this agreement,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shall mean your resignation as a result of (i) following a change in control (as defined below), you ceasing to report to the CEO; (ii) a material reduction in your responsibilities or compensation; or (iii) the Company requiring you to be based at any office or location more than thirty (30) miles from Toronto or Mississauga, Ontario; provided, however, that no such event shall constitute Good Reason unless</w:t>
      </w:r>
    </w:p>
    <w:p>
      <w:pPr>
        <w:spacing w:after="0" w:line="10" w:lineRule="exact"/>
        <w:rPr>
          <w:sz w:val="20"/>
          <w:szCs w:val="20"/>
          <w:color w:val="auto"/>
        </w:rPr>
      </w:pPr>
    </w:p>
    <w:p>
      <w:pPr>
        <w:ind w:left="2560" w:hanging="2"/>
        <w:spacing w:after="0" w:line="238" w:lineRule="auto"/>
        <w:tabs>
          <w:tab w:leader="none" w:pos="291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first give the Company written notice of your intention to resign your employment for Good Reason and the grounds for such resignation, (B) such grounds for resignation (if susceptible to correction) are not corrected by the Company within sixty (60) days of its receipt of such notice, and</w:t>
      </w:r>
    </w:p>
    <w:p>
      <w:pPr>
        <w:spacing w:after="0" w:line="2" w:lineRule="exact"/>
        <w:rPr>
          <w:rFonts w:ascii="Times New Roman" w:cs="Times New Roman" w:eastAsia="Times New Roman" w:hAnsi="Times New Roman"/>
          <w:sz w:val="21"/>
          <w:szCs w:val="21"/>
          <w:color w:val="auto"/>
        </w:rPr>
      </w:pPr>
    </w:p>
    <w:p>
      <w:pPr>
        <w:ind w:left="2560" w:right="260" w:hanging="2"/>
        <w:spacing w:after="0" w:line="251" w:lineRule="auto"/>
        <w:tabs>
          <w:tab w:leader="none" w:pos="289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actually resign your employment with the Company within thirty (30) days following the expiration of the sixty (60) day cure period.</w:t>
      </w:r>
    </w:p>
    <w:p>
      <w:pPr>
        <w:spacing w:after="0" w:line="200" w:lineRule="exact"/>
        <w:rPr>
          <w:sz w:val="20"/>
          <w:szCs w:val="20"/>
          <w:color w:val="auto"/>
        </w:rPr>
      </w:pP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Termination</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Following Change</w:t>
      </w:r>
    </w:p>
    <w:p>
      <w:pPr>
        <w:ind w:left="2560" w:right="20" w:hanging="2591"/>
        <w:spacing w:after="0" w:line="241" w:lineRule="auto"/>
        <w:tabs>
          <w:tab w:leader="none" w:pos="2540" w:val="left"/>
        </w:tabs>
        <w:rPr>
          <w:sz w:val="20"/>
          <w:szCs w:val="20"/>
          <w:color w:val="auto"/>
        </w:rPr>
      </w:pPr>
      <w:r>
        <w:rPr>
          <w:rFonts w:ascii="Times New Roman" w:cs="Times New Roman" w:eastAsia="Times New Roman" w:hAnsi="Times New Roman"/>
          <w:sz w:val="21"/>
          <w:szCs w:val="21"/>
          <w:color w:val="auto"/>
        </w:rPr>
        <w:t>In Control:</w:t>
      </w:r>
      <w:r>
        <w:rPr>
          <w:sz w:val="20"/>
          <w:szCs w:val="20"/>
          <w:color w:val="auto"/>
        </w:rPr>
        <w:tab/>
      </w:r>
      <w:r>
        <w:rPr>
          <w:rFonts w:ascii="Times New Roman" w:cs="Times New Roman" w:eastAsia="Times New Roman" w:hAnsi="Times New Roman"/>
          <w:sz w:val="21"/>
          <w:szCs w:val="21"/>
          <w:color w:val="auto"/>
        </w:rPr>
        <w:t>In the event of both (i) a change in control of the Company (i.e., any person, or group of persons acting in concert, other than Richard L. Gelfond or Bradley J. Wechsler, acquiring greater than fifty (50%) percent of the outstanding common shares of IMAX, whether by direct or indirect acquisition or as a result of a merger or reorganization), and (ii) your termination from the Company without cause within 24 months following the change of control, you will be entitled to the same severance payments and benefits as if you had been terminated without cause in accordance with the provisions above. Your granted and outstanding equity will be treated as follows:</w:t>
      </w:r>
    </w:p>
    <w:p>
      <w:pPr>
        <w:spacing w:after="0" w:line="20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Your granted and outstanding Options and RSUs shall accelerate and vest immediately.</w:t>
      </w:r>
    </w:p>
    <w:p>
      <w:pPr>
        <w:spacing w:after="0" w:line="213" w:lineRule="exact"/>
        <w:rPr>
          <w:sz w:val="20"/>
          <w:szCs w:val="20"/>
          <w:color w:val="auto"/>
        </w:rPr>
      </w:pPr>
    </w:p>
    <w:p>
      <w:pPr>
        <w:ind w:left="2560" w:right="140"/>
        <w:spacing w:after="0" w:line="248" w:lineRule="auto"/>
        <w:rPr>
          <w:sz w:val="20"/>
          <w:szCs w:val="20"/>
          <w:color w:val="auto"/>
        </w:rPr>
      </w:pPr>
      <w:r>
        <w:rPr>
          <w:rFonts w:ascii="Times New Roman" w:cs="Times New Roman" w:eastAsia="Times New Roman" w:hAnsi="Times New Roman"/>
          <w:sz w:val="21"/>
          <w:szCs w:val="21"/>
          <w:color w:val="auto"/>
        </w:rPr>
        <w:t>With respect to your granted and outstanding PSUs, any requirement for continued service through the end of the applicable performance period shall be waived, and the number of your PSUs that may become vested and settled in accordance with the terms thereof at the end of the applicable performance period shall be measured by the greater of (x) the Company’s performance on the last trading day immediately preceding the date upon which the Change in Control is consummated,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0072CE"/>
        </w:rPr>
        <w:t>IMAX Corporation | 902 Broadway, 20th Floor, New York, NY 10010 | 212-821-0100 | Fax: 212-821-0105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170180</wp:posOffset>
            </wp:positionV>
            <wp:extent cx="71507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60"/>
          </w:cols>
          <w:pgMar w:left="360" w:top="459" w:right="379" w:bottom="1440" w:gutter="0" w:footer="0" w:header="0"/>
        </w:sectPr>
      </w:pPr>
    </w:p>
    <w:bookmarkStart w:id="89" w:name="page90"/>
    <w:bookmarkEnd w:id="89"/>
    <w:p>
      <w:pPr>
        <w:ind w:left="2600"/>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170305" cy="2203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170305" cy="220345"/>
                    </a:xfrm>
                    <a:prstGeom prst="rect">
                      <a:avLst/>
                    </a:prstGeom>
                    <a:noFill/>
                  </pic:spPr>
                </pic:pic>
              </a:graphicData>
            </a:graphic>
          </wp:anchor>
        </w:drawing>
        <w:t>or (y) to the extent that the performance conditions remain applicable to the Company following the Change in Control, as determined in good faith by the Board, then the actual performance of the Company against those performance conditions as of the end of the applicable performance period will determine the number of PSUs that vest. To the extent that the performance conditions no longer apply to the Company following a Change of Control, then clause (x) shall determine the number of PSUs that may vest. Any unvested PSUs that do not vest in accordance with the foregoing shall be forfeited and canceled, and you shall have no further rights with respect thereto.</w:t>
      </w:r>
    </w:p>
    <w:p>
      <w:pPr>
        <w:spacing w:after="0" w:line="19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Please indicate your acknowledgement of receipt of this letter and your agreement with the terms and conditions herein by signing returning it to me via email by September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438150</wp:posOffset>
            </wp:positionV>
            <wp:extent cx="71335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21"/>
          <w:szCs w:val="21"/>
          <w:b w:val="1"/>
          <w:bCs w:val="1"/>
          <w:color w:val="auto"/>
        </w:rPr>
        <w:t>With my signature below, I confirm receipt of this memorandum and my acceptance of the terms of my employment as written.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Mark Welton</w:t>
      </w:r>
      <w:r>
        <w:rPr>
          <w:rFonts w:ascii="Times New Roman" w:cs="Times New Roman" w:eastAsia="Times New Roman" w:hAnsi="Times New Roman"/>
          <w:sz w:val="21"/>
          <w:szCs w:val="21"/>
          <w:color w:val="auto"/>
        </w:rPr>
        <w:t>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Mark Welton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September 18, 2020</w:t>
      </w:r>
      <w:r>
        <w:rPr>
          <w:rFonts w:ascii="Times New Roman" w:cs="Times New Roman" w:eastAsia="Times New Roman" w:hAnsi="Times New Roman"/>
          <w:sz w:val="21"/>
          <w:szCs w:val="21"/>
          <w:color w:val="auto"/>
        </w:rPr>
        <w:t>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0072CE"/>
        </w:rPr>
        <w:t>IMAX Corporation | 902 Broadway, 20th Floor, New York, NY 10010 | 212-821-0100 | Fax: 212-821-0105</w:t>
      </w:r>
    </w:p>
    <w:p>
      <w:pPr>
        <w:sectPr>
          <w:pgSz w:w="11900" w:h="16838" w:orient="portrait"/>
          <w:cols w:equalWidth="0" w:num="1">
            <w:col w:w="11160"/>
          </w:cols>
          <w:pgMar w:left="320" w:top="459" w:right="4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20" w:lineRule="exact"/>
        <w:rPr>
          <w:sz w:val="20"/>
          <w:szCs w:val="20"/>
          <w:color w:val="auto"/>
        </w:rPr>
      </w:pPr>
    </w:p>
    <w:p>
      <w:pPr>
        <w:ind w:left="540" w:hanging="466"/>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2020 of the registrant, IMAX Corporation;</w:t>
      </w:r>
    </w:p>
    <w:p>
      <w:pPr>
        <w:spacing w:after="0" w:line="220" w:lineRule="exact"/>
        <w:rPr>
          <w:rFonts w:ascii="Times New Roman" w:cs="Times New Roman" w:eastAsia="Times New Roman" w:hAnsi="Times New Roman"/>
          <w:sz w:val="18"/>
          <w:szCs w:val="18"/>
          <w:color w:val="auto"/>
        </w:rPr>
      </w:pPr>
    </w:p>
    <w:p>
      <w:pPr>
        <w:jc w:val="both"/>
        <w:ind w:left="540" w:hanging="466"/>
        <w:spacing w:after="0" w:line="26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40" w:hanging="466"/>
        <w:spacing w:after="0" w:line="277"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540" w:hanging="466"/>
        <w:spacing w:after="0" w:line="26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1480" w:hanging="471"/>
        <w:spacing w:after="0" w:line="262"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480" w:hanging="471"/>
        <w:spacing w:after="0" w:line="262"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480" w:hanging="471"/>
        <w:spacing w:after="0" w:line="277"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1480" w:hanging="471"/>
        <w:spacing w:after="0" w:line="262"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40" w:hanging="466"/>
        <w:spacing w:after="0" w:line="277"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480" w:hanging="471"/>
        <w:spacing w:after="0" w:line="277"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480" w:right="20" w:hanging="471"/>
        <w:spacing w:after="0" w:line="277"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29, 2020</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189"/>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McClymont, certify that:</w:t>
      </w:r>
    </w:p>
    <w:p>
      <w:pPr>
        <w:spacing w:after="0" w:line="220" w:lineRule="exact"/>
        <w:rPr>
          <w:sz w:val="20"/>
          <w:szCs w:val="20"/>
          <w:color w:val="auto"/>
        </w:rPr>
      </w:pPr>
    </w:p>
    <w:p>
      <w:pPr>
        <w:ind w:left="540" w:hanging="466"/>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2020 of the registrant, IMAX Corporation;</w:t>
      </w:r>
    </w:p>
    <w:p>
      <w:pPr>
        <w:spacing w:after="0" w:line="220" w:lineRule="exact"/>
        <w:rPr>
          <w:rFonts w:ascii="Times New Roman" w:cs="Times New Roman" w:eastAsia="Times New Roman" w:hAnsi="Times New Roman"/>
          <w:sz w:val="18"/>
          <w:szCs w:val="18"/>
          <w:color w:val="auto"/>
        </w:rPr>
      </w:pPr>
    </w:p>
    <w:p>
      <w:pPr>
        <w:jc w:val="both"/>
        <w:ind w:left="540" w:hanging="466"/>
        <w:spacing w:after="0" w:line="26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40" w:hanging="466"/>
        <w:spacing w:after="0" w:line="27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540" w:hanging="466"/>
        <w:spacing w:after="0" w:line="26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1480" w:hanging="471"/>
        <w:spacing w:after="0" w:line="262"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480" w:hanging="471"/>
        <w:spacing w:after="0" w:line="262"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480" w:hanging="471"/>
        <w:spacing w:after="0" w:line="277"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1480" w:hanging="471"/>
        <w:spacing w:after="0" w:line="262"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40" w:hanging="466"/>
        <w:spacing w:after="0" w:line="27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480" w:hanging="471"/>
        <w:spacing w:after="0" w:line="277"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480" w:right="20" w:hanging="471"/>
        <w:spacing w:after="0" w:line="277"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29, 2020</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Patrick McClymont</w:t>
            </w:r>
          </w:p>
        </w:tc>
      </w:tr>
      <w:tr>
        <w:trPr>
          <w:trHeight w:val="189"/>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Patrick McClymont</w:t>
            </w:r>
          </w:p>
        </w:tc>
      </w:tr>
      <w:tr>
        <w:trPr>
          <w:trHeight w:val="214"/>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w:t>
            </w:r>
          </w:p>
        </w:tc>
      </w:tr>
      <w:tr>
        <w:trPr>
          <w:trHeight w:val="233"/>
        </w:trPr>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ectPr>
          <w:pgSz w:w="11900" w:h="16838" w:orient="portrait"/>
          <w:cols w:equalWidth="0" w:num="1">
            <w:col w:w="11240"/>
          </w:cols>
          <w:pgMar w:left="320" w:top="11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07" w:lineRule="exact"/>
        <w:rPr>
          <w:sz w:val="20"/>
          <w:szCs w:val="20"/>
          <w:color w:val="auto"/>
        </w:rPr>
      </w:pPr>
    </w:p>
    <w:p>
      <w:pPr>
        <w:jc w:val="both"/>
        <w:ind w:firstLine="918"/>
        <w:spacing w:after="0" w:line="26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77" w:lineRule="exact"/>
        <w:rPr>
          <w:sz w:val="20"/>
          <w:szCs w:val="20"/>
          <w:color w:val="auto"/>
        </w:rPr>
      </w:pPr>
    </w:p>
    <w:p>
      <w:pPr>
        <w:jc w:val="both"/>
        <w:ind w:firstLine="918"/>
        <w:spacing w:after="0" w:line="262"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29, 2020</w:t>
            </w:r>
          </w:p>
        </w:tc>
        <w:tc>
          <w:tcPr>
            <w:tcW w:w="28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189"/>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07" w:lineRule="exact"/>
        <w:rPr>
          <w:sz w:val="20"/>
          <w:szCs w:val="20"/>
          <w:color w:val="auto"/>
        </w:rPr>
      </w:pPr>
    </w:p>
    <w:p>
      <w:pPr>
        <w:jc w:val="both"/>
        <w:ind w:firstLine="918"/>
        <w:spacing w:after="0" w:line="26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Patrick McClymont, Chief Financial Officer &amp; Executive Vice President of IMAX Corporation, a Canadian corporation (the “Company”), hereby certify, to my knowledge, that:</w:t>
      </w:r>
    </w:p>
    <w:p>
      <w:pPr>
        <w:spacing w:after="0" w:line="177" w:lineRule="exact"/>
        <w:rPr>
          <w:sz w:val="20"/>
          <w:szCs w:val="20"/>
          <w:color w:val="auto"/>
        </w:rPr>
      </w:pPr>
    </w:p>
    <w:p>
      <w:pPr>
        <w:jc w:val="both"/>
        <w:ind w:firstLine="918"/>
        <w:spacing w:after="0" w:line="262"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29, 2020</w:t>
            </w:r>
          </w:p>
        </w:tc>
        <w:tc>
          <w:tcPr>
            <w:tcW w:w="28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 Patrick McClymont</w:t>
            </w:r>
          </w:p>
        </w:tc>
      </w:tr>
      <w:tr>
        <w:trPr>
          <w:trHeight w:val="189"/>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Patrick McClymont</w:t>
            </w:r>
          </w:p>
        </w:tc>
      </w:tr>
      <w:tr>
        <w:trPr>
          <w:trHeight w:val="214"/>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w:t>
            </w:r>
          </w:p>
        </w:tc>
      </w:tr>
      <w:tr>
        <w:trPr>
          <w:trHeight w:val="233"/>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6"/>
    </w:lvl>
  </w:abstractNum>
  <w:abstractNum w:abstractNumId="8">
    <w:nsid w:val="54E49EB4"/>
    <w:multiLevelType w:val="hybridMultilevel"/>
    <w:lvl w:ilvl="0">
      <w:lvlJc w:val="left"/>
      <w:lvlText w:val="%1."/>
      <w:numFmt w:val="decimal"/>
      <w:start w:val="7"/>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emdash "/>
      <w:numFmt w:val="bullet"/>
      <w:start w:val="1"/>
    </w:lvl>
  </w:abstractNum>
  <w:abstractNum w:abstractNumId="12">
    <w:nsid w:val="2901D82"/>
    <w:multiLevelType w:val="hybridMultilevel"/>
    <w:lvl w:ilvl="0">
      <w:lvlJc w:val="left"/>
      <w:lvlText w:val="%1."/>
      <w:numFmt w:val="decimal"/>
      <w:start w:val="10"/>
    </w:lvl>
    <w:lvl w:ilvl="1">
      <w:lvlJc w:val="left"/>
      <w:lvlText w:val="(%2)"/>
      <w:numFmt w:val="lowerLetter"/>
      <w:start w:val="1"/>
    </w:lvl>
  </w:abstractNum>
  <w:abstractNum w:abstractNumId="13">
    <w:nsid w:val="3A95F874"/>
    <w:multiLevelType w:val="hybridMultilevel"/>
    <w:lvl w:ilvl="0">
      <w:lvlJc w:val="left"/>
      <w:lvlText w:val="(%1)"/>
      <w:numFmt w:val="decimal"/>
      <w:start w:val="1"/>
    </w:lvl>
    <w:lvl w:ilvl="1">
      <w:lvlJc w:val="left"/>
      <w:lvlText w:val="(%2)"/>
      <w:numFmt w:val="lowerLetter"/>
      <w:start w:val="4"/>
    </w:lvl>
  </w:abstractNum>
  <w:abstractNum w:abstractNumId="14">
    <w:nsid w:val="8138641"/>
    <w:multiLevelType w:val="hybridMultilevel"/>
    <w:lvl w:ilvl="0">
      <w:lvlJc w:val="left"/>
      <w:lvlText w:val="%1."/>
      <w:numFmt w:val="decimal"/>
      <w:start w:val="12"/>
    </w:lvl>
    <w:lvl w:ilvl="1">
      <w:lvlJc w:val="left"/>
      <w:lvlText w:val="(%2)"/>
      <w:numFmt w:val="lowerLetter"/>
      <w:start w:val="1"/>
    </w:lvl>
  </w:abstractNum>
  <w:abstractNum w:abstractNumId="15">
    <w:nsid w:val="1E7FF521"/>
    <w:multiLevelType w:val="hybridMultilevel"/>
    <w:lvl w:ilvl="0">
      <w:lvlJc w:val="left"/>
      <w:lvlText w:val="\emdash "/>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2"/>
    </w:lvl>
  </w:abstractNum>
  <w:abstractNum w:abstractNumId="21">
    <w:nsid w:val="3006C83E"/>
    <w:multiLevelType w:val="hybridMultilevel"/>
    <w:lvl w:ilvl="0">
      <w:lvlJc w:val="left"/>
      <w:lvlText w:val="%1."/>
      <w:numFmt w:val="decimal"/>
      <w:start w:val="15"/>
    </w:lvl>
    <w:lvl w:ilvl="1">
      <w:lvlJc w:val="left"/>
      <w:lvlText w:val="(%2)"/>
      <w:numFmt w:val="lowerLetter"/>
      <w:start w:val="1"/>
    </w:lvl>
  </w:abstractNum>
  <w:abstractNum w:abstractNumId="22">
    <w:nsid w:val="614FD4A1"/>
    <w:multiLevelType w:val="hybridMultilevel"/>
    <w:lvl w:ilvl="0">
      <w:lvlJc w:val="left"/>
      <w:lvlText w:val="%1."/>
      <w:numFmt w:val="decimal"/>
      <w:start w:val="16"/>
    </w:lvl>
    <w:lvl w:ilvl="1">
      <w:lvlJc w:val="left"/>
      <w:lvlText w:val="(%2)"/>
      <w:numFmt w:val="lowerLetter"/>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7"/>
    </w:lvl>
    <w:lvl w:ilvl="1">
      <w:lvlJc w:val="left"/>
      <w:lvlText w:val="(%2)"/>
      <w:numFmt w:val="lowerLetter"/>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04"/>
    </w:lvl>
  </w:abstractNum>
  <w:abstractNum w:abstractNumId="41">
    <w:nsid w:val="1D4ED43B"/>
    <w:multiLevelType w:val="hybridMultilevel"/>
    <w:lvl w:ilvl="0">
      <w:lvlJc w:val="left"/>
      <w:lvlText w:val="(%1)"/>
      <w:numFmt w:val="upperLetter"/>
      <w:start w:val="1"/>
    </w:lvl>
  </w:abstractNum>
  <w:abstractNum w:abstractNumId="42">
    <w:nsid w:val="725A06FB"/>
    <w:multiLevelType w:val="hybridMultilevel"/>
    <w:lvl w:ilvl="0">
      <w:lvlJc w:val="left"/>
      <w:lvlText w:val="(%1)"/>
      <w:numFmt w:val="upperLetter"/>
      <w:start w:val="3"/>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2020-10-29T13:21:43Z</dcterms:created>
  <dcterms:modified xsi:type="dcterms:W3CDTF">2020-10-29T13:21:43Z</dcterms:modified>
</cp:coreProperties>
</file>