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19,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IMAX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before="0" w:after="0"/>
        <w:jc w:val="left"/>
        <w:rPr/>
      </w:pPr>
      <w:r>
        <w:rPr/>
      </w:r>
    </w:p>
    <w:tbl>
      <w:tblPr>
        <w:tblW w:w="4823" w:type="dxa"/>
        <w:jc w:val="left"/>
        <w:tblInd w:w="0" w:type="dxa"/>
        <w:tblLayout w:type="fixed"/>
        <w:tblCellMar>
          <w:top w:w="28" w:type="dxa"/>
          <w:left w:w="28" w:type="dxa"/>
          <w:bottom w:w="28" w:type="dxa"/>
          <w:right w:w="28" w:type="dxa"/>
        </w:tblCellMar>
      </w:tblPr>
      <w:tblGrid>
        <w:gridCol w:w="638"/>
        <w:gridCol w:w="562"/>
        <w:gridCol w:w="569"/>
        <w:gridCol w:w="109"/>
        <w:gridCol w:w="109"/>
        <w:gridCol w:w="109"/>
        <w:gridCol w:w="294"/>
        <w:gridCol w:w="294"/>
        <w:gridCol w:w="298"/>
        <w:gridCol w:w="109"/>
        <w:gridCol w:w="109"/>
        <w:gridCol w:w="109"/>
        <w:gridCol w:w="442"/>
        <w:gridCol w:w="442"/>
        <w:gridCol w:w="630"/>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001-35066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98-0140269</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(Commission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Number)</w:t>
            </w:r>
          </w:p>
        </w:tc>
      </w:tr>
    </w:tbl>
    <w:p>
      <w:pPr>
        <w:pStyle w:val="TextBody"/>
        <w:bidi w:val="0"/>
        <w:spacing w:before="0" w:after="0"/>
        <w:jc w:val="left"/>
        <w:rPr/>
      </w:pPr>
      <w:r>
        <w:rPr/>
      </w:r>
    </w:p>
    <w:tbl>
      <w:tblPr>
        <w:tblW w:w="5968" w:type="dxa"/>
        <w:jc w:val="left"/>
        <w:tblInd w:w="0" w:type="dxa"/>
        <w:tblLayout w:type="fixed"/>
        <w:tblCellMar>
          <w:top w:w="28" w:type="dxa"/>
          <w:left w:w="28" w:type="dxa"/>
          <w:bottom w:w="28" w:type="dxa"/>
          <w:right w:w="28" w:type="dxa"/>
        </w:tblCellMar>
      </w:tblPr>
      <w:tblGrid>
        <w:gridCol w:w="1150"/>
        <w:gridCol w:w="1011"/>
        <w:gridCol w:w="1018"/>
        <w:gridCol w:w="816"/>
        <w:gridCol w:w="816"/>
        <w:gridCol w:w="1157"/>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2525 Speakman Drive</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902 Broadway, Floor 20</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Mississauga, Ontario, Canada L5K 1B1</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New York, USA 10010</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(905) 403-6457</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821-0142</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 telephone numbers)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before="0" w:after="0"/>
        <w:jc w:val="left"/>
        <w:rPr/>
      </w:pPr>
      <w:r>
        <w:rPr/>
      </w:r>
    </w:p>
    <w:tbl>
      <w:tblPr>
        <w:tblW w:w="6501" w:type="dxa"/>
        <w:jc w:val="left"/>
        <w:tblInd w:w="0" w:type="dxa"/>
        <w:tblLayout w:type="fixed"/>
        <w:tblCellMar>
          <w:top w:w="28" w:type="dxa"/>
          <w:left w:w="28" w:type="dxa"/>
          <w:bottom w:w="28" w:type="dxa"/>
          <w:right w:w="28" w:type="dxa"/>
        </w:tblCellMar>
      </w:tblPr>
      <w:tblGrid>
        <w:gridCol w:w="889"/>
        <w:gridCol w:w="780"/>
        <w:gridCol w:w="790"/>
        <w:gridCol w:w="109"/>
        <w:gridCol w:w="109"/>
        <w:gridCol w:w="109"/>
        <w:gridCol w:w="274"/>
        <w:gridCol w:w="274"/>
        <w:gridCol w:w="276"/>
        <w:gridCol w:w="109"/>
        <w:gridCol w:w="109"/>
        <w:gridCol w:w="109"/>
        <w:gridCol w:w="750"/>
        <w:gridCol w:w="750"/>
        <w:gridCol w:w="106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19, 2026, IMAX Corporation (the “Company”) and Robert D. Lister, the Company’s Chief Legal Officer and Senior Executive Vice President, entered into a third amendment (the “Amendment”) to Mr. Lister’s existing employment agreement with the Company dated as of December 18, 2017, previously amended by a First Amending Agreement dated as of March 11, 2020 and a Second Amending Agreement dated as of October 20, 2023. The Amendment extends the term of the existing employment agreement to December 31, 2029.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Lister’s compensation or severance terms, as applicable, remain the same as those previously disclosed by the Company, except that (i) if the Company terminates Mr. Lister’s employment for cause or if Mr. Lister resigns from his employment without Good Reason prior to December 31, 2029, all granted but unvested equity awards will be cancelled without consideration; provided, however, that in the case of Mr. Lister’s resignation when he has provided the Company with a written notice of intent to resign at least six months prior to Mr. Lister’s final day of employment with the Company, all unvested equity awards will, pursuant to the Service Factor provision in the Company’s Second Amended and Restated Long-Term Incentive Plan (the “LTIP”), continue to vest in accordance with the original vesting schedule (in the case of performance stock units (“PSUs”), subject to the achievement of the original performance conditions, measured at the conclusion of the relevant performance period); and (ii) if, following December 31, 2029, the Company does not offer to continue Mr. Lister’s employment on substantially similar terms and Mr. Lister’s employment with the Company terminates, all unvested equity awards as of December 31, 2029 will, pursuant to the Service Factor provision in the LTIP, continue to vest in accordance with the original vesting schedule (in the case of PSUs, subject to the achievement of the original performance conditions, measured at the conclusion of the relevant performance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other material terms and conditions of the existing employment agreement remain the same.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does not purport to be complete and is qualified in its entirety by reference to the Amendment, which will be filed as an exhibit to the Company’s Quarterly Report on Form 10-Q for the quarter ending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69" w:type="dxa"/>
        <w:jc w:val="left"/>
        <w:tblInd w:w="0" w:type="dxa"/>
        <w:tblLayout w:type="fixed"/>
        <w:tblCellMar>
          <w:top w:w="28" w:type="dxa"/>
          <w:left w:w="28" w:type="dxa"/>
          <w:bottom w:w="28" w:type="dxa"/>
          <w:right w:w="28" w:type="dxa"/>
        </w:tblCellMar>
      </w:tblPr>
      <w:tblGrid>
        <w:gridCol w:w="705"/>
        <w:gridCol w:w="620"/>
        <w:gridCol w:w="624"/>
        <w:gridCol w:w="277"/>
        <w:gridCol w:w="277"/>
        <w:gridCol w:w="277"/>
        <w:gridCol w:w="1250"/>
        <w:gridCol w:w="1250"/>
        <w:gridCol w:w="1789"/>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6"/>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color w:val="000000"/>
                <w:sz w:val="20"/>
              </w:rPr>
            </w:pPr>
            <w:r>
              <w:rPr>
                <w:rFonts w:ascii="Times New Roman;serif" w:hAnsi="Times New Roman;serif"/>
                <w:b/>
                <w:color w:val="000000"/>
                <w:sz w:val="20"/>
              </w:rPr>
              <w:t>IMAX Corporation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6"/>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Date: August 21, 2026</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/s/ Kenneth I. Weissman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Kenneth I. Weissman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val="false"/>
                <w:color w:val="000000"/>
                <w:sz w:val="20"/>
              </w:rPr>
            </w:pPr>
            <w:r>
              <w:rPr>
                <w:rFonts w:ascii="Times New Roman;serif" w:hAnsi="Times New Roman;serif"/>
                <w:b w:val="false"/>
                <w:color w:val="000000"/>
                <w:sz w:val="20"/>
              </w:rPr>
              <w:t>Deputy General Counsel &amp;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4240</Characters>
  <CharactersWithSpaces>4944</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