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286.xml.htm"/>
      <w:bookmarkStart w:id="1" w:name="ksmarketforms732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SETTLE DANA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435 LORRAINE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6"/>
        <w:gridCol w:w="774"/>
        <w:gridCol w:w="601"/>
        <w:gridCol w:w="351"/>
        <w:gridCol w:w="895"/>
        <w:gridCol w:w="460"/>
        <w:gridCol w:w="717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65,700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69,090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66"/>
        <w:gridCol w:w="66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upon vesting of restricted share units into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is the economic equivalent of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a contingent right to receive one common share of IMAX Corporation.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Ms. Settle received a grant of restricted share units in connection with her membership on the IMAX Corporation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share units vest and convert to common shares on the date of grant,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Pursuant to Instruction 4(C)(iii), this response has been left blank.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Dana R. Settle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109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691</Words>
  <Characters>3713</Characters>
  <CharactersWithSpaces>4323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