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001-35066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IMAX Corporation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6434" w:type="dxa"/>
        <w:jc w:val="left"/>
        <w:tblInd w:w="0" w:type="dxa"/>
        <w:tblLayout w:type="fixed"/>
        <w:tblCellMar>
          <w:top w:w="28" w:type="dxa"/>
          <w:left w:w="28" w:type="dxa"/>
          <w:bottom w:w="28" w:type="dxa"/>
          <w:right w:w="28" w:type="dxa"/>
        </w:tblCellMar>
      </w:tblPr>
      <w:tblGrid>
        <w:gridCol w:w="1261"/>
        <w:gridCol w:w="1102"/>
        <w:gridCol w:w="1117"/>
        <w:gridCol w:w="863"/>
        <w:gridCol w:w="863"/>
        <w:gridCol w:w="1228"/>
      </w:tblGrid>
      <w:tr>
        <w:trPr/>
        <w:tc>
          <w:tcPr>
            <w:tcW w:w="126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Canada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98-0140269</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(I.R.S. Employer</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Identification Number)</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2525 Speakman Drive,</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Mississauga, Ontario, Canada L5K 1B1</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(905) 403-6457</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902 Broadway, Floor 20</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York, New York, USA 10010</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(212) 821-0142</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zip code, telephone numbers)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before="0" w:after="0"/>
        <w:jc w:val="center"/>
        <w:rPr/>
      </w:pPr>
      <w:r>
        <w:rPr/>
      </w:r>
    </w:p>
    <w:tbl>
      <w:tblPr>
        <w:tblW w:w="8091" w:type="dxa"/>
        <w:jc w:val="left"/>
        <w:tblInd w:w="0" w:type="dxa"/>
        <w:tblLayout w:type="fixed"/>
        <w:tblCellMar>
          <w:top w:w="28" w:type="dxa"/>
          <w:left w:w="28" w:type="dxa"/>
          <w:bottom w:w="28" w:type="dxa"/>
          <w:right w:w="28" w:type="dxa"/>
        </w:tblCellMar>
      </w:tblPr>
      <w:tblGrid>
        <w:gridCol w:w="965"/>
        <w:gridCol w:w="846"/>
        <w:gridCol w:w="858"/>
        <w:gridCol w:w="109"/>
        <w:gridCol w:w="109"/>
        <w:gridCol w:w="109"/>
        <w:gridCol w:w="484"/>
        <w:gridCol w:w="484"/>
        <w:gridCol w:w="486"/>
        <w:gridCol w:w="109"/>
        <w:gridCol w:w="109"/>
        <w:gridCol w:w="109"/>
        <w:gridCol w:w="970"/>
        <w:gridCol w:w="970"/>
        <w:gridCol w:w="1374"/>
      </w:tblGrid>
      <w:tr>
        <w:trPr/>
        <w:tc>
          <w:tcPr>
            <w:tcW w:w="96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center"/>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jc w:val="center"/>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before="0" w:after="0"/>
        <w:jc w:val="center"/>
        <w:rPr/>
      </w:pPr>
      <w:r>
        <w:rPr/>
      </w:r>
    </w:p>
    <w:tbl>
      <w:tblPr>
        <w:tblW w:w="5502" w:type="dxa"/>
        <w:jc w:val="left"/>
        <w:tblInd w:w="0" w:type="dxa"/>
        <w:tblLayout w:type="fixed"/>
        <w:tblCellMar>
          <w:top w:w="28" w:type="dxa"/>
          <w:left w:w="28" w:type="dxa"/>
          <w:bottom w:w="28" w:type="dxa"/>
          <w:right w:w="28" w:type="dxa"/>
        </w:tblCellMar>
      </w:tblPr>
      <w:tblGrid>
        <w:gridCol w:w="914"/>
        <w:gridCol w:w="806"/>
        <w:gridCol w:w="815"/>
        <w:gridCol w:w="109"/>
        <w:gridCol w:w="109"/>
        <w:gridCol w:w="109"/>
        <w:gridCol w:w="771"/>
        <w:gridCol w:w="771"/>
        <w:gridCol w:w="1098"/>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Outstanding as of March 31, 2026</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54,855,176</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both"/>
        <w:rPr/>
      </w:pPr>
      <w:r>
        <w:rPr/>
      </w:r>
    </w:p>
    <w:tbl>
      <w:tblPr>
        <w:tblW w:w="966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16">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16">
              <w:r>
                <w:rPr>
                  <w:rStyle w:val="InternetLink"/>
                  <w:rFonts w:ascii="Times New Roman;serif" w:hAnsi="Times New Roman;serif"/>
                  <w:b w:val="false"/>
                  <w:color w:val="0000FF"/>
                  <w:sz w:val="20"/>
                  <w:u w:val="single"/>
                </w:rPr>
                <w:t>3</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43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439">
              <w:r>
                <w:rPr>
                  <w:rStyle w:val="InternetLink"/>
                  <w:rFonts w:ascii="Times New Roman;serif" w:hAnsi="Times New Roman;serif"/>
                  <w:b w:val="false"/>
                  <w:color w:val="0000FF"/>
                  <w:sz w:val="20"/>
                  <w:u w:val="single"/>
                </w:rPr>
                <w:t>35</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571">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571">
              <w:r>
                <w:rPr>
                  <w:rStyle w:val="InternetLink"/>
                  <w:rFonts w:ascii="Times New Roman;serif" w:hAnsi="Times New Roman;serif"/>
                  <w:b w:val="false"/>
                  <w:color w:val="0000FF"/>
                  <w:sz w:val="20"/>
                  <w:u w:val="single"/>
                </w:rPr>
                <w:t>54</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595">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595">
              <w:r>
                <w:rPr>
                  <w:rStyle w:val="InternetLink"/>
                  <w:rFonts w:ascii="Times New Roman;serif" w:hAnsi="Times New Roman;serif"/>
                  <w:b w:val="false"/>
                  <w:color w:val="0000FF"/>
                  <w:sz w:val="20"/>
                  <w:u w:val="single"/>
                </w:rPr>
                <w:t>55</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04">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0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607">
              <w:r>
                <w:rPr>
                  <w:rStyle w:val="InternetLink"/>
                  <w:rFonts w:ascii="Times New Roman;serif" w:hAnsi="Times New Roman;serif"/>
                  <w:b w:val="false"/>
                  <w:color w:val="0000FF"/>
                  <w:sz w:val="20"/>
                  <w:u w:val="single"/>
                </w:rPr>
                <w:t>57</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1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610">
              <w:r>
                <w:rPr>
                  <w:rStyle w:val="InternetLink"/>
                  <w:rFonts w:ascii="Times New Roman;serif" w:hAnsi="Times New Roman;serif"/>
                  <w:b w:val="false"/>
                  <w:color w:val="0000FF"/>
                  <w:sz w:val="20"/>
                  <w:u w:val="single"/>
                </w:rPr>
                <w:t>57</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1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613">
              <w:r>
                <w:rPr>
                  <w:rStyle w:val="InternetLink"/>
                  <w:rFonts w:ascii="Times New Roman;serif" w:hAnsi="Times New Roman;serif"/>
                  <w:b w:val="false"/>
                  <w:color w:val="0000FF"/>
                  <w:sz w:val="20"/>
                  <w:u w:val="single"/>
                </w:rPr>
                <w:t>59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16">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616">
              <w:r>
                <w:rPr>
                  <w:rStyle w:val="InternetLink"/>
                  <w:rFonts w:ascii="Times New Roman;serif" w:hAnsi="Times New Roman;serif"/>
                  <w:b w:val="false"/>
                  <w:color w:val="0000FF"/>
                  <w:sz w:val="20"/>
                  <w:u w:val="single"/>
                </w:rPr>
                <w:t>59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22">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622">
              <w:r>
                <w:rPr>
                  <w:rStyle w:val="InternetLink"/>
                  <w:rFonts w:ascii="Times New Roman;serif" w:hAnsi="Times New Roman;serif"/>
                  <w:b w:val="false"/>
                  <w:color w:val="0000FF"/>
                  <w:sz w:val="20"/>
                  <w:u w:val="single"/>
                </w:rPr>
                <w:t>60</w:t>
              </w:r>
            </w:hyperlink>
          </w:p>
        </w:tc>
      </w:tr>
      <w:tr>
        <w:trPr/>
        <w:tc>
          <w:tcPr>
            <w:tcW w:w="90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625">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625">
              <w:r>
                <w:rPr>
                  <w:rStyle w:val="InternetLink"/>
                  <w:rFonts w:ascii="Times New Roman;serif" w:hAnsi="Times New Roman;serif"/>
                  <w:b w:val="false"/>
                  <w:color w:val="0000FF"/>
                  <w:sz w:val="20"/>
                  <w:u w:val="single"/>
                </w:rPr>
                <w:t>61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pStyle w:val="TextBody"/>
        <w:bidi w:val="0"/>
        <w:spacing w:before="0" w:after="0"/>
        <w:jc w:val="both"/>
        <w:rPr/>
      </w:pPr>
      <w:r>
        <w:rPr/>
      </w:r>
    </w:p>
    <w:tbl>
      <w:tblPr>
        <w:tblW w:w="10140" w:type="dxa"/>
        <w:jc w:val="left"/>
        <w:tblInd w:w="0" w:type="dxa"/>
        <w:tblLayout w:type="fixed"/>
        <w:tblCellMar>
          <w:top w:w="28" w:type="dxa"/>
          <w:left w:w="28" w:type="dxa"/>
          <w:bottom w:w="28" w:type="dxa"/>
          <w:right w:w="28" w:type="dxa"/>
        </w:tblCellMar>
      </w:tblPr>
      <w:tblGrid>
        <w:gridCol w:w="3484"/>
        <w:gridCol w:w="3064"/>
        <w:gridCol w:w="3081"/>
        <w:gridCol w:w="149"/>
        <w:gridCol w:w="149"/>
        <w:gridCol w:w="213"/>
      </w:tblGrid>
      <w:tr>
        <w:trPr/>
        <w:tc>
          <w:tcPr>
            <w:tcW w:w="3484"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unaudited Condensed Consolidated Financial Statements are filed as part of this Report:</w:t>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19">
              <w:r>
                <w:rPr>
                  <w:rStyle w:val="InternetLink"/>
                  <w:rFonts w:ascii="Times New Roman;serif" w:hAnsi="Times New Roman;serif"/>
                  <w:b w:val="false"/>
                  <w:color w:val="0000FF"/>
                  <w:sz w:val="20"/>
                  <w:u w:val="single"/>
                </w:rPr>
                <w:t>Condensed Consolidated Balance Sheets as of March 31, 2026 and December 31,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19">
              <w:r>
                <w:rPr>
                  <w:rStyle w:val="InternetLink"/>
                  <w:rFonts w:ascii="Times New Roman;serif" w:hAnsi="Times New Roman;serif"/>
                  <w:b w:val="false"/>
                  <w:color w:val="0000FF"/>
                  <w:sz w:val="20"/>
                  <w:u w:val="single"/>
                </w:rPr>
                <w:t>4</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22">
              <w:r>
                <w:rPr>
                  <w:rStyle w:val="InternetLink"/>
                  <w:rFonts w:ascii="Times New Roman;serif" w:hAnsi="Times New Roman;serif"/>
                  <w:b w:val="false"/>
                  <w:color w:val="0000FF"/>
                  <w:sz w:val="20"/>
                  <w:u w:val="single"/>
                </w:rPr>
                <w:t>Condensed Consolidated Statements of Operations for the three months ended March 31, 2026 and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22">
              <w:r>
                <w:rPr>
                  <w:rStyle w:val="InternetLink"/>
                  <w:rFonts w:ascii="Times New Roman;serif" w:hAnsi="Times New Roman;serif"/>
                  <w:b w:val="false"/>
                  <w:color w:val="0000FF"/>
                  <w:sz w:val="20"/>
                  <w:u w:val="single"/>
                </w:rPr>
                <w:t>5</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25">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25">
              <w:r>
                <w:rPr>
                  <w:rStyle w:val="InternetLink"/>
                  <w:rFonts w:ascii="Times New Roman;serif" w:hAnsi="Times New Roman;serif"/>
                  <w:b w:val="false"/>
                  <w:color w:val="0000FF"/>
                  <w:sz w:val="20"/>
                  <w:u w:val="single"/>
                </w:rPr>
                <w:t>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28">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28">
              <w:r>
                <w:rPr>
                  <w:rStyle w:val="InternetLink"/>
                  <w:rFonts w:ascii="Times New Roman;serif" w:hAnsi="Times New Roman;serif"/>
                  <w:b w:val="false"/>
                  <w:color w:val="0000FF"/>
                  <w:sz w:val="20"/>
                  <w:u w:val="single"/>
                </w:rPr>
                <w:t>7</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8246337211484">
              <w:r>
                <w:rPr>
                  <w:rStyle w:val="InternetLink"/>
                  <w:rFonts w:ascii="Times New Roman;serif" w:hAnsi="Times New Roman;serif"/>
                  <w:b w:val="false"/>
                  <w:color w:val="0000FF"/>
                  <w:sz w:val="20"/>
                  <w:u w:val="single"/>
                </w:rPr>
                <w:t>Condensed Consolidated Statements of Shareholders’ Equity for the three months ended March 31, 2026 and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8246337211484">
              <w:r>
                <w:rPr>
                  <w:rStyle w:val="InternetLink"/>
                  <w:rFonts w:ascii="Times New Roman;serif" w:hAnsi="Times New Roman;serif"/>
                  <w:b w:val="false"/>
                  <w:color w:val="0000FF"/>
                  <w:sz w:val="20"/>
                  <w:u w:val="single"/>
                </w:rPr>
                <w:t>8</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9d5ed014540febbf2b68577b6e60b_34">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79d5ed014540febbf2b68577b6e60b_34">
              <w:r>
                <w:rPr>
                  <w:rStyle w:val="InternetLink"/>
                  <w:rFonts w:ascii="Times New Roman;serif" w:hAnsi="Times New Roman;serif"/>
                  <w:b w:val="false"/>
                  <w:color w:val="0000FF"/>
                  <w:sz w:val="20"/>
                  <w:u w:val="single"/>
                </w:rPr>
                <w:t>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amounts)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27"/>
        <w:gridCol w:w="2381"/>
        <w:gridCol w:w="2402"/>
        <w:gridCol w:w="211"/>
        <w:gridCol w:w="841"/>
        <w:gridCol w:w="109"/>
        <w:gridCol w:w="109"/>
        <w:gridCol w:w="109"/>
        <w:gridCol w:w="109"/>
        <w:gridCol w:w="211"/>
        <w:gridCol w:w="841"/>
        <w:gridCol w:w="155"/>
      </w:tblGrid>
      <w:tr>
        <w:trPr/>
        <w:tc>
          <w:tcPr>
            <w:tcW w:w="272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net of allowance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consideration receivables, net of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 assets, net of accumulated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incentives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 of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893,151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894,031</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borrowings, net of unamortized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and other borrowings, net of unamortized discounts and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464,814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466,298</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Commitments, contingencies and guarantees </w:t>
            </w:r>
            <w:r>
              <w:rPr>
                <w:rFonts w:ascii="Times New Roman;serif" w:hAnsi="Times New Roman;serif"/>
                <w:b w:val="false"/>
                <w:color w:val="000000"/>
                <w:sz w:val="20"/>
              </w:rPr>
              <w:t>(see Note 7)</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 stock common shares — no par value. Authorized — Unlimited number.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54,855,176 issued and outstanding (December 31, 2025 — 53,921,676 issued and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equity attributable to common shareholders</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335,462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337,891</w:t>
            </w:r>
            <w:r>
              <w:rPr>
                <w:color w:val="000000"/>
              </w:rPr>
              <w:t>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427,646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427,067</w:t>
            </w:r>
            <w:r>
              <w:rPr>
                <w:color w:val="000000"/>
              </w:rPr>
              <w:t>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893,151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894,031</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per share amounts)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9894" w:type="dxa"/>
        <w:jc w:val="left"/>
        <w:tblInd w:w="0" w:type="dxa"/>
        <w:tblLayout w:type="fixed"/>
        <w:tblCellMar>
          <w:top w:w="28" w:type="dxa"/>
          <w:left w:w="28" w:type="dxa"/>
          <w:bottom w:w="28" w:type="dxa"/>
          <w:right w:w="28" w:type="dxa"/>
        </w:tblCellMar>
      </w:tblPr>
      <w:tblGrid>
        <w:gridCol w:w="2323"/>
        <w:gridCol w:w="2031"/>
        <w:gridCol w:w="2060"/>
        <w:gridCol w:w="263"/>
        <w:gridCol w:w="899"/>
        <w:gridCol w:w="135"/>
        <w:gridCol w:w="135"/>
        <w:gridCol w:w="135"/>
        <w:gridCol w:w="135"/>
        <w:gridCol w:w="263"/>
        <w:gridCol w:w="899"/>
        <w:gridCol w:w="135"/>
        <w:gridCol w:w="109"/>
        <w:gridCol w:w="109"/>
        <w:gridCol w:w="109"/>
        <w:gridCol w:w="154"/>
      </w:tblGrid>
      <w:tr>
        <w:trPr/>
        <w:tc>
          <w:tcPr>
            <w:tcW w:w="232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sales</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Image enhancement and maintenance services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rentals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81,379</w:t>
            </w:r>
            <w:r>
              <w:rPr>
                <w:color w:val="000000"/>
              </w:rPr>
              <w:t>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86,667</w:t>
            </w:r>
            <w:r>
              <w:rPr>
                <w:color w:val="000000"/>
              </w:rPr>
              <w:t>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 applicable to revenues</w:t>
            </w:r>
          </w:p>
        </w:tc>
        <w:tc>
          <w:tcPr>
            <w:tcW w:w="12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sales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Image enhancement and maintenance services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rentals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35,568</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33,491</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45,811</w:t>
            </w:r>
            <w:r>
              <w:rPr>
                <w:color w:val="000000"/>
              </w:rPr>
              <w:t>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53,176</w:t>
            </w:r>
            <w:r>
              <w:rPr>
                <w:color w:val="000000"/>
              </w:rPr>
              <w:t>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reversal, net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9,951</w:t>
            </w:r>
            <w:r>
              <w:rPr>
                <w:color w:val="000000"/>
              </w:rPr>
              <w:t>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16,734</w:t>
            </w:r>
            <w:r>
              <w:rPr>
                <w:color w:val="000000"/>
              </w:rPr>
              <w:t>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and unrealized investment gains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benefits non-service expense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8,492</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15,435</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6,071</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8,150</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4,226</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2,327</w:t>
            </w:r>
            <w:r>
              <w:rPr>
                <w:color w:val="000000"/>
              </w:rPr>
              <w:t>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per share attributable to common shareholders: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 (in thousands):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56,392 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54,969 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1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9898" w:type="dxa"/>
        <w:jc w:val="left"/>
        <w:tblInd w:w="0" w:type="dxa"/>
        <w:tblLayout w:type="fixed"/>
        <w:tblCellMar>
          <w:top w:w="28" w:type="dxa"/>
          <w:left w:w="28" w:type="dxa"/>
          <w:bottom w:w="28" w:type="dxa"/>
          <w:right w:w="28" w:type="dxa"/>
        </w:tblCellMar>
      </w:tblPr>
      <w:tblGrid>
        <w:gridCol w:w="2485"/>
        <w:gridCol w:w="2183"/>
        <w:gridCol w:w="2213"/>
        <w:gridCol w:w="240"/>
        <w:gridCol w:w="718"/>
        <w:gridCol w:w="124"/>
        <w:gridCol w:w="124"/>
        <w:gridCol w:w="124"/>
        <w:gridCol w:w="124"/>
        <w:gridCol w:w="240"/>
        <w:gridCol w:w="718"/>
        <w:gridCol w:w="124"/>
        <w:gridCol w:w="109"/>
        <w:gridCol w:w="109"/>
        <w:gridCol w:w="109"/>
        <w:gridCol w:w="154"/>
      </w:tblGrid>
      <w:tr>
        <w:trPr/>
        <w:tc>
          <w:tcPr>
            <w:tcW w:w="2485"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6,071</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8,150</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before tax</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net loss from cash flow hedging instruments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net (gain) loss from cash flow hedging instruments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defined benefit and postretirement benefit plans net gain</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other comprehensive income before tax</w:t>
            </w:r>
          </w:p>
        </w:tc>
        <w:tc>
          <w:tcPr>
            <w:tcW w:w="9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2,745</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836</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recovery related to other comprehensive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9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9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8,816</w:t>
            </w:r>
            <w:r>
              <w:rPr>
                <w:color w:val="000000"/>
              </w:rPr>
              <w:t>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8,877</w:t>
            </w:r>
            <w:r>
              <w:rPr>
                <w:color w:val="000000"/>
              </w:rPr>
              <w:t>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 attributable to common shareholders</w:t>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5,867</w:t>
            </w:r>
            <w:r>
              <w:rPr>
                <w:color w:val="000000"/>
              </w:rPr>
              <w:t>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2,933</w:t>
            </w:r>
            <w:r>
              <w:rPr>
                <w:color w:val="000000"/>
              </w:rPr>
              <w:t>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41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8231" w:type="dxa"/>
        <w:jc w:val="left"/>
        <w:tblInd w:w="0" w:type="dxa"/>
        <w:tblLayout w:type="fixed"/>
        <w:tblCellMar>
          <w:top w:w="28" w:type="dxa"/>
          <w:left w:w="28" w:type="dxa"/>
          <w:bottom w:w="28" w:type="dxa"/>
          <w:right w:w="28" w:type="dxa"/>
        </w:tblCellMar>
      </w:tblPr>
      <w:tblGrid>
        <w:gridCol w:w="2081"/>
        <w:gridCol w:w="1830"/>
        <w:gridCol w:w="1837"/>
        <w:gridCol w:w="203"/>
        <w:gridCol w:w="780"/>
        <w:gridCol w:w="113"/>
        <w:gridCol w:w="113"/>
        <w:gridCol w:w="113"/>
        <w:gridCol w:w="113"/>
        <w:gridCol w:w="203"/>
        <w:gridCol w:w="686"/>
        <w:gridCol w:w="159"/>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loss reversal,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Write-downs, including asset impairments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recovery</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and other non-cash compensation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loss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and unrealized investment gain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Film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Lease incentives provided to exhibitor customers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other operating assets and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4,029</w:t>
            </w:r>
            <w:r>
              <w:rPr>
                <w:color w:val="000000"/>
              </w:rPr>
              <w:t>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6,951</w:t>
            </w:r>
            <w:r>
              <w:rPr>
                <w:color w:val="000000"/>
              </w:rPr>
              <w:t>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 equipment for joint revenue sharing arrangements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other intangible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(6,927)</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(14,624)</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 borrowings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Debt issuance costs related to convertible notes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facility amendment fees paid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other borrowings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74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74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Taxes withheld and paid on employee stock awards vested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issued - stock options exercised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74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(2,762)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4,234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Decrease in cash and cash equivalents during period</w:t>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(5,173)</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(3,523)</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151,168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100,592</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145,995</w:t>
            </w:r>
            <w:r>
              <w:rPr>
                <w:color w:val="000000"/>
              </w:rPr>
              <w:t>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97,069</w:t>
            </w:r>
            <w:r>
              <w:rPr>
                <w:color w:val="000000"/>
              </w:rPr>
              <w:t>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(See the accompanying notes, which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data)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3141" w:type="dxa"/>
        <w:jc w:val="left"/>
        <w:tblInd w:w="0" w:type="dxa"/>
        <w:tblLayout w:type="fixed"/>
        <w:tblCellMar>
          <w:top w:w="28" w:type="dxa"/>
          <w:left w:w="28" w:type="dxa"/>
          <w:bottom w:w="28" w:type="dxa"/>
          <w:right w:w="28" w:type="dxa"/>
        </w:tblCellMar>
      </w:tblPr>
      <w:tblGrid>
        <w:gridCol w:w="757"/>
        <w:gridCol w:w="296"/>
        <w:gridCol w:w="298"/>
        <w:gridCol w:w="109"/>
        <w:gridCol w:w="109"/>
        <w:gridCol w:w="109"/>
        <w:gridCol w:w="540"/>
        <w:gridCol w:w="541"/>
        <w:gridCol w:w="19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41"/>
        <w:gridCol w:w="109"/>
        <w:gridCol w:w="109"/>
        <w:gridCol w:w="109"/>
        <w:gridCol w:w="109"/>
        <w:gridCol w:w="211"/>
        <w:gridCol w:w="736"/>
        <w:gridCol w:w="109"/>
        <w:gridCol w:w="109"/>
        <w:gridCol w:w="109"/>
        <w:gridCol w:w="109"/>
        <w:gridCol w:w="255"/>
        <w:gridCol w:w="873"/>
        <w:gridCol w:w="133"/>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3"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Statutory Surplus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53,921,676 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stock units vested, net of shares withheld for employee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812,277 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options exercised, net of shares withheld for employee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share-based payment expense - restricted share units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54,855,176 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92,184 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427,646 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3577" w:type="dxa"/>
        <w:jc w:val="left"/>
        <w:tblInd w:w="0" w:type="dxa"/>
        <w:tblLayout w:type="fixed"/>
        <w:tblCellMar>
          <w:top w:w="28" w:type="dxa"/>
          <w:left w:w="28" w:type="dxa"/>
          <w:bottom w:w="28" w:type="dxa"/>
          <w:right w:w="28" w:type="dxa"/>
        </w:tblCellMar>
      </w:tblPr>
      <w:tblGrid>
        <w:gridCol w:w="757"/>
        <w:gridCol w:w="296"/>
        <w:gridCol w:w="298"/>
        <w:gridCol w:w="109"/>
        <w:gridCol w:w="109"/>
        <w:gridCol w:w="109"/>
        <w:gridCol w:w="540"/>
        <w:gridCol w:w="541"/>
        <w:gridCol w:w="19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41"/>
        <w:gridCol w:w="109"/>
        <w:gridCol w:w="109"/>
        <w:gridCol w:w="109"/>
        <w:gridCol w:w="109"/>
        <w:gridCol w:w="211"/>
        <w:gridCol w:w="736"/>
        <w:gridCol w:w="109"/>
        <w:gridCol w:w="109"/>
        <w:gridCol w:w="109"/>
        <w:gridCol w:w="109"/>
        <w:gridCol w:w="255"/>
        <w:gridCol w:w="873"/>
        <w:gridCol w:w="133"/>
        <w:gridCol w:w="109"/>
        <w:gridCol w:w="109"/>
        <w:gridCol w:w="109"/>
        <w:gridCol w:w="211"/>
        <w:gridCol w:w="826"/>
        <w:gridCol w:w="109"/>
        <w:gridCol w:w="109"/>
        <w:gridCol w:w="109"/>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8"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Statutory Surplus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52,946,200 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stock units vested, net of shares withheld for employee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751,817 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options exercised, net of shares withheld for employee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share-based payment expense - restricted share units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statutory surplus reserve, IMAX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53,742,048 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84,110 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96"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096"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(Tabular amounts in thousands of U.S. Dollars, unless otherwise stated)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Accounting Principles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Corporation (together with its subsidiaries, unless the context requires otherwise, the “Company” or “IMAX”), prepares financial statements in accordance with United States Generally Accepted Accounting Principles (“U.S. GAAP” or “GAAP”) and pursuant to the rules and regulations of the Securities and Exchange Commission (the “SEC”). Certain information and footnote disclosures have been condensed or omitted as permitted by such rules and regulations. In the opinion of the Company’s management, the unaudited Condensed Consolidated Financial Statements reflect all necessary adjustments for a fair statement of interim results. The Condensed Consolidated Balance Sheet at December 31, 2025 was derived from the Company’s audited annual Consolidated Financial Statements in the Company’s 2025 Annual Report on Form 10-K (the “2025 Form 10-K”). The interim results presented in the Company’s Condensed Consolidated Statements of Operations and Condensed Consolidated Statements of Cash Flows are not necessarily indicative of results for a full year. Certain prior period comparatives have been revised to conform with the current period presentation.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audited Consolidated Financial Statements in the 2025 Form 10-K, which includes significant accounting policies adopted by the Company.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include the accounts of IMAX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Condensed Consolidated Financial Statements. A change in the value of an equity method investment that is other than temporary is recognized in the Condensed Consolidated Statements of Operations.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total assets and liabilities of the Company’s consolidated VIEs were as follows:</w:t>
      </w:r>
    </w:p>
    <w:p>
      <w:pPr>
        <w:pStyle w:val="TextBody"/>
        <w:bidi w:val="0"/>
        <w:spacing w:before="0" w:after="0"/>
        <w:ind w:left="0" w:right="0" w:firstLine="216"/>
        <w:jc w:val="both"/>
        <w:rPr/>
      </w:pPr>
      <w:r>
        <w:rPr/>
      </w:r>
    </w:p>
    <w:tbl>
      <w:tblPr>
        <w:tblW w:w="4622" w:type="dxa"/>
        <w:jc w:val="left"/>
        <w:tblInd w:w="0" w:type="dxa"/>
        <w:tblLayout w:type="fixed"/>
        <w:tblCellMar>
          <w:top w:w="28" w:type="dxa"/>
          <w:left w:w="28" w:type="dxa"/>
          <w:bottom w:w="28" w:type="dxa"/>
          <w:right w:w="28" w:type="dxa"/>
        </w:tblCellMar>
      </w:tblPr>
      <w:tblGrid>
        <w:gridCol w:w="803"/>
        <w:gridCol w:w="707"/>
        <w:gridCol w:w="709"/>
        <w:gridCol w:w="211"/>
        <w:gridCol w:w="616"/>
        <w:gridCol w:w="109"/>
        <w:gridCol w:w="109"/>
        <w:gridCol w:w="109"/>
        <w:gridCol w:w="109"/>
        <w:gridCol w:w="245"/>
        <w:gridCol w:w="716"/>
        <w:gridCol w:w="17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left"/>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Estimates and Assumptions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the Company’s Condensed Consolidated Financial Statements, management makes judgments in applying various accounting policies. The areas of policy judgment are consistent with those reported in Note 2 of the Company’s audited Consolidated Financial Statements included in its 2025 Form 10-K.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 (iv) provisions for the write-down of excess and obsolete inventories; (v) the fair values of the reporting units used in assessing the recoverability of goodwill; (vi) the cash flow projections used in testing the recoverability of long-lived assets such as the system equipment supporting joint revenue sharing arrangements (“JRSAs”); (vii) the economic lives of the system equipment supporting joint revenue sharing arrangements; (viii) the useful lives of tangible and intangible assets; (ix) the ultimate revenue forecasts used to test the recoverability of film assets; (x) the discount rates used to determine the present value of financing receivables, variable consideration and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allowance of deferred income tax assets; and (xiv) reserves related to uncertain tax positions.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2. New Accounting Standards and Accounting Changes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Adoption of New Accounting Pronouncements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Standards Update (“ASU”) No. 2025-05, “Financial Instruments - Credit Losses (Topic 326): Measurement of Credit Losses for Accounts Receivable and Contract Assets (“ASU 2025-05”). The amendments in ASU 2025-05 provide a practical expedient that allows entities to assume current economic conditions as of the balance sheet date will remain unchanged throughout the reasonable and supportable forecast period when estimating expected credit losses for eligible financial assets, including trade receivables and contract assets. The Company adopted ASU 2025-05 for the three months ended March 31, 2026. The adoption did not have a material impact on its Condensed Consolidated Financial Statements.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Recently Issued FASB Accounting Standards Codification Updates Not Yet Adopted</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(“ASU 2024-03”). The amendments in ASU 2024-03 expand disclosures about specific expense categories presented on the face of the income statement and addresses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interim periods within annual reporting periods beginning after December 15, 2027 with early adoption permitted. The Company is in the process of evaluating the impact of ASU 2024-03 on its Consolidated Financial Statements.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Targeted Improvements to the Accounting for Internal-Use Software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in the process of evaluating the impact of this ASU on its Consolidated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Hedge Accounting Improvements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Hedge Accounting Improvements” (“ASU 2025-09”). The amendments in ASU 2025-09 more closely align hedge accounting with the economics of an entity’s risk management activities for (i) similar risk assessment for cash flow hedges, (ii) hedging forecasted interest payment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in the process of evaluating the impact of this ASU on its Consolidated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Accounting for Government Grants Received by Business Entities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Accounting for Government Grants Received by Business Entities” (“ASU 2025-10”). The amendments in ASU 2025-10 establishes accounting and guidance for a government grant received by an entity. Under the new guidance, a government grant is not recognized until it is probable that an entity will comply with the conditions attached to the grant and the grant will be received, and recognition guidance is met. A grant related to an asset is recognized on the balance sheet as an entity incurs the related costs for which the grant is intended to compensate. ASU 2025-10 is effective for fiscal periods beginning after December 15, 2028, and interim periods thereafter. The Company is in the process of evaluating the impact of this ASU on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recently issued FASB accounting standard codification updates. ASUs that are not noted above were assessed and determined to be not applicable or not significant to the Company’s Condensed Consolidated Financial Statements for the period ended March 31, 2026.</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3. Receivables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order to mitigate the credit risk associated with the Company’s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reported in Note 4 of the Company’s audited Consolidated Financial Statements included in its 2025 Form 10-K.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the allowance for credit losses related to Accounts Receivable for the three months ended March 31, 2026 and 2025:</w:t>
      </w:r>
    </w:p>
    <w:p>
      <w:pPr>
        <w:pStyle w:val="TextBody"/>
        <w:bidi w:val="0"/>
        <w:spacing w:before="0" w:after="0"/>
        <w:jc w:val="both"/>
        <w:rPr/>
      </w:pPr>
      <w:r>
        <w:rPr/>
      </w:r>
    </w:p>
    <w:tbl>
      <w:tblPr>
        <w:tblW w:w="9151" w:type="dxa"/>
        <w:jc w:val="left"/>
        <w:tblInd w:w="0" w:type="dxa"/>
        <w:tblLayout w:type="fixed"/>
        <w:tblCellMar>
          <w:top w:w="28" w:type="dxa"/>
          <w:left w:w="28" w:type="dxa"/>
          <w:bottom w:w="28" w:type="dxa"/>
          <w:right w:w="28" w:type="dxa"/>
        </w:tblCellMar>
      </w:tblPr>
      <w:tblGrid>
        <w:gridCol w:w="1248"/>
        <w:gridCol w:w="1099"/>
        <w:gridCol w:w="1102"/>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Theater</w:t>
              <w:br/>
              <w:t>Operators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(reversal),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151" w:type="dxa"/>
        <w:jc w:val="left"/>
        <w:tblInd w:w="0" w:type="dxa"/>
        <w:tblLayout w:type="fixed"/>
        <w:tblCellMar>
          <w:top w:w="28" w:type="dxa"/>
          <w:left w:w="28" w:type="dxa"/>
          <w:bottom w:w="28" w:type="dxa"/>
          <w:right w:w="28" w:type="dxa"/>
        </w:tblCellMar>
      </w:tblPr>
      <w:tblGrid>
        <w:gridCol w:w="1248"/>
        <w:gridCol w:w="1099"/>
        <w:gridCol w:w="1102"/>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Theater</w:t>
              <w:br/>
              <w:t>Operators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(reversal) provision,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Company’s allowance for current expected credit losses related to Accounts Receivable increased by less than $0.1 million. The Company recorded $0.2 million in write-offs in the allowance for credit losses for the three months ended March 31, 2026.</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Company’s allowance for current expected credit losses related to Accounts Receivable decreased by $0.1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Financing Receivables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Financing receivables are due from theater operators and consist of the Company’s net investment in sales-type leases and receivables associated with financed sales of IMAX Systems. As of March 31, 2026 and December 31, 2025, financing receivables consisted of the following:</w:t>
      </w:r>
    </w:p>
    <w:p>
      <w:pPr>
        <w:pStyle w:val="TextBody"/>
        <w:bidi w:val="0"/>
        <w:spacing w:before="0" w:after="0"/>
        <w:jc w:val="both"/>
        <w:rPr/>
      </w:pPr>
      <w:r>
        <w:rPr/>
      </w:r>
    </w:p>
    <w:tbl>
      <w:tblPr>
        <w:tblW w:w="7959" w:type="dxa"/>
        <w:jc w:val="left"/>
        <w:tblInd w:w="0" w:type="dxa"/>
        <w:tblLayout w:type="fixed"/>
        <w:tblCellMar>
          <w:top w:w="28" w:type="dxa"/>
          <w:left w:w="28" w:type="dxa"/>
          <w:bottom w:w="28" w:type="dxa"/>
          <w:right w:w="28" w:type="dxa"/>
        </w:tblCellMar>
      </w:tblPr>
      <w:tblGrid>
        <w:gridCol w:w="1916"/>
        <w:gridCol w:w="1687"/>
        <w:gridCol w:w="1692"/>
        <w:gridCol w:w="211"/>
        <w:gridCol w:w="826"/>
        <w:gridCol w:w="109"/>
        <w:gridCol w:w="109"/>
        <w:gridCol w:w="109"/>
        <w:gridCol w:w="109"/>
        <w:gridCol w:w="211"/>
        <w:gridCol w:w="82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minimum payments due under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Unearned finance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minimum payments due under sales-type leases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minimum payments due under financed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Unearned finance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minimum payments due under financed sales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100,219 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financing receivables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 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 due after one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financed sales receivables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weighted-average remaining lease term and weighted-average interest rate associated with the Company’s sales-type lease arrangements and financed sales receivables, as applicable, were as follows:</w:t>
      </w:r>
    </w:p>
    <w:p>
      <w:pPr>
        <w:pStyle w:val="TextBody"/>
        <w:bidi w:val="0"/>
        <w:spacing w:before="0" w:after="0"/>
        <w:jc w:val="both"/>
        <w:rPr/>
      </w:pPr>
      <w:r>
        <w:rPr/>
      </w:r>
    </w:p>
    <w:tbl>
      <w:tblPr>
        <w:tblW w:w="6686" w:type="dxa"/>
        <w:jc w:val="left"/>
        <w:tblInd w:w="0" w:type="dxa"/>
        <w:tblLayout w:type="fixed"/>
        <w:tblCellMar>
          <w:top w:w="28" w:type="dxa"/>
          <w:left w:w="28" w:type="dxa"/>
          <w:bottom w:w="28" w:type="dxa"/>
          <w:right w:w="28" w:type="dxa"/>
        </w:tblCellMar>
      </w:tblPr>
      <w:tblGrid>
        <w:gridCol w:w="1514"/>
        <w:gridCol w:w="1333"/>
        <w:gridCol w:w="1337"/>
        <w:gridCol w:w="255"/>
        <w:gridCol w:w="256"/>
        <w:gridCol w:w="476"/>
        <w:gridCol w:w="109"/>
        <w:gridCol w:w="109"/>
        <w:gridCol w:w="109"/>
        <w:gridCol w:w="255"/>
        <w:gridCol w:w="256"/>
        <w:gridCol w:w="677"/>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9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on the Company’s net investment in leases by credit quality indicator as of March 31, 2026 and December 31, 2025. The amounts disclosed for each credit quality classification are determined on a theater-by-theater basis as per the origination year of the relationship, and include both billed and unbilled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4"/>
        <w:gridCol w:w="286"/>
        <w:gridCol w:w="287"/>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6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31,226 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6"/>
        <w:gridCol w:w="268"/>
        <w:gridCol w:w="26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6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on the Company’s financed sales receivables by credit quality indicator as of March 31, 2026 and December 31, 2025. The amounts disclosed for each credit quality classification are determined on a theater-by-theater basis as per the origination year of the relationship, and include both billed and unbilled amounts.</w:t>
      </w:r>
    </w:p>
    <w:p>
      <w:pPr>
        <w:pStyle w:val="TextBody"/>
        <w:bidi w:val="0"/>
        <w:spacing w:before="0" w:after="0"/>
        <w:jc w:val="both"/>
        <w:rPr/>
      </w:pPr>
      <w:r>
        <w:rPr/>
      </w:r>
    </w:p>
    <w:tbl>
      <w:tblPr>
        <w:tblW w:w="10507" w:type="dxa"/>
        <w:jc w:val="left"/>
        <w:tblInd w:w="0" w:type="dxa"/>
        <w:tblLayout w:type="fixed"/>
        <w:tblCellMar>
          <w:top w:w="28" w:type="dxa"/>
          <w:left w:w="28" w:type="dxa"/>
          <w:bottom w:w="28" w:type="dxa"/>
          <w:right w:w="28" w:type="dxa"/>
        </w:tblCellMar>
      </w:tblPr>
      <w:tblGrid>
        <w:gridCol w:w="674"/>
        <w:gridCol w:w="263"/>
        <w:gridCol w:w="264"/>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100,219 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07" w:type="dxa"/>
        <w:jc w:val="left"/>
        <w:tblInd w:w="0" w:type="dxa"/>
        <w:tblLayout w:type="fixed"/>
        <w:tblCellMar>
          <w:top w:w="28" w:type="dxa"/>
          <w:left w:w="28" w:type="dxa"/>
          <w:bottom w:w="28" w:type="dxa"/>
          <w:right w:w="28" w:type="dxa"/>
        </w:tblCellMar>
      </w:tblPr>
      <w:tblGrid>
        <w:gridCol w:w="674"/>
        <w:gridCol w:w="263"/>
        <w:gridCol w:w="26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an aging analysis for the Company’s net investment in leases and financed sales receivables as of March 31, 2026 and December 31, 2025:</w:t>
      </w:r>
    </w:p>
    <w:p>
      <w:pPr>
        <w:pStyle w:val="TextBody"/>
        <w:bidi w:val="0"/>
        <w:spacing w:before="0" w:after="0"/>
        <w:ind w:left="0" w:right="0" w:firstLine="216"/>
        <w:jc w:val="both"/>
        <w:rPr/>
      </w:pPr>
      <w:r>
        <w:rPr/>
      </w:r>
    </w:p>
    <w:tbl>
      <w:tblPr>
        <w:tblW w:w="11818" w:type="dxa"/>
        <w:jc w:val="left"/>
        <w:tblInd w:w="0" w:type="dxa"/>
        <w:tblLayout w:type="fixed"/>
        <w:tblCellMar>
          <w:top w:w="28" w:type="dxa"/>
          <w:left w:w="28" w:type="dxa"/>
          <w:bottom w:w="28" w:type="dxa"/>
          <w:right w:w="28" w:type="dxa"/>
        </w:tblCellMar>
      </w:tblPr>
      <w:tblGrid>
        <w:gridCol w:w="509"/>
        <w:gridCol w:w="263"/>
        <w:gridCol w:w="26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Accrued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and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 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114,268 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121,325 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818" w:type="dxa"/>
        <w:jc w:val="left"/>
        <w:tblInd w:w="0" w:type="dxa"/>
        <w:tblLayout w:type="fixed"/>
        <w:tblCellMar>
          <w:top w:w="28" w:type="dxa"/>
          <w:left w:w="28" w:type="dxa"/>
          <w:bottom w:w="28" w:type="dxa"/>
          <w:right w:w="28" w:type="dxa"/>
        </w:tblCellMar>
      </w:tblPr>
      <w:tblGrid>
        <w:gridCol w:w="509"/>
        <w:gridCol w:w="263"/>
        <w:gridCol w:w="26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and 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Recorded 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132,552 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net investment in leases and financed sales receivables with billed amounts past due for which it continues to accrue finance income as of March 31, 2026 and December 31, 2025. The amounts disclosed for each credit quality classification are determined on a theater-by-theater basis and include both billed and unbilled amounts.</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539"/>
        <w:gridCol w:w="308"/>
        <w:gridCol w:w="309"/>
        <w:gridCol w:w="234"/>
        <w:gridCol w:w="516"/>
        <w:gridCol w:w="120"/>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4"/>
        <w:gridCol w:w="712"/>
        <w:gridCol w:w="120"/>
        <w:gridCol w:w="109"/>
        <w:gridCol w:w="109"/>
        <w:gridCol w:w="109"/>
        <w:gridCol w:w="211"/>
        <w:gridCol w:w="721"/>
        <w:gridCol w:w="160"/>
      </w:tblGrid>
      <w:tr>
        <w:trPr/>
        <w:tc>
          <w:tcPr>
            <w:tcW w:w="5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and 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41,587 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52,792 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1"/>
        <w:gridCol w:w="326"/>
        <w:gridCol w:w="327"/>
        <w:gridCol w:w="233"/>
        <w:gridCol w:w="680"/>
        <w:gridCol w:w="120"/>
        <w:gridCol w:w="109"/>
        <w:gridCol w:w="109"/>
        <w:gridCol w:w="109"/>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43"/>
        <w:gridCol w:w="744"/>
        <w:gridCol w:w="125"/>
        <w:gridCol w:w="109"/>
        <w:gridCol w:w="109"/>
        <w:gridCol w:w="109"/>
        <w:gridCol w:w="211"/>
        <w:gridCol w:w="721"/>
        <w:gridCol w:w="158"/>
      </w:tblGrid>
      <w:tr>
        <w:trPr/>
        <w:tc>
          <w:tcPr>
            <w:tcW w:w="5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and 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58,675 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net investment in leases and financed sale receivables that were on nonaccrual status as of March 31,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13"/>
        <w:gridCol w:w="534"/>
        <w:gridCol w:w="536"/>
        <w:gridCol w:w="211"/>
        <w:gridCol w:w="721"/>
        <w:gridCol w:w="109"/>
        <w:gridCol w:w="109"/>
        <w:gridCol w:w="109"/>
        <w:gridCol w:w="109"/>
        <w:gridCol w:w="275"/>
        <w:gridCol w:w="871"/>
        <w:gridCol w:w="142"/>
        <w:gridCol w:w="109"/>
        <w:gridCol w:w="109"/>
        <w:gridCol w:w="109"/>
        <w:gridCol w:w="211"/>
        <w:gridCol w:w="721"/>
        <w:gridCol w:w="109"/>
        <w:gridCol w:w="109"/>
        <w:gridCol w:w="109"/>
        <w:gridCol w:w="109"/>
        <w:gridCol w:w="211"/>
        <w:gridCol w:w="721"/>
        <w:gridCol w:w="109"/>
        <w:gridCol w:w="109"/>
        <w:gridCol w:w="109"/>
        <w:gridCol w:w="109"/>
        <w:gridCol w:w="275"/>
        <w:gridCol w:w="871"/>
        <w:gridCol w:w="142"/>
        <w:gridCol w:w="109"/>
        <w:gridCol w:w="109"/>
        <w:gridCol w:w="109"/>
        <w:gridCol w:w="211"/>
        <w:gridCol w:w="721"/>
        <w:gridCol w:w="156"/>
      </w:tblGrid>
      <w:tr>
        <w:trPr/>
        <w:tc>
          <w:tcPr>
            <w:tcW w:w="71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7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Allowance for Credit</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Allowance for Credit</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(9,353)</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(9,644)</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15,224 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did not recognize Finance Income related to the net investment in leases on nonaccrual status. For the three months ended March 31, 2026, the Company recognized less than $0.1 million (2025 — less than $0.1 million) in Finance Income related to the financed sales receivables in nonaccrual status.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the allowance for credit losses related to the Company’s net investment in leases and financed sale receivables for the three months ended March 31, 2026 and 2025:</w:t>
      </w:r>
    </w:p>
    <w:p>
      <w:pPr>
        <w:pStyle w:val="TextBody"/>
        <w:bidi w:val="0"/>
        <w:spacing w:before="0" w:after="0"/>
        <w:ind w:left="0" w:right="0" w:firstLine="216"/>
        <w:jc w:val="both"/>
        <w:rPr/>
      </w:pPr>
      <w:r>
        <w:rPr/>
      </w:r>
    </w:p>
    <w:tbl>
      <w:tblPr>
        <w:tblW w:w="5727" w:type="dxa"/>
        <w:jc w:val="left"/>
        <w:tblInd w:w="0" w:type="dxa"/>
        <w:tblLayout w:type="fixed"/>
        <w:tblCellMar>
          <w:top w:w="28" w:type="dxa"/>
          <w:left w:w="28" w:type="dxa"/>
          <w:bottom w:w="28" w:type="dxa"/>
          <w:right w:w="28" w:type="dxa"/>
        </w:tblCellMar>
      </w:tblPr>
      <w:tblGrid>
        <w:gridCol w:w="841"/>
        <w:gridCol w:w="741"/>
        <w:gridCol w:w="743"/>
        <w:gridCol w:w="333"/>
        <w:gridCol w:w="738"/>
        <w:gridCol w:w="174"/>
        <w:gridCol w:w="109"/>
        <w:gridCol w:w="109"/>
        <w:gridCol w:w="109"/>
        <w:gridCol w:w="273"/>
        <w:gridCol w:w="935"/>
        <w:gridCol w:w="141"/>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Investment </w:t>
              <w:br/>
              <w:t>in Leases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Financed</w:t>
              <w:br/>
              <w:t>Sales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reversal,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672" w:type="dxa"/>
        <w:jc w:val="left"/>
        <w:tblInd w:w="0" w:type="dxa"/>
        <w:tblLayout w:type="fixed"/>
        <w:tblCellMar>
          <w:top w:w="28" w:type="dxa"/>
          <w:left w:w="28" w:type="dxa"/>
          <w:bottom w:w="28" w:type="dxa"/>
          <w:right w:w="28" w:type="dxa"/>
        </w:tblCellMar>
      </w:tblPr>
      <w:tblGrid>
        <w:gridCol w:w="1183"/>
        <w:gridCol w:w="1042"/>
        <w:gridCol w:w="1045"/>
        <w:gridCol w:w="333"/>
        <w:gridCol w:w="738"/>
        <w:gridCol w:w="174"/>
        <w:gridCol w:w="109"/>
        <w:gridCol w:w="109"/>
        <w:gridCol w:w="109"/>
        <w:gridCol w:w="273"/>
        <w:gridCol w:w="935"/>
        <w:gridCol w:w="141"/>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Investment </w:t>
              <w:br/>
              <w:t>in Leases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Financed</w:t>
              <w:br/>
              <w:t>Sales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(reversal),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Company’s allowance for current expected credit losses related to its net investment in leases decreased by $0.4 million (2025 — increased by less than $0.1 million), and financed sale receivables decreased by less than $0.1 million (2025 — decreased by $0.2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 Receivables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Allowance for Credit Losses related to Variable Consideration Receivables for the three months ended March 31, 2026 and 2025:</w:t>
      </w:r>
    </w:p>
    <w:p>
      <w:pPr>
        <w:pStyle w:val="TextBody"/>
        <w:bidi w:val="0"/>
        <w:spacing w:before="0" w:after="0"/>
        <w:ind w:left="0" w:right="0" w:firstLine="216"/>
        <w:jc w:val="both"/>
        <w:rPr/>
      </w:pPr>
      <w:r>
        <w:rPr/>
      </w:r>
    </w:p>
    <w:tbl>
      <w:tblPr>
        <w:tblW w:w="5085" w:type="dxa"/>
        <w:jc w:val="left"/>
        <w:tblInd w:w="0" w:type="dxa"/>
        <w:tblLayout w:type="fixed"/>
        <w:tblCellMar>
          <w:top w:w="28" w:type="dxa"/>
          <w:left w:w="28" w:type="dxa"/>
          <w:bottom w:w="28" w:type="dxa"/>
          <w:right w:w="28" w:type="dxa"/>
        </w:tblCellMar>
      </w:tblPr>
      <w:tblGrid>
        <w:gridCol w:w="841"/>
        <w:gridCol w:w="741"/>
        <w:gridCol w:w="743"/>
        <w:gridCol w:w="302"/>
        <w:gridCol w:w="517"/>
        <w:gridCol w:w="157"/>
        <w:gridCol w:w="109"/>
        <w:gridCol w:w="109"/>
        <w:gridCol w:w="109"/>
        <w:gridCol w:w="262"/>
        <w:gridCol w:w="578"/>
        <w:gridCol w:w="136"/>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Theater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Operators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Theater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Operators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reversal, net</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Company’s allowance for current expected credit losses related to Variable Consideration Receivables decreased by less than $0.1 million (2025 — decreased by less than $0.1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4. Lease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IMAX Corporation as a Lessor</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 of the Company’s audited Consolidated Financial Statements included in its 2025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provides IMAX Systems to customers through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other JRSAs, known as hybrid arrangements, the customer is responsible for making fixed upfront payments prior to the delivery and installation of the IMAX System.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Under JRSAs, the customer has the ability and the right to operate the hardware components or direct others to operate them in a manner determined by the customer. The Company’s JRSAs are typically non-cancellable for ten years or longer with renewal provisions. Title to the IMAX System under a JRSA generally does not transfer to the customer. The Company’s JRSAs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lease payments are expected to be received by the Company for its sales-type leases and JRSAs in each of the remainder of 2026, next four years and thereafter following the March 31, 2026 balance sheet date:</w:t>
      </w:r>
    </w:p>
    <w:tbl>
      <w:tblPr>
        <w:tblW w:w="3883" w:type="dxa"/>
        <w:jc w:val="left"/>
        <w:tblInd w:w="0" w:type="dxa"/>
        <w:tblLayout w:type="fixed"/>
        <w:tblCellMar>
          <w:top w:w="28" w:type="dxa"/>
          <w:left w:w="28" w:type="dxa"/>
          <w:bottom w:w="28" w:type="dxa"/>
          <w:right w:w="28" w:type="dxa"/>
        </w:tblCellMar>
      </w:tblPr>
      <w:tblGrid>
        <w:gridCol w:w="933"/>
        <w:gridCol w:w="822"/>
        <w:gridCol w:w="824"/>
        <w:gridCol w:w="211"/>
        <w:gridCol w:w="721"/>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Sales-Type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(nine months remaining)</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Inventories consisted of the following:</w:t>
      </w:r>
    </w:p>
    <w:p>
      <w:pPr>
        <w:pStyle w:val="TextBody"/>
        <w:bidi w:val="0"/>
        <w:spacing w:before="0" w:after="0"/>
        <w:jc w:val="both"/>
        <w:rPr/>
      </w:pPr>
      <w:r>
        <w:rPr/>
      </w:r>
    </w:p>
    <w:tbl>
      <w:tblPr>
        <w:tblW w:w="4726" w:type="dxa"/>
        <w:jc w:val="left"/>
        <w:tblInd w:w="0" w:type="dxa"/>
        <w:tblLayout w:type="fixed"/>
        <w:tblCellMar>
          <w:top w:w="28" w:type="dxa"/>
          <w:left w:w="28" w:type="dxa"/>
          <w:bottom w:w="28" w:type="dxa"/>
          <w:right w:w="28" w:type="dxa"/>
        </w:tblCellMar>
      </w:tblPr>
      <w:tblGrid>
        <w:gridCol w:w="803"/>
        <w:gridCol w:w="707"/>
        <w:gridCol w:w="709"/>
        <w:gridCol w:w="211"/>
        <w:gridCol w:w="721"/>
        <w:gridCol w:w="109"/>
        <w:gridCol w:w="109"/>
        <w:gridCol w:w="109"/>
        <w:gridCol w:w="109"/>
        <w:gridCol w:w="221"/>
        <w:gridCol w:w="757"/>
        <w:gridCol w:w="161"/>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32,505 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Inventories included balances of $1.6 million (December 31, 2025 — $1.0 million) for which title had passed to the customers, but the criteria for revenue recognition were not met as of the balance sheet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recorded write-downs of less than $0.1 million and $0.1 million, respectively, in Costs and Expenses Applicable to Revenues ― Technology Sales.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6. Borrowings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Revolving Credit Facility Borrowings, Net</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Revolving Credit Facility Borrowings, Net included the following:</w:t>
      </w:r>
    </w:p>
    <w:p>
      <w:pPr>
        <w:pStyle w:val="TextBody"/>
        <w:bidi w:val="0"/>
        <w:spacing w:before="0" w:after="0"/>
        <w:jc w:val="both"/>
        <w:rPr/>
      </w:pPr>
      <w:r>
        <w:rPr/>
      </w:r>
    </w:p>
    <w:tbl>
      <w:tblPr>
        <w:tblW w:w="6061" w:type="dxa"/>
        <w:jc w:val="left"/>
        <w:tblInd w:w="0" w:type="dxa"/>
        <w:tblLayout w:type="fixed"/>
        <w:tblCellMar>
          <w:top w:w="28" w:type="dxa"/>
          <w:left w:w="28" w:type="dxa"/>
          <w:bottom w:w="28" w:type="dxa"/>
          <w:right w:w="28" w:type="dxa"/>
        </w:tblCellMar>
      </w:tblPr>
      <w:tblGrid>
        <w:gridCol w:w="1287"/>
        <w:gridCol w:w="1132"/>
        <w:gridCol w:w="1135"/>
        <w:gridCol w:w="211"/>
        <w:gridCol w:w="721"/>
        <w:gridCol w:w="109"/>
        <w:gridCol w:w="109"/>
        <w:gridCol w:w="109"/>
        <w:gridCol w:w="109"/>
        <w:gridCol w:w="221"/>
        <w:gridCol w:w="757"/>
        <w:gridCol w:w="161"/>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Credit Facility borrowings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 Borrowings,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34,577 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Wells Fargo Credit Agreement</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Company is a party to a Seventh Amended and Restated Credit Agreement, dated as of July 14, 2025 (the “Credit Agreement”), that provides for a credit facility (the “Credit Facility”). The Company’s obligations under the Credit Agreement are guaranteed by certain of the Company’s subsidiaries (the “Guarantors”), and are secured by first-priority security interests in substantially all of the assets of the Company and the Guarantors.</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a revolving borrowing capacity of $375.0 million, and contains an uncommitted accordion feature that allows the Company to further increase its borrowing capacity by the greater of $140.0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that the Company does not exceed a maximum Senior Secured Net Leverage Ratio (as defined therein) of 3.25:1.00, which may be increased under certain circumstances and is tested on the last day of each fiscal quarter. The Company was in compliance with this requirement as of March 31, 2026 as the Senior Secured Net Leverage Ratio was 0.02:1.00.</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Loans under the Credit Facility will bear interest, at the Company’s option, at (i) Term SOFR, Eurocurrency Rate or Term CORRA plus a margin ranging from 1.00% to 1.75% per annum or (ii) the U.S. base rate or the Canadian prime rate plus a margin ranging from 0.25% to 1.00% per annum, in each case depending on the Company’s total leverage ratio. In no event will Term SOFR, Eurocurrency Rate or Term CORRA be less than 0.00% per annum.</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borrowings under the Credit Facility were $49.0 million (December 31, 2025 — $37.0 million) and bore interest at Term SOFR (as defined in the Credit Agreement), plus a margin of 1.50% per annum (December 31, 2025 — 1.50%) based on the Company’s total leverage ratio. The effective interest rate for the three months ended March 31, 2026 was 5.19% (2025 — 6.18%).</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no letters of credit or advance payment guarantees outstanding under the Credit Facility. As of March 31, 2026, the amount available for future borrowings under the Credit Facility was $326.0 million (December 31, 2025 — $338.0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Foreign Exchange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Within the Credit Facility, the Company is able to purchase foreign currency forward contracts and/or other swap arrangements. As of March 31, 2026, the net unrealized gain on the Company’s outstanding foreign currency forward contracts was less than $0.1 million, representing the amount by which the fair value of these forward contracts exceeded their nominal value (December 31, 2025 — net unrealized gain of $1.0 million). As of March 31, 2026, the notional value of the Company’s outstanding foreign currency forward contracts was $38.5 million (December 31, 2025 — $48.4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Bank of China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there were no borrowings outstanding under the Bank of China Facility (as defined and described in Note 13 to the Company’s audited Consolidated Financial Statements in its 2025 Form 10-K) and outstanding letters of guarantee were RMB 0.8 million ($0.1 million).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amount available for future borrowings under the Bank of China Facility was RMB 190.0 million ($27.5 million) and the amount available for letters of guarantee was RMB 9.2 million ($1.3 million). The amount available for future borrowings under the Bank of China Facility is not subject to a standby fee. The effective interest rate for the three months ended March 31, 2026 was 0% (2025 — 0%). There were no amounts drawn under the Bank of China Facility during the three months ended March 31, 2026. The Bank of China Facility has been renewed to April 15, 2027.</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HSBC China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no borrowings were outstanding under the HSBC China Facility (as defined and described in Note 13 to the Company’s audited Consolidated Financial Statements in its 2025 Form 10-K). As of March 31, 2026, and December 31, 2025 the amount available for future borrowings under the HSBC China Facility was RMB 200.0 million ($28.9 million). The effective interest rate for the three months ended March 31, 2026 was 0% (December 2025 — 0%).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NBC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NBC Facility (as defined and described in Note 13 to the Company’s audited Consolidated Financial Statements in its 2025 Form 10-K) has been renewed to October 8, 2026. The Company did not have any letters of credit or advance payment guarantees outstanding as of March 31, 2026 and December 31, 2025 under the NBC Facility.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Convertible Notes and Other Borrowings, Net</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Convertible Notes and Other Borrowings, Net included the following:</w:t>
      </w:r>
    </w:p>
    <w:p>
      <w:pPr>
        <w:pStyle w:val="TextBody"/>
        <w:bidi w:val="0"/>
        <w:spacing w:before="0" w:after="0"/>
        <w:jc w:val="both"/>
        <w:rPr/>
      </w:pPr>
      <w:r>
        <w:rPr/>
      </w:r>
    </w:p>
    <w:tbl>
      <w:tblPr>
        <w:tblW w:w="6594" w:type="dxa"/>
        <w:jc w:val="left"/>
        <w:tblInd w:w="0" w:type="dxa"/>
        <w:tblLayout w:type="fixed"/>
        <w:tblCellMar>
          <w:top w:w="28" w:type="dxa"/>
          <w:left w:w="28" w:type="dxa"/>
          <w:bottom w:w="28" w:type="dxa"/>
          <w:right w:w="28" w:type="dxa"/>
        </w:tblCellMar>
      </w:tblPr>
      <w:tblGrid>
        <w:gridCol w:w="1422"/>
        <w:gridCol w:w="1252"/>
        <w:gridCol w:w="1256"/>
        <w:gridCol w:w="211"/>
        <w:gridCol w:w="826"/>
        <w:gridCol w:w="109"/>
        <w:gridCol w:w="109"/>
        <w:gridCol w:w="109"/>
        <w:gridCol w:w="109"/>
        <w:gridCol w:w="211"/>
        <w:gridCol w:w="82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discounts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net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Economic Development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Unaccreted interest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Economic Development Loan, net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and Other Borrowings,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244,128 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2026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On March 19, 2021, the Company issued $230.0 million of 0.500% Convertible Senior Notes due 2026 (the “2026 Convertible Notes”). In connection with the pricing of the 2026 Convertible Notes, the Company entered into privately negotiated capped call transactions (the “2026 Capped Call Transactions”) with certain financial institutions to reduce potential dilution in connection with the redemption of the 2026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Company completed the repurchase of $229.3 million (or 99.7%) of the outstanding principal amount of the 2026 Convertible Notes in separate, privately negotiated repurchase transactions with a limited number of holders. During the three months ended March 31, 2026, certain holders of the remaining outstanding 2026 Convertible Notes elected to convert 217 notes ($0.2 million) of the outstanding principal. As a result of this election, the Company recorded a loss on debt extinguishment of $0.1 million in Interest Expense in the Condensed Consolidated Statement of Operations. As of March 31, 2026, the Company recorded a $0.3 million liability in Accrued and other liabilities in the Condensed Consolidated Balance Sheet. The liability for the converted bonds was settled on April 1, 2026, along with the remaining unconverted and outstanding 2026 Convertible Notes. Concurrently with this April 1, 2026 transaction, the Company terminated the remaining portion of the associated 2026 capped call transactions.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2030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On November 6, 2025, the Company issued $250.0 million of 0.750% Convertible Senior Notes due 2030 (the “2030 Convertible Notes”) in a private placement conducted pursuant to Rule 144A under the Securities Act of 1933, as amended. The net proceeds from the issuance of the 2030 Convertible Notes were $243.1 million, after deducting the initial purchasers’ discounts and commissions, and were used to repurchase $229.3 million of the outstanding principal amount of the 2026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2030 Convertible Notes are senior unsecured obligations of the Company and bear interest at a rate of 0.750% per annum on the principal of $250.0 million, payable semi-annually in arrears on May 15 and November 15 of each year. The 2030 Convertible Notes will mature on November 15, 2030, unless they are redeemed or repurchased by the Company or converted on an earlier date.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continues to record the Convertible Notes entirely as a liability on the Condensed Consolidated Balance Sheets, net of initial purchasers’ discounts and commissions and other debt issuance costs, with interest expense reflecting the cash coupon plus the amortization of the discounts and capitalized costs.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 xml:space="preserve">Federal Economic Development Loan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Federal Economic Development Loan (as defined and described in Note 13 to the Company’s audited Consolidated Financial Statements in its 2025 Form 10-K) had a carrying value of $0.8 million, net of unaccreted interest benefit and is recorded within Convertible Notes and Other Borrowings, Net on the Company’s Condensed Consolidated Balance Sheets.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7. Commitments, Contingencies and Guarantees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Contingencies and guarantees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December 30, 2025, the Commercial Appellate Division of the Bombay High Court rejected E-City’s objections to enforcement of the arbitration award and recognized the award as a decree of the Court. The E-City parties appealed this decision to the Supreme Court of India. The Company fully intends to continue pursuing its rights and seeking to enforce the arbitration award. No amounts have been recognized in connection with this matter.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Financial Guarantees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Certain subsidiaries of the Company have provided significant financial guarantees to third parties under the Credit Agreement.</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Director and Officer Indemnifications</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serif" w:hAnsi="Times New Roman;serif"/>
          <w:b w:val="false"/>
          <w:i/>
          <w:color w:val="000000"/>
          <w:sz w:val="20"/>
        </w:rPr>
        <w:t>Canada Business Corporations Act</w:t>
      </w:r>
      <w:r>
        <w:rPr>
          <w:rFonts w:ascii="Times New Roman;serif" w:hAnsi="Times New Roman;serif"/>
          <w:b w:val="false"/>
          <w:color w:val="000000"/>
          <w:sz w:val="20"/>
        </w:rPr>
        <w:t>, against expenses (including legal fees), judgments, fines and any amounts actually and reasonably incurred by them in 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on the Company’s Condensed Consolidated Balance Sheets as of March 31, 2026 and December 31, 2025, with respect to this indemnity.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Other Indemnification Agreements</w:t>
      </w:r>
    </w:p>
    <w:p>
      <w:pPr>
        <w:pStyle w:val="TextBody"/>
        <w:bidi w:val="0"/>
        <w:spacing w:before="0" w:after="0"/>
        <w:ind w:left="0" w:right="0" w:firstLine="1"/>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8. Condensed Consolidated Statements of Operations – Supplemental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Selling Expenses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selling expenses, including sales commissions and marketing and other, which are recognized within Costs and Expenses Applicable to Revenues in the Condensed Consolidated Statements of Operations, for the three months ended March 31, 2026 and 2025:</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79"/>
        <w:gridCol w:w="936"/>
        <w:gridCol w:w="938"/>
        <w:gridCol w:w="388"/>
        <w:gridCol w:w="858"/>
        <w:gridCol w:w="201"/>
        <w:gridCol w:w="152"/>
        <w:gridCol w:w="152"/>
        <w:gridCol w:w="152"/>
        <w:gridCol w:w="295"/>
        <w:gridCol w:w="861"/>
        <w:gridCol w:w="152"/>
        <w:gridCol w:w="152"/>
        <w:gridCol w:w="152"/>
        <w:gridCol w:w="152"/>
        <w:gridCol w:w="388"/>
        <w:gridCol w:w="858"/>
        <w:gridCol w:w="201"/>
        <w:gridCol w:w="152"/>
        <w:gridCol w:w="152"/>
        <w:gridCol w:w="152"/>
        <w:gridCol w:w="295"/>
        <w:gridCol w:w="861"/>
        <w:gridCol w:w="226"/>
      </w:tblGrid>
      <w:tr>
        <w:trPr/>
        <w:tc>
          <w:tcPr>
            <w:tcW w:w="137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2"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Sales </w:t>
              <w:br/>
              <w:t>Commissions</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Marketing </w:t>
              <w:br/>
              <w:t>and Other</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Commissions</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Marketing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and Other</w:t>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 sales</w:t>
            </w:r>
            <w:r>
              <w:rPr>
                <w:rFonts w:ascii="Times New Roman;serif" w:hAnsi="Times New Roman;serif"/>
                <w:b w:val="false"/>
                <w:color w:val="000000"/>
                <w:sz w:val="13"/>
              </w:rPr>
              <w:t>(1)</w:t>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Image enhancement and maintenance services</w:t>
            </w:r>
            <w:r>
              <w:rPr>
                <w:rFonts w:ascii="Times New Roman;serif" w:hAnsi="Times New Roman;serif"/>
                <w:b w:val="false"/>
                <w:color w:val="000000"/>
                <w:sz w:val="13"/>
              </w:rPr>
              <w:t>(2)</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 rentals</w:t>
            </w:r>
            <w:r>
              <w:rPr>
                <w:rFonts w:ascii="Times New Roman;serif" w:hAnsi="Times New Roman;serif"/>
                <w:b w:val="false"/>
                <w:color w:val="000000"/>
                <w:sz w:val="13"/>
              </w:rPr>
              <w:t>(3)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914400" cy="14605"/>
                          </a:xfrm>
                          <a:prstGeom prst="rect">
                            <a:avLst/>
                          </a:prstGeom>
                        </pic:spPr>
                      </pic:pic>
                    </a:graphicData>
                  </a:graphic>
                </wp:inline>
              </w:drawing>
            </w:r>
            <w:bookmarkStart w:id="0" w:name="i-1"/>
            <w:bookmarkEnd w:id="0"/>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(1)Sales commissions paid prior to the recognition of the related revenue are deferred and recognized upon the client acceptance of the IMAX System. Direct advertising and marketing costs for each IMAX System are expensed as incurred and may be reversed when the contractual obligation ceases to exist.</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(2)Film exploitation costs, including advertising and marketing costs, are expensed as incurred.</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 and may be reversed when the contractual obligation cease to exist.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Included in Selling, General and Administrative Expenses for the three months ended March 31, 2026 is a foreign currency net loss of $0.6 million (2025 — net loss of $0.4 million), resulting from changes in exchange rates related to foreign currency denominated monetary assets and liabilities. (Refer to “Financial Instruments — </w:t>
      </w:r>
      <w:r>
        <w:rPr>
          <w:rFonts w:ascii="Times New Roman;serif" w:hAnsi="Times New Roman;serif"/>
          <w:b w:val="false"/>
          <w:i/>
          <w:color w:val="000000"/>
          <w:sz w:val="20"/>
        </w:rPr>
        <w:t>Foreign Exchange Risk Management</w:t>
      </w:r>
      <w:r>
        <w:rPr>
          <w:color w:val="000000"/>
        </w:rPr>
        <w:t xml:space="preserve">” </w:t>
      </w:r>
      <w:r>
        <w:rPr>
          <w:rFonts w:ascii="Times New Roman;serif" w:hAnsi="Times New Roman;serif"/>
          <w:b w:val="false"/>
          <w:color w:val="000000"/>
          <w:sz w:val="20"/>
        </w:rPr>
        <w:t>in Note 15 for additional information.)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Collaborative Arrangements</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Joint Revenue Sharing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accounting policy for the Company’s JRSAs is disclosed in Note 2 of the Company’s audited Consolidated Financial Statements in its 2025 Form 10-K.</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Revenue attributable to transactions arising between the Company and its customers under JRSAs is recorded within Revenues — Technology Sales (for hybrid JRSAs) and Revenues — Technology Rentals (for traditional JRSAs). For the three months ended March 31, 2026, such revenues totaled $16.4 million (2025 — $19.2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Film Remastering and Distribution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earns revenue through the digital remastering of films and other content into IMAX formats for distribution to the IMAX network (“IMAX Film Remastering”). The accounting policy for IMAX Film Remastering and distribution arrangements is disclosed in Note 2 of the Company’s audited Consolidated Financial Statements in its 2025 Form 10-K.</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Revenue attributable to transactions arising between the Company and its customers under IMAX Film Remastering and distribution arrangements is included in Revenues – Image Enhancement and Maintenance Services. For the three months ended March 31, 2026, such revenues totaled $29.2 million (2025 — $31.8 million). (Refer to “Revenue from Contracts with Customers — </w:t>
      </w:r>
      <w:r>
        <w:rPr>
          <w:rFonts w:ascii="Times New Roman;serif" w:hAnsi="Times New Roman;serif"/>
          <w:b w:val="false"/>
          <w:i/>
          <w:color w:val="000000"/>
          <w:sz w:val="20"/>
        </w:rPr>
        <w:t>Disaggregated Information About Revenue</w:t>
      </w:r>
      <w:r>
        <w:rPr>
          <w:color w:val="000000"/>
        </w:rPr>
        <w:t xml:space="preserve">” </w:t>
      </w:r>
      <w:r>
        <w:rPr>
          <w:rFonts w:ascii="Times New Roman;serif" w:hAnsi="Times New Roman;serif"/>
          <w:b w:val="false"/>
          <w:color w:val="000000"/>
          <w:sz w:val="20"/>
        </w:rPr>
        <w:t>in Note 12 for a disaggregated presentation of the Company’s revenues.)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Co-Produced Film Arrangements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shd w:fill="FFFFFF" w:val="clear"/>
        </w:rPr>
        <w:t xml:space="preserve">The accounting policies relating to co-produced film arrangements are disclosed in Notes 2 and 3 of the </w:t>
      </w:r>
      <w:r>
        <w:rPr>
          <w:rFonts w:ascii="Times New Roman;serif" w:hAnsi="Times New Roman;serif"/>
          <w:b w:val="false"/>
          <w:color w:val="000000"/>
          <w:sz w:val="20"/>
        </w:rPr>
        <w:t>Company’s audited Consolidated Financial Statements in its</w:t>
      </w:r>
      <w:r>
        <w:rPr>
          <w:color w:val="000000"/>
          <w:shd w:fill="FFFFFF" w:val="clear"/>
        </w:rPr>
        <w:t xml:space="preserve"> </w:t>
      </w:r>
      <w:r>
        <w:rPr>
          <w:rFonts w:ascii="Times New Roman;serif" w:hAnsi="Times New Roman;serif"/>
          <w:b w:val="false"/>
          <w:color w:val="000000"/>
          <w:sz w:val="20"/>
          <w:shd w:fill="FFFFFF" w:val="clear"/>
        </w:rPr>
        <w:t>2025 Form 10-K.</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shd w:fill="FFFFFF" w:val="clear"/>
        </w:rPr>
        <w:t xml:space="preserve">As of March 31, 2026, the Company is party to one co-produced film arrangement, which represented the VIE total assets balance </w:t>
      </w:r>
      <w:r>
        <w:rPr>
          <w:rFonts w:ascii="Times New Roman;serif" w:hAnsi="Times New Roman;serif"/>
          <w:b w:val="false"/>
          <w:color w:val="000000"/>
          <w:sz w:val="20"/>
        </w:rPr>
        <w:t>of $1.8 million and liabilities balance of $0.4 million</w:t>
      </w:r>
      <w:r>
        <w:rPr>
          <w:rFonts w:ascii="Times New Roman;serif" w:hAnsi="Times New Roman;serif"/>
          <w:b w:val="false"/>
          <w:color w:val="000000"/>
          <w:sz w:val="20"/>
          <w:shd w:fill="FFFFFF" w:val="clear"/>
        </w:rPr>
        <w:t>, and four other co-produced film arrangements, the terms of which are similar.</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 expense of $0.1 million (2025 — $0.1 million) attributable to transactions between the Company and other parties involved in the production of the films has been included in Costs and Expenses Applicable to Revenues ― Image Enhancement and Maintenance Services.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9. Condensed Consolidated Statements of Cash Flows – Supplemental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Changes in other operating assets and liabilities</w:t>
      </w:r>
    </w:p>
    <w:p>
      <w:pPr>
        <w:pStyle w:val="TextBody"/>
        <w:bidi w:val="0"/>
        <w:spacing w:before="0" w:after="0"/>
        <w:jc w:val="both"/>
        <w:rPr/>
      </w:pPr>
      <w:r>
        <w:rPr/>
      </w:r>
    </w:p>
    <w:tbl>
      <w:tblPr>
        <w:tblW w:w="8469" w:type="dxa"/>
        <w:jc w:val="left"/>
        <w:tblInd w:w="0" w:type="dxa"/>
        <w:tblLayout w:type="fixed"/>
        <w:tblCellMar>
          <w:top w:w="28" w:type="dxa"/>
          <w:left w:w="28" w:type="dxa"/>
          <w:bottom w:w="28" w:type="dxa"/>
          <w:right w:w="28" w:type="dxa"/>
        </w:tblCellMar>
      </w:tblPr>
      <w:tblGrid>
        <w:gridCol w:w="2160"/>
        <w:gridCol w:w="1903"/>
        <w:gridCol w:w="1907"/>
        <w:gridCol w:w="211"/>
        <w:gridCol w:w="796"/>
        <w:gridCol w:w="109"/>
        <w:gridCol w:w="109"/>
        <w:gridCol w:w="109"/>
        <w:gridCol w:w="109"/>
        <w:gridCol w:w="211"/>
        <w:gridCol w:w="691"/>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consideration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excluding lease incentives provided to exhibitor customers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ind w:left="0" w:right="0" w:firstLine="1"/>
        <w:jc w:val="both"/>
        <w:rPr/>
      </w:pPr>
      <w:r>
        <w:rPr/>
      </w:r>
    </w:p>
    <w:tbl>
      <w:tblPr>
        <w:tblW w:w="5529" w:type="dxa"/>
        <w:jc w:val="left"/>
        <w:tblInd w:w="0" w:type="dxa"/>
        <w:tblLayout w:type="fixed"/>
        <w:tblCellMar>
          <w:top w:w="28" w:type="dxa"/>
          <w:left w:w="28" w:type="dxa"/>
          <w:bottom w:w="28" w:type="dxa"/>
          <w:right w:w="28" w:type="dxa"/>
        </w:tblCellMar>
      </w:tblPr>
      <w:tblGrid>
        <w:gridCol w:w="1113"/>
        <w:gridCol w:w="980"/>
        <w:gridCol w:w="982"/>
        <w:gridCol w:w="211"/>
        <w:gridCol w:w="721"/>
        <w:gridCol w:w="109"/>
        <w:gridCol w:w="109"/>
        <w:gridCol w:w="109"/>
        <w:gridCol w:w="109"/>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supporting JRSAs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45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Write-downs</w:t>
      </w:r>
    </w:p>
    <w:p>
      <w:pPr>
        <w:pStyle w:val="TextBody"/>
        <w:bidi w:val="0"/>
        <w:spacing w:before="0" w:after="0"/>
        <w:jc w:val="both"/>
        <w:rPr/>
      </w:pPr>
      <w:r>
        <w:rPr/>
      </w:r>
    </w:p>
    <w:tbl>
      <w:tblPr>
        <w:tblW w:w="4914" w:type="dxa"/>
        <w:jc w:val="left"/>
        <w:tblInd w:w="0" w:type="dxa"/>
        <w:tblLayout w:type="fixed"/>
        <w:tblCellMar>
          <w:top w:w="28" w:type="dxa"/>
          <w:left w:w="28" w:type="dxa"/>
          <w:bottom w:w="28" w:type="dxa"/>
          <w:right w:w="28" w:type="dxa"/>
        </w:tblCellMar>
      </w:tblPr>
      <w:tblGrid>
        <w:gridCol w:w="1113"/>
        <w:gridCol w:w="980"/>
        <w:gridCol w:w="982"/>
        <w:gridCol w:w="211"/>
        <w:gridCol w:w="361"/>
        <w:gridCol w:w="109"/>
        <w:gridCol w:w="109"/>
        <w:gridCol w:w="109"/>
        <w:gridCol w:w="109"/>
        <w:gridCol w:w="211"/>
        <w:gridCol w:w="46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supporting JRSAs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property, plant and equipment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839"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Significant non-cash investing activities</w:t>
      </w:r>
    </w:p>
    <w:p>
      <w:pPr>
        <w:pStyle w:val="TextBody"/>
        <w:bidi w:val="0"/>
        <w:spacing w:before="0" w:after="0"/>
        <w:jc w:val="both"/>
        <w:rPr/>
      </w:pPr>
      <w:r>
        <w:rPr/>
      </w:r>
    </w:p>
    <w:tbl>
      <w:tblPr>
        <w:tblW w:w="5739" w:type="dxa"/>
        <w:jc w:val="left"/>
        <w:tblInd w:w="0" w:type="dxa"/>
        <w:tblLayout w:type="fixed"/>
        <w:tblCellMar>
          <w:top w:w="28" w:type="dxa"/>
          <w:left w:w="28" w:type="dxa"/>
          <w:bottom w:w="28" w:type="dxa"/>
          <w:right w:w="28" w:type="dxa"/>
        </w:tblCellMar>
      </w:tblPr>
      <w:tblGrid>
        <w:gridCol w:w="1319"/>
        <w:gridCol w:w="1161"/>
        <w:gridCol w:w="1165"/>
        <w:gridCol w:w="211"/>
        <w:gridCol w:w="466"/>
        <w:gridCol w:w="109"/>
        <w:gridCol w:w="109"/>
        <w:gridCol w:w="109"/>
        <w:gridCol w:w="109"/>
        <w:gridCol w:w="211"/>
        <w:gridCol w:w="61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accruals related to:</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equipment supporting JRSAs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other intangible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209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recorded an income tax expense of $2.4 million (2025 — $7.3 million). The Company’s effective tax rate of 28.5% for the three months ended March 31, 2026 reflects the geographic allocation of income earned in taxing jurisdictions and reflects an increase in the valuation allowance and withholding taxes, offset by a tax benefit related to share-based compensation. The Company’s effective tax rate of 47.2% for the three months ended March 31, 2025 reflects the geographic allocation of income earned in taxing jurisdictions and also reflects an increase in the valuation allowance, withholding taxes and a tax benefit related to share-based compensation.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Condensed Consolidated Balance Sheets included net deferred income tax assets of $12.7 million (December 31, 2025 — $12.6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Condensed Consolidated Balance Sheets also included deferred tax liabilities of $12.5 million (December 31, 2025 — $12.5 million) primarily related to foreign withholding taxes associated with the remaining balance of non-repatriated historical earnings that will not be indefinitely reinvested outside of Canada.</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11. Capital Stock and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before="0" w:after="0"/>
        <w:ind w:left="0" w:right="0" w:firstLine="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share-based compensation expense totaled $5.7 million (2025 — $5.2 million) and is reflected in the following accounts in the Condensed Consolidated Statements of Operations: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15" w:type="dxa"/>
        <w:jc w:val="left"/>
        <w:tblInd w:w="0" w:type="dxa"/>
        <w:tblLayout w:type="fixed"/>
        <w:tblCellMar>
          <w:top w:w="28" w:type="dxa"/>
          <w:left w:w="28" w:type="dxa"/>
          <w:bottom w:w="28" w:type="dxa"/>
          <w:right w:w="28" w:type="dxa"/>
        </w:tblCellMar>
      </w:tblPr>
      <w:tblGrid>
        <w:gridCol w:w="1352"/>
        <w:gridCol w:w="1190"/>
        <w:gridCol w:w="1193"/>
        <w:gridCol w:w="211"/>
        <w:gridCol w:w="616"/>
        <w:gridCol w:w="109"/>
        <w:gridCol w:w="109"/>
        <w:gridCol w:w="109"/>
        <w:gridCol w:w="109"/>
        <w:gridCol w:w="211"/>
        <w:gridCol w:w="616"/>
        <w:gridCol w:w="109"/>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Costs and expenses applicable to 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share-based compensation expense by each award type:</w:t>
      </w:r>
    </w:p>
    <w:p>
      <w:pPr>
        <w:pStyle w:val="TextBody"/>
        <w:bidi w:val="0"/>
        <w:spacing w:before="0" w:after="0"/>
        <w:ind w:left="0" w:right="0" w:firstLine="216"/>
        <w:jc w:val="both"/>
        <w:rPr/>
      </w:pPr>
      <w:r>
        <w:rPr/>
      </w:r>
    </w:p>
    <w:tbl>
      <w:tblPr>
        <w:tblW w:w="8049" w:type="dxa"/>
        <w:jc w:val="left"/>
        <w:tblInd w:w="0" w:type="dxa"/>
        <w:tblLayout w:type="fixed"/>
        <w:tblCellMar>
          <w:top w:w="28" w:type="dxa"/>
          <w:left w:w="28" w:type="dxa"/>
          <w:bottom w:w="28" w:type="dxa"/>
          <w:right w:w="28" w:type="dxa"/>
        </w:tblCellMar>
      </w:tblPr>
      <w:tblGrid>
        <w:gridCol w:w="1943"/>
        <w:gridCol w:w="1711"/>
        <w:gridCol w:w="1715"/>
        <w:gridCol w:w="211"/>
        <w:gridCol w:w="616"/>
        <w:gridCol w:w="109"/>
        <w:gridCol w:w="109"/>
        <w:gridCol w:w="109"/>
        <w:gridCol w:w="109"/>
        <w:gridCol w:w="211"/>
        <w:gridCol w:w="616"/>
        <w:gridCol w:w="109"/>
        <w:gridCol w:w="109"/>
        <w:gridCol w:w="109"/>
        <w:gridCol w:w="109"/>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IMAX China Long Term Incentive Plan Restricted Share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IMAX China Long Term Incentive Plan Performance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Company’s share-based compensation expense included restricted share units to non-employees of $nil that were granted and have not yet vested (2025 — less than $0.1 million, which vested immediately upon granting).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Stock Option Summary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under the Company’s Stock Option Plan (“SOP”) for the three months ended March 31, 2026 and 2025:</w:t>
      </w:r>
    </w:p>
    <w:p>
      <w:pPr>
        <w:pStyle w:val="TextBody"/>
        <w:bidi w:val="0"/>
        <w:spacing w:before="0" w:after="0"/>
        <w:ind w:left="0" w:right="0" w:firstLine="216"/>
        <w:jc w:val="both"/>
        <w:rPr/>
      </w:pPr>
      <w:r>
        <w:rPr/>
      </w:r>
    </w:p>
    <w:tbl>
      <w:tblPr>
        <w:tblW w:w="9277" w:type="dxa"/>
        <w:jc w:val="left"/>
        <w:tblInd w:w="0" w:type="dxa"/>
        <w:tblLayout w:type="fixed"/>
        <w:tblCellMar>
          <w:top w:w="28" w:type="dxa"/>
          <w:left w:w="28" w:type="dxa"/>
          <w:bottom w:w="28" w:type="dxa"/>
          <w:right w:w="28" w:type="dxa"/>
        </w:tblCellMar>
      </w:tblPr>
      <w:tblGrid>
        <w:gridCol w:w="1439"/>
        <w:gridCol w:w="1264"/>
        <w:gridCol w:w="1271"/>
        <w:gridCol w:w="488"/>
        <w:gridCol w:w="488"/>
        <w:gridCol w:w="156"/>
        <w:gridCol w:w="156"/>
        <w:gridCol w:w="156"/>
        <w:gridCol w:w="156"/>
        <w:gridCol w:w="488"/>
        <w:gridCol w:w="488"/>
        <w:gridCol w:w="156"/>
        <w:gridCol w:w="109"/>
        <w:gridCol w:w="109"/>
        <w:gridCol w:w="109"/>
        <w:gridCol w:w="211"/>
        <w:gridCol w:w="616"/>
        <w:gridCol w:w="109"/>
        <w:gridCol w:w="109"/>
        <w:gridCol w:w="109"/>
        <w:gridCol w:w="109"/>
        <w:gridCol w:w="211"/>
        <w:gridCol w:w="61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Exercise </w:t>
              <w:br/>
              <w:t>Price Per Share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beginning of period</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1,818,698 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2,469,238 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end of period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1,697,475 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1,954,625 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exercisable, end of period</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1,697,475 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1,954,625 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are no longer granted under the SOP.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LTIP Restricted Share Units (“RSU”) Summary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respect of RSUs issued under the IMAX Corporation Second Amended and Restated Long-Term Incentive Plan (as may be amended, “IMAX LTIP”) for the three months ended March 31, 2026 and 2025:</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tbl>
      <w:tblPr>
        <w:tblW w:w="8786" w:type="dxa"/>
        <w:jc w:val="left"/>
        <w:tblInd w:w="0" w:type="dxa"/>
        <w:tblLayout w:type="fixed"/>
        <w:tblCellMar>
          <w:top w:w="28" w:type="dxa"/>
          <w:left w:w="28" w:type="dxa"/>
          <w:bottom w:w="28" w:type="dxa"/>
          <w:right w:w="28" w:type="dxa"/>
        </w:tblCellMar>
      </w:tblPr>
      <w:tblGrid>
        <w:gridCol w:w="1194"/>
        <w:gridCol w:w="1050"/>
        <w:gridCol w:w="1055"/>
        <w:gridCol w:w="488"/>
        <w:gridCol w:w="488"/>
        <w:gridCol w:w="156"/>
        <w:gridCol w:w="156"/>
        <w:gridCol w:w="156"/>
        <w:gridCol w:w="156"/>
        <w:gridCol w:w="488"/>
        <w:gridCol w:w="488"/>
        <w:gridCol w:w="156"/>
        <w:gridCol w:w="109"/>
        <w:gridCol w:w="109"/>
        <w:gridCol w:w="109"/>
        <w:gridCol w:w="228"/>
        <w:gridCol w:w="667"/>
        <w:gridCol w:w="118"/>
        <w:gridCol w:w="118"/>
        <w:gridCol w:w="118"/>
        <w:gridCol w:w="118"/>
        <w:gridCol w:w="228"/>
        <w:gridCol w:w="66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Grant Date </w:t>
              <w:br/>
              <w:t>Fair Value Per Share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 outstanding, beginning of period</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1,244,670 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1,465,977 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(667,768)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 outstanding, end of period</w:t>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938,459 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1,289,627 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LTIP Performance Stock Units (“PSU”) Summary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grants two types of PSU award, one which vests based on a combination of employee service and the achievement of certain Adjusted EBITDA targets and one which vests based on a combination of employee service and the achievement of total shareholder return (“TSR”) targets. The achievement of these targets is assessed over a three-year performance period, with vesting ranging from 0% to 200% of the initial Adjusted EBITDA PSU award or 200% of the initial TSR PSU award, depending upon actual performance.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2026 grants, the grant date fair value for Adjusted EBITDA PSUs is determined using the volume-weighted average price of the Company’s common shares on the New York Stock Exchange for the sixty calendar days prior to the date of grant. The grant date fair value for TSR PSUs is determined using a Monte Carlo Model, influenced by share price and various assumptions, such as market conditions and expected share price volatility over the term of the awards.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compensation expense attributable for each type of PSU is recognized on a straight-line basis over the requisite service period. If, as a result of management’s assessment, it is projected that a greater or lesser number of PSUs will vest than previously anticipated, a life-to-date adjustment to increase or decrease compensation expense is recorded in the period that such determination is made. The expense recognized in the three months ended March 31, 2026 and 2025 includes adjustments reflecting management’s estimate of the number of Adjusted EBITDA PSUs expected to vest.</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respect of PSUs issued under the IMAX LTIP for the three months ended March 31,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6"/>
        <w:gridCol w:w="901"/>
        <w:gridCol w:w="907"/>
        <w:gridCol w:w="679"/>
        <w:gridCol w:w="679"/>
        <w:gridCol w:w="206"/>
        <w:gridCol w:w="184"/>
        <w:gridCol w:w="184"/>
        <w:gridCol w:w="184"/>
        <w:gridCol w:w="679"/>
        <w:gridCol w:w="679"/>
        <w:gridCol w:w="206"/>
        <w:gridCol w:w="151"/>
        <w:gridCol w:w="151"/>
        <w:gridCol w:w="151"/>
        <w:gridCol w:w="303"/>
        <w:gridCol w:w="887"/>
        <w:gridCol w:w="156"/>
        <w:gridCol w:w="156"/>
        <w:gridCol w:w="156"/>
        <w:gridCol w:w="156"/>
        <w:gridCol w:w="303"/>
        <w:gridCol w:w="887"/>
        <w:gridCol w:w="234"/>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Awards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Grant Date </w:t>
              <w:br/>
              <w:t>Fair Value Per Share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PSUs outstanding, beginning of period</w:t>
            </w:r>
          </w:p>
        </w:tc>
        <w:tc>
          <w:tcPr>
            <w:tcW w:w="13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1,140,515 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1,097,634 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(1)(2)</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491,275 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Vested and settled</w:t>
            </w:r>
            <w:r>
              <w:rPr>
                <w:rFonts w:ascii="Times New Roman;serif" w:hAnsi="Times New Roman;serif"/>
                <w:b w:val="false"/>
                <w:color w:val="000000"/>
                <w:sz w:val="13"/>
              </w:rPr>
              <w:t>(1)(2)</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(605,004)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(463,212)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PSUs outstanding, end of period</w:t>
            </w:r>
          </w:p>
        </w:tc>
        <w:tc>
          <w:tcPr>
            <w:tcW w:w="13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1,024,925 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1,182,463 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(1) For the three months ended March 31, 2026, the balance of shares granted includes 199,473 (2025 - 159,376) additional shares, at a weighted average grant date fair value per share of $16.98 (2025 - $19.18), as PSUs granted in 2023 with Adjusted EBITDA targets vested at 175% (2025 - 175%) on account of full achievement of the targets. </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For the three months ended March 31, 2026, the balance of shares granted includes 46,510 (2025 - 17,375) additional shares, at a weighted average grant date fair value per share of $19.73 (2025 - $22.72), as PSUs granted in 2023 with TSR targets vested at 150% on account of full achievement of the targets (2025 - 123.5% based on actual performance versus the targets).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maximum number of common shares that may be issued with respect to PSUs outstanding was 1,797,285, assuming full achievement of the Adjusted EBITDA and TSR targets.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2017, the Company announced that its Board of Directors approved a $200.0 million share repurchase program for its common shares that would have expired on June 30, 2020, which was subsequently extended through June 30, 2026 and increased to a total share repurchase authority of $500.0 million under the current share repurchase program. As of March 31, 2026, the Company had $250.7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did not repurchase any common shares. During the three months ended March 31, 2026 and 2025, there were no shares purchased in the administration of employee share based plans.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IMAX LTIP trustee did not hold any shares. Any shares held with the trustee are recorded at cost and are reported as a reduction against Capital Stock on the Company’s Condensed Consolidated Balance Sheets.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2024, IMAX China’s shareholders granted its Board of Directors a general mandate authorizing IMAX China’s Board of Directors, subject to applicable laws, to repurchase shares of IMAX China not to exceed 10% of the total number of issued shares as of June 7, 2024 (34,000,845 shares). This program expired on the date of the 2025 Annual General Meeting of IMAX China on June 12, 2025. During IMAX China’s 2025 Annual General Meeting, shareholders granted its Board of Directors a general mandate, subject to applicable laws, to repurchase shares of IMAX China not to exceed 10% of the total number of issued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IMAX China did not repurchase any of its common shares.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Basic and Diluted Weighted Average Shares Outstanding</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denominator of the basic and diluted weighted average share computations:</w:t>
      </w:r>
    </w:p>
    <w:p>
      <w:pPr>
        <w:pStyle w:val="TextBody"/>
        <w:bidi w:val="0"/>
        <w:spacing w:before="0" w:after="0"/>
        <w:ind w:left="0" w:right="0" w:firstLine="216"/>
        <w:jc w:val="both"/>
        <w:rPr/>
      </w:pPr>
      <w:r>
        <w:rPr/>
      </w:r>
    </w:p>
    <w:tbl>
      <w:tblPr>
        <w:tblW w:w="8078" w:type="dxa"/>
        <w:jc w:val="left"/>
        <w:tblInd w:w="0" w:type="dxa"/>
        <w:tblLayout w:type="fixed"/>
        <w:tblCellMar>
          <w:top w:w="28" w:type="dxa"/>
          <w:left w:w="28" w:type="dxa"/>
          <w:bottom w:w="28" w:type="dxa"/>
          <w:right w:w="28" w:type="dxa"/>
        </w:tblCellMar>
      </w:tblPr>
      <w:tblGrid>
        <w:gridCol w:w="1905"/>
        <w:gridCol w:w="1676"/>
        <w:gridCol w:w="1684"/>
        <w:gridCol w:w="360"/>
        <w:gridCol w:w="361"/>
        <w:gridCol w:w="178"/>
        <w:gridCol w:w="178"/>
        <w:gridCol w:w="178"/>
        <w:gridCol w:w="178"/>
        <w:gridCol w:w="360"/>
        <w:gridCol w:w="361"/>
        <w:gridCol w:w="178"/>
        <w:gridCol w:w="109"/>
        <w:gridCol w:w="109"/>
        <w:gridCol w:w="109"/>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beginning of period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issued, net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54,125 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53,145 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effect of potential common shares, if dilutive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56,392 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54,969 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calculation of diluted weighted average shares outstanding excludes 72,493 shares (2025 — 971,374 shares) that are issuable upon the vesting or exercise of share-based compensation including: (i) nil RSUs (2025 — nil RSUs), (ii) 72,493 PSUs (2025 — 128,333 PSUs) and (iii) nil stock options (2025 — 843,041 stock options), as the effect would be anti-dilutive.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calculation of diluted weighted average shares outstanding for the three months ended March 31, 2026 and 2025 also excludes any shares potentially issuable upon the conversion of the Convertible Notes as the average market price of the Company’s common shares during the period of time they were outstanding was less than the conversion price of the Convertible Notes.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Statutory Surplus Reserve</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corporate law of the People’s Republic of China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statutory surplus reserve of RMB 37.7 million ($5.8 million) has reached 50% of the Company’s PRC subsidiaries’ registered capital, and as such, no further contributions to the reserve are required.</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12. Revenue from Contracts with Customers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Disaggregated Information About Revenue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Revenues by reportable segment and revenue stream type for the three months ended March 31, 2026 and 2025:</w:t>
      </w:r>
    </w:p>
    <w:p>
      <w:pPr>
        <w:pStyle w:val="TextBody"/>
        <w:bidi w:val="0"/>
        <w:spacing w:before="0" w:after="0"/>
        <w:ind w:left="0" w:right="0" w:firstLine="216"/>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7"/>
        <w:gridCol w:w="648"/>
        <w:gridCol w:w="650"/>
        <w:gridCol w:w="236"/>
        <w:gridCol w:w="810"/>
        <w:gridCol w:w="122"/>
        <w:gridCol w:w="109"/>
        <w:gridCol w:w="109"/>
        <w:gridCol w:w="109"/>
        <w:gridCol w:w="422"/>
        <w:gridCol w:w="1443"/>
        <w:gridCol w:w="219"/>
        <w:gridCol w:w="109"/>
        <w:gridCol w:w="109"/>
        <w:gridCol w:w="109"/>
        <w:gridCol w:w="252"/>
        <w:gridCol w:w="862"/>
        <w:gridCol w:w="130"/>
        <w:gridCol w:w="109"/>
        <w:gridCol w:w="109"/>
        <w:gridCol w:w="109"/>
        <w:gridCol w:w="239"/>
        <w:gridCol w:w="700"/>
        <w:gridCol w:w="123"/>
        <w:gridCol w:w="109"/>
        <w:gridCol w:w="109"/>
        <w:gridCol w:w="109"/>
        <w:gridCol w:w="211"/>
        <w:gridCol w:w="721"/>
        <w:gridCol w:w="162"/>
      </w:tblGrid>
      <w:tr>
        <w:trPr/>
        <w:tc>
          <w:tcPr>
            <w:tcW w:w="9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Image Enhancement and Maintenance Services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Rentals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Remastering and Distribution</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Solutions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31,321 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31,370 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Sales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Rentals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48,338 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47,910 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79,708 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48,584 </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81,379 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6792" w:type="dxa"/>
            <w:gridSpan w:val="24"/>
            <w:tcBorders/>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2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1"/>
        <w:gridCol w:w="644"/>
        <w:gridCol w:w="646"/>
        <w:gridCol w:w="237"/>
        <w:gridCol w:w="810"/>
        <w:gridCol w:w="122"/>
        <w:gridCol w:w="109"/>
        <w:gridCol w:w="109"/>
        <w:gridCol w:w="109"/>
        <w:gridCol w:w="424"/>
        <w:gridCol w:w="1450"/>
        <w:gridCol w:w="220"/>
        <w:gridCol w:w="109"/>
        <w:gridCol w:w="109"/>
        <w:gridCol w:w="109"/>
        <w:gridCol w:w="252"/>
        <w:gridCol w:w="863"/>
        <w:gridCol w:w="130"/>
        <w:gridCol w:w="109"/>
        <w:gridCol w:w="109"/>
        <w:gridCol w:w="109"/>
        <w:gridCol w:w="240"/>
        <w:gridCol w:w="701"/>
        <w:gridCol w:w="124"/>
        <w:gridCol w:w="109"/>
        <w:gridCol w:w="109"/>
        <w:gridCol w:w="109"/>
        <w:gridCol w:w="211"/>
        <w:gridCol w:w="721"/>
        <w:gridCol w:w="161"/>
      </w:tblGrid>
      <w:tr>
        <w:trPr/>
        <w:tc>
          <w:tcPr>
            <w:tcW w:w="9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Image Enhancement and Maintenance Services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Rentals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Remastering and Distribution</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Solutions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Sales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Rentals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19,136 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50,593 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49,732 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84,842 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13,524 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50,753 </w:t>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19,311 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86,667 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805" w:type="dxa"/>
            <w:gridSpan w:val="24"/>
            <w:tcBorders/>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revenues earned from Technology Sales included variable consideration of $4.3 million (2025 — $3.2 million).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March 31, 2026, $21.4 million of consideration has been deferred in relation to outstanding maintenance services to be provided on existing maintenance contracts (December 31, 2025 — $28.3 million).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$8.8 million of revenue was recognized from the $50.4 million balance of deferred revenue as of December 31, 2025. During the three months ended March 31, 2025, $9.0 million of revenue was recognized from the $52.7 million balance of deferred revenue as of December 31, 2024.</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reportable segments are the same as those described in Note 2 - Summary of Significant Accounting Policies of the 2025 Form 10-K. Intercompany profit or loss is not included in the evaluation of performance and allocation of resources.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and gross margin by reportable segment for the three months ended March 31, 2026 and 2025:</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141"/>
        <w:gridCol w:w="805"/>
        <w:gridCol w:w="807"/>
        <w:gridCol w:w="302"/>
        <w:gridCol w:w="1035"/>
        <w:gridCol w:w="156"/>
        <w:gridCol w:w="156"/>
        <w:gridCol w:w="156"/>
        <w:gridCol w:w="156"/>
        <w:gridCol w:w="302"/>
        <w:gridCol w:w="1035"/>
        <w:gridCol w:w="156"/>
        <w:gridCol w:w="156"/>
        <w:gridCol w:w="156"/>
        <w:gridCol w:w="156"/>
        <w:gridCol w:w="302"/>
        <w:gridCol w:w="1035"/>
        <w:gridCol w:w="156"/>
        <w:gridCol w:w="156"/>
        <w:gridCol w:w="156"/>
        <w:gridCol w:w="156"/>
        <w:gridCol w:w="302"/>
        <w:gridCol w:w="1035"/>
        <w:gridCol w:w="232"/>
      </w:tblGrid>
      <w:tr>
        <w:trPr/>
        <w:tc>
          <w:tcPr>
            <w:tcW w:w="114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Revenue</w:t>
            </w:r>
            <w:r>
              <w:rPr>
                <w:rFonts w:ascii="Times New Roman;serif" w:hAnsi="Times New Roman;serif"/>
                <w:b/>
                <w:color w:val="000000"/>
                <w:sz w:val="10"/>
              </w:rPr>
              <w:t>(1)</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r>
      <w:tr>
        <w:trPr/>
        <w:tc>
          <w:tcPr>
            <w:tcW w:w="27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23,554 </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3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79,708 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52,640 </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3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81,379 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86,667 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53,176 </w:t>
            </w:r>
          </w:p>
        </w:tc>
        <w:tc>
          <w:tcPr>
            <w:tcW w:w="2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914400" cy="14605"/>
                          </a:xfrm>
                          <a:prstGeom prst="rect">
                            <a:avLst/>
                          </a:prstGeom>
                        </pic:spPr>
                      </pic:pic>
                    </a:graphicData>
                  </a:graphic>
                </wp:inline>
              </w:drawing>
            </w:r>
            <w:bookmarkStart w:id="1" w:name="i-2"/>
            <w:bookmarkEnd w:id="1"/>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Company’s largest customer for the three months ended March 31, 2026 represented 11% of total Revenues. The Company’s largest customer for the three months ended March 31, 2025 represented 15% of total Revenues. No single customer comprised more than 10% of the Company’s total Accounts Receivable as of March 31, 2026 or December 31, 2025.</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Costs and Expenses Applicable to Revenues for the Content Solutions segment that is made available to the CODM as part of the Company’s annual and quarterly financial reporting requirements in accordance with U.S. GAAP:</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2302"/>
        <w:gridCol w:w="1907"/>
        <w:gridCol w:w="1914"/>
        <w:gridCol w:w="191"/>
        <w:gridCol w:w="191"/>
        <w:gridCol w:w="322"/>
        <w:gridCol w:w="164"/>
        <w:gridCol w:w="320"/>
        <w:gridCol w:w="1094"/>
        <w:gridCol w:w="164"/>
        <w:gridCol w:w="109"/>
        <w:gridCol w:w="109"/>
        <w:gridCol w:w="109"/>
        <w:gridCol w:w="211"/>
        <w:gridCol w:w="721"/>
        <w:gridCol w:w="109"/>
        <w:gridCol w:w="109"/>
        <w:gridCol w:w="159"/>
      </w:tblGrid>
      <w:tr>
        <w:trPr/>
        <w:tc>
          <w:tcPr>
            <w:tcW w:w="230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64"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36" w:type="dxa"/>
            <w:gridSpan w:val="8"/>
            <w:tcBorders/>
          </w:tcPr>
          <w:p>
            <w:pPr>
              <w:pStyle w:val="TableContents"/>
              <w:bidi w:val="0"/>
              <w:spacing w:before="0" w:after="283"/>
              <w:jc w:val="left"/>
              <w:rPr>
                <w:sz w:val="4"/>
                <w:szCs w:val="4"/>
              </w:rPr>
            </w:pPr>
            <w:r>
              <w:rPr>
                <w:sz w:val="4"/>
                <w:szCs w:val="4"/>
              </w:rPr>
            </w:r>
          </w:p>
        </w:tc>
      </w:tr>
      <w:tr>
        <w:trPr/>
        <w:tc>
          <w:tcPr>
            <w:tcW w:w="61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asset amortization</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other selling expenses</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Co-produced film participation expenses</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(1)</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 Applicable to Revenues</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27" w:type="dxa"/>
            <w:gridSpan w:val="6"/>
            <w:tcBorders/>
            <w:shd w:fill="FFFFFF" w:val="clear"/>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4"/>
                          <a:stretch>
                            <a:fillRect/>
                          </a:stretch>
                        </pic:blipFill>
                        <pic:spPr bwMode="auto">
                          <a:xfrm>
                            <a:off x="0" y="0"/>
                            <a:ext cx="914400" cy="14605"/>
                          </a:xfrm>
                          <a:prstGeom prst="rect">
                            <a:avLst/>
                          </a:prstGeom>
                        </pic:spPr>
                      </pic:pic>
                    </a:graphicData>
                  </a:graphic>
                </wp:inline>
              </w:drawing>
            </w:r>
            <w:bookmarkStart w:id="2" w:name="i-3"/>
            <w:bookmarkEnd w:id="2"/>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(1)Included within the Other segment expenses are costs related to film distribution, post-production costs, production costs, and network connectivity fees.</w:t>
            </w:r>
          </w:p>
        </w:tc>
        <w:tc>
          <w:tcPr>
            <w:tcW w:w="3378"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pStyle w:val="TextBody"/>
        <w:bidi w:val="0"/>
        <w:spacing w:before="0" w:after="0"/>
        <w:jc w:val="both"/>
        <w:rPr/>
      </w:pPr>
      <w:r>
        <w:rPr/>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2293"/>
        <w:gridCol w:w="1967"/>
        <w:gridCol w:w="1972"/>
        <w:gridCol w:w="206"/>
        <w:gridCol w:w="206"/>
        <w:gridCol w:w="335"/>
        <w:gridCol w:w="150"/>
        <w:gridCol w:w="292"/>
        <w:gridCol w:w="998"/>
        <w:gridCol w:w="150"/>
        <w:gridCol w:w="109"/>
        <w:gridCol w:w="109"/>
        <w:gridCol w:w="109"/>
        <w:gridCol w:w="211"/>
        <w:gridCol w:w="721"/>
        <w:gridCol w:w="109"/>
        <w:gridCol w:w="109"/>
        <w:gridCol w:w="159"/>
      </w:tblGrid>
      <w:tr>
        <w:trPr/>
        <w:tc>
          <w:tcPr>
            <w:tcW w:w="229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25"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36" w:type="dxa"/>
            <w:gridSpan w:val="8"/>
            <w:tcBorders/>
          </w:tcPr>
          <w:p>
            <w:pPr>
              <w:pStyle w:val="TableContents"/>
              <w:bidi w:val="0"/>
              <w:spacing w:before="0" w:after="283"/>
              <w:jc w:val="left"/>
              <w:rPr>
                <w:sz w:val="4"/>
                <w:szCs w:val="4"/>
              </w:rPr>
            </w:pPr>
            <w:r>
              <w:rPr>
                <w:sz w:val="4"/>
                <w:szCs w:val="4"/>
              </w:rPr>
            </w:r>
          </w:p>
        </w:tc>
      </w:tr>
      <w:tr>
        <w:trPr/>
        <w:tc>
          <w:tcPr>
            <w:tcW w:w="62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48,338 </w:t>
            </w:r>
          </w:p>
        </w:tc>
        <w:tc>
          <w:tcPr>
            <w:tcW w:w="150"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50,593 </w:t>
            </w:r>
          </w:p>
        </w:tc>
        <w:tc>
          <w:tcPr>
            <w:tcW w:w="109"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equipment supporting JRSAs</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other selling expenses</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 of equipment supporting JRSAs</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 of inventory</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(1)</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 Applicable to Revenues</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26,882 </w:t>
            </w:r>
          </w:p>
        </w:tc>
        <w:tc>
          <w:tcPr>
            <w:tcW w:w="1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9" w:type="dxa"/>
            <w:gridSpan w:val="6"/>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 descr=""/>
                          <pic:cNvPicPr>
                            <a:picLocks noChangeAspect="1" noChangeArrowheads="1"/>
                          </pic:cNvPicPr>
                        </pic:nvPicPr>
                        <pic:blipFill>
                          <a:blip r:embed="rId5"/>
                          <a:stretch>
                            <a:fillRect/>
                          </a:stretch>
                        </pic:blipFill>
                        <pic:spPr bwMode="auto">
                          <a:xfrm>
                            <a:off x="0" y="0"/>
                            <a:ext cx="914400" cy="14605"/>
                          </a:xfrm>
                          <a:prstGeom prst="rect">
                            <a:avLst/>
                          </a:prstGeom>
                        </pic:spPr>
                      </pic:pic>
                    </a:graphicData>
                  </a:graphic>
                </wp:inline>
              </w:drawing>
            </w:r>
            <w:bookmarkStart w:id="3" w:name="i-4"/>
            <w:bookmarkEnd w:id="3"/>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(1)Included within the Other segment expenses are costs related to the manufacturing and build of IMAX Systems recognized in the period, maintenance and warranty costs, and other product related costs. </w:t>
            </w:r>
          </w:p>
        </w:tc>
        <w:tc>
          <w:tcPr>
            <w:tcW w:w="322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revenues by geographic area for the three months ended March 31, 2026 and 2025:</w:t>
      </w:r>
    </w:p>
    <w:p>
      <w:pPr>
        <w:pStyle w:val="TextBody"/>
        <w:bidi w:val="0"/>
        <w:spacing w:before="0" w:after="0"/>
        <w:ind w:left="0" w:right="0" w:firstLine="216"/>
        <w:jc w:val="both"/>
        <w:rPr/>
      </w:pPr>
      <w:r>
        <w:rPr/>
      </w:r>
    </w:p>
    <w:tbl>
      <w:tblPr>
        <w:tblW w:w="6667" w:type="dxa"/>
        <w:jc w:val="left"/>
        <w:tblInd w:w="0" w:type="dxa"/>
        <w:tblLayout w:type="fixed"/>
        <w:tblCellMar>
          <w:top w:w="28" w:type="dxa"/>
          <w:left w:w="28" w:type="dxa"/>
          <w:bottom w:w="28" w:type="dxa"/>
          <w:right w:w="28" w:type="dxa"/>
        </w:tblCellMar>
      </w:tblPr>
      <w:tblGrid>
        <w:gridCol w:w="955"/>
        <w:gridCol w:w="841"/>
        <w:gridCol w:w="843"/>
        <w:gridCol w:w="109"/>
        <w:gridCol w:w="109"/>
        <w:gridCol w:w="207"/>
        <w:gridCol w:w="207"/>
        <w:gridCol w:w="402"/>
        <w:gridCol w:w="1374"/>
        <w:gridCol w:w="207"/>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29,442 </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81,379 </w:t>
            </w:r>
          </w:p>
        </w:tc>
        <w:tc>
          <w:tcPr>
            <w:tcW w:w="2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United States, Greater China (which includes the mainland of the People’s Republic of China, Hong Kong, Macau, and Taiwan), Asia (excluding Greater China), and Western Europe each comprise greater than 10% of the Company’s total revenues for the three months ended March 31, 2026. The United States, Greater China, and Asia each comprise greater than 10% of the Company’s total revenues for the three months ended March 31, 2025.</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14. Employee’s Pension and Postretirement Benefits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Defined Benefit Plan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defined benefit pension plan, the Supplemental Executive Retirement Plan (the “SERP”), covering its CEO, Richard L. Gelfond. Under the terms of his employment agreement, as amended, the total benefit payable to Mr. Gelfond under the SERP is fixed at $20.3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projected benefit obligation under the SERP was $17.7 million (December 31, 2025 — $17.5 million). For the three months ended March 31, 2026, the Company recorded interest costs of $0.2 million (2025 — $0.2 million) related to the SERP. The Company expects to recognize additional interest costs of $0.5 million related to the SERP during the remainder of 2026. No contributions are expected to be made to the SERP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Postretirement Benefits – Executives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postretirement plan for Mr. Gelfond and Bradley J. Wechsler, former Chairman of the Company’s Board of Directors (the “Executive Postretirement Benefit Plan”).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postretirement benefits obligation under this plan is $0.5 million (December 31, 2025 — $0.5 million). For the three months ended March 31, 2026, the Company has recorded an expense of less than $0.1 million (2025 — less than $0.1 million) related to this plan.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Postretirement Benefits – Canadian Employees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postretirement plan for its Canadian employees meeting specific eligibility requirements. The Company will provide eligible participants, upon retirement, with health and welfare benefits. As of March 31, 2026, the Company’s postretirement benefits obligation under this plan is $0.9 million (December 31, 2025 — $1.0 million). For the three months ended March 31, 2026, the Company has recorded expense of less than $0.1 million (2025 — less than $0.1 million) related to this plan.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Deferred Compensation Benefit Plan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benefit obligation related to the Retirement Plan was $4.5 million (December 31, 2025 — $4.4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Retirement Plan is funded by an investment in company-owned life insurance (“COLI”), which is recorded at its fair value on the Company’s Condensed Consolidated Balance Sheets within Prepaid Expenses. As of March 31, 2026, fair value of the COLI asset was $3.8 million (December 31, 2025 — $3.8 million). Gains and losses resulting from changes in the cash surrender value of the COLI asset are recognized in the Condensed Consolidated Statements of Operations within Realized and Unrealized Investment Gains.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Financial Instruments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cash is invested with various major financial institutions. The Company’s $146.0 million balance of cash and cash equivalents as of March 31, 2026 (December 31, 2025 — $151.2 million) included $139.5 million in cash held outside of Canada (December 31, 2025 — $137.4 million), of which $101.0 million was held in the PRC (December 31, 2025 — $97.2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consisted of the following:</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117"/>
        <w:gridCol w:w="981"/>
        <w:gridCol w:w="984"/>
        <w:gridCol w:w="284"/>
        <w:gridCol w:w="974"/>
        <w:gridCol w:w="146"/>
        <w:gridCol w:w="109"/>
        <w:gridCol w:w="109"/>
        <w:gridCol w:w="109"/>
        <w:gridCol w:w="332"/>
        <w:gridCol w:w="1138"/>
        <w:gridCol w:w="171"/>
        <w:gridCol w:w="109"/>
        <w:gridCol w:w="109"/>
        <w:gridCol w:w="109"/>
        <w:gridCol w:w="284"/>
        <w:gridCol w:w="974"/>
        <w:gridCol w:w="146"/>
        <w:gridCol w:w="109"/>
        <w:gridCol w:w="109"/>
        <w:gridCol w:w="109"/>
        <w:gridCol w:w="327"/>
        <w:gridCol w:w="1120"/>
        <w:gridCol w:w="246"/>
      </w:tblGrid>
      <w:tr>
        <w:trPr/>
        <w:tc>
          <w:tcPr>
            <w:tcW w:w="11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0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2</w:t>
            </w:r>
          </w:p>
        </w:tc>
        <w:tc>
          <w:tcPr>
            <w:tcW w:w="1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financed sales receivables</w:t>
            </w:r>
            <w:r>
              <w:rPr>
                <w:rFonts w:ascii="Times New Roman;serif" w:hAnsi="Times New Roman;serif"/>
                <w:b w:val="false"/>
                <w:color w:val="000000"/>
                <w:sz w:val="13"/>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bookmarkStart w:id="4" w:name="iee9f5f325abc4bf7a467f850000818ee_5-1-2-"/>
            <w:bookmarkEnd w:id="4"/>
            <w:r>
              <w:rPr>
                <w:rFonts w:ascii="Times New Roman;serif" w:hAnsi="Times New Roman;serif"/>
                <w:b w:val="false"/>
                <w:color w:val="000000"/>
                <w:sz w:val="20"/>
              </w:rPr>
              <w:t>90,124 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investment in sales-type leases</w:t>
            </w:r>
            <w:r>
              <w:rPr>
                <w:rFonts w:ascii="Times New Roman;serif" w:hAnsi="Times New Roman;serif"/>
                <w:b w:val="false"/>
                <w:color w:val="000000"/>
                <w:sz w:val="13"/>
              </w:rPr>
              <w:t>(1)</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2026 Convertible notes</w:t>
            </w:r>
            <w:r>
              <w:rPr>
                <w:rFonts w:ascii="Times New Roman;serif" w:hAnsi="Times New Roman;serif"/>
                <w:b w:val="false"/>
                <w:color w:val="000000"/>
                <w:sz w:val="13"/>
              </w:rPr>
              <w:t>(2)</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2030 Convertible notes</w:t>
            </w:r>
            <w:r>
              <w:rPr>
                <w:rFonts w:ascii="Times New Roman;serif" w:hAnsi="Times New Roman;serif"/>
                <w:b w:val="false"/>
                <w:color w:val="000000"/>
                <w:sz w:val="13"/>
              </w:rPr>
              <w:t>(2)</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(276,368)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(278,708)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 descr=""/>
                          <pic:cNvPicPr>
                            <a:picLocks noChangeAspect="1" noChangeArrowheads="1"/>
                          </pic:cNvPicPr>
                        </pic:nvPicPr>
                        <pic:blipFill>
                          <a:blip r:embed="rId6"/>
                          <a:stretch>
                            <a:fillRect/>
                          </a:stretch>
                        </pic:blipFill>
                        <pic:spPr bwMode="auto">
                          <a:xfrm>
                            <a:off x="0" y="0"/>
                            <a:ext cx="914400" cy="14605"/>
                          </a:xfrm>
                          <a:prstGeom prst="rect">
                            <a:avLst/>
                          </a:prstGeom>
                        </pic:spPr>
                      </pic:pic>
                    </a:graphicData>
                  </a:graphic>
                </wp:inline>
              </w:drawing>
            </w:r>
            <w:bookmarkStart w:id="5" w:name="i-5"/>
            <w:bookmarkEnd w:id="5"/>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(1)Fair value is estimated based on discounting future cash flows at currently available interest rates with comparable terms. </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(2)Fair value is determined using quoted market prices that are observable in the market or that could be derived from observable market data.</w:t>
            </w:r>
          </w:p>
          <w:p>
            <w:pPr>
              <w:pStyle w:val="TableContents"/>
              <w:bidi w:val="0"/>
              <w:spacing w:before="0" w:after="0"/>
              <w:jc w:val="both"/>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Foreign Exchange Risk Management</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 from changes in foreign currency rates.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 majority of the Company’s revenues are denominated in U.S. Dollars while a significant portion of its costs and expenses are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91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March 31, 2026 (the “Foreign Currency Hedges”), with settlement dates throughout 2026 and 2027.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Condensed Consolidated Statements of Operations when the forecasted transaction occurs. Any ineffective portion is recognized immediately in the Condensed Consolidated Statements of Operations.</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tabular disclosures reflect the impact that derivative instruments and hedging activities have on the Company’s Condensed Consolidated Financial Statements: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Notional value of derivatives in foreign exchange contracts:</w:t>
      </w:r>
    </w:p>
    <w:p>
      <w:pPr>
        <w:pStyle w:val="TextBody"/>
        <w:bidi w:val="0"/>
        <w:spacing w:before="0" w:after="0"/>
        <w:jc w:val="both"/>
        <w:rPr/>
      </w:pPr>
      <w:r>
        <w:rPr/>
      </w:r>
    </w:p>
    <w:tbl>
      <w:tblPr>
        <w:tblW w:w="6467" w:type="dxa"/>
        <w:jc w:val="left"/>
        <w:tblInd w:w="0" w:type="dxa"/>
        <w:tblLayout w:type="fixed"/>
        <w:tblCellMar>
          <w:top w:w="28" w:type="dxa"/>
          <w:left w:w="28" w:type="dxa"/>
          <w:bottom w:w="28" w:type="dxa"/>
          <w:right w:w="28" w:type="dxa"/>
        </w:tblCellMar>
      </w:tblPr>
      <w:tblGrid>
        <w:gridCol w:w="1433"/>
        <w:gridCol w:w="1262"/>
        <w:gridCol w:w="1265"/>
        <w:gridCol w:w="211"/>
        <w:gridCol w:w="721"/>
        <w:gridCol w:w="109"/>
        <w:gridCol w:w="109"/>
        <w:gridCol w:w="109"/>
        <w:gridCol w:w="109"/>
        <w:gridCol w:w="221"/>
        <w:gridCol w:w="757"/>
        <w:gridCol w:w="161"/>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derivatives in foreign exchange contracts:</w:t>
      </w:r>
    </w:p>
    <w:p>
      <w:pPr>
        <w:pStyle w:val="TextBody"/>
        <w:bidi w:val="0"/>
        <w:spacing w:before="0" w:after="0"/>
        <w:ind w:left="0" w:right="0" w:firstLine="216"/>
        <w:jc w:val="both"/>
        <w:rPr/>
      </w:pPr>
      <w:r>
        <w:rPr/>
      </w:r>
    </w:p>
    <w:tbl>
      <w:tblPr>
        <w:tblW w:w="9023" w:type="dxa"/>
        <w:jc w:val="left"/>
        <w:tblInd w:w="0" w:type="dxa"/>
        <w:tblLayout w:type="fixed"/>
        <w:tblCellMar>
          <w:top w:w="28" w:type="dxa"/>
          <w:left w:w="28" w:type="dxa"/>
          <w:bottom w:w="28" w:type="dxa"/>
          <w:right w:w="28" w:type="dxa"/>
        </w:tblCellMar>
      </w:tblPr>
      <w:tblGrid>
        <w:gridCol w:w="1433"/>
        <w:gridCol w:w="1262"/>
        <w:gridCol w:w="1265"/>
        <w:gridCol w:w="804"/>
        <w:gridCol w:w="804"/>
        <w:gridCol w:w="807"/>
        <w:gridCol w:w="109"/>
        <w:gridCol w:w="109"/>
        <w:gridCol w:w="109"/>
        <w:gridCol w:w="229"/>
        <w:gridCol w:w="507"/>
        <w:gridCol w:w="118"/>
        <w:gridCol w:w="109"/>
        <w:gridCol w:w="109"/>
        <w:gridCol w:w="109"/>
        <w:gridCol w:w="289"/>
        <w:gridCol w:w="639"/>
        <w:gridCol w:w="212"/>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4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Derivatives in foreign currency hedging relationships are as follows:</w:t>
      </w:r>
    </w:p>
    <w:p>
      <w:pPr>
        <w:pStyle w:val="TextBody"/>
        <w:bidi w:val="0"/>
        <w:spacing w:before="0" w:after="0"/>
        <w:ind w:left="0" w:right="0" w:firstLine="216"/>
        <w:jc w:val="both"/>
        <w:rPr/>
      </w:pPr>
      <w:r>
        <w:rPr/>
      </w:r>
    </w:p>
    <w:tbl>
      <w:tblPr>
        <w:tblW w:w="8889" w:type="dxa"/>
        <w:jc w:val="left"/>
        <w:tblInd w:w="0" w:type="dxa"/>
        <w:tblLayout w:type="fixed"/>
        <w:tblCellMar>
          <w:top w:w="28" w:type="dxa"/>
          <w:left w:w="28" w:type="dxa"/>
          <w:bottom w:w="28" w:type="dxa"/>
          <w:right w:w="28" w:type="dxa"/>
        </w:tblCellMar>
      </w:tblPr>
      <w:tblGrid>
        <w:gridCol w:w="1221"/>
        <w:gridCol w:w="1075"/>
        <w:gridCol w:w="1078"/>
        <w:gridCol w:w="994"/>
        <w:gridCol w:w="994"/>
        <w:gridCol w:w="997"/>
        <w:gridCol w:w="211"/>
        <w:gridCol w:w="541"/>
        <w:gridCol w:w="109"/>
        <w:gridCol w:w="109"/>
        <w:gridCol w:w="109"/>
        <w:gridCol w:w="109"/>
        <w:gridCol w:w="211"/>
        <w:gridCol w:w="541"/>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Loss Recognized in OCI</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Portion)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9" w:type="dxa"/>
        <w:jc w:val="left"/>
        <w:tblInd w:w="0" w:type="dxa"/>
        <w:tblLayout w:type="fixed"/>
        <w:tblCellMar>
          <w:top w:w="28" w:type="dxa"/>
          <w:left w:w="28" w:type="dxa"/>
          <w:bottom w:w="28" w:type="dxa"/>
          <w:right w:w="28" w:type="dxa"/>
        </w:tblCellMar>
      </w:tblPr>
      <w:tblGrid>
        <w:gridCol w:w="1221"/>
        <w:gridCol w:w="1075"/>
        <w:gridCol w:w="1078"/>
        <w:gridCol w:w="879"/>
        <w:gridCol w:w="879"/>
        <w:gridCol w:w="882"/>
        <w:gridCol w:w="211"/>
        <w:gridCol w:w="466"/>
        <w:gridCol w:w="109"/>
        <w:gridCol w:w="109"/>
        <w:gridCol w:w="109"/>
        <w:gridCol w:w="109"/>
        <w:gridCol w:w="211"/>
        <w:gridCol w:w="691"/>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Location of Derivative Gain (Loss)</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Reclassified from AOCI</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(Effective Portion)</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6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estimated net amount of the existing gain as of March 31, 2026 is less than $0.1 million, which is expected to be reclassified to the Condensed Consolidated Statements of Operations within the next twelve months.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16. Non-Controlling Interests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IMAX China Non-Controlling Interest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indirectly owned 71.57% of the outstanding equity interests in IMAX China, whose shares trade on the Hong Kong Stock Exchange (December 31, 2025 — 71.57%). IMAX China remains a consolidated subsidiary of the Company. As of March 31, 2026, the balance of the Company’s non-controlling interest in IMAX China was $92.2 million (December 31, 2025 — $89.2 million). For the three months ended March 31, 2026, the net income attributable to the non-controlling interest in IMAX China was $1.8 million (2025 — $5.8 million).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17. Restructuring and Other Charges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the three months ended March 31, 2026, the Company incurred $nil (2025 — $0.1 million) in Restructuring and other charges in the Condensed Consolidated Statements of Operations. In 2025, the charges were related to the assessment of the corporate structure and the resulting internal asset sale.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liability was $0.6 million (December 31, 2025 — $1.4 million) on the Consolidated Balance Sheets within Accrued and other liabilities related to Restructuring and other charges.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 xml:space="preserve">Presented below is Management’s Discussion and Analysis of Financial Condition and Results of Operations (“MD&amp;A”) for IMAX Corporation (together with its consolidated subsidiaries, unless the context requires otherwise, “IMAX” or the “Company”) for the three months ended March 31, 2026 and 2025. This MD&amp;A should be read in conjunction with the accompanying Condensed Consolidated Financial Statements in Item 1 as well as the Company’s audited consolidated financial statements and related notes and the discussion under the heading “Management’s Discussion and Analysis of Financial Condition and Results of Operations” for the fiscal year ended December 31, 2025 included in the Company’s 2025 Annual Report on Form 10-K (the “2025 Form 10-K”).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indirectly owned 71.57% of the outstanding equity interest in IMAX China Holding, Inc. (“IMAX China”), whose shares trade on the Hong Kong Stock Exchange. IMAX China is a consolidated subsidiary of the Company. For the three months ended March 31, 2026, net income attributable to IMAX China was $6.4 million, of which $4.6 million was attributable to the shareholders of the Company (2025 — $20.4 million and $14.6 million, respectively).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SPECIAL NOTE REGARDING FORWARD-LOOKING INFORMATION</w:t>
      </w:r>
    </w:p>
    <w:p>
      <w:pPr>
        <w:pStyle w:val="TextBody"/>
        <w:bidi w:val="0"/>
        <w:spacing w:before="0" w:after="0"/>
        <w:ind w:left="0" w:right="0" w:firstLine="216"/>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included in this quarterly report may constitute “forward-looking statements” within the meaning of the U.S. Private Securities Litigation Reform Act of 1995 or “forward-looking information” within the meaning of Canadian securities laws. Words such as “anticipate,” “assume,” “believe,” “continue,” “could,” “drive,” “estimate,” “expect,” “forecast,” “future,” “improve,” “likely,” “may,” “plan,” “potential,” “project,” “projection,” “prospect,” “remain,” “runway,” “scheduled,” “seek,” “strategy,” “subject to,” “target,” “upcoming,” “will,” or the negative thereof, and similar expressions identify forward-looking statement and information. These forward-looking statements and information include, but are not limited to, statements regarding the Company’s business and technology strategies and measures to implement such strategies, including with respect to its brand extensions and re-positionings and new business initiatives; the Company’s competitive strengths, goals, market opportunity and penetration, including opportunities in and expected growth from international markets, momentum and runway for expansion and growth of business, networks, operations and technology; future cash flow and revenue realization; capital allocation, including the amount and nature of future capital expenditures and the sufficiency of capital and liquidity to fund the Company’s anticipated operating needs; the Company’s capital structure, including the incurrence and repayment of debt and the impact of its restrictive debt covenants on operating and financial flexibility; anticipated contributions to pension and postretirement benefit plans; the Company’s technological capabilities and the differentiation thereof, including with respect to artificial intelligence (“AI”); the Company’s ability to enhance its brand equity and brand awareness and the benefits thereof; industry prospects and developments and shifts in consumer behavior; the Company’s upcoming film slate and content pipeline, including the timing and performance thereof; and plans and references to the future success of the Company and expectations regarding its future operating, financial and technological results.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industry conditions affecting both the Company and its partners; the ability of the Company’s exhibitor customers to fulfill their contractual payment obligations; risks related to the Company’s ability to attract and retain its employee population or the loss of the Company’s key personnel; the performance of IMAX remastered films and other films released to the IMAX network; conditions, changes and developments in the commercial exhibition industry; the Company’s ability to enter into new IMAX theater system agreements and sales and lease agreements and the effects thereof ; fluctuations in operating results and cash flow ;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with respect to AI products and AI-generated content; the potential impacts of consolidation among commercial exhibitors and studios; success of brand extensions and new business initiatives; conditions and competition in the in-home (including streaming) and out-of-home entertainment industries; the Company’s ability to identify and pursue new business opportunities (or lack thereof); cybersecurity and data privacy incidents; the Company’s ability to protect its intellectual property and to avoid infringing, misappropriating, or violating the intellectual property rights of others; effects of environmental laws and regulations, including with respect to climate 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and the resulting disruptions to the Company’s operations or supply chain; the Company’s ability to convert system backlog into revenue and cash flows; accuracy of assumptions underlying goodwill impairment assessment and fair value measurements;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IMAX</w:t>
            </w:r>
            <w:r>
              <w:rPr>
                <w:rFonts w:ascii="Times New Roman;serif" w:hAnsi="Times New Roman;serif"/>
                <w:b w:val="false"/>
                <w:color w:val="000000"/>
                <w:sz w:val="13"/>
              </w:rPr>
              <w:t>®</w:t>
            </w:r>
            <w:r>
              <w:rPr>
                <w:rFonts w:ascii="Times New Roman;serif" w:hAnsi="Times New Roman;serif"/>
                <w:b w:val="false"/>
                <w:color w:val="000000"/>
                <w:sz w:val="20"/>
              </w:rPr>
              <w:t>, IMAX</w:t>
            </w:r>
            <w:r>
              <w:rPr>
                <w:rFonts w:ascii="Times New Roman;serif" w:hAnsi="Times New Roman;serif"/>
                <w:b w:val="false"/>
                <w:color w:val="000000"/>
                <w:sz w:val="13"/>
              </w:rPr>
              <w:t xml:space="preserve">® </w:t>
            </w:r>
            <w:r>
              <w:rPr>
                <w:rFonts w:ascii="Times New Roman;serif" w:hAnsi="Times New Roman;serif"/>
                <w:b w:val="false"/>
                <w:color w:val="000000"/>
                <w:sz w:val="20"/>
              </w:rPr>
              <w:t>3D, Experience It In IMAX</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13"/>
              </w:rPr>
              <w:t>®</w:t>
            </w:r>
            <w:r>
              <w:rPr>
                <w:rFonts w:ascii="Times New Roman;serif" w:hAnsi="Times New Roman;serif"/>
                <w:b w:val="false"/>
                <w:color w:val="000000"/>
                <w:sz w:val="20"/>
              </w:rPr>
              <w:t>, DMR</w:t>
            </w:r>
            <w:r>
              <w:rPr>
                <w:rFonts w:ascii="Times New Roman;serif" w:hAnsi="Times New Roman;serif"/>
                <w:b w:val="false"/>
                <w:color w:val="000000"/>
                <w:sz w:val="13"/>
              </w:rPr>
              <w:t>®</w:t>
            </w:r>
            <w:r>
              <w:rPr>
                <w:rFonts w:ascii="Times New Roman;serif" w:hAnsi="Times New Roman;serif"/>
                <w:b w:val="false"/>
                <w:color w:val="000000"/>
                <w:sz w:val="20"/>
              </w:rPr>
              <w:t>, Filmed For IMAX</w:t>
            </w:r>
            <w:r>
              <w:rPr>
                <w:rFonts w:ascii="Times New Roman;serif" w:hAnsi="Times New Roman;serif"/>
                <w:b w:val="false"/>
                <w:color w:val="000000"/>
                <w:sz w:val="13"/>
              </w:rPr>
              <w:t>®</w:t>
            </w:r>
            <w:r>
              <w:rPr>
                <w:rFonts w:ascii="Times New Roman;serif" w:hAnsi="Times New Roman;serif"/>
                <w:b w:val="false"/>
                <w:color w:val="000000"/>
                <w:sz w:val="20"/>
              </w:rPr>
              <w:t>, IMAX Live</w:t>
            </w:r>
            <w:r>
              <w:rPr>
                <w:rFonts w:ascii="Times New Roman;serif" w:hAnsi="Times New Roman;serif"/>
                <w:b w:val="false"/>
                <w:color w:val="000000"/>
                <w:sz w:val="13"/>
              </w:rPr>
              <w:t>®</w:t>
            </w:r>
            <w:r>
              <w:rPr>
                <w:rFonts w:ascii="Times New Roman;serif" w:hAnsi="Times New Roman;serif"/>
                <w:b w:val="false"/>
                <w:color w:val="000000"/>
                <w:sz w:val="20"/>
              </w:rPr>
              <w:t>, and IMAX Enhanced</w:t>
            </w:r>
            <w:r>
              <w:rPr>
                <w:rFonts w:ascii="Times New Roman;serif" w:hAnsi="Times New Roman;serif"/>
                <w:b w:val="false"/>
                <w:color w:val="000000"/>
                <w:sz w:val="13"/>
              </w:rPr>
              <w:t xml:space="preserve">® </w:t>
            </w:r>
            <w:r>
              <w:rPr>
                <w:rFonts w:ascii="Times New Roman;serif" w:hAnsi="Times New Roman;serif"/>
                <w:b w:val="false"/>
                <w:color w:val="000000"/>
                <w:sz w:val="20"/>
              </w:rPr>
              <w:t>are trademarks and trade names of the Company or its subsidiaries that are registered or otherwise protected under laws of various jurisdictions.</w:t>
            </w:r>
          </w:p>
        </w:tc>
      </w:tr>
    </w:tbl>
    <w:p>
      <w:pPr>
        <w:pStyle w:val="TextBody"/>
        <w:bidi w:val="0"/>
        <w:spacing w:before="0" w:after="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website at www.imax.com or by calling the Company’s Investor Relations Department at 212-821-0154.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filing, except where expressly indicated. All references to the Company’s website are intended to be inactive textual references only.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 is globally renowned. Top filmmakers, movie studios, artists, and creators utilize the cutting-edge visual and sound technology of IMAX to connect with audiences in innovative ways.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has the largest global premium format network, more than double the size of its nearest competitor. As of March 31, 2026, there were 1,865 IMAX Systems operating in locations in 91 countries and territories, including 1,798 commercial multiplexes, 10 commercial destinations, and 57 institutional locations in the Company’s global network. This compares to 1,810 IMAX Systems operating in locations in 89 countries and territories as of March 31, 2025, including 1,738 commercial multiplexes, 11 commercial destinations, and 61 institutional locations in the Company’s global network. Refer to the table under “IMAX Network and Backlog” for additional information on the composition of the IMAX network.</w:t>
      </w:r>
    </w:p>
    <w:p>
      <w:pPr>
        <w:pStyle w:val="TextBody"/>
        <w:bidi w:val="0"/>
        <w:spacing w:before="0" w:after="0"/>
        <w:ind w:left="0" w:right="0" w:firstLine="216"/>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IMAX Systems provide the Company’s exhibitor customers with a combination of the following benefits: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the ability to exhibit content that has been enhanced through the IMAX Film Remastering process, which results in higher image and sound fidelity than conventional cinema experiences;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advanced, high-resolution projectors with specialized equipment and automated theater control systems, which generate significantly more contrast and brightness than conventional theater systems;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large screens and proprietary auditorium geometry, which result in a substantially larger field of view than conventional theater systems so that the screen extends to the edge of a viewer’s peripheral vision and creates more realistic images;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advanced sound system components, which deliver more expansive sound imagery than conventional theater systems and pinpointed origination of sound to any specific spot in an auditorium equipped with an IMAX System;</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specialized theater acoustics, which result in a four-fold reduction in background noise compared to conventional cinema experiences;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ongoing maintenance and extended warranty services to ensure a consistent image and sound quality presentation across the IMAX global network; and</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 license to the globally recognized IMAX brand, as well as benefits from IMAX marketing of films being shown in its network and IMAX’s growing social media followership.</w:t>
      </w:r>
    </w:p>
    <w:p>
      <w:pPr>
        <w:pStyle w:val="TextBody"/>
        <w:bidi w:val="0"/>
        <w:spacing w:lineRule="auto" w:line="288" w:before="0" w:after="0"/>
        <w:ind w:left="0" w:right="0" w:hanging="72"/>
        <w:jc w:val="both"/>
        <w:rPr>
          <w:color w:val="000000"/>
        </w:rPr>
      </w:pPr>
      <w:r>
        <w:rPr>
          <w:color w:val="000000"/>
        </w:rPr>
        <w:t>    </w:t>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 For additional discussion, see section titled “IMAX Film Remastering and Distribution” below.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As a result of the engineering and scientific achievements that are a hallmark of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13"/>
        </w:rPr>
        <w:t>®</w:t>
      </w:r>
      <w:r>
        <w:rPr>
          <w:rFonts w:ascii="Times New Roman;serif" w:hAnsi="Times New Roman;serif"/>
          <w:b w:val="false"/>
          <w:color w:val="000000"/>
          <w:sz w:val="20"/>
        </w:rPr>
        <w:t xml:space="preserve">, the Company’s exhibitor customers typically charge a premium for films released in IMAX’s format versus films exhibited in their other auditoriums. The premium pricing, combined with the higher attendance levels associated with IMAX films, generates incremental box office receipts (“global box office”) for the Company’s exhibitor customers and for the movie studios releasing their films to the IMAX network. IMAX has become a key premium distribution and marketing platform for Hollywood and local language films driven by IMAX’s leading global network footprint and scale, the incremental global box office generated by IMAX films and the growing demand by moviegoers for the differentiated quality of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20"/>
        </w:rPr>
        <w:t>.</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pPr>
      <w:r>
        <w:rPr>
          <w:rFonts w:ascii="Times New Roman;serif" w:hAnsi="Times New Roman;serif"/>
          <w:b w:val="false"/>
          <w:color w:val="000000"/>
          <w:sz w:val="20"/>
          <w:shd w:fill="FFFFFF" w:val="clear"/>
        </w:rPr>
        <w:t xml:space="preserve">The Company achieved global box office of </w:t>
      </w:r>
      <w:r>
        <w:rPr>
          <w:rFonts w:ascii="Times New Roman;serif" w:hAnsi="Times New Roman;serif"/>
          <w:b w:val="false"/>
          <w:color w:val="000000"/>
          <w:sz w:val="20"/>
        </w:rPr>
        <w:t>$260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first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The Company’s first quarter global box office was derived from 34 pieces of content distributed across its global network. The first quarter was highlighted by the performance of the carry-over of </w:t>
      </w:r>
      <w:r>
        <w:rPr>
          <w:rFonts w:ascii="Times New Roman;serif" w:hAnsi="Times New Roman;serif"/>
          <w:b w:val="false"/>
          <w:i/>
          <w:color w:val="000000"/>
          <w:sz w:val="20"/>
        </w:rPr>
        <w:t xml:space="preserve">Avatar: Fire and Ash </w:t>
      </w:r>
      <w:r>
        <w:rPr>
          <w:rFonts w:ascii="Times New Roman;serif" w:hAnsi="Times New Roman;serif"/>
          <w:b w:val="false"/>
          <w:color w:val="000000"/>
          <w:sz w:val="20"/>
        </w:rPr>
        <w:t>that drove record January global box office and the March release of the Filmed For IMAX</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title </w:t>
      </w:r>
      <w:r>
        <w:rPr>
          <w:rFonts w:ascii="Times New Roman;serif" w:hAnsi="Times New Roman;serif"/>
          <w:b w:val="false"/>
          <w:i/>
          <w:color w:val="000000"/>
          <w:sz w:val="20"/>
        </w:rPr>
        <w:t>Project Hail Mary</w:t>
      </w:r>
      <w:r>
        <w:rPr>
          <w:rFonts w:ascii="Times New Roman;serif" w:hAnsi="Times New Roman;serif"/>
          <w:b w:val="false"/>
          <w:color w:val="000000"/>
          <w:sz w:val="20"/>
        </w:rPr>
        <w:t xml:space="preserve">, in which IMAX captured 20% of the opening weekend global box office, despite IMAX representing less than 1% of screens worldwide. The Company continues to expand its local language strategy with 17 releases across 9 countries, including a first in Taiwan, with total first quarter local language box office of $62 million (or 24% of global box office), led by Chinese film, </w:t>
      </w:r>
      <w:r>
        <w:rPr>
          <w:rFonts w:ascii="Times New Roman;serif" w:hAnsi="Times New Roman;serif"/>
          <w:b w:val="false"/>
          <w:i/>
          <w:color w:val="000000"/>
          <w:sz w:val="20"/>
        </w:rPr>
        <w:t xml:space="preserve">Pegasus 3. </w:t>
      </w:r>
      <w:r>
        <w:rPr>
          <w:rFonts w:ascii="Times New Roman;serif" w:hAnsi="Times New Roman;serif"/>
          <w:b w:val="false"/>
          <w:color w:val="000000"/>
          <w:sz w:val="20"/>
        </w:rPr>
        <w:t>Despite increasing competition for consumer attention across both out</w:t>
        <w:noBreakHyphen/>
        <w:t>of</w:t>
        <w:noBreakHyphen/>
        <w:t>home and in</w:t>
        <w:noBreakHyphen/>
        <w:t xml:space="preserve">home entertainment, demand for </w:t>
      </w:r>
      <w:r>
        <w:rPr>
          <w:rFonts w:ascii="Times New Roman;serif" w:hAnsi="Times New Roman;serif"/>
          <w:b w:val="false"/>
          <w:i/>
          <w:color w:val="000000"/>
          <w:sz w:val="20"/>
        </w:rPr>
        <w:t xml:space="preserve">The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continues to strengthen among theatergoers. During the first quarter of 2026, the Company’s trailing twelve month domestic box office market share was 5.4% and global market share was 3.8%. See “Results of Operations” below for a discussion of the Company’s first quarter 2026 results as compared to the prior year period.</w:t>
      </w:r>
    </w:p>
    <w:p>
      <w:pPr>
        <w:pStyle w:val="TextBody"/>
        <w:bidi w:val="0"/>
        <w:spacing w:before="0" w:after="0"/>
        <w:ind w:left="0" w:right="0" w:firstLine="216"/>
        <w:jc w:val="both"/>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announced on March 30, 2026, Richard Gelfond, the Company’s Chief Executive Officer, is on a temporary medical leave of absence. On April 16, 2026, the Company appointed Robert D. Lister, its Chief Legal Officer and Senior Executive Vice President, to serve as the Company’s interim principal executive officer (“PEO”) in addition to his current duties until May 1, 2026, following which Mr. Gelfond will resume the role of PEO. Mr. Gelfond has been gradually re-engaging in the Company’s business and is involved in all strategic decisions. Until his leave is over, the Company’s management team will continue with its day-to-day responsibilities in coordination with Mr. Gelfond. (Refer to “Risk Factors—The loss of one or more of the Company’s key personnel, or its failure to attract and retain its employee population, could adversely affect its business.” in Part I, Item 1A. in the 2025 Form 10-K.)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SOURCES OF REVENUE</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Content Solutions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Content Solutions segment earns revenue from IMAX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to commercial IMAX theaters, as well as the provision of film post-production services.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Content Solutions segment results are influenced by the level of commercial success and global box office performance of the films and other content released to the IMAX network, as well as other factors, including the timing of the releases, the timing of documentary downstream sales, the length of play across the IMAX network, the global box office share take rates under the Company’s Film Remastering and distribution arrangements, the level of marketing spend associated with the releases in the year, and fluctuations in the value of foreign currencies versus the U.S. Dollar.</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Film Remastering and Distribution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IMAX Film Remastering is a proprietary technology that digitally remasters films and other content into IMAX formats for distribution across the IMAX network. In a typical IMAX Film Remastering and distribution arrangement, the Company receives a percentage of the global box office from a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 receives a lower percentage of net box office due to an incremental importation fee paid by the studios. All of the Company’s box office results in this Form 10-Q are inclusive of China booking fees to be consistent with market reporting of global box office.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IMAX Film Remastering digitally enhances the image quality and/or resolution for projection on IMAX screens while maintaining or enhancing the visual clarity and sound quality to levels for which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versus a conventional screen. In select IMAX locations worldwide, movies filmed with IMAX cameras have an IMAX-exclusive 1.43 film aspect ratio, delivering up to 67% more image onto a standard conventional movie screen.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serif" w:hAnsi="Times New Roman;serif"/>
          <w:b w:val="false"/>
          <w:i/>
          <w:color w:val="000000"/>
          <w:sz w:val="20"/>
        </w:rPr>
        <w:t xml:space="preserve">The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 The global box office metrics have demonstrated audiences respond extremely favorably to Filmed For IMAX titles, resulting in a higher market share for IMAX. In the first quarter of 2026, Filmed For IMAX titles on average indexed over 14% higher than titles with no IMAX DNA.</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Management believes that growth in global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Japan, India, South Korea, and France. As the popularity of local language films has continued to increase, the Company has extended its content strategy to distribute local language content beyond native markets. For the three months ended March 31, 2026, local language films exhibited across the Company’s global network generated $62 million in box office, representing 24% of the Company’s global box office.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number of new films and other content released to the Company’s global network during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247"/>
        <w:gridCol w:w="1974"/>
        <w:gridCol w:w="1983"/>
        <w:gridCol w:w="392"/>
        <w:gridCol w:w="392"/>
        <w:gridCol w:w="389"/>
        <w:gridCol w:w="389"/>
        <w:gridCol w:w="389"/>
        <w:gridCol w:w="389"/>
        <w:gridCol w:w="392"/>
        <w:gridCol w:w="392"/>
        <w:gridCol w:w="389"/>
        <w:gridCol w:w="109"/>
        <w:gridCol w:w="109"/>
        <w:gridCol w:w="109"/>
        <w:gridCol w:w="161"/>
      </w:tblGrid>
      <w:tr>
        <w:trPr/>
        <w:tc>
          <w:tcPr>
            <w:tcW w:w="224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Hollywood film releases</w:t>
            </w:r>
            <w:r>
              <w:rPr>
                <w:rFonts w:ascii="Times New Roman;serif" w:hAnsi="Times New Roman;serif"/>
                <w:b w:val="false"/>
                <w:color w:val="000000"/>
                <w:sz w:val="13"/>
              </w:rPr>
              <w:t>(1)</w:t>
            </w:r>
          </w:p>
        </w:tc>
        <w:tc>
          <w:tcPr>
            <w:tcW w:w="1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Local language film releases:</w:t>
            </w:r>
          </w:p>
        </w:tc>
        <w:tc>
          <w:tcPr>
            <w:tcW w:w="11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local language film releases</w:t>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experiences</w:t>
            </w:r>
          </w:p>
        </w:tc>
        <w:tc>
          <w:tcPr>
            <w:tcW w:w="1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7"/>
                          <a:stretch>
                            <a:fillRect/>
                          </a:stretch>
                        </pic:blipFill>
                        <pic:spPr bwMode="auto">
                          <a:xfrm>
                            <a:off x="0" y="0"/>
                            <a:ext cx="914400" cy="14605"/>
                          </a:xfrm>
                          <a:prstGeom prst="rect">
                            <a:avLst/>
                          </a:prstGeom>
                        </pic:spPr>
                      </pic:pic>
                    </a:graphicData>
                  </a:graphic>
                </wp:inline>
              </w:drawing>
            </w:r>
            <w:bookmarkStart w:id="6" w:name="i-6"/>
            <w:bookmarkEnd w:id="6"/>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(1)For the three months ended March 31, 2026, the films released to the Company’s global network include four with IMAX DNA (2025 — two).</w:t>
            </w:r>
          </w:p>
          <w:p>
            <w:pPr>
              <w:pStyle w:val="TableContents"/>
              <w:bidi w:val="0"/>
              <w:spacing w:before="0" w:after="0"/>
              <w:jc w:val="left"/>
              <w:rPr/>
            </w:pPr>
            <w:r>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4001" w:type="dxa"/>
            <w:gridSpan w:val="1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pPr>
      <w:r>
        <w:rPr>
          <w:rFonts w:ascii="Times New Roman;serif" w:hAnsi="Times New Roman;serif"/>
          <w:b w:val="false"/>
          <w:color w:val="000000"/>
          <w:sz w:val="20"/>
        </w:rPr>
        <w:t>In addition to the 31 IMAX new films and other content experiences released on the Company’s global network during the three months ended March 31, 2026, the Company has announced the following 34</w:t>
      </w:r>
      <w:r>
        <w:rPr>
          <w:color w:val="000000"/>
          <w:shd w:fill="FFFFFF" w:val="clear"/>
        </w:rPr>
        <w:t xml:space="preserve"> </w:t>
      </w:r>
      <w:r>
        <w:rPr>
          <w:rFonts w:ascii="Times New Roman;serif" w:hAnsi="Times New Roman;serif"/>
          <w:b w:val="false"/>
          <w:color w:val="000000"/>
          <w:sz w:val="20"/>
          <w:shd w:fill="FFFFFF" w:val="clear"/>
        </w:rPr>
        <w:t>new films and</w:t>
      </w:r>
      <w:r>
        <w:rPr>
          <w:color w:val="000000"/>
        </w:rPr>
        <w:t xml:space="preserve"> </w:t>
      </w:r>
      <w:r>
        <w:rPr>
          <w:rFonts w:ascii="Times New Roman;serif" w:hAnsi="Times New Roman;serif"/>
          <w:b w:val="false"/>
          <w:color w:val="000000"/>
          <w:sz w:val="20"/>
        </w:rPr>
        <w:t>other content experiences for release in the remainder of 2026:</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487"/>
        <w:gridCol w:w="1275"/>
        <w:gridCol w:w="1294"/>
        <w:gridCol w:w="126"/>
        <w:gridCol w:w="126"/>
        <w:gridCol w:w="126"/>
        <w:gridCol w:w="633"/>
        <w:gridCol w:w="627"/>
        <w:gridCol w:w="638"/>
        <w:gridCol w:w="126"/>
        <w:gridCol w:w="126"/>
        <w:gridCol w:w="126"/>
        <w:gridCol w:w="480"/>
        <w:gridCol w:w="478"/>
        <w:gridCol w:w="480"/>
        <w:gridCol w:w="126"/>
        <w:gridCol w:w="126"/>
        <w:gridCol w:w="126"/>
        <w:gridCol w:w="490"/>
        <w:gridCol w:w="487"/>
        <w:gridCol w:w="702"/>
      </w:tblGrid>
      <w:tr>
        <w:trPr/>
        <w:tc>
          <w:tcPr>
            <w:tcW w:w="148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Scheduled</w:t>
            </w:r>
          </w:p>
          <w:p>
            <w:pPr>
              <w:pStyle w:val="TableContents"/>
              <w:bidi w:val="0"/>
              <w:spacing w:lineRule="auto" w:line="288" w:before="0" w:after="0"/>
              <w:jc w:val="center"/>
              <w:rPr/>
            </w:pPr>
            <w:r>
              <w:rPr>
                <w:rFonts w:ascii="Times New Roman;serif" w:hAnsi="Times New Roman;serif"/>
                <w:b/>
                <w:color w:val="000000"/>
                <w:sz w:val="16"/>
              </w:rPr>
              <w:t>Release Date</w:t>
            </w:r>
            <w:r>
              <w:rPr>
                <w:rFonts w:ascii="Times New Roman;serif" w:hAnsi="Times New Roman;serif"/>
                <w:b/>
                <w:color w:val="000000"/>
                <w:sz w:val="10"/>
              </w:rPr>
              <w:t>(1)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IMAX DNA</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The Super Mario Galaxy Movie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Universal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Detective Conan: Fallen Angels of the Highway</w:t>
            </w:r>
            <w:r>
              <w:rPr>
                <w:rFonts w:ascii="Times New Roman;serif" w:hAnsi="Times New Roman;serif"/>
                <w:b w:val="false"/>
                <w:i/>
                <w:color w:val="000000"/>
                <w:sz w:val="12"/>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Lee Cronin’s The Mummy</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Michael</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Lionsgate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Sakamoto Days</w:t>
            </w:r>
            <w:r>
              <w:rPr>
                <w:rFonts w:ascii="Times New Roman;serif" w:hAnsi="Times New Roman;serif"/>
                <w:b w:val="false"/>
                <w:i/>
                <w:color w:val="000000"/>
                <w:sz w:val="12"/>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2DIE4</w:t>
            </w:r>
            <w:r>
              <w:rPr>
                <w:rFonts w:ascii="Times New Roman;serif" w:hAnsi="Times New Roman;serif"/>
                <w:b w:val="false"/>
                <w:i/>
                <w:color w:val="000000"/>
                <w:sz w:val="12"/>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Abdala Brothers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Whisper of the Heart 4K IMAX</w:t>
            </w:r>
            <w:r>
              <w:rPr>
                <w:rFonts w:ascii="Times New Roman;serif" w:hAnsi="Times New Roman;serif"/>
                <w:b w:val="false"/>
                <w:i/>
                <w:color w:val="000000"/>
                <w:sz w:val="12"/>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Studio Ghibli</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Cold War 1994</w:t>
            </w:r>
            <w:r>
              <w:rPr>
                <w:rFonts w:ascii="Times New Roman;serif" w:hAnsi="Times New Roman;serif"/>
                <w:b w:val="false"/>
                <w:i/>
                <w:color w:val="000000"/>
                <w:sz w:val="12"/>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Ruyi Film</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IMAX:Miami Race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Mortal Kombat II</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Top Gun 40</w:t>
            </w:r>
            <w:r>
              <w:rPr>
                <w:rFonts w:ascii="Times New Roman;serif" w:hAnsi="Times New Roman;serif"/>
                <w:b w:val="false"/>
                <w:i/>
                <w:color w:val="000000"/>
                <w:sz w:val="12"/>
              </w:rPr>
              <w:t>th</w:t>
            </w:r>
            <w:r>
              <w:rPr>
                <w:color w:val="000000"/>
              </w:rPr>
              <w:t xml:space="preserve"> </w:t>
            </w:r>
            <w:r>
              <w:rPr>
                <w:rFonts w:ascii="Times New Roman;serif" w:hAnsi="Times New Roman;serif"/>
                <w:b w:val="false"/>
                <w:i/>
                <w:color w:val="000000"/>
                <w:sz w:val="18"/>
              </w:rPr>
              <w:t>Anniversary</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Paramount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The Secret World of Arrietty 4K IMAX</w:t>
            </w:r>
            <w:r>
              <w:rPr>
                <w:rFonts w:ascii="Times New Roman;serif" w:hAnsi="Times New Roman;serif"/>
                <w:b w:val="false"/>
                <w:i/>
                <w:color w:val="000000"/>
                <w:sz w:val="12"/>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Studio Ghibli</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Mandalorian and Grogu</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Studios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IMAX:Monaco Race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Disclosure Day</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Universal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Toy Story 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Studios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Supergirl</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Minions &amp; Monsters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Universal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IMAX:Silverstone Race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Moana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The Odyssey</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Universal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End of Oak Street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Dog Stars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IMAX:Monza Race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Resident Evil</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Sony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Digger</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October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Street Fighter</w:t>
            </w:r>
            <w:r>
              <w:rPr>
                <w:rFonts w:ascii="Times New Roman;serif" w:hAnsi="Times New Roman;serif"/>
                <w:b w:val="false"/>
                <w:i/>
                <w:color w:val="000000"/>
                <w:sz w:val="12"/>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Paramount Pictures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IMAX:Austin Race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Godzilla Minus Zero</w:t>
            </w:r>
            <w:r>
              <w:rPr>
                <w:rFonts w:ascii="Times New Roman;serif" w:hAnsi="Times New Roman;serif"/>
                <w:b w:val="false"/>
                <w:i/>
                <w:color w:val="000000"/>
                <w:sz w:val="12"/>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Great Beyond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Hunger Games: Sunrise on the Reaping</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Lionsgate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Narnia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Netflix</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Avengers: Doomsday</w:t>
            </w:r>
            <w:r>
              <w:rPr>
                <w:rFonts w:ascii="Times New Roman;serif" w:hAnsi="Times New Roman;serif"/>
                <w:b w:val="false"/>
                <w:i/>
                <w:color w:val="000000"/>
                <w:sz w:val="12"/>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Studios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Dune: Part Three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Ramayana</w:t>
            </w:r>
            <w:r>
              <w:rPr>
                <w:rFonts w:ascii="Times New Roman;serif" w:hAnsi="Times New Roman;serif"/>
                <w:b w:val="false"/>
                <w:i/>
                <w:color w:val="000000"/>
                <w:sz w:val="12"/>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DNEG</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0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4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7" descr=""/>
                          <pic:cNvPicPr>
                            <a:picLocks noChangeAspect="1" noChangeArrowheads="1"/>
                          </pic:cNvPicPr>
                        </pic:nvPicPr>
                        <pic:blipFill>
                          <a:blip r:embed="rId8"/>
                          <a:stretch>
                            <a:fillRect/>
                          </a:stretch>
                        </pic:blipFill>
                        <pic:spPr bwMode="auto">
                          <a:xfrm>
                            <a:off x="0" y="0"/>
                            <a:ext cx="914400" cy="14605"/>
                          </a:xfrm>
                          <a:prstGeom prst="rect">
                            <a:avLst/>
                          </a:prstGeom>
                        </pic:spPr>
                      </pic:pic>
                    </a:graphicData>
                  </a:graphic>
                </wp:inline>
              </w:drawing>
            </w:r>
            <w:bookmarkStart w:id="7" w:name="i-7"/>
            <w:bookmarkEnd w:id="7"/>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scheduled release dates in the table above are subject to change, may vary by territory, and may not reflect the date(s) of limited premiere events.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(2)Denotes local language release.</w:t>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in 2026. </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Other Content Solutions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distributes large-format documentary feature films through its global commercial network and institutional theaters. Traditionally, the Company receives as its distribution fee either a fixed amount or a fixed percentage of the theater global box office and, following the recoupment of its costs, is typically entitled to receive an additional percentage of gross revenues as participation revenues.</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IMAX network is a valuable global platform to launch and distribute original content, including documentaries. The ownership rights to such films may be held by the film sponsors, the film investors and/or the Company. As of March 31, 2026, the Company had distribution rights with respect to approximately 75 films, which cover subjects such as space, wildlife, music, sports, history, and natural wonders.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early 2026, </w:t>
      </w:r>
      <w:r>
        <w:rPr>
          <w:rFonts w:ascii="Times New Roman;serif" w:hAnsi="Times New Roman;serif"/>
          <w:b w:val="false"/>
          <w:i/>
          <w:color w:val="000000"/>
          <w:sz w:val="20"/>
        </w:rPr>
        <w:t>The Lost Wolves of Yellowstone</w:t>
      </w:r>
      <w:r>
        <w:rPr>
          <w:rFonts w:ascii="Times New Roman;serif" w:hAnsi="Times New Roman;serif"/>
          <w:b w:val="false"/>
          <w:color w:val="000000"/>
          <w:sz w:val="20"/>
        </w:rPr>
        <w:t xml:space="preserve">, in collaboration with Grizzly Creek Films LLC, and French language documentary </w:t>
      </w:r>
      <w:r>
        <w:rPr>
          <w:rFonts w:ascii="Times New Roman;serif" w:hAnsi="Times New Roman;serif"/>
          <w:b w:val="false"/>
          <w:i/>
          <w:color w:val="000000"/>
          <w:sz w:val="20"/>
        </w:rPr>
        <w:t xml:space="preserve">Athos, </w:t>
      </w:r>
      <w:r>
        <w:rPr>
          <w:rFonts w:ascii="Times New Roman;serif" w:hAnsi="Times New Roman;serif"/>
          <w:b w:val="false"/>
          <w:color w:val="000000"/>
          <w:sz w:val="20"/>
        </w:rPr>
        <w:t xml:space="preserve">produced by Federation Studio France, were released. In 2026, the Company plans to release the documentary </w:t>
      </w:r>
      <w:r>
        <w:rPr>
          <w:rFonts w:ascii="Times New Roman;serif" w:hAnsi="Times New Roman;serif"/>
          <w:b w:val="false"/>
          <w:i/>
          <w:color w:val="000000"/>
          <w:sz w:val="20"/>
        </w:rPr>
        <w:t xml:space="preserve">Portrait of an Artist </w:t>
      </w:r>
      <w:r>
        <w:rPr>
          <w:rFonts w:ascii="Times New Roman;serif" w:hAnsi="Times New Roman;serif"/>
          <w:b w:val="false"/>
          <w:color w:val="000000"/>
          <w:sz w:val="20"/>
        </w:rPr>
        <w:t>in collaboration with The National Basketball Association (“NBA”), Unanimous Media, and Religion of Sports,</w:t>
      </w:r>
      <w:r>
        <w:rPr>
          <w:color w:val="000000"/>
        </w:rPr>
        <w:t xml:space="preserve"> </w:t>
      </w:r>
      <w:r>
        <w:rPr>
          <w:rFonts w:ascii="Times New Roman;serif" w:hAnsi="Times New Roman;serif"/>
          <w:b w:val="false"/>
          <w:color w:val="000000"/>
          <w:sz w:val="20"/>
        </w:rPr>
        <w:t>offering an intimate glimpse into the life of NBA superstar Stephen Curry</w:t>
      </w:r>
      <w:r>
        <w:rPr>
          <w:rFonts w:ascii="Times New Roman;serif" w:hAnsi="Times New Roman;serif"/>
          <w:b w:val="false"/>
          <w:i/>
          <w:color w:val="000000"/>
          <w:sz w:val="20"/>
        </w:rPr>
        <w:t xml:space="preserve">. </w:t>
      </w:r>
      <w:r>
        <w:rPr>
          <w:rFonts w:ascii="Times New Roman;serif" w:hAnsi="Times New Roman;serif"/>
          <w:b w:val="false"/>
          <w:color w:val="000000"/>
          <w:sz w:val="20"/>
        </w:rPr>
        <w:t>Upcoming 2026 documentaries which are currently in production include</w:t>
      </w:r>
      <w:r>
        <w:rPr>
          <w:color w:val="000000"/>
        </w:rPr>
        <w:t xml:space="preserve"> </w:t>
      </w:r>
      <w:r>
        <w:rPr>
          <w:rFonts w:ascii="Times New Roman;serif" w:hAnsi="Times New Roman;serif"/>
          <w:b w:val="false"/>
          <w:i/>
          <w:color w:val="000000"/>
          <w:sz w:val="20"/>
        </w:rPr>
        <w:t xml:space="preserve">Stormbound, </w:t>
      </w:r>
      <w:r>
        <w:rPr>
          <w:rFonts w:ascii="Times New Roman;serif" w:hAnsi="Times New Roman;serif"/>
          <w:b w:val="false"/>
          <w:color w:val="000000"/>
          <w:sz w:val="20"/>
        </w:rPr>
        <w:t xml:space="preserve">produced by Academy Award-winning producer, Adam McKay; and </w:t>
      </w:r>
      <w:r>
        <w:rPr>
          <w:rFonts w:ascii="Times New Roman;serif" w:hAnsi="Times New Roman;serif"/>
          <w:b w:val="false"/>
          <w:i/>
          <w:color w:val="000000"/>
          <w:sz w:val="20"/>
        </w:rPr>
        <w:t xml:space="preserve">Frontier, </w:t>
      </w:r>
      <w:r>
        <w:rPr>
          <w:rFonts w:ascii="Times New Roman;serif" w:hAnsi="Times New Roman;serif"/>
          <w:b w:val="false"/>
          <w:color w:val="000000"/>
          <w:sz w:val="20"/>
        </w:rPr>
        <w:t xml:space="preserve">produced in collaboration with Nocturnal Entertainment Productions, LLC, Atlas Entertainment LL, and Believe Entertainment Group, LLC. </w:t>
      </w:r>
      <w:r>
        <w:rPr>
          <w:rFonts w:ascii="Times New Roman;serif" w:hAnsi="Times New Roman;serif"/>
          <w:b w:val="false"/>
          <w:i/>
          <w:color w:val="000000"/>
          <w:sz w:val="20"/>
        </w:rPr>
        <w:t>The Elephant Odyssey</w:t>
      </w:r>
      <w:r>
        <w:rPr>
          <w:rFonts w:ascii="Times New Roman;serif" w:hAnsi="Times New Roman;serif"/>
          <w:b w:val="false"/>
          <w:color w:val="000000"/>
          <w:sz w:val="20"/>
        </w:rPr>
        <w:t>, a documentary in collaboration with Beach House Pictures Pte Ltd and China International Communications Group, is expected to be released in 2027.</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the Company continues to evolve its platform to bring new, innovative IMAX events and experiences to audiences worldwide. As of March 31, 2026, the Company has 252 connected IMAX locations worldwide. Furthermore, the Company can use its live streaming technologies to deliver events to additional IMAX locations around the world.</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three months ended March 31, 2026, the Company partnered with Neon Rated and Universal Pictures on the release of </w:t>
      </w:r>
      <w:r>
        <w:rPr>
          <w:rFonts w:ascii="Times New Roman;serif" w:hAnsi="Times New Roman;serif"/>
          <w:b w:val="false"/>
          <w:i/>
          <w:color w:val="000000"/>
          <w:sz w:val="20"/>
        </w:rPr>
        <w:t xml:space="preserve">EPiC: Elvis Presley in Concert. </w:t>
      </w:r>
      <w:r>
        <w:rPr>
          <w:rFonts w:ascii="Times New Roman;serif" w:hAnsi="Times New Roman;serif"/>
          <w:b w:val="false"/>
          <w:color w:val="000000"/>
          <w:sz w:val="20"/>
        </w:rPr>
        <w:t>The Company also partnered with Bleecker Street and Universal Pictures</w:t>
      </w:r>
      <w:r>
        <w:rPr>
          <w:color w:val="000000"/>
        </w:rPr>
        <w:t xml:space="preserve"> </w:t>
      </w:r>
      <w:r>
        <w:rPr>
          <w:rFonts w:ascii="Times New Roman;serif" w:hAnsi="Times New Roman;serif"/>
          <w:b w:val="false"/>
          <w:color w:val="000000"/>
          <w:sz w:val="20"/>
        </w:rPr>
        <w:t xml:space="preserve">for the release of </w:t>
      </w:r>
      <w:r>
        <w:rPr>
          <w:rFonts w:ascii="Times New Roman;serif" w:hAnsi="Times New Roman;serif"/>
          <w:b w:val="false"/>
          <w:i/>
          <w:color w:val="000000"/>
          <w:sz w:val="20"/>
        </w:rPr>
        <w:t xml:space="preserve">Stray Kids: The dominATE Experience, </w:t>
      </w:r>
      <w:r>
        <w:rPr>
          <w:rFonts w:ascii="Times New Roman;serif" w:hAnsi="Times New Roman;serif"/>
          <w:b w:val="false"/>
          <w:color w:val="000000"/>
          <w:sz w:val="20"/>
        </w:rPr>
        <w:t xml:space="preserve">and with Trafalgar for release of </w:t>
      </w:r>
      <w:r>
        <w:rPr>
          <w:rFonts w:ascii="Times New Roman;serif" w:hAnsi="Times New Roman;serif"/>
          <w:b w:val="false"/>
          <w:i/>
          <w:color w:val="000000"/>
          <w:sz w:val="20"/>
        </w:rPr>
        <w:t xml:space="preserve">Twenty One Pilots: More Than We Ever Imagined. </w:t>
      </w:r>
      <w:r>
        <w:rPr>
          <w:rFonts w:ascii="Times New Roman;serif" w:hAnsi="Times New Roman;serif"/>
          <w:b w:val="false"/>
          <w:color w:val="000000"/>
          <w:sz w:val="20"/>
        </w:rPr>
        <w:t xml:space="preserve">In addition, the Company partnered with Mercury Studios for a two-night-only screening of </w:t>
      </w:r>
      <w:r>
        <w:rPr>
          <w:rFonts w:ascii="Times New Roman;serif" w:hAnsi="Times New Roman;serif"/>
          <w:b w:val="false"/>
          <w:i/>
          <w:color w:val="000000"/>
          <w:sz w:val="20"/>
        </w:rPr>
        <w:t xml:space="preserve">Eric Church: Evangeline vs. The Machine Comes Alive, </w:t>
      </w:r>
      <w:r>
        <w:rPr>
          <w:rFonts w:ascii="Times New Roman;serif" w:hAnsi="Times New Roman;serif"/>
          <w:b w:val="false"/>
          <w:color w:val="000000"/>
          <w:sz w:val="20"/>
        </w:rPr>
        <w:t xml:space="preserve">and with Sony Pictures for the two-night-only screening of </w:t>
      </w:r>
      <w:r>
        <w:rPr>
          <w:rFonts w:ascii="Times New Roman;serif" w:hAnsi="Times New Roman;serif"/>
          <w:b w:val="false"/>
          <w:i/>
          <w:color w:val="000000"/>
          <w:sz w:val="20"/>
        </w:rPr>
        <w:t>TOMMY in IMAX (50th Anniversary)</w:t>
      </w:r>
      <w:r>
        <w:rPr>
          <w:rFonts w:ascii="Times New Roman;serif" w:hAnsi="Times New Roman;serif"/>
          <w:b w:val="false"/>
          <w:color w:val="000000"/>
          <w:sz w:val="20"/>
        </w:rPr>
        <w:t xml:space="preserve">. The Company also partnered with A24 for a limited release of </w:t>
      </w:r>
      <w:r>
        <w:rPr>
          <w:rFonts w:ascii="Times New Roman;serif" w:hAnsi="Times New Roman;serif"/>
          <w:b w:val="false"/>
          <w:i/>
          <w:color w:val="000000"/>
          <w:sz w:val="20"/>
        </w:rPr>
        <w:t xml:space="preserve">Marty Supreme </w:t>
      </w:r>
      <w:r>
        <w:rPr>
          <w:rFonts w:ascii="Times New Roman;serif" w:hAnsi="Times New Roman;serif"/>
          <w:b w:val="false"/>
          <w:color w:val="000000"/>
          <w:sz w:val="20"/>
        </w:rPr>
        <w:t xml:space="preserve">across approximately 150 IMAX locations in the United States, Australia, and New Zealand. In March 2026, the Company partnered with MGM Studios for an exclusive Q&amp;A livestream in advance of the screening of </w:t>
      </w:r>
      <w:r>
        <w:rPr>
          <w:rFonts w:ascii="Times New Roman;serif" w:hAnsi="Times New Roman;serif"/>
          <w:b w:val="false"/>
          <w:i/>
          <w:color w:val="000000"/>
          <w:sz w:val="20"/>
        </w:rPr>
        <w:t>Project Hail Mary</w:t>
      </w:r>
      <w:r>
        <w:rPr>
          <w:color w:val="000000"/>
        </w:rPr>
        <w:t xml:space="preserve"> </w:t>
      </w:r>
      <w:r>
        <w:rPr>
          <w:rFonts w:ascii="Times New Roman;serif" w:hAnsi="Times New Roman;serif"/>
          <w:b w:val="false"/>
          <w:color w:val="000000"/>
          <w:sz w:val="20"/>
        </w:rPr>
        <w:t xml:space="preserve">across a limited number connected IMAX locations in North America.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Technology Products and Services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primary drivers of Technology Products and Services segment results are the number of IMAX Systems installed in a period, the costs associated with each installation, and lease payments tied to the global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Sales and Sales-Type Lease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global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Joint Revenue Sharing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also provides IMAX Systems to exhibitors through joint revenue sharing arrangements “JRSA(s)”. Under the traditional form of these arrangements, the Company provides the IMAX System under a long-term lease in which the Company assumes the majority of the equipment and installation costs. In exchange for its upfront investment, the Company, generally,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material obligations.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revenue earned from customers under the Company’s JRSAs can vary from quarter-to-quarter and year-to-year based on a number of factors that drive global box office levels including film performance, the mix of IMAX System configurations, the timing of installation of IMAX Systems, the nature of the arrangement, the location, size and management of the theater and other factors specific to individual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JRSAs also require IMAX to provide maintenance and extended warranty services to the customer over the term of the lease in exchange for a separate fixed annual fee. These fees are reported within IMAX Maintenance, as discussed below.</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March 31, 2026, the Company had 881 locations under JRSAs in its global commercial multiplex network. The Company also had contracts in backlog for 255 IMAX systems under JRSAs as of March 31, 2026, including 149 new locations and 106 upgrades to existing locations.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Maintenance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IMAX quality standards. Annual maintenance fees are paid throughout the duration of the term of the system agreements.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All Other</w:t>
      </w:r>
    </w:p>
    <w:p>
      <w:pPr>
        <w:pStyle w:val="TextBody"/>
        <w:bidi w:val="0"/>
        <w:spacing w:before="0" w:after="0"/>
        <w:ind w:left="0" w:right="0" w:hanging="360"/>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Streaming and Consumer Technology</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IMAX’s Streaming and Consumer Technology (“SCT”) business offers a single unified program:</w:t>
      </w:r>
      <w:r>
        <w:rPr>
          <w:color w:val="000000"/>
        </w:rPr>
        <w:t xml:space="preserve"> </w:t>
      </w:r>
      <w:r>
        <w:rPr>
          <w:rFonts w:ascii="Times New Roman;serif" w:hAnsi="Times New Roman;serif"/>
          <w:b w:val="false"/>
          <w:color w:val="000000"/>
          <w:sz w:val="20"/>
        </w:rPr>
        <w:t>IMAX</w:t>
      </w:r>
      <w:r>
        <w:rPr>
          <w:color w:val="000000"/>
        </w:rPr>
        <w:t xml:space="preserve"> </w:t>
      </w:r>
      <w:r>
        <w:rPr>
          <w:rFonts w:ascii="Times New Roman;serif" w:hAnsi="Times New Roman;serif"/>
          <w:b w:val="false"/>
          <w:color w:val="000000"/>
          <w:sz w:val="20"/>
        </w:rPr>
        <w:t>Enhanced</w:t>
      </w:r>
      <w:r>
        <w:rPr>
          <w:rFonts w:ascii="Times New Roman;serif" w:hAnsi="Times New Roman;serif"/>
          <w:b w:val="false"/>
          <w:color w:val="000000"/>
          <w:sz w:val="13"/>
        </w:rPr>
        <w:t>®</w:t>
      </w:r>
      <w:r>
        <w:rPr>
          <w:rFonts w:ascii="Times New Roman;serif" w:hAnsi="Times New Roman;serif"/>
          <w:b w:val="false"/>
          <w:color w:val="000000"/>
          <w:sz w:val="20"/>
        </w:rPr>
        <w:t xml:space="preserve">. This umbrella program builds on IMAX’s brand and proprietary VisionScience™ technology to deliver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to users across streaming platforms and consumer devices. The new IMAX Enhanced program for partners includes three core elements:</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1.IMAX Enhanced Live: Real-time enhancement for sports, concerts, and events using SCT’s proprietary technology to measure, enhance, optimize, and validate premium color, contrast, and clarity at the speed of live.</w:t>
      </w:r>
    </w:p>
    <w:p>
      <w:pPr>
        <w:pStyle w:val="TextBody"/>
        <w:bidi w:val="0"/>
        <w:spacing w:before="0" w:after="0"/>
        <w:ind w:left="0" w:right="0" w:firstLine="216"/>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pStyle w:val="TextBody"/>
        <w:bidi w:val="0"/>
        <w:spacing w:before="0" w:after="0"/>
        <w:ind w:left="0" w:right="0" w:firstLine="216"/>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As of March 31, 2026, IMAX Enhanced certified devices in-market are with partners including Sony Electronics, Hisense, TCL, LG, and Philips.</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SCT products previously branded as StreamSmart™ (encoding optimization) and StreamAware™ (quality assurance and monitoring) have been integrated into the IMAX Enhanced program, streamlining operations and enabling partners to deliver premium viewing experiences validated through IMAX’s proprietary quality standards.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IMAX’s SCT represents an extension of the IMAX brand and technology beyond traditional theatrical programming into live streaming for connected theaters and live and on-demand streaming home entertainment experiences. Leveraging IMAX’s globally recognized brand and proprietary technology, IMAX Enhanced is designed to drive consumer engagement and create incremental return on investment for content owners and rights holders.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Other also includes revenues from sources including one owned and operated IMAX System in Sacramento, California; a commercial arrangement with one theater resulting in the sharing of profits and losses; the provision of management services to three other theaters; and merchandising revenue.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IMAX NETWORK AND BACKLOG </w:t>
      </w:r>
    </w:p>
    <w:p>
      <w:pPr>
        <w:pStyle w:val="TextBody"/>
        <w:bidi w:val="0"/>
        <w:spacing w:before="0" w:after="0"/>
        <w:ind w:left="0" w:right="0" w:hanging="360"/>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Network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detailed information about the IMAX network by type and geographic location as of March 31, 2026 and 2025. For additional information regarding the composition of the IMAX network, see “Marketing and Customers” in Part I, Item 1 of the Company’s 2025 Form 10-K.</w:t>
      </w:r>
    </w:p>
    <w:p>
      <w:pPr>
        <w:pStyle w:val="TextBody"/>
        <w:bidi w:val="0"/>
        <w:spacing w:before="0" w:after="0"/>
        <w:jc w:val="both"/>
        <w:rPr/>
      </w:pPr>
      <w:r>
        <w:rPr/>
      </w:r>
    </w:p>
    <w:tbl>
      <w:tblPr>
        <w:tblW w:w="10428" w:type="dxa"/>
        <w:jc w:val="left"/>
        <w:tblInd w:w="0" w:type="dxa"/>
        <w:tblLayout w:type="fixed"/>
        <w:tblCellMar>
          <w:top w:w="28" w:type="dxa"/>
          <w:left w:w="28" w:type="dxa"/>
          <w:bottom w:w="28" w:type="dxa"/>
          <w:right w:w="28" w:type="dxa"/>
        </w:tblCellMar>
      </w:tblPr>
      <w:tblGrid>
        <w:gridCol w:w="511"/>
        <w:gridCol w:w="279"/>
        <w:gridCol w:w="216"/>
        <w:gridCol w:w="330"/>
        <w:gridCol w:w="330"/>
        <w:gridCol w:w="331"/>
        <w:gridCol w:w="109"/>
        <w:gridCol w:w="109"/>
        <w:gridCol w:w="109"/>
        <w:gridCol w:w="330"/>
        <w:gridCol w:w="330"/>
        <w:gridCol w:w="331"/>
        <w:gridCol w:w="109"/>
        <w:gridCol w:w="109"/>
        <w:gridCol w:w="109"/>
        <w:gridCol w:w="330"/>
        <w:gridCol w:w="330"/>
        <w:gridCol w:w="331"/>
        <w:gridCol w:w="109"/>
        <w:gridCol w:w="109"/>
        <w:gridCol w:w="109"/>
        <w:gridCol w:w="189"/>
        <w:gridCol w:w="189"/>
        <w:gridCol w:w="193"/>
        <w:gridCol w:w="109"/>
        <w:gridCol w:w="109"/>
        <w:gridCol w:w="109"/>
        <w:gridCol w:w="330"/>
        <w:gridCol w:w="330"/>
        <w:gridCol w:w="331"/>
        <w:gridCol w:w="109"/>
        <w:gridCol w:w="109"/>
        <w:gridCol w:w="109"/>
        <w:gridCol w:w="330"/>
        <w:gridCol w:w="330"/>
        <w:gridCol w:w="331"/>
        <w:gridCol w:w="109"/>
        <w:gridCol w:w="109"/>
        <w:gridCol w:w="109"/>
        <w:gridCol w:w="330"/>
        <w:gridCol w:w="330"/>
        <w:gridCol w:w="331"/>
        <w:gridCol w:w="109"/>
        <w:gridCol w:w="109"/>
        <w:gridCol w:w="109"/>
        <w:gridCol w:w="179"/>
        <w:gridCol w:w="179"/>
        <w:gridCol w:w="258"/>
      </w:tblGrid>
      <w:tr>
        <w:trPr/>
        <w:tc>
          <w:tcPr>
            <w:tcW w:w="5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Commercial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Multiplex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Commercial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Destination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Institutional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Commercial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Multiplex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Commercial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Destination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Institutional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Greater China</w:t>
            </w:r>
            <w:r>
              <w:rPr>
                <w:rFonts w:ascii="Times New Roman;serif" w:hAnsi="Times New Roman;serif"/>
                <w:b w:val="false"/>
                <w:color w:val="000000"/>
                <w:sz w:val="13"/>
              </w:rPr>
              <w:t>(1)</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Asia (excluding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Latin America</w:t>
            </w:r>
            <w:r>
              <w:rPr>
                <w:rFonts w:ascii="Times New Roman;serif" w:hAnsi="Times New Roman;serif"/>
                <w:b w:val="false"/>
                <w:color w:val="000000"/>
                <w:sz w:val="13"/>
              </w:rPr>
              <w:t>(2)</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(3)</w:t>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r>
      <w:tr>
        <w:trPr/>
        <w:tc>
          <w:tcPr>
            <w:tcW w:w="10428" w:type="dxa"/>
            <w:gridSpan w:val="48"/>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914400" cy="14605"/>
                          </a:xfrm>
                          <a:prstGeom prst="rect">
                            <a:avLst/>
                          </a:prstGeom>
                        </pic:spPr>
                      </pic:pic>
                    </a:graphicData>
                  </a:graphic>
                </wp:inline>
              </w:drawing>
            </w:r>
            <w:bookmarkStart w:id="8" w:name="i-8"/>
            <w:bookmarkEnd w:id="8"/>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(1)Greater China includes China, Hong Kong, Taiwan, and Macau.</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(2)Latin America includes South America, Central America, and Mexico.</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(3)Period-to-period changes in the table above are reported net of the effect of permanently closed locations.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(See “Risk Factors – The Company faces risks in connection with its significant presence in China and the continued expansion of its business there,” “Risk Factors – The Company may not convert all of its backlog into revenue and cash flows,” and “Risk Factors – General political, social and economic conditions can affect the Company’s business by reducing both revenues generated from existing IMAX Systems and the demand for new IMAX Systems” in Part I, Item 1A of the Company’s 2025 Form 10-K.)</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currently estimates a worldwide commercial multiplex addressable market of 4,466 locations, of which there are 1,798 IMAX Systems operating as of March 31, 2026, representing a market penetration of only 40%. The Company believes that the majority of its future growth will come from international markets. As of March 31, 2026, 76% of IMAX Systems in the global commercial multiplex network were located within international markets (defined as all countries other than the United States and Canada). Revenues and gross box office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II, Item 1A of this Form 10-Q.</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detailed information about IMAX Systems operating in multiplex locations by arrangement type and geographic location as of March 31,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54"/>
        <w:gridCol w:w="1241"/>
        <w:gridCol w:w="1250"/>
        <w:gridCol w:w="387"/>
        <w:gridCol w:w="387"/>
        <w:gridCol w:w="389"/>
        <w:gridCol w:w="213"/>
        <w:gridCol w:w="213"/>
        <w:gridCol w:w="213"/>
        <w:gridCol w:w="262"/>
        <w:gridCol w:w="262"/>
        <w:gridCol w:w="263"/>
        <w:gridCol w:w="213"/>
        <w:gridCol w:w="213"/>
        <w:gridCol w:w="213"/>
        <w:gridCol w:w="519"/>
        <w:gridCol w:w="519"/>
        <w:gridCol w:w="521"/>
        <w:gridCol w:w="213"/>
        <w:gridCol w:w="213"/>
        <w:gridCol w:w="213"/>
        <w:gridCol w:w="255"/>
        <w:gridCol w:w="255"/>
        <w:gridCol w:w="324"/>
      </w:tblGrid>
      <w:tr>
        <w:trPr/>
        <w:tc>
          <w:tcPr>
            <w:tcW w:w="145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 Multiplex Locations in IMAX Network</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11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11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(2)(3)</w:t>
            </w:r>
          </w:p>
        </w:tc>
        <w:tc>
          <w:tcPr>
            <w:tcW w:w="11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 descr=""/>
                          <pic:cNvPicPr>
                            <a:picLocks noChangeAspect="1" noChangeArrowheads="1"/>
                          </pic:cNvPicPr>
                        </pic:nvPicPr>
                        <pic:blipFill>
                          <a:blip r:embed="rId10"/>
                          <a:stretch>
                            <a:fillRect/>
                          </a:stretch>
                        </pic:blipFill>
                        <pic:spPr bwMode="auto">
                          <a:xfrm>
                            <a:off x="0" y="0"/>
                            <a:ext cx="914400" cy="14605"/>
                          </a:xfrm>
                          <a:prstGeom prst="rect">
                            <a:avLst/>
                          </a:prstGeom>
                        </pic:spPr>
                      </pic:pic>
                    </a:graphicData>
                  </a:graphic>
                </wp:inline>
              </w:drawing>
            </w:r>
            <w:bookmarkStart w:id="9" w:name="i-9"/>
            <w:bookmarkEnd w:id="9"/>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(2)Period-to-period changes in the tables above are reported net of permanently closed systems.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(3)Includes 31 IMAX Systems that were converted from Hybrid JRSA arrangement types to Sales Arrangements during the three months ended March 31, 2026.</w:t>
            </w:r>
          </w:p>
        </w:tc>
      </w:tr>
    </w:tbl>
    <w:p>
      <w:pPr>
        <w:pStyle w:val="TextBody"/>
        <w:bidi w:val="0"/>
        <w:spacing w:before="0" w:after="0"/>
        <w:jc w:val="both"/>
        <w:rPr/>
      </w:pPr>
      <w:r>
        <w:rPr/>
      </w:r>
    </w:p>
    <w:tbl>
      <w:tblPr>
        <w:tblW w:w="8568" w:type="dxa"/>
        <w:jc w:val="left"/>
        <w:tblInd w:w="0" w:type="dxa"/>
        <w:tblLayout w:type="fixed"/>
        <w:tblCellMar>
          <w:top w:w="28" w:type="dxa"/>
          <w:left w:w="28" w:type="dxa"/>
          <w:bottom w:w="28" w:type="dxa"/>
          <w:right w:w="28" w:type="dxa"/>
        </w:tblCellMar>
      </w:tblPr>
      <w:tblGrid>
        <w:gridCol w:w="1254"/>
        <w:gridCol w:w="1101"/>
        <w:gridCol w:w="1109"/>
        <w:gridCol w:w="310"/>
        <w:gridCol w:w="310"/>
        <w:gridCol w:w="311"/>
        <w:gridCol w:w="180"/>
        <w:gridCol w:w="180"/>
        <w:gridCol w:w="180"/>
        <w:gridCol w:w="210"/>
        <w:gridCol w:w="210"/>
        <w:gridCol w:w="211"/>
        <w:gridCol w:w="180"/>
        <w:gridCol w:w="180"/>
        <w:gridCol w:w="180"/>
        <w:gridCol w:w="419"/>
        <w:gridCol w:w="419"/>
        <w:gridCol w:w="421"/>
        <w:gridCol w:w="180"/>
        <w:gridCol w:w="180"/>
        <w:gridCol w:w="180"/>
        <w:gridCol w:w="204"/>
        <w:gridCol w:w="204"/>
        <w:gridCol w:w="255"/>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 Multiplex Locations in IMAX Network</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9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r>
      <w:tr>
        <w:trPr/>
        <w:tc>
          <w:tcPr>
            <w:tcW w:w="8568"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0" descr=""/>
                          <pic:cNvPicPr>
                            <a:picLocks noChangeAspect="1" noChangeArrowheads="1"/>
                          </pic:cNvPicPr>
                        </pic:nvPicPr>
                        <pic:blipFill>
                          <a:blip r:embed="rId11"/>
                          <a:stretch>
                            <a:fillRect/>
                          </a:stretch>
                        </pic:blipFill>
                        <pic:spPr bwMode="auto">
                          <a:xfrm>
                            <a:off x="0" y="0"/>
                            <a:ext cx="914400" cy="14605"/>
                          </a:xfrm>
                          <a:prstGeom prst="rect">
                            <a:avLst/>
                          </a:prstGeom>
                        </pic:spPr>
                      </pic:pic>
                    </a:graphicData>
                  </a:graphic>
                </wp:inline>
              </w:drawing>
            </w:r>
            <w:bookmarkStart w:id="10" w:name="i-10"/>
            <w:bookmarkEnd w:id="10"/>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(2)Period-to-period changes in the tables above are reported net of permanently closed systems.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detailed information about the Company’s backlog by arrangement type and geographic location as of March 31, 2026 and 2025:</w:t>
      </w:r>
    </w:p>
    <w:p>
      <w:pPr>
        <w:pStyle w:val="TextBody"/>
        <w:bidi w:val="0"/>
        <w:spacing w:before="0" w:after="0"/>
        <w:jc w:val="both"/>
        <w:rPr/>
      </w:pPr>
      <w:r>
        <w:rPr/>
      </w:r>
    </w:p>
    <w:tbl>
      <w:tblPr>
        <w:tblW w:w="9097" w:type="dxa"/>
        <w:jc w:val="left"/>
        <w:tblInd w:w="0" w:type="dxa"/>
        <w:tblLayout w:type="fixed"/>
        <w:tblCellMar>
          <w:top w:w="28" w:type="dxa"/>
          <w:left w:w="28" w:type="dxa"/>
          <w:bottom w:w="28" w:type="dxa"/>
          <w:right w:w="28" w:type="dxa"/>
        </w:tblCellMar>
      </w:tblPr>
      <w:tblGrid>
        <w:gridCol w:w="1462"/>
        <w:gridCol w:w="1284"/>
        <w:gridCol w:w="1293"/>
        <w:gridCol w:w="361"/>
        <w:gridCol w:w="361"/>
        <w:gridCol w:w="362"/>
        <w:gridCol w:w="127"/>
        <w:gridCol w:w="127"/>
        <w:gridCol w:w="127"/>
        <w:gridCol w:w="244"/>
        <w:gridCol w:w="244"/>
        <w:gridCol w:w="246"/>
        <w:gridCol w:w="127"/>
        <w:gridCol w:w="127"/>
        <w:gridCol w:w="127"/>
        <w:gridCol w:w="488"/>
        <w:gridCol w:w="488"/>
        <w:gridCol w:w="491"/>
        <w:gridCol w:w="127"/>
        <w:gridCol w:w="127"/>
        <w:gridCol w:w="127"/>
        <w:gridCol w:w="184"/>
        <w:gridCol w:w="184"/>
        <w:gridCol w:w="262"/>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IMAX System Backlog</w:t>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10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10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(2)(3)</w:t>
            </w:r>
          </w:p>
        </w:tc>
        <w:tc>
          <w:tcPr>
            <w:tcW w:w="10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r>
      <w:tr>
        <w:trPr/>
        <w:tc>
          <w:tcPr>
            <w:tcW w:w="9097"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1" descr=""/>
                          <pic:cNvPicPr>
                            <a:picLocks noChangeAspect="1" noChangeArrowheads="1"/>
                          </pic:cNvPicPr>
                        </pic:nvPicPr>
                        <pic:blipFill>
                          <a:blip r:embed="rId12"/>
                          <a:stretch>
                            <a:fillRect/>
                          </a:stretch>
                        </pic:blipFill>
                        <pic:spPr bwMode="auto">
                          <a:xfrm>
                            <a:off x="0" y="0"/>
                            <a:ext cx="914400" cy="14605"/>
                          </a:xfrm>
                          <a:prstGeom prst="rect">
                            <a:avLst/>
                          </a:prstGeom>
                        </pic:spPr>
                      </pic:pic>
                    </a:graphicData>
                  </a:graphic>
                </wp:inline>
              </w:drawing>
            </w:r>
            <w:bookmarkStart w:id="11" w:name="i-11"/>
            <w:bookmarkEnd w:id="11"/>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(2)Worldwide Total of 435 includes 219 new IMAX Laser Systems and 134 upgrades of existing locations to IMAX Laser Systems.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(3)Worldwide Total of 435 includes 301 new systems and 134 upgrades.</w:t>
            </w:r>
          </w:p>
        </w:tc>
      </w:tr>
    </w:tbl>
    <w:p>
      <w:pPr>
        <w:pStyle w:val="TextBody"/>
        <w:bidi w:val="0"/>
        <w:spacing w:before="0" w:after="0"/>
        <w:jc w:val="both"/>
        <w:rPr/>
      </w:pPr>
      <w:r>
        <w:rPr/>
      </w:r>
    </w:p>
    <w:tbl>
      <w:tblPr>
        <w:tblW w:w="9097" w:type="dxa"/>
        <w:jc w:val="left"/>
        <w:tblInd w:w="0" w:type="dxa"/>
        <w:tblLayout w:type="fixed"/>
        <w:tblCellMar>
          <w:top w:w="28" w:type="dxa"/>
          <w:left w:w="28" w:type="dxa"/>
          <w:bottom w:w="28" w:type="dxa"/>
          <w:right w:w="28" w:type="dxa"/>
        </w:tblCellMar>
      </w:tblPr>
      <w:tblGrid>
        <w:gridCol w:w="1462"/>
        <w:gridCol w:w="1284"/>
        <w:gridCol w:w="1293"/>
        <w:gridCol w:w="361"/>
        <w:gridCol w:w="361"/>
        <w:gridCol w:w="362"/>
        <w:gridCol w:w="127"/>
        <w:gridCol w:w="127"/>
        <w:gridCol w:w="127"/>
        <w:gridCol w:w="244"/>
        <w:gridCol w:w="244"/>
        <w:gridCol w:w="246"/>
        <w:gridCol w:w="127"/>
        <w:gridCol w:w="127"/>
        <w:gridCol w:w="127"/>
        <w:gridCol w:w="488"/>
        <w:gridCol w:w="488"/>
        <w:gridCol w:w="491"/>
        <w:gridCol w:w="127"/>
        <w:gridCol w:w="127"/>
        <w:gridCol w:w="127"/>
        <w:gridCol w:w="184"/>
        <w:gridCol w:w="184"/>
        <w:gridCol w:w="262"/>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IMAX System Backlog</w:t>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10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10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(2)(3)</w:t>
            </w:r>
          </w:p>
        </w:tc>
        <w:tc>
          <w:tcPr>
            <w:tcW w:w="10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r>
      <w:tr>
        <w:trPr/>
        <w:tc>
          <w:tcPr>
            <w:tcW w:w="9097"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2" descr=""/>
                          <pic:cNvPicPr>
                            <a:picLocks noChangeAspect="1" noChangeArrowheads="1"/>
                          </pic:cNvPicPr>
                        </pic:nvPicPr>
                        <pic:blipFill>
                          <a:blip r:embed="rId13"/>
                          <a:stretch>
                            <a:fillRect/>
                          </a:stretch>
                        </pic:blipFill>
                        <pic:spPr bwMode="auto">
                          <a:xfrm>
                            <a:off x="0" y="0"/>
                            <a:ext cx="914400" cy="14605"/>
                          </a:xfrm>
                          <a:prstGeom prst="rect">
                            <a:avLst/>
                          </a:prstGeom>
                        </pic:spPr>
                      </pic:pic>
                    </a:graphicData>
                  </a:graphic>
                </wp:inline>
              </w:drawing>
            </w:r>
            <w:bookmarkStart w:id="12" w:name="i-12"/>
            <w:bookmarkEnd w:id="12"/>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(2)Worldwide Total of 516 includes 254 new IMAX Laser Systems and 161 upgrades of existing locations to IMAX Laser Systems.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(3)Worldwide Total of 516 includes 355 new systems and 161 upgrades.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backlog reflects the minimum number of commitments for IMAX Systems according to signed contracts. The Company believes that the contractual obligations for IMAX System installations that are listed in backlog are valid and binding commitments. From time to time, the Company and its customers may amend the arrangement type of a backlog system, and in the normal course of its business the Company will have customers who are unable to proceed with an IMAX System installation for a variety of reasons, including the inability to obtain certain consents, approvals or financing.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73% of IMAX System arrangements in backlog were scheduled to be installed in international markets (2025 — 74%).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(See “Risk Factors – The Company may not convert all of its backlog into revenue and cash flows.” in Part I, Item 1A of the Company’s 2025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Signings and Installations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detailed information about IMAX System signings and installations for the three months ended March 31, 2026 and 2025:</w:t>
      </w:r>
    </w:p>
    <w:p>
      <w:pPr>
        <w:pStyle w:val="TextBody"/>
        <w:bidi w:val="0"/>
        <w:spacing w:before="0" w:after="0"/>
        <w:ind w:left="0" w:right="0" w:firstLine="216"/>
        <w:jc w:val="both"/>
        <w:rPr/>
      </w:pPr>
      <w:r>
        <w:rPr/>
      </w:r>
    </w:p>
    <w:tbl>
      <w:tblPr>
        <w:tblW w:w="8202" w:type="dxa"/>
        <w:jc w:val="left"/>
        <w:tblInd w:w="0" w:type="dxa"/>
        <w:tblLayout w:type="fixed"/>
        <w:tblCellMar>
          <w:top w:w="28" w:type="dxa"/>
          <w:left w:w="28" w:type="dxa"/>
          <w:bottom w:w="28" w:type="dxa"/>
          <w:right w:w="28" w:type="dxa"/>
        </w:tblCellMar>
      </w:tblPr>
      <w:tblGrid>
        <w:gridCol w:w="1735"/>
        <w:gridCol w:w="1528"/>
        <w:gridCol w:w="1533"/>
        <w:gridCol w:w="327"/>
        <w:gridCol w:w="328"/>
        <w:gridCol w:w="323"/>
        <w:gridCol w:w="323"/>
        <w:gridCol w:w="323"/>
        <w:gridCol w:w="323"/>
        <w:gridCol w:w="327"/>
        <w:gridCol w:w="328"/>
        <w:gridCol w:w="323"/>
        <w:gridCol w:w="109"/>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Signings:</w:t>
            </w:r>
          </w:p>
        </w:tc>
        <w:tc>
          <w:tcPr>
            <w:tcW w:w="9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Arrangements</w:t>
            </w:r>
            <w:r>
              <w:rPr>
                <w:rFonts w:ascii="Times New Roman;serif" w:hAnsi="Times New Roman;serif"/>
                <w:b w:val="false"/>
                <w:color w:val="000000"/>
                <w:sz w:val="13"/>
              </w:rPr>
              <w:t>(1)</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Traditional JRSA</w:t>
            </w:r>
            <w:r>
              <w:rPr>
                <w:rFonts w:ascii="Times New Roman;serif" w:hAnsi="Times New Roman;serif"/>
                <w:b w:val="false"/>
                <w:color w:val="000000"/>
                <w:sz w:val="13"/>
              </w:rPr>
              <w:t>(2)</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IMAX System signings</w:t>
            </w:r>
            <w:r>
              <w:rPr>
                <w:rFonts w:ascii="Times New Roman;serif" w:hAnsi="Times New Roman;serif"/>
                <w:b w:val="false"/>
                <w:color w:val="000000"/>
                <w:sz w:val="13"/>
              </w:rPr>
              <w:t>(3)</w:t>
            </w:r>
          </w:p>
        </w:tc>
        <w:tc>
          <w:tcPr>
            <w:tcW w:w="65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1" w:type="dxa"/>
            <w:gridSpan w:val="12"/>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5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3" descr=""/>
                          <pic:cNvPicPr>
                            <a:picLocks noChangeAspect="1" noChangeArrowheads="1"/>
                          </pic:cNvPicPr>
                        </pic:nvPicPr>
                        <pic:blipFill>
                          <a:blip r:embed="rId14"/>
                          <a:stretch>
                            <a:fillRect/>
                          </a:stretch>
                        </pic:blipFill>
                        <pic:spPr bwMode="auto">
                          <a:xfrm>
                            <a:off x="0" y="0"/>
                            <a:ext cx="914400" cy="14605"/>
                          </a:xfrm>
                          <a:prstGeom prst="rect">
                            <a:avLst/>
                          </a:prstGeom>
                        </pic:spPr>
                      </pic:pic>
                    </a:graphicData>
                  </a:graphic>
                </wp:inline>
              </w:drawing>
            </w:r>
            <w:bookmarkStart w:id="13" w:name="i-13"/>
            <w:bookmarkEnd w:id="13"/>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(2)Includes 70 Traditional JRSA IMAX System signings with AMC Entertainment in 2025.</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(3)Includes IMAX System upgrades of 13 for the three months ended March 31, 2026 (2025 ― 58 upgrades).</w:t>
            </w:r>
          </w:p>
          <w:p>
            <w:pPr>
              <w:pStyle w:val="TableContents"/>
              <w:bidi w:val="0"/>
              <w:spacing w:before="0" w:after="0"/>
              <w:jc w:val="both"/>
              <w:rPr/>
            </w:pPr>
            <w:r>
              <w:rPr/>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38"/>
        <w:gridCol w:w="1894"/>
        <w:gridCol w:w="1896"/>
        <w:gridCol w:w="440"/>
        <w:gridCol w:w="442"/>
        <w:gridCol w:w="386"/>
        <w:gridCol w:w="385"/>
        <w:gridCol w:w="385"/>
        <w:gridCol w:w="385"/>
        <w:gridCol w:w="440"/>
        <w:gridCol w:w="442"/>
        <w:gridCol w:w="386"/>
        <w:gridCol w:w="109"/>
        <w:gridCol w:w="109"/>
        <w:gridCol w:w="109"/>
        <w:gridCol w:w="159"/>
      </w:tblGrid>
      <w:tr>
        <w:trPr/>
        <w:tc>
          <w:tcPr>
            <w:tcW w:w="223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Installations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Arrangements</w:t>
            </w:r>
            <w:r>
              <w:rPr>
                <w:rFonts w:ascii="Times New Roman;serif" w:hAnsi="Times New Roman;serif"/>
                <w:b w:val="false"/>
                <w:color w:val="000000"/>
                <w:sz w:val="13"/>
              </w:rPr>
              <w:t>(2)</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Traditional JRSA</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IMAX System installations</w:t>
            </w:r>
            <w:r>
              <w:rPr>
                <w:rFonts w:ascii="Times New Roman;serif" w:hAnsi="Times New Roman;serif"/>
                <w:b w:val="false"/>
                <w:color w:val="000000"/>
                <w:sz w:val="13"/>
              </w:rPr>
              <w:t>(3)</w:t>
            </w:r>
          </w:p>
        </w:tc>
        <w:tc>
          <w:tcPr>
            <w:tcW w:w="8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5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4" descr=""/>
                          <pic:cNvPicPr>
                            <a:picLocks noChangeAspect="1" noChangeArrowheads="1"/>
                          </pic:cNvPicPr>
                        </pic:nvPicPr>
                        <pic:blipFill>
                          <a:blip r:embed="rId15"/>
                          <a:stretch>
                            <a:fillRect/>
                          </a:stretch>
                        </pic:blipFill>
                        <pic:spPr bwMode="auto">
                          <a:xfrm>
                            <a:off x="0" y="0"/>
                            <a:ext cx="914400" cy="14605"/>
                          </a:xfrm>
                          <a:prstGeom prst="rect">
                            <a:avLst/>
                          </a:prstGeom>
                        </pic:spPr>
                      </pic:pic>
                    </a:graphicData>
                  </a:graphic>
                </wp:inline>
              </w:drawing>
            </w:r>
            <w:bookmarkStart w:id="14" w:name="i-14"/>
            <w:bookmarkEnd w:id="14"/>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(1)No IMAX Systems were relocated from their original location for the three months ended March 31, 2026 (2025 ― three). When a system is relocated, the amount of revenue earned by the Company may vary from transaction-to-transaction and is usually less than the amount earned for a new sale. In certain situations when a system is relocated, the original location is upgraded to an IMAX Laser System.</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(2)Includes Sales and Sales-Type Lease deal types.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(3)Includes 11 IMAX System upgrades for the three months ended March 31, 2026 (2025 ― seven upgrades).</w:t>
            </w:r>
          </w:p>
        </w:tc>
        <w:tc>
          <w:tcPr>
            <w:tcW w:w="486"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results for the first quarter reflect variability driven by the timing, mix and geographic distribution of global box office performance. The year-over-year decline in total global box office was primarily attributable to an unusually strong prior-year comparison in Greater China. Domestic and other international markets experienced strong box office growth, driven by the performance of Hollywood titles and Filmed For IMAX releases. The Company’s future results may continue to be affected by the timing and performance of major film releases, the mix of Hollywood and local language content, and the geographic concentration of box office revenues, as well as by variability in system installations and box office-driven revenues. In addition, broader macroeconomic conditions, including global economic uncertainty, supply chain disruptions, inflationary pressures and geopolitical tensions and conflicts, could adversely impact consumer demand and the Company’s ability to deliver and install IMAX systems, any of which could materially affect the Company’s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Months Ended March 31, 2026 and 2025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Net Income and Adjusted Net Income Attributable to Common Shareholders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three months ended March 31, 2026 and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55"/>
        <w:gridCol w:w="1407"/>
        <w:gridCol w:w="1414"/>
        <w:gridCol w:w="219"/>
        <w:gridCol w:w="642"/>
        <w:gridCol w:w="113"/>
        <w:gridCol w:w="113"/>
        <w:gridCol w:w="113"/>
        <w:gridCol w:w="113"/>
        <w:gridCol w:w="344"/>
        <w:gridCol w:w="834"/>
        <w:gridCol w:w="177"/>
        <w:gridCol w:w="113"/>
        <w:gridCol w:w="113"/>
        <w:gridCol w:w="113"/>
        <w:gridCol w:w="219"/>
        <w:gridCol w:w="642"/>
        <w:gridCol w:w="113"/>
        <w:gridCol w:w="113"/>
        <w:gridCol w:w="113"/>
        <w:gridCol w:w="113"/>
        <w:gridCol w:w="338"/>
        <w:gridCol w:w="818"/>
        <w:gridCol w:w="253"/>
      </w:tblGrid>
      <w:tr>
        <w:trPr/>
        <w:tc>
          <w:tcPr>
            <w:tcW w:w="165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shareholders*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5" descr=""/>
                          <pic:cNvPicPr>
                            <a:picLocks noChangeAspect="1" noChangeArrowheads="1"/>
                          </pic:cNvPicPr>
                        </pic:nvPicPr>
                        <pic:blipFill>
                          <a:blip r:embed="rId16"/>
                          <a:stretch>
                            <a:fillRect/>
                          </a:stretch>
                        </pic:blipFill>
                        <pic:spPr bwMode="auto">
                          <a:xfrm>
                            <a:off x="0" y="0"/>
                            <a:ext cx="914400" cy="14605"/>
                          </a:xfrm>
                          <a:prstGeom prst="rect">
                            <a:avLst/>
                          </a:prstGeom>
                        </pic:spPr>
                      </pic:pic>
                    </a:graphicData>
                  </a:graphic>
                </wp:inline>
              </w:drawing>
            </w:r>
            <w:bookmarkStart w:id="15" w:name="i-15"/>
            <w:bookmarkEnd w:id="15"/>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*Refer to “Non-GAAP Financial Measures” for a description of this non-GAAP financial measure and a reconciliation to the most comparable GAAP amount.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Revenues and Gross Margin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Company’s revenues and gross margin were $81.4 million and $45.8 million, respectively. In comparison to the prior year first quarter, the Company’s revenues and gross margin decreased by $5.3 million, or 6%, and $7.4 million, or 14%, respectively, principally due to lower IMAX box office performance in Greater China, which more than offset the growth in the domestic and other international markets.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gross margin, and gross margin percentage by reportable segment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015"/>
        <w:gridCol w:w="872"/>
        <w:gridCol w:w="87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3"/>
        <w:gridCol w:w="109"/>
        <w:gridCol w:w="109"/>
        <w:gridCol w:w="109"/>
        <w:gridCol w:w="180"/>
        <w:gridCol w:w="181"/>
        <w:gridCol w:w="323"/>
      </w:tblGrid>
      <w:tr>
        <w:trPr/>
        <w:tc>
          <w:tcPr>
            <w:tcW w:w="101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 %</w:t>
            </w:r>
          </w:p>
        </w:tc>
      </w:tr>
      <w:tr>
        <w:trPr/>
        <w:tc>
          <w:tcPr>
            <w:tcW w:w="27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39"/>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6" descr=""/>
                          <pic:cNvPicPr>
                            <a:picLocks noChangeAspect="1" noChangeArrowheads="1"/>
                          </pic:cNvPicPr>
                        </pic:nvPicPr>
                        <pic:blipFill>
                          <a:blip r:embed="rId17"/>
                          <a:stretch>
                            <a:fillRect/>
                          </a:stretch>
                        </pic:blipFill>
                        <pic:spPr bwMode="auto">
                          <a:xfrm>
                            <a:off x="0" y="0"/>
                            <a:ext cx="914400" cy="14605"/>
                          </a:xfrm>
                          <a:prstGeom prst="rect">
                            <a:avLst/>
                          </a:prstGeom>
                        </pic:spPr>
                      </pic:pic>
                    </a:graphicData>
                  </a:graphic>
                </wp:inline>
              </w:drawing>
            </w:r>
            <w:bookmarkStart w:id="16" w:name="i-16"/>
            <w:bookmarkEnd w:id="16"/>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(1)All Other includes the results from Streaming and Consumer Technology and other ancillary activities.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Content Solutions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Content Solutions segment revenues and gross margin decreased by $2.9 million, or 8%, and by $5.2 million, or 22%, respectively, when compared to the same period in 2025.</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three months ended March 31, 2026, box office generated by IMAX films totaled $259.6 million, a $38.5 million, or 13%, decrease versus the prior year comparative period of $298.2 million. This decrease was primarily driven by lower local language box office in the first quarter of 2026, due partially to the shift in 2026 local language blockbuster films from the Chinese New Year period to later in the year versus a record Chinese New Year in the first quarter of 2025 from the breakout performance of </w:t>
      </w:r>
      <w:r>
        <w:rPr>
          <w:rFonts w:ascii="Times New Roman;serif" w:hAnsi="Times New Roman;serif"/>
          <w:b w:val="false"/>
          <w:i/>
          <w:color w:val="000000"/>
          <w:sz w:val="20"/>
        </w:rPr>
        <w:t xml:space="preserve">Ne Zha 2 </w:t>
      </w:r>
      <w:r>
        <w:rPr>
          <w:rFonts w:ascii="Times New Roman;serif" w:hAnsi="Times New Roman;serif"/>
          <w:b w:val="false"/>
          <w:color w:val="000000"/>
          <w:sz w:val="20"/>
        </w:rPr>
        <w:t xml:space="preserve">(the highest grossing local language film of all time). Domestic and international (excluding Greater China) global box office increased 75% and 60%, respectively, over the prior year comparative period as the performance of Hollywood content strengthened. During the three months ended March 31, 2026, IMAX box office was generated by the exhibition of 34 films and other content (31 new films, two re-releases, and one carry-over), including the following Hollywood titles: </w:t>
      </w:r>
      <w:r>
        <w:rPr>
          <w:rFonts w:ascii="Times New Roman;serif" w:hAnsi="Times New Roman;serif"/>
          <w:b w:val="false"/>
          <w:i/>
          <w:color w:val="000000"/>
          <w:sz w:val="20"/>
        </w:rPr>
        <w:t xml:space="preserve">Avatar: Fire and Ash </w:t>
      </w:r>
      <w:r>
        <w:rPr>
          <w:rFonts w:ascii="Times New Roman;serif" w:hAnsi="Times New Roman;serif"/>
          <w:b w:val="false"/>
          <w:color w:val="000000"/>
          <w:sz w:val="20"/>
        </w:rPr>
        <w:t xml:space="preserve">($77 million), </w:t>
      </w:r>
      <w:r>
        <w:rPr>
          <w:rFonts w:ascii="Times New Roman;serif" w:hAnsi="Times New Roman;serif"/>
          <w:b w:val="false"/>
          <w:i/>
          <w:color w:val="000000"/>
          <w:sz w:val="20"/>
        </w:rPr>
        <w:t xml:space="preserve">Project Hail Mary </w:t>
      </w:r>
      <w:r>
        <w:rPr>
          <w:rFonts w:ascii="Times New Roman;serif" w:hAnsi="Times New Roman;serif"/>
          <w:b w:val="false"/>
          <w:color w:val="000000"/>
          <w:sz w:val="20"/>
        </w:rPr>
        <w:t xml:space="preserve">($66 million), </w:t>
      </w:r>
      <w:r>
        <w:rPr>
          <w:rFonts w:ascii="Times New Roman;serif" w:hAnsi="Times New Roman;serif"/>
          <w:b w:val="false"/>
          <w:i/>
          <w:color w:val="000000"/>
          <w:sz w:val="20"/>
        </w:rPr>
        <w:t xml:space="preserve">Scream 7 </w:t>
      </w:r>
      <w:r>
        <w:rPr>
          <w:rFonts w:ascii="Times New Roman;serif" w:hAnsi="Times New Roman;serif"/>
          <w:b w:val="false"/>
          <w:color w:val="000000"/>
          <w:sz w:val="20"/>
        </w:rPr>
        <w:t xml:space="preserve">($8 million), and </w:t>
      </w:r>
      <w:r>
        <w:rPr>
          <w:rFonts w:ascii="Times New Roman;serif" w:hAnsi="Times New Roman;serif"/>
          <w:b w:val="false"/>
          <w:i/>
          <w:color w:val="000000"/>
          <w:sz w:val="20"/>
        </w:rPr>
        <w:t xml:space="preserve">Wuthering Heights </w:t>
      </w:r>
      <w:r>
        <w:rPr>
          <w:rFonts w:ascii="Times New Roman;serif" w:hAnsi="Times New Roman;serif"/>
          <w:b w:val="false"/>
          <w:color w:val="000000"/>
          <w:sz w:val="20"/>
        </w:rPr>
        <w:t xml:space="preserve">($7 million). In addition, in the three months ended March 31, 2026, local language films exhibited across the Company’s global network generated $62 million in box office, representing 24% of its global box office, including the Chinese local language film, </w:t>
      </w:r>
      <w:r>
        <w:rPr>
          <w:rFonts w:ascii="Times New Roman;serif" w:hAnsi="Times New Roman;serif"/>
          <w:b w:val="false"/>
          <w:i/>
          <w:color w:val="000000"/>
          <w:sz w:val="20"/>
        </w:rPr>
        <w:t xml:space="preserve">Pegasus 3 </w:t>
      </w:r>
      <w:r>
        <w:rPr>
          <w:rFonts w:ascii="Times New Roman;serif" w:hAnsi="Times New Roman;serif"/>
          <w:b w:val="false"/>
          <w:color w:val="000000"/>
          <w:sz w:val="20"/>
        </w:rPr>
        <w:t xml:space="preserve">($34 million) and </w:t>
      </w:r>
      <w:r>
        <w:rPr>
          <w:rFonts w:ascii="Times New Roman;serif" w:hAnsi="Times New Roman;serif"/>
          <w:b w:val="false"/>
          <w:i/>
          <w:color w:val="000000"/>
          <w:sz w:val="20"/>
        </w:rPr>
        <w:t xml:space="preserve">Blades of the Guardians </w:t>
      </w:r>
      <w:r>
        <w:rPr>
          <w:rFonts w:ascii="Times New Roman;serif" w:hAnsi="Times New Roman;serif"/>
          <w:b w:val="false"/>
          <w:color w:val="000000"/>
          <w:sz w:val="20"/>
        </w:rPr>
        <w:t xml:space="preserve">($7 million). In the three months ended March 31, 2025, IMAX box office revenue was generated by the exhibition of 34 films (33 new films and one re-release), with Chinese local language film </w:t>
      </w:r>
      <w:r>
        <w:rPr>
          <w:rFonts w:ascii="Times New Roman;serif" w:hAnsi="Times New Roman;serif"/>
          <w:b w:val="false"/>
          <w:i/>
          <w:color w:val="000000"/>
          <w:sz w:val="20"/>
        </w:rPr>
        <w:t>Ne Zha 2</w:t>
      </w:r>
      <w:r>
        <w:rPr>
          <w:color w:val="000000"/>
        </w:rPr>
        <w:t xml:space="preserve"> </w:t>
      </w:r>
      <w:r>
        <w:rPr>
          <w:rFonts w:ascii="Times New Roman;serif" w:hAnsi="Times New Roman;serif"/>
          <w:b w:val="false"/>
          <w:color w:val="000000"/>
          <w:sz w:val="20"/>
        </w:rPr>
        <w:t xml:space="preserve">representing 54% of its global box office.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three months ended March 31, 2026, the Company released four movies that were filmed with IMAX proprietary cameras (Filmed For IMAX), including </w:t>
      </w:r>
      <w:r>
        <w:rPr>
          <w:rFonts w:ascii="Times New Roman;serif" w:hAnsi="Times New Roman;serif"/>
          <w:b w:val="false"/>
          <w:i/>
          <w:color w:val="000000"/>
          <w:sz w:val="20"/>
        </w:rPr>
        <w:t>Mercy</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The Bride!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Project Hail Mary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and the IMAX documentary </w:t>
      </w:r>
      <w:r>
        <w:rPr>
          <w:rFonts w:ascii="Times New Roman;serif" w:hAnsi="Times New Roman;serif"/>
          <w:b w:val="false"/>
          <w:i/>
          <w:color w:val="000000"/>
          <w:sz w:val="20"/>
        </w:rPr>
        <w:t>Athos.</w:t>
      </w:r>
      <w:r>
        <w:rPr>
          <w:color w:val="000000"/>
        </w:rPr>
        <w:t xml:space="preserve"> </w:t>
      </w:r>
      <w:r>
        <w:rPr>
          <w:rFonts w:ascii="Times New Roman;serif" w:hAnsi="Times New Roman;serif"/>
          <w:b w:val="false"/>
          <w:color w:val="000000"/>
          <w:sz w:val="20"/>
        </w:rPr>
        <w:t>Filmed For IMAX movies historically have performed disproportionately well at the box office, and for three of these films, IMAX delivered approximately 20% or more of the opening weekend domestic box office, despite accounting for only 1% of available screens.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three months ended March 31, 2026, gross margin percent was 58% compared to 69% in the prior period. The Content Solutions margin decline was driven by a combination of factors including; lower box office performance in Greater China, with no significant breakout title, a lower mix of local language films which carries a higher margin, and an increased level of film marketing spend associated with upcoming large tentpole titles.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Technology Products and Services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IMAX Systems installed and the associated revenue recognized at that time, except for traditional JRSAs, for which revenue is recognized over the lease term, during the three months ended March 31, 2026 and 2025: </w:t>
      </w:r>
    </w:p>
    <w:p>
      <w:pPr>
        <w:pStyle w:val="TextBody"/>
        <w:bidi w:val="0"/>
        <w:spacing w:before="0" w:after="0"/>
        <w:jc w:val="both"/>
        <w:rPr/>
      </w:pPr>
      <w:r>
        <w:rPr/>
      </w:r>
    </w:p>
    <w:tbl>
      <w:tblPr>
        <w:tblW w:w="8895" w:type="dxa"/>
        <w:jc w:val="left"/>
        <w:tblInd w:w="0" w:type="dxa"/>
        <w:tblLayout w:type="fixed"/>
        <w:tblCellMar>
          <w:top w:w="28" w:type="dxa"/>
          <w:left w:w="28" w:type="dxa"/>
          <w:bottom w:w="28" w:type="dxa"/>
          <w:right w:w="28" w:type="dxa"/>
        </w:tblCellMar>
      </w:tblPr>
      <w:tblGrid>
        <w:gridCol w:w="1460"/>
        <w:gridCol w:w="1285"/>
        <w:gridCol w:w="1289"/>
        <w:gridCol w:w="309"/>
        <w:gridCol w:w="309"/>
        <w:gridCol w:w="311"/>
        <w:gridCol w:w="109"/>
        <w:gridCol w:w="109"/>
        <w:gridCol w:w="109"/>
        <w:gridCol w:w="211"/>
        <w:gridCol w:w="616"/>
        <w:gridCol w:w="109"/>
        <w:gridCol w:w="109"/>
        <w:gridCol w:w="109"/>
        <w:gridCol w:w="109"/>
        <w:gridCol w:w="309"/>
        <w:gridCol w:w="309"/>
        <w:gridCol w:w="311"/>
        <w:gridCol w:w="109"/>
        <w:gridCol w:w="109"/>
        <w:gridCol w:w="109"/>
        <w:gridCol w:w="211"/>
        <w:gridCol w:w="72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number of systems)</w:t>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Systems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Systems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IMAX Systems</w:t>
            </w:r>
          </w:p>
        </w:tc>
        <w:tc>
          <w:tcPr>
            <w:tcW w:w="6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Upgraded IMAX Systems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the three months ended March 31, 2026, no IMAX Systems were relocated from their original locations (2025 ― three IMAX Systems). When a system under a sale or sales-type lease arrangement is relocated, the amount of revenue earned by the Company may vary from transaction to transaction and is usually less than the amount earned for a new sale. In certain situations when a system is relocated, the original location is upgraded to an IMAX Laser System.</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Technology Products and Services segment revenue and gross margin decreased by $2.3 million, or 4%, and $2.2 million, or 8%, respectively, when compared to the same period in the prior year. The lower level of revenue was primarily driven by a lower level of rental revenues, which are box office dependent. Rental revenues of $16.6 million, a decrease of $2.6 million from $19.1 million in the prior year comparative period, were driven by a $31.8 million decrease in GBO from JRSAs in the three months ended March 31, 2026 versus the prior year. Specifically, in the first quarter of 2026 an increase of $5.3 million in rental revenues from domestic and international markets (excluding Greater China) was more than offset by a $7.9 million revenue decline in Greater China. Also contributing to the decrease in the segment revenue was the lower number of systems recognized under sales and sales-type lease arrangements, per the table above.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decreases in revenue were partially offset by a $3.1 million increase in revenue contribution from the impact of amendments, renewals and other adjustments to existing IMAX Systems arrangements.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gross margin percent was 56% compared to 57% in the same period in the prior year, which primarily reflects the lower level of rental revenues offset partially by the impact of amendments, renewals and other adjustments as described above, which did not have associated costs.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All Other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All Other revenue and gross margin decreased by $0.2 million, and less than $0.1 million, respectively, when compared to the same period in 2025, which principally reflects the results of the Company’s SCT business which was re-positioned and relaunched in late 2025 under the brand of IMAX Enhanced.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Selling, General and Administrative Expenses for the three months ended March 31,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48"/>
        <w:gridCol w:w="1319"/>
        <w:gridCol w:w="1323"/>
        <w:gridCol w:w="253"/>
        <w:gridCol w:w="867"/>
        <w:gridCol w:w="130"/>
        <w:gridCol w:w="130"/>
        <w:gridCol w:w="130"/>
        <w:gridCol w:w="130"/>
        <w:gridCol w:w="253"/>
        <w:gridCol w:w="867"/>
        <w:gridCol w:w="130"/>
        <w:gridCol w:w="130"/>
        <w:gridCol w:w="130"/>
        <w:gridCol w:w="130"/>
        <w:gridCol w:w="253"/>
        <w:gridCol w:w="787"/>
        <w:gridCol w:w="130"/>
        <w:gridCol w:w="130"/>
        <w:gridCol w:w="130"/>
        <w:gridCol w:w="130"/>
        <w:gridCol w:w="224"/>
        <w:gridCol w:w="227"/>
        <w:gridCol w:w="424"/>
      </w:tblGrid>
      <w:tr>
        <w:trPr/>
        <w:tc>
          <w:tcPr>
            <w:tcW w:w="184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Share-based compensation</w:t>
            </w:r>
            <w:r>
              <w:rPr>
                <w:rFonts w:ascii="Times New Roman;serif" w:hAnsi="Times New Roman;serif"/>
                <w:b w:val="false"/>
                <w:color w:val="000000"/>
                <w:sz w:val="13"/>
              </w:rPr>
              <w:t>(1)</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selling, general and administrative expenses, excluding share-based compensation</w:t>
            </w:r>
            <w:r>
              <w:rPr>
                <w:rFonts w:ascii="Times New Roman;serif" w:hAnsi="Times New Roman;serif"/>
                <w:b w:val="false"/>
                <w:color w:val="000000"/>
                <w:sz w:val="13"/>
              </w:rPr>
              <w:t>(2)</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28,742 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 descr=""/>
                          <pic:cNvPicPr>
                            <a:picLocks noChangeAspect="1" noChangeArrowheads="1"/>
                          </pic:cNvPicPr>
                        </pic:nvPicPr>
                        <pic:blipFill>
                          <a:blip r:embed="rId18"/>
                          <a:stretch>
                            <a:fillRect/>
                          </a:stretch>
                        </pic:blipFill>
                        <pic:spPr bwMode="auto">
                          <a:xfrm>
                            <a:off x="0" y="0"/>
                            <a:ext cx="914400" cy="14605"/>
                          </a:xfrm>
                          <a:prstGeom prst="rect">
                            <a:avLst/>
                          </a:prstGeom>
                        </pic:spPr>
                      </pic:pic>
                    </a:graphicData>
                  </a:graphic>
                </wp:inline>
              </w:drawing>
            </w:r>
            <w:bookmarkStart w:id="17" w:name="i-17"/>
            <w:bookmarkEnd w:id="17"/>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(1)A portion of share-based compensation expense is recognized within Cost and Expenses Applicable to Revenue, and Research and Development. (Refer to “Capital Stock and Reserves — Share-Based Compensation” in Note 11 of Notes to Condensed Consolidated Financial Statements in Part I, Item 1.)</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(2)See “Non-GAAP Financial Measures” for a description of this non-GAAP financial measure and a reconciliation to the most comparable GAAP amount.</w:t>
            </w:r>
          </w:p>
        </w:tc>
      </w:tr>
    </w:tbl>
    <w:p>
      <w:pPr>
        <w:pStyle w:val="TextBody"/>
        <w:bidi w:val="0"/>
        <w:spacing w:before="0" w:after="0"/>
        <w:ind w:left="0" w:right="0" w:hanging="1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period over period, reflecting management’s continued focus on operational efficiencies, including the impact of prior workforce reductions, timing and other cost discipline initiatives.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Research and Development expenses were $1.8 million, representing an increase of $0.5 million, or 37%, when compared to Research and Development expenses of $1.3 million during the same period in the prior year. The increase year-over-year was primarily driven by the capitalization of film camera costs in 2025 in accordance with the achievement of technological feasibility in 2024. The Company continues to expense its investment in other projects, including in the development of new product offerings and improvements to its existing IMAX System product suite.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Credit Loss Reversal, Net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recorded a credit loss reversal of $0.5 million, as compared to $0.1 million recognized in the same period of the prior year.</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Overall, continued strong global box office performance has contributed to a notable improvement in collections. Strong theatrical attendance, driven by a robust film slate, has increased and accelerated cash inflows from studio and exhibitor customers. This trend reflects the continued consumer demand for premium cinematic experiences and effectiveness of IMAX's strategic initiatives to partner with filmmakers, studios, and exhibitors to deliver higher levels of box office.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Interest Expense and Interest Income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interest expense was $1.9 million, representing an increase of $0.1 million, or 5%, as compared to $1.8 million during the same period of the prior year primarily due to higher level of borrowings under the Credit Facility (as defined under “—Liquidity and Capital Resources” below), including $8.7 million paid for lease incentives provided to exhibitor customers, in the current period offset mostly by lower average interest rates. The effective interest rate for the three months ended March 31, 2026 was 5.19% (2025 — 6.18%). For each of the three months ended March 31, 2026 and 2025, interest income was $0.5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recorded an income tax expense of $2.4 million (2025 — $7.3 million). The Company’s effective tax rate of 28.5% for the three months ended March 31, 2026, reflects the geographic allocation of income earned in taxing jurisdictions and also reflects an increase in the valuation allowance, and withholding taxes, offset by a tax benefit related to share-based compensation. The Company’s effective tax rate of 47.2% for the three months ended March 31, 2025, reflects the geographic allocation of income earned in taxing jurisdictions and also reflects an increase in the valuation allowance, withholding taxes and a tax benefit related to share-based compensation.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net income attributable to non-controlling interests of the Company’s subsidiaries was $1.8 million, a decrease of $4.0 million, when compared to the same period in 2025, which reflects a $19.6 million total revenue decline primarily driven by the lower level of IMAX box office earned in Greater China.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CASH FLOWS FOR THE THREE MONTHS ENDED MARCH 31, 2026 AND 2025</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below summarizes our cash flows from operating, investing, and financing activities as reflected in the Condensed Consolidated Statements of Cash Flows for the three months ended March 31, 2026 and 2025. </w:t>
      </w:r>
    </w:p>
    <w:p>
      <w:pPr>
        <w:pStyle w:val="TextBody"/>
        <w:bidi w:val="0"/>
        <w:spacing w:before="0" w:after="0"/>
        <w:ind w:left="0" w:right="0" w:firstLine="216"/>
        <w:jc w:val="left"/>
        <w:rPr/>
      </w:pPr>
      <w:r>
        <w:rPr/>
      </w:r>
    </w:p>
    <w:tbl>
      <w:tblPr>
        <w:tblW w:w="5738" w:type="dxa"/>
        <w:jc w:val="left"/>
        <w:tblInd w:w="0" w:type="dxa"/>
        <w:tblLayout w:type="fixed"/>
        <w:tblCellMar>
          <w:top w:w="28" w:type="dxa"/>
          <w:left w:w="28" w:type="dxa"/>
          <w:bottom w:w="28" w:type="dxa"/>
          <w:right w:w="28" w:type="dxa"/>
        </w:tblCellMar>
      </w:tblPr>
      <w:tblGrid>
        <w:gridCol w:w="1210"/>
        <w:gridCol w:w="1066"/>
        <w:gridCol w:w="1068"/>
        <w:gridCol w:w="211"/>
        <w:gridCol w:w="691"/>
        <w:gridCol w:w="109"/>
        <w:gridCol w:w="109"/>
        <w:gridCol w:w="109"/>
        <w:gridCol w:w="109"/>
        <w:gridCol w:w="211"/>
        <w:gridCol w:w="691"/>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Net cash provided by the Company’s operating activities decreased $2.9 million in the three months ended March 31, 2026, when compared to the same period in 2025, primarily driven by a $7.7 million increase in cash payments related to lease incentives provided to exhibitor customers and annual short term incentive compensation payouts. This higher level of cash outflow was partially offset by strong Accounts Receivable collections during the period. (Refer to Note 9 to Condensed Consolidated Financial Statements in Item 1. for more information on the Company’s change in other operating assets and liabilities.)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$7.7 million in the three months ended March 31, 2026, when compared to the same period in 2025. Cash used in the investment in equipment contributed to the Company’s JRSAs with exhibitor customers was higher in the first quarter of 2025 due in part to the Company shipping systems into the U.S. in advance of planned 2025 system installations as a proactive measure in response to new and potentially changing tariffs. (Refer to “Risk Factors—The Company’s business may be materially adversely affected by the imposition of tariffs and other trade barriers and retaliatory countermeasures implemented by the United States and other governments.” in Part I, Item 1A. in the 2025 Form 10-K.)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$7.0 million in the three months ended March 31, 2026, when compared to the same period in 2025, mainly driven by higher taxes withheld and paid on employee stock awards vested due to the Company’s higher stock price relative to grant dates, and outperformance of PSUs vested during the period. This decrease was partially offset by cash received for stock options exercised during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principal sources of liquidity included: (i) its balances of cash and cash equivalents of $146.0 million; (ii) the anticipated collection of trade accounts receivable, which includes amounts owed under JRSAs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as of March 31, 2026, the Company had $326.0 million in available borrowing capacity under its Credit Facility pursuant to its Seventh Amended and Restated Credit Agreement (the “Credit Agreement”), $27.5 million in available borrowing capacity under the IMAX Shanghai revolving credit facility with the Bank of China (the “Bank of China Facility”), and $28.9 million in available borrowing capacity under IMAX Shanghai’s revolving credit facility with HSBC Bank (China) Company Limited, Shanghai Branch (the “HSBC China Facility”). Refer to “Borrowings — Convertible Notes and Other Borrowings, Net” in Note 6 of Notes to Condensed Consolidated Financial Statements in Part I, Item 1.</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$146.0 million balance of cash and cash equivalents as of March 31, 2026 (December 31, 2025 — $151.2 million) included $139.5 million in cash held outside of Canada (December 31, 2025 — $137.4 million), of which $101.0 million was held in the People’s Republic of China (the “PRC”) (December 31, 2025 — $97.2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three months ended March 31, 2026, no historical earnings from a subsidiary in the PRC were distributed (2025 — $nil) and, as a result, no foreign withholding taxes were paid to the relevant tax authorities (2025 — $nil). As of March 31, 2026, the Company’s Condensed Consolidated Balance Sheets included a deferred tax liability of $12.5 million for the applicable foreign withholding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associated with the remaining balance of non-repatriated historical earnings that will not be indefinitely reinvested outside of Canada. These taxes will become payable upon the repatriation of any such earnings.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2025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also has certain significant contractual obligations and commitments that have been disclosed in “Contractual Obligations” in Part II, Item 7 of the Company’s 2025 Form 10-K. There are no material changes to these obligations and commitments as of March 31, 2026.</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There are currently no off-balance sheet arrangements that have or are reasonably likely to have a current or future material effect on the Company’s financial condition.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2025 Form 10-K.</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Refer to Note 2 of Notes to Condensed Consolidated Financial Statements in Part I, Item 1 for a discussion of recently issued accounting standards and their impact on the Company’s Condensed Consolidated Financial Statements.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GAAP refers to generally accepted accounting principles in the United States of America. In this report, the Company presents financial measures in accordance with GAAP and also on a non-GAAP basis under the U.S. Securities and Exchange Commission regulations. Specifically, the Company presents the following non-GAAP financial measures as supplemental measures of its performance: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net income or loss attributable to common shareholders;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net income or loss attributable to common shareholders per basic and diluted share;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EBITDA;</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EBITDA per Credit Facility; and</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SG&amp;A expenses.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or loss attributable to common shareholders and adjusted net income or loss attributable to common shareholders per basic and diluted share exclude, where applicable: (i) share-based compensation; (ii) realized and unrealized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gains or losses; (iii) goodwill impairment; (iv) restructuring charges and other impairments; (v) employee retention credits; and (vi) induced conversion expense on settlement of convertible notes, as well as the related tax impact of these adjustments.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46"/>
        <w:gridCol w:w="1441"/>
        <w:gridCol w:w="1447"/>
        <w:gridCol w:w="211"/>
        <w:gridCol w:w="616"/>
        <w:gridCol w:w="109"/>
        <w:gridCol w:w="109"/>
        <w:gridCol w:w="109"/>
        <w:gridCol w:w="109"/>
        <w:gridCol w:w="351"/>
        <w:gridCol w:w="852"/>
        <w:gridCol w:w="181"/>
        <w:gridCol w:w="109"/>
        <w:gridCol w:w="109"/>
        <w:gridCol w:w="109"/>
        <w:gridCol w:w="211"/>
        <w:gridCol w:w="616"/>
        <w:gridCol w:w="109"/>
        <w:gridCol w:w="109"/>
        <w:gridCol w:w="109"/>
        <w:gridCol w:w="109"/>
        <w:gridCol w:w="344"/>
        <w:gridCol w:w="834"/>
        <w:gridCol w:w="256"/>
      </w:tblGrid>
      <w:tr>
        <w:trPr/>
        <w:tc>
          <w:tcPr>
            <w:tcW w:w="16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on items listed above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56,392 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54,969 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8" descr=""/>
                          <pic:cNvPicPr>
                            <a:picLocks noChangeAspect="1" noChangeArrowheads="1"/>
                          </pic:cNvPicPr>
                        </pic:nvPicPr>
                        <pic:blipFill>
                          <a:blip r:embed="rId19"/>
                          <a:stretch>
                            <a:fillRect/>
                          </a:stretch>
                        </pic:blipFill>
                        <pic:spPr bwMode="auto">
                          <a:xfrm>
                            <a:off x="0" y="0"/>
                            <a:ext cx="914400" cy="14605"/>
                          </a:xfrm>
                          <a:prstGeom prst="rect">
                            <a:avLst/>
                          </a:prstGeom>
                        </pic:spPr>
                      </pic:pic>
                    </a:graphicData>
                  </a:graphic>
                </wp:inline>
              </w:drawing>
            </w:r>
            <w:bookmarkStart w:id="18" w:name="i-18"/>
            <w:bookmarkEnd w:id="18"/>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(1)Reflects amounts attributable to common shareholders.</w:t>
            </w:r>
          </w:p>
          <w:p>
            <w:pPr>
              <w:pStyle w:val="TableContents"/>
              <w:bidi w:val="0"/>
              <w:spacing w:before="0" w:after="0"/>
              <w:jc w:val="left"/>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EBITDA is defined as net income or loss excluding: (i) income tax expense or benefit; (ii) interest expense, net of interest income; (iii) depreciation and amortization, including film asset amortization; and (iv) amortization of deferred financing costs. Total Adjusted EBITDA per Credit Facility is defined as EBITDA excluding: (i) share-based and other non-cash compensation; (ii) realized and unrealized investment gains or losses; (iii) restructuring charges and other impairments; (iv) write-downs, net of recoveries, including goodwill, asset impairments and credit loss expense or reversal; and (v) induced conversion expense on settlement of convertible notes.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attributable to common shareholders, which is the most directly comparable GAAP measure, to EBITDA and Adjusted EBITDA per Credit Facility are presented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2431"/>
        <w:gridCol w:w="2135"/>
        <w:gridCol w:w="2141"/>
        <w:gridCol w:w="610"/>
        <w:gridCol w:w="2088"/>
        <w:gridCol w:w="314"/>
        <w:gridCol w:w="109"/>
        <w:gridCol w:w="109"/>
        <w:gridCol w:w="109"/>
        <w:gridCol w:w="159"/>
      </w:tblGrid>
      <w:tr>
        <w:trPr/>
        <w:tc>
          <w:tcPr>
            <w:tcW w:w="243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0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486" w:type="dxa"/>
            <w:gridSpan w:val="4"/>
            <w:tcBorders/>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3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(subtract):</w:t>
            </w:r>
          </w:p>
        </w:tc>
        <w:tc>
          <w:tcPr>
            <w:tcW w:w="3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film asset amortization</w:t>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deferred financing costs</w:t>
            </w:r>
            <w:r>
              <w:rPr>
                <w:rFonts w:ascii="Times New Roman;serif" w:hAnsi="Times New Roman;serif"/>
                <w:b w:val="false"/>
                <w:color w:val="000000"/>
                <w:sz w:val="13"/>
              </w:rPr>
              <w:t>(1)</w:t>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25,156 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and other non-cash compensation</w:t>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30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Write-downs, including asset impairments and credit loss expense</w:t>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30,509 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2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per Credit Facility - attributable to common shareholders</w:t>
            </w:r>
          </w:p>
        </w:tc>
        <w:tc>
          <w:tcPr>
            <w:tcW w:w="6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26,809 </w:t>
            </w:r>
          </w:p>
        </w:tc>
        <w:tc>
          <w:tcPr>
            <w:tcW w:w="3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6"/>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7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9" descr=""/>
                          <pic:cNvPicPr>
                            <a:picLocks noChangeAspect="1" noChangeArrowheads="1"/>
                          </pic:cNvPicPr>
                        </pic:nvPicPr>
                        <pic:blipFill>
                          <a:blip r:embed="rId20"/>
                          <a:stretch>
                            <a:fillRect/>
                          </a:stretch>
                        </pic:blipFill>
                        <pic:spPr bwMode="auto">
                          <a:xfrm>
                            <a:off x="0" y="0"/>
                            <a:ext cx="914400" cy="14605"/>
                          </a:xfrm>
                          <a:prstGeom prst="rect">
                            <a:avLst/>
                          </a:prstGeom>
                        </pic:spPr>
                      </pic:pic>
                    </a:graphicData>
                  </a:graphic>
                </wp:inline>
              </w:drawing>
            </w:r>
            <w:bookmarkStart w:id="19" w:name="i-19"/>
            <w:bookmarkEnd w:id="19"/>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amortization of deferred financing costs is recorded within Interest Expense in the Condensed Consolidated Statements of Operations.</w:t>
            </w:r>
          </w:p>
        </w:tc>
        <w:tc>
          <w:tcPr>
            <w:tcW w:w="486"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2409"/>
        <w:gridCol w:w="2116"/>
        <w:gridCol w:w="2121"/>
        <w:gridCol w:w="566"/>
        <w:gridCol w:w="2218"/>
        <w:gridCol w:w="292"/>
        <w:gridCol w:w="109"/>
        <w:gridCol w:w="109"/>
        <w:gridCol w:w="109"/>
        <w:gridCol w:w="156"/>
      </w:tblGrid>
      <w:tr>
        <w:trPr/>
        <w:tc>
          <w:tcPr>
            <w:tcW w:w="24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0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Twelve Months Ended March 31, 2026</w:t>
            </w:r>
          </w:p>
        </w:tc>
        <w:tc>
          <w:tcPr>
            <w:tcW w:w="483" w:type="dxa"/>
            <w:gridSpan w:val="4"/>
            <w:tcBorders/>
          </w:tcPr>
          <w:p>
            <w:pPr>
              <w:pStyle w:val="TableContents"/>
              <w:bidi w:val="0"/>
              <w:spacing w:before="0" w:after="283"/>
              <w:jc w:val="left"/>
              <w:rPr>
                <w:sz w:val="4"/>
                <w:szCs w:val="4"/>
              </w:rPr>
            </w:pPr>
            <w:r>
              <w:rPr>
                <w:sz w:val="4"/>
                <w:szCs w:val="4"/>
              </w:rPr>
            </w:r>
          </w:p>
        </w:tc>
      </w:tr>
      <w:tr>
        <w:trPr/>
        <w:tc>
          <w:tcPr>
            <w:tcW w:w="6646" w:type="dxa"/>
            <w:gridSpan w:val="3"/>
            <w:tcBorders/>
            <w:vAlign w:val="center"/>
          </w:tcPr>
          <w:p>
            <w:pPr>
              <w:pStyle w:val="TableContents"/>
              <w:bidi w:val="0"/>
              <w:spacing w:before="0" w:after="283"/>
              <w:jc w:val="left"/>
              <w:rPr>
                <w:sz w:val="4"/>
                <w:szCs w:val="4"/>
              </w:rPr>
            </w:pPr>
            <w:r>
              <w:rPr>
                <w:sz w:val="4"/>
                <w:szCs w:val="4"/>
              </w:rPr>
            </w:r>
          </w:p>
        </w:tc>
        <w:tc>
          <w:tcPr>
            <w:tcW w:w="3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(subtract):</w:t>
            </w:r>
          </w:p>
        </w:tc>
        <w:tc>
          <w:tcPr>
            <w:tcW w:w="3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film asset amortization</w:t>
            </w:r>
          </w:p>
        </w:tc>
        <w:tc>
          <w:tcPr>
            <w:tcW w:w="2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62,769 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deferred financing costs</w:t>
            </w:r>
            <w:r>
              <w:rPr>
                <w:rFonts w:ascii="Times New Roman;serif" w:hAnsi="Times New Roman;serif"/>
                <w:b w:val="false"/>
                <w:color w:val="000000"/>
                <w:sz w:val="13"/>
              </w:rPr>
              <w:t>(1)</w:t>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123,847 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and other non-cash compensation</w:t>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losses</w:t>
            </w:r>
          </w:p>
        </w:tc>
        <w:tc>
          <w:tcPr>
            <w:tcW w:w="2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vAlign w:val="center"/>
          </w:tcPr>
          <w:p>
            <w:pPr>
              <w:pStyle w:val="TableContents"/>
              <w:bidi w:val="0"/>
              <w:spacing w:before="0" w:after="283"/>
              <w:jc w:val="left"/>
              <w:rPr>
                <w:sz w:val="4"/>
                <w:szCs w:val="4"/>
              </w:rPr>
            </w:pPr>
            <w:r>
              <w:rPr>
                <w:sz w:val="4"/>
                <w:szCs w:val="4"/>
              </w:rPr>
            </w:r>
          </w:p>
        </w:tc>
        <w:tc>
          <w:tcPr>
            <w:tcW w:w="3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vAlign w:val="center"/>
          </w:tcPr>
          <w:p>
            <w:pPr>
              <w:pStyle w:val="TableContents"/>
              <w:bidi w:val="0"/>
              <w:spacing w:before="0" w:after="283"/>
              <w:jc w:val="left"/>
              <w:rPr>
                <w:sz w:val="4"/>
                <w:szCs w:val="4"/>
              </w:rPr>
            </w:pPr>
            <w:r>
              <w:rPr>
                <w:sz w:val="4"/>
                <w:szCs w:val="4"/>
              </w:rPr>
            </w:r>
          </w:p>
        </w:tc>
        <w:tc>
          <w:tcPr>
            <w:tcW w:w="3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Write-downs, including goodwill, asset impairments and credit loss expense</w:t>
            </w:r>
          </w:p>
        </w:tc>
        <w:tc>
          <w:tcPr>
            <w:tcW w:w="2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Induced conversion expense on settlement of convertible notes</w:t>
            </w:r>
          </w:p>
        </w:tc>
        <w:tc>
          <w:tcPr>
            <w:tcW w:w="2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178,479 </w:t>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27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(13,967)</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per Credit Facility - attributable to common shareholders</w:t>
            </w:r>
          </w:p>
        </w:tc>
        <w:tc>
          <w:tcPr>
            <w:tcW w:w="5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164,512 </w:t>
            </w:r>
          </w:p>
        </w:tc>
        <w:tc>
          <w:tcPr>
            <w:tcW w:w="2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6"/>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7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0" descr=""/>
                          <pic:cNvPicPr>
                            <a:picLocks noChangeAspect="1" noChangeArrowheads="1"/>
                          </pic:cNvPicPr>
                        </pic:nvPicPr>
                        <pic:blipFill>
                          <a:blip r:embed="rId21"/>
                          <a:stretch>
                            <a:fillRect/>
                          </a:stretch>
                        </pic:blipFill>
                        <pic:spPr bwMode="auto">
                          <a:xfrm>
                            <a:off x="0" y="0"/>
                            <a:ext cx="914400" cy="14605"/>
                          </a:xfrm>
                          <a:prstGeom prst="rect">
                            <a:avLst/>
                          </a:prstGeom>
                        </pic:spPr>
                      </pic:pic>
                    </a:graphicData>
                  </a:graphic>
                </wp:inline>
              </w:drawing>
            </w:r>
            <w:bookmarkStart w:id="20" w:name="i-20"/>
            <w:bookmarkEnd w:id="20"/>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amortization of deferred financing costs is recorded within Interest Expense in the Condensed Consolidated Statements of Operations.</w:t>
            </w:r>
          </w:p>
          <w:p>
            <w:pPr>
              <w:pStyle w:val="TableContents"/>
              <w:bidi w:val="0"/>
              <w:spacing w:before="0" w:after="0"/>
              <w:jc w:val="both"/>
              <w:rPr/>
            </w:pPr>
            <w:r>
              <w:rPr/>
            </w:r>
          </w:p>
          <w:p>
            <w:pPr>
              <w:pStyle w:val="TableContents"/>
              <w:bidi w:val="0"/>
              <w:spacing w:before="0" w:after="0"/>
              <w:jc w:val="both"/>
              <w:rPr/>
            </w:pPr>
            <w:r>
              <w:rPr/>
            </w:r>
          </w:p>
        </w:tc>
        <w:tc>
          <w:tcPr>
            <w:tcW w:w="483"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also adjusts SG&amp;A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 reconciliation of Selling, General and Administrative Expenses, the most directly comparable GAAP measure presented in the Condensed Consolidated Statement of Operations in Part I, Item 1, to Adjusted Selling, General and Administrative Expenses is presented in the table below.</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tbl>
      <w:tblPr>
        <w:tblW w:w="7884" w:type="dxa"/>
        <w:jc w:val="left"/>
        <w:tblInd w:w="0" w:type="dxa"/>
        <w:tblLayout w:type="fixed"/>
        <w:tblCellMar>
          <w:top w:w="28" w:type="dxa"/>
          <w:left w:w="28" w:type="dxa"/>
          <w:bottom w:w="28" w:type="dxa"/>
          <w:right w:w="28" w:type="dxa"/>
        </w:tblCellMar>
      </w:tblPr>
      <w:tblGrid>
        <w:gridCol w:w="1807"/>
        <w:gridCol w:w="1591"/>
        <w:gridCol w:w="1596"/>
        <w:gridCol w:w="211"/>
        <w:gridCol w:w="721"/>
        <w:gridCol w:w="109"/>
        <w:gridCol w:w="109"/>
        <w:gridCol w:w="109"/>
        <w:gridCol w:w="109"/>
        <w:gridCol w:w="211"/>
        <w:gridCol w:w="721"/>
        <w:gridCol w:w="109"/>
        <w:gridCol w:w="109"/>
        <w:gridCol w:w="109"/>
        <w:gridCol w:w="109"/>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Selling, general and administrative expenses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Foreign Exchange Rate Risk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91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Certain of the Company’s PRC subsidiaries held approximately RMB 690.7 million ($99.8 million) in cash and cash equivalents as of March 31, 2026 (December 31, 2025 — RMB 678.2 million or $96.5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 of the Company’s 2025 Form 10-K.)</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Management also monitors the macroeconomic environment as part of its continuous assessment of credit risk. This includes consideration of developments in the U.S. and global banking sectors,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recorded a foreign exchange net loss of $0.6 million, resulting from changes in exchange rates related to foreign currency denominated monetary assets and liabilities (2025 — net loss of $0.4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2026, with settlement dates throughout 2026 and 2027.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notional value of foreign currency cash flow hedging instruments that qualify for hedge accounting as of March 31, 2026 was $38.5 million (December 31, 2025 — $48.4 million). Losses of $0.6 million was recorded to Other Comprehensive Income with respect to the change in fair value of these contracts for the three months ended March 31, 2026 (March 31, 2025 — losses of $0.7 million). Gains of $0.3 million were reclassified from Accumulated Other Comprehensive Income to Selling, General and Administrative Expenses for the three months ended March 31, 2026 (March 31, 2025 — losses of $1.3 million). The Company currently does not hold any derivatives which are not designated as hedging instruments.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Financing Receivables and working capital items denominated in Canadian Dollars, RMB, Japanese Yen, Euros and other foreign currencies translated into U.S. Dollars was $152.2 million. Assuming a 10% appreciation or depreciation in foreign currency exchange rates from the quoted foreign currency exchange rates as of March 31, 2026, the potential change in the fair value of foreign currency-denominated financing receivables and working capital items would have been $15.2 million. A significant portion of the Company’s Selling, General, and Administrative Expenses is denominated in Canadian Dollars. Assuming a 1% change appreciation or depreciation in foreign currency exchange rates as of March 31, 2026, the potential change in the amount of Selling, General, and Administrative Expenses would be $0.1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Interest Rate Risk Management</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earnings may also be affected by changes in interest rates due to the impact those changes have on its interest income from cash, and its interest expense from variable-rate borrowings that may be made under the Credit Facility.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drawn down $49.0 million on its Credit Facility (December 31, 2025 — $37.0 million), and $nil on its HSBC China Facility (December 31, 2025 — $nil) and $nil on its Bank of China Facility (December 31, 2025 — $nil), which are subject to variable effective interest rates. If the interest rates available to the Company increased by 10%, the Company’s interest expense would increase by $0.3 million and interest income from cash would increase by $0.3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had variable rate debt instruments representing 11% and 8% of its total liabilities as of March 31, 2026 and December 31, 2025, respectively. These amounts are determined by considering the impact of the hypothetical interest rates on the Company’s variable rate debt and cash balances as of March 31, 2026.</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principal executive and principal financial officers,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its principal executive and principal financial officers, has evaluated the effectiveness of the Company’s “disclosure controls and procedures” (as defined in Rules 13a-15(e) or 15d-15(e) under the Exchange Act) as of March 31, 2026 and has concluded that, as of the end of the period covered by this report, the Company’s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which occurred during the three months ended March 31, 2026,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Refer to Note 7 of Notes to Condensed Consolidated Financial Statements in Part I, Item 1 for information regarding legal proceedings involving the Company.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This Form 10-Q should be read together with, and supplement, the risk factors in Item 1A “Risk Factors” in the Company’s 2025 Form 10-K, which describes various risks and uncertainties to which the Company is or may become subject. The risk factors below update certain risk factors included in the Company’s 2025 Form 10-K in light of recent events. The below risk factors and the risk factors included in the Company’s 2025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pStyle w:val="TextBody"/>
        <w:bidi w:val="0"/>
        <w:spacing w:before="0" w:after="0"/>
        <w:ind w:left="0" w:right="0" w:firstLine="216"/>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Company conducts business internationally, which exposes it to uncertainties and risks that could negatively affect its operations, sales, and future growth prospects.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revenues and of the GBO earned by the Company’s exhibitor customers are generated outside the United States and Canada. Approximately 62%, 58%, and 64% of the Company’s revenues were derived outside of the United States and Canada in 2025, 2024, and 2023, respectively. As of March 31, 2026, 73% of IMAX Systems in backlog were scheduled to be installed in international markets. The Company’s network spanned 91 different countries as of March 31, 2026,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among others, include: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Operational and Supply Chain Risks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obtaining competitively priced key commodities, raw materials, and component parts from various international sources that are needed to manufacture quality products on a timely basis;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dependence on foreign distributors and their sales channels;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reliance on local partners in foreign territories, including in connection with JRSAs;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inability to complete installations of IMAX Systems, including as a result of material disruptions or delays in the Company’s supply chains, or to collect full payment on installations thereof;</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public health concerns, including pandemics or epidemics, and regulations in response thereto, which could adversely affect the Company’s and its customers’ operations; and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harm to the IMAX brand from operating in countries with records of controversial government action, including human rights abuses.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Macroeconomic Risks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fluctuations in the value of foreign currencies versus the U.S. Dollar, potential currency devaluations, and imposition of foreign exchange controls in foreign jurisdictions;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adverse changes in foreign government monetary and/or tax policies, and/or difficulties in repatriating cash from foreign jurisdictions (including with respect to China, where approval of the State Administration of Foreign Exchange is required);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requirements to provide performance bonds and letters of credit to international customers to secure IMAX System component deliveries;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less accurate and/or less reliable box office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establishing market-appropriate pricing; and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economic conditions in foreign markets, including inflation.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Geopolitical, Trade, and Regulatory Compliance Risks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new and potentially changing tariffs, trade protection measures, import or export licensing requirements, trade embargoes, sanctions and export controls, and other trade barriers, including but not limited to planned, implemented or threatened tariffs and retaliatory responses thereto, or the residual impacts and uncertainty as a result of changes in tariff or trade policy;</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new restrictions on access to markets, both for IMAX Systems and content;</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unusual or burdensome foreign laws or regulatory requirements or unexpected changes to those laws or requirements, including censorship of content that may restrict what films or other content are exhibited across the Company’s network;</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local business practices that can present challenges to compliance with applicable anti-corruption and bribery laws;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poor recognition of intellectual property rights;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enforcing contractual rights; and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war, conflict, geopolitical tensions and other political, economic and social instability, terrorist attacks and security concerns, such as the ongoing conflict between Russia and Ukraine, the war in Iran and other armed conflicts in the Middle East, and escalating tensions in the Taiwan Strait, all of which could result in adverse consequences for the Company’s interests in different regions of the world.</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Global geopolitical tensions and actions that governments take in response and the resulting global and regional economic downturns have had and may in the future adversely impact the Company’s ability to operate in such regions. For example, the ongoing conflict between Russia and Ukraine and responses thereto have had and may continue to have an adverse impact on the Company’s business and results of operations in affected regions, including the continued suspension of the Company’s operations across the Company’s 54 theaters in the region. Three theaters in Israel and one theater in Lebanon have been impacted by closures or are operating in limited capacity due to the Iran war. The other 31 of the Company’s 35 theaters in the Middle East region remain fully operational. Furthermore, disruptions to key global shipping routes, including the Strait of Hormuz, have and may continue to adversely affect global supply chains by increasing transportation time and cost as well as increasing uncertainty in the availability of critical goods and services, which may in turn impact the Company’s operations. Given the uncertainty as to the scope, intensity, duration and outcome of geopolitical conflicts, it is difficult to predict the full extent of the adverse impacts of geopolitical conflicts on the Company’s business and results of operations. Additionally, given the global nature of the Company’s operations, any protracted conflict or the broader macroeconomic impact of geopolitical conflicts and sanctions imposed in response thereto, have had and could continue to have an adverse impact on the Company’s business, results of operations, financial condition, and future performance and may also magnify the impact of other risks described herein, including the risk of cybersecurity attacks, which may impact information technology systems unrelated to the conflict, or jeopardize critical infrastructure in jurisdictions where the Company operates.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While the Company has implemented policies, internal controls, and other measures reasonably designed to promote compliance with applicable laws and regulations related to doing business internationally, any violations of these laws and regulations, or even allegations of such a violation, could disrupt the Company’s operations and harm the Company’s business, financial condition and results of operations. 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particular country may impede the Company’s ability to conduct business in that country and have a negative impact on the Company’s financial condition and future growth prospects.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On June 12, 2017, the Company announced that its Board of Directors approved a $200.0 million share repurchase program for its common shares that would have expired on June 30, 2020, which was subsequently extended through June 30, 2026 and increased in the total share repurchase authority to $500.0 million under the current share repurchase program. As of March 31, 2026, the Company had $250.7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did not repurchase any common shares under the Company’s publicly announced program, and there are no other programs under which the Company repurchases shares.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common share repurchase program activity for the three months ended March 31, 2026 was as follows:</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587"/>
        <w:gridCol w:w="455"/>
        <w:gridCol w:w="457"/>
        <w:gridCol w:w="451"/>
        <w:gridCol w:w="451"/>
        <w:gridCol w:w="453"/>
        <w:gridCol w:w="126"/>
        <w:gridCol w:w="126"/>
        <w:gridCol w:w="126"/>
        <w:gridCol w:w="339"/>
        <w:gridCol w:w="654"/>
        <w:gridCol w:w="175"/>
        <w:gridCol w:w="126"/>
        <w:gridCol w:w="126"/>
        <w:gridCol w:w="126"/>
        <w:gridCol w:w="688"/>
        <w:gridCol w:w="688"/>
        <w:gridCol w:w="690"/>
        <w:gridCol w:w="126"/>
        <w:gridCol w:w="126"/>
        <w:gridCol w:w="126"/>
        <w:gridCol w:w="404"/>
        <w:gridCol w:w="2275"/>
        <w:gridCol w:w="304"/>
      </w:tblGrid>
      <w:tr>
        <w:trPr/>
        <w:tc>
          <w:tcPr>
            <w:tcW w:w="58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 as part of publicly announced program</w:t>
            </w:r>
            <w:r>
              <w:rPr>
                <w:rFonts w:ascii="Times New Roman;serif" w:hAnsi="Times New Roman;serif"/>
                <w:b/>
                <w:color w:val="000000"/>
                <w:sz w:val="10"/>
              </w:rPr>
              <w:t>(1)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 approximate dollar value of shares that may yet be purchased under the program</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January 1 through January 31, 2026</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250,720,325 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 through February 28, 2026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250,720,325 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 through March 31, 2026</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250,720,325 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298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7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1" descr=""/>
                          <pic:cNvPicPr>
                            <a:picLocks noChangeAspect="1" noChangeArrowheads="1"/>
                          </pic:cNvPicPr>
                        </pic:nvPicPr>
                        <pic:blipFill>
                          <a:blip r:embed="rId22"/>
                          <a:stretch>
                            <a:fillRect/>
                          </a:stretch>
                        </pic:blipFill>
                        <pic:spPr bwMode="auto">
                          <a:xfrm>
                            <a:off x="0" y="0"/>
                            <a:ext cx="914400" cy="14605"/>
                          </a:xfrm>
                          <a:prstGeom prst="rect">
                            <a:avLst/>
                          </a:prstGeom>
                        </pic:spPr>
                      </pic:pic>
                    </a:graphicData>
                  </a:graphic>
                </wp:inline>
              </w:drawing>
            </w:r>
            <w:bookmarkStart w:id="21" w:name="i-21"/>
            <w:bookmarkEnd w:id="21"/>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(1)On June 12, 2017, the Company announced that its Board of Directors approved a $200.0 million share repurchase program for its common shares that would have expired on June 30, 2020, which was subsequently extended through June 30, 2026 and increased in the total share repurchase authority to $500.0 million under the current share repurchase program. As of March 31, 2026, the Company had $250.7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 No plan or program expired or was terminated during the period covered by this table, and the Company has not determined to terminate the program prior to its expiration.</w:t>
            </w:r>
          </w:p>
        </w:tc>
      </w:tr>
    </w:tbl>
    <w:p>
      <w:pPr>
        <w:pStyle w:val="TextBody"/>
        <w:bidi w:val="0"/>
        <w:spacing w:before="0" w:after="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2025 Annual General Meeting of IMAX China, shareholders granted its Board of Directors a general mandate authorizing the Board of Directors of IMAX China, subject to applicable laws, to repurchase shares of IMAX China not to exceed 10% of the total number of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2026, IMAX China did not repurchase any shares.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(Refer to Note 13 to the Company’s audited Consolidated Financial Statements in its 2025 Form 10-K Part I, Item 1 for a summary of the material terms and conditions of the Company’s revolving credit facility, which includes a limitation of the amount of permitted share repurchases.)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Times New Roman;serif" w:hAnsi="Times New Roman;serif"/>
          <w:b/>
          <w:i/>
          <w:color w:val="000000"/>
          <w:sz w:val="20"/>
        </w:rPr>
        <w:t>(a)</w:t>
      </w:r>
      <w:r>
        <w:rPr>
          <w:rFonts w:ascii="Times New Roman;serif" w:hAnsi="Times New Roman;serif"/>
          <w:b w:val="false"/>
          <w:color w:val="000000"/>
          <w:sz w:val="20"/>
        </w:rPr>
        <w:t>None.</w:t>
      </w:r>
    </w:p>
    <w:p>
      <w:pPr>
        <w:pStyle w:val="TextBody"/>
        <w:bidi w:val="0"/>
        <w:spacing w:before="0" w:after="0"/>
        <w:ind w:left="0" w:right="0" w:hanging="72"/>
        <w:jc w:val="both"/>
        <w:rPr/>
      </w:pPr>
      <w:r>
        <w:rPr/>
      </w:r>
    </w:p>
    <w:p>
      <w:pPr>
        <w:pStyle w:val="TextBody"/>
        <w:bidi w:val="0"/>
        <w:spacing w:lineRule="auto" w:line="288" w:before="0" w:after="0"/>
        <w:ind w:left="0" w:right="0" w:hanging="432"/>
        <w:jc w:val="both"/>
        <w:rPr/>
      </w:pPr>
      <w:r>
        <w:rPr>
          <w:rFonts w:ascii="Times New Roman;serif" w:hAnsi="Times New Roman;serif"/>
          <w:b/>
          <w:i/>
          <w:color w:val="000000"/>
          <w:sz w:val="20"/>
        </w:rPr>
        <w:t>(b)</w:t>
      </w:r>
      <w:r>
        <w:rPr>
          <w:rFonts w:ascii="Times New Roman;serif" w:hAnsi="Times New Roman;serif"/>
          <w:b w:val="false"/>
          <w:color w:val="000000"/>
          <w:sz w:val="20"/>
        </w:rPr>
        <w:t>None.</w:t>
      </w:r>
    </w:p>
    <w:p>
      <w:pPr>
        <w:pStyle w:val="TextBody"/>
        <w:bidi w:val="0"/>
        <w:spacing w:before="0" w:after="0"/>
        <w:ind w:left="0" w:right="0" w:hanging="72"/>
        <w:jc w:val="both"/>
        <w:rPr/>
      </w:pPr>
      <w:r>
        <w:rPr/>
      </w:r>
    </w:p>
    <w:p>
      <w:pPr>
        <w:pStyle w:val="TextBody"/>
        <w:bidi w:val="0"/>
        <w:spacing w:lineRule="auto" w:line="288" w:before="0" w:after="0"/>
        <w:ind w:left="0" w:right="0" w:hanging="432"/>
        <w:jc w:val="both"/>
        <w:rPr/>
      </w:pPr>
      <w:r>
        <w:rPr>
          <w:rFonts w:ascii="Times New Roman;serif" w:hAnsi="Times New Roman;serif"/>
          <w:b/>
          <w:i/>
          <w:color w:val="000000"/>
          <w:sz w:val="20"/>
        </w:rPr>
        <w:t>(c)</w:t>
      </w:r>
      <w:r>
        <w:rPr>
          <w:rFonts w:ascii="Times New Roman;serif" w:hAnsi="Times New Roman;serif"/>
          <w:b w:val="false"/>
          <w:color w:val="000000"/>
          <w:sz w:val="20"/>
        </w:rPr>
        <w:t>None.</w:t>
      </w:r>
    </w:p>
    <w:p>
      <w:pPr>
        <w:pStyle w:val="TextBody"/>
        <w:bidi w:val="0"/>
        <w:spacing w:before="0" w:after="0"/>
        <w:ind w:left="0" w:right="0" w:firstLine="1"/>
        <w:jc w:val="both"/>
        <w:rPr/>
      </w:pPr>
      <w:r>
        <w:rPr/>
      </w:r>
    </w:p>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0"/>
        <w:gridCol w:w="264"/>
        <w:gridCol w:w="265"/>
        <w:gridCol w:w="109"/>
        <w:gridCol w:w="109"/>
        <w:gridCol w:w="109"/>
        <w:gridCol w:w="2639"/>
        <w:gridCol w:w="2639"/>
        <w:gridCol w:w="3771"/>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ocertification.htm">
              <w:r>
                <w:rPr>
                  <w:rStyle w:val="InternetLink"/>
                  <w:rFonts w:ascii="Times New Roman;serif" w:hAnsi="Times New Roman;serif"/>
                  <w:b w:val="false"/>
                  <w:color w:val="000080"/>
                  <w:sz w:val="20"/>
                  <w:u w:val="single"/>
                </w:rPr>
                <w:t xml:space="preserve">Certification Pursuant to Section 302 of the Sarbanes-Oxley Act of 2002, dated </w:t>
              </w:r>
            </w:hyperlink>
            <w:hyperlink w:anchor="exhibit311ceocertification.htm">
              <w:r>
                <w:rPr>
                  <w:rStyle w:val="InternetLink"/>
                  <w:rFonts w:ascii="Times New Roman;serif" w:hAnsi="Times New Roman;serif"/>
                  <w:b w:val="false"/>
                  <w:color w:val="000080"/>
                  <w:sz w:val="20"/>
                  <w:u w:val="single"/>
                </w:rPr>
                <w:t xml:space="preserve">April </w:t>
              </w:r>
            </w:hyperlink>
            <w:hyperlink w:anchor="exhibit311ceocertification.htm">
              <w:r>
                <w:rPr>
                  <w:rStyle w:val="InternetLink"/>
                  <w:rFonts w:ascii="Times New Roman;serif" w:hAnsi="Times New Roman;serif"/>
                  <w:b w:val="false"/>
                  <w:color w:val="000080"/>
                  <w:sz w:val="20"/>
                  <w:u w:val="single"/>
                </w:rPr>
                <w:t>3</w:t>
              </w:r>
            </w:hyperlink>
            <w:hyperlink w:anchor="exhibit311ceocertification.htm">
              <w:r>
                <w:rPr>
                  <w:rStyle w:val="InternetLink"/>
                  <w:rFonts w:ascii="Times New Roman;serif" w:hAnsi="Times New Roman;serif"/>
                  <w:b w:val="false"/>
                  <w:color w:val="000080"/>
                  <w:sz w:val="20"/>
                  <w:u w:val="single"/>
                </w:rPr>
                <w:t>0</w:t>
              </w:r>
            </w:hyperlink>
            <w:hyperlink w:anchor="exhibit311ceocertification.htm">
              <w:r>
                <w:rPr>
                  <w:rStyle w:val="InternetLink"/>
                  <w:rFonts w:ascii="Times New Roman;serif" w:hAnsi="Times New Roman;serif"/>
                  <w:b w:val="false"/>
                  <w:color w:val="000080"/>
                  <w:sz w:val="20"/>
                  <w:u w:val="single"/>
                </w:rPr>
                <w:t>, 202</w:t>
              </w:r>
            </w:hyperlink>
            <w:hyperlink w:anchor="exhibit311ceocertification.htm">
              <w:r>
                <w:rPr>
                  <w:rStyle w:val="InternetLink"/>
                  <w:rFonts w:ascii="Times New Roman;serif" w:hAnsi="Times New Roman;serif"/>
                  <w:b w:val="false"/>
                  <w:color w:val="000080"/>
                  <w:sz w:val="20"/>
                  <w:u w:val="single"/>
                </w:rPr>
                <w:t>6</w:t>
              </w:r>
            </w:hyperlink>
            <w:hyperlink w:anchor="exhibit311ceocertification.htm">
              <w:r>
                <w:rPr>
                  <w:rStyle w:val="InternetLink"/>
                  <w:rFonts w:ascii="Times New Roman;serif" w:hAnsi="Times New Roman;serif"/>
                  <w:b w:val="false"/>
                  <w:color w:val="000080"/>
                  <w:sz w:val="20"/>
                  <w:u w:val="single"/>
                </w:rPr>
                <w:t xml:space="preserve">, by </w:t>
              </w:r>
            </w:hyperlink>
            <w:hyperlink w:anchor="exhibit311ceocertification.htm">
              <w:r>
                <w:rPr>
                  <w:rStyle w:val="InternetLink"/>
                  <w:rFonts w:ascii="Times New Roman;serif" w:hAnsi="Times New Roman;serif"/>
                  <w:b w:val="false"/>
                  <w:color w:val="000080"/>
                  <w:sz w:val="20"/>
                  <w:u w:val="single"/>
                </w:rPr>
                <w:t>Ro</w:t>
              </w:r>
            </w:hyperlink>
            <w:hyperlink w:anchor="exhibit311ceocertification.htm">
              <w:r>
                <w:rPr>
                  <w:rStyle w:val="InternetLink"/>
                  <w:rFonts w:ascii="Times New Roman;serif" w:hAnsi="Times New Roman;serif"/>
                  <w:b w:val="false"/>
                  <w:color w:val="000080"/>
                  <w:sz w:val="20"/>
                  <w:u w:val="single"/>
                </w:rPr>
                <w:t>bert D. Lister</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focertification.htm">
              <w:r>
                <w:rPr>
                  <w:rStyle w:val="InternetLink"/>
                  <w:rFonts w:ascii="Times New Roman;serif" w:hAnsi="Times New Roman;serif"/>
                  <w:b w:val="false"/>
                  <w:color w:val="000080"/>
                  <w:sz w:val="20"/>
                  <w:u w:val="single"/>
                </w:rPr>
                <w:t xml:space="preserve">Certification Pursuant to Section 302 of the Sarbanes-Oxley Act of 2002, dated </w:t>
              </w:r>
            </w:hyperlink>
            <w:hyperlink w:anchor="exhibit312cfocertification.htm">
              <w:r>
                <w:rPr>
                  <w:rStyle w:val="InternetLink"/>
                  <w:rFonts w:ascii="Times New Roman;serif" w:hAnsi="Times New Roman;serif"/>
                  <w:b w:val="false"/>
                  <w:color w:val="000080"/>
                  <w:sz w:val="20"/>
                  <w:u w:val="single"/>
                </w:rPr>
                <w:t xml:space="preserve">April </w:t>
              </w:r>
            </w:hyperlink>
            <w:hyperlink w:anchor="exhibit312cfocertification.htm">
              <w:r>
                <w:rPr>
                  <w:rStyle w:val="InternetLink"/>
                  <w:rFonts w:ascii="Times New Roman;serif" w:hAnsi="Times New Roman;serif"/>
                  <w:b w:val="false"/>
                  <w:color w:val="000080"/>
                  <w:sz w:val="20"/>
                  <w:u w:val="single"/>
                </w:rPr>
                <w:t>3</w:t>
              </w:r>
            </w:hyperlink>
            <w:hyperlink w:anchor="exhibit312cfocertification.htm">
              <w:r>
                <w:rPr>
                  <w:rStyle w:val="InternetLink"/>
                  <w:rFonts w:ascii="Times New Roman;serif" w:hAnsi="Times New Roman;serif"/>
                  <w:b w:val="false"/>
                  <w:color w:val="000080"/>
                  <w:sz w:val="20"/>
                  <w:u w:val="single"/>
                </w:rPr>
                <w:t>0</w:t>
              </w:r>
            </w:hyperlink>
            <w:hyperlink w:anchor="exhibit312cfocertification.htm">
              <w:r>
                <w:rPr>
                  <w:rStyle w:val="InternetLink"/>
                  <w:rFonts w:ascii="Times New Roman;serif" w:hAnsi="Times New Roman;serif"/>
                  <w:b w:val="false"/>
                  <w:color w:val="000080"/>
                  <w:sz w:val="20"/>
                  <w:u w:val="single"/>
                </w:rPr>
                <w:t>, 202</w:t>
              </w:r>
            </w:hyperlink>
            <w:hyperlink w:anchor="exhibit312cfocertification.htm">
              <w:r>
                <w:rPr>
                  <w:rStyle w:val="InternetLink"/>
                  <w:rFonts w:ascii="Times New Roman;serif" w:hAnsi="Times New Roman;serif"/>
                  <w:b w:val="false"/>
                  <w:color w:val="000080"/>
                  <w:sz w:val="20"/>
                  <w:u w:val="single"/>
                </w:rPr>
                <w:t>6</w:t>
              </w:r>
            </w:hyperlink>
            <w:hyperlink w:anchor="exhibit312cfocertification.htm">
              <w:r>
                <w:rPr>
                  <w:rStyle w:val="InternetLink"/>
                  <w:rFonts w:ascii="Times New Roman;serif" w:hAnsi="Times New Roman;serif"/>
                  <w:b w:val="false"/>
                  <w:color w:val="000080"/>
                  <w:sz w:val="20"/>
                  <w:u w:val="single"/>
                </w:rPr>
                <w:t>, by Natasha Fernandes</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ocertification.htm">
              <w:r>
                <w:rPr>
                  <w:rStyle w:val="InternetLink"/>
                  <w:rFonts w:ascii="Times New Roman;serif" w:hAnsi="Times New Roman;serif"/>
                  <w:b w:val="false"/>
                  <w:color w:val="000080"/>
                  <w:sz w:val="20"/>
                  <w:u w:val="single"/>
                </w:rPr>
                <w:t xml:space="preserve">Certification Pursuant to Section 906 of the Sarbanes-Oxley Act of 2002, dated </w:t>
              </w:r>
            </w:hyperlink>
            <w:hyperlink w:anchor="exhibit321ceocertification.htm">
              <w:r>
                <w:rPr>
                  <w:rStyle w:val="InternetLink"/>
                  <w:rFonts w:ascii="Times New Roman;serif" w:hAnsi="Times New Roman;serif"/>
                  <w:b w:val="false"/>
                  <w:color w:val="000080"/>
                  <w:sz w:val="20"/>
                  <w:u w:val="single"/>
                </w:rPr>
                <w:t xml:space="preserve">April </w:t>
              </w:r>
            </w:hyperlink>
            <w:hyperlink w:anchor="exhibit321ceocertification.htm">
              <w:r>
                <w:rPr>
                  <w:rStyle w:val="InternetLink"/>
                  <w:rFonts w:ascii="Times New Roman;serif" w:hAnsi="Times New Roman;serif"/>
                  <w:b w:val="false"/>
                  <w:color w:val="000080"/>
                  <w:sz w:val="20"/>
                  <w:u w:val="single"/>
                </w:rPr>
                <w:t>3</w:t>
              </w:r>
            </w:hyperlink>
            <w:hyperlink w:anchor="exhibit321ceocertification.htm">
              <w:r>
                <w:rPr>
                  <w:rStyle w:val="InternetLink"/>
                  <w:rFonts w:ascii="Times New Roman;serif" w:hAnsi="Times New Roman;serif"/>
                  <w:b w:val="false"/>
                  <w:color w:val="000080"/>
                  <w:sz w:val="20"/>
                  <w:u w:val="single"/>
                </w:rPr>
                <w:t>0</w:t>
              </w:r>
            </w:hyperlink>
            <w:hyperlink w:anchor="exhibit321ceocertification.htm">
              <w:r>
                <w:rPr>
                  <w:rStyle w:val="InternetLink"/>
                  <w:rFonts w:ascii="Times New Roman;serif" w:hAnsi="Times New Roman;serif"/>
                  <w:b w:val="false"/>
                  <w:color w:val="000080"/>
                  <w:sz w:val="20"/>
                  <w:u w:val="single"/>
                </w:rPr>
                <w:t>, 202</w:t>
              </w:r>
            </w:hyperlink>
            <w:hyperlink w:anchor="exhibit321ceocertification.htm">
              <w:r>
                <w:rPr>
                  <w:rStyle w:val="InternetLink"/>
                  <w:rFonts w:ascii="Times New Roman;serif" w:hAnsi="Times New Roman;serif"/>
                  <w:b w:val="false"/>
                  <w:color w:val="000080"/>
                  <w:sz w:val="20"/>
                  <w:u w:val="single"/>
                </w:rPr>
                <w:t>6</w:t>
              </w:r>
            </w:hyperlink>
            <w:hyperlink w:anchor="exhibit321ceocertification.htm">
              <w:r>
                <w:rPr>
                  <w:rStyle w:val="InternetLink"/>
                  <w:rFonts w:ascii="Times New Roman;serif" w:hAnsi="Times New Roman;serif"/>
                  <w:b w:val="false"/>
                  <w:color w:val="000080"/>
                  <w:sz w:val="20"/>
                  <w:u w:val="single"/>
                </w:rPr>
                <w:t xml:space="preserve">, by </w:t>
              </w:r>
            </w:hyperlink>
            <w:hyperlink w:anchor="exhibit321ceocertification.htm">
              <w:r>
                <w:rPr>
                  <w:rStyle w:val="InternetLink"/>
                  <w:rFonts w:ascii="Times New Roman;serif" w:hAnsi="Times New Roman;serif"/>
                  <w:b w:val="false"/>
                  <w:color w:val="000080"/>
                  <w:sz w:val="20"/>
                  <w:u w:val="single"/>
                </w:rPr>
                <w:t>R</w:t>
              </w:r>
            </w:hyperlink>
            <w:hyperlink w:anchor="exhibit321ceocertification.htm">
              <w:r>
                <w:rPr>
                  <w:rStyle w:val="InternetLink"/>
                  <w:rFonts w:ascii="Times New Roman;serif" w:hAnsi="Times New Roman;serif"/>
                  <w:b w:val="false"/>
                  <w:color w:val="000080"/>
                  <w:sz w:val="20"/>
                  <w:u w:val="single"/>
                </w:rPr>
                <w:t>obert D. Lister</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cfocertification.htm">
              <w:r>
                <w:rPr>
                  <w:rStyle w:val="InternetLink"/>
                  <w:rFonts w:ascii="Times New Roman;serif" w:hAnsi="Times New Roman;serif"/>
                  <w:b w:val="false"/>
                  <w:color w:val="000080"/>
                  <w:sz w:val="20"/>
                  <w:u w:val="single"/>
                </w:rPr>
                <w:t xml:space="preserve">Certification Pursuant to Section 906 of the Sarbanes-Oxley Act of 2002, dated </w:t>
              </w:r>
            </w:hyperlink>
            <w:hyperlink w:anchor="exhibit322cfocertification.htm">
              <w:r>
                <w:rPr>
                  <w:rStyle w:val="InternetLink"/>
                  <w:rFonts w:ascii="Times New Roman;serif" w:hAnsi="Times New Roman;serif"/>
                  <w:b w:val="false"/>
                  <w:color w:val="000080"/>
                  <w:sz w:val="20"/>
                  <w:u w:val="single"/>
                </w:rPr>
                <w:t>April</w:t>
              </w:r>
            </w:hyperlink>
            <w:hyperlink w:anchor="exhibit322cfocertification.htm">
              <w:r>
                <w:rPr>
                  <w:rStyle w:val="InternetLink"/>
                  <w:rFonts w:ascii="Times New Roman;serif" w:hAnsi="Times New Roman;serif"/>
                  <w:b w:val="false"/>
                  <w:color w:val="000080"/>
                  <w:sz w:val="20"/>
                  <w:u w:val="single"/>
                </w:rPr>
                <w:t xml:space="preserve"> </w:t>
              </w:r>
            </w:hyperlink>
            <w:hyperlink w:anchor="exhibit322cfocertification.htm">
              <w:r>
                <w:rPr>
                  <w:rStyle w:val="InternetLink"/>
                  <w:rFonts w:ascii="Times New Roman;serif" w:hAnsi="Times New Roman;serif"/>
                  <w:b w:val="false"/>
                  <w:color w:val="000080"/>
                  <w:sz w:val="20"/>
                  <w:u w:val="single"/>
                </w:rPr>
                <w:t>3</w:t>
              </w:r>
            </w:hyperlink>
            <w:hyperlink w:anchor="exhibit322cfocertification.htm">
              <w:r>
                <w:rPr>
                  <w:rStyle w:val="InternetLink"/>
                  <w:rFonts w:ascii="Times New Roman;serif" w:hAnsi="Times New Roman;serif"/>
                  <w:b w:val="false"/>
                  <w:color w:val="000080"/>
                  <w:sz w:val="20"/>
                  <w:u w:val="single"/>
                </w:rPr>
                <w:t>0</w:t>
              </w:r>
            </w:hyperlink>
            <w:hyperlink w:anchor="exhibit322cfocertification.htm">
              <w:r>
                <w:rPr>
                  <w:rStyle w:val="InternetLink"/>
                  <w:rFonts w:ascii="Times New Roman;serif" w:hAnsi="Times New Roman;serif"/>
                  <w:b w:val="false"/>
                  <w:color w:val="000080"/>
                  <w:sz w:val="20"/>
                  <w:u w:val="single"/>
                </w:rPr>
                <w:t>, 202</w:t>
              </w:r>
            </w:hyperlink>
            <w:hyperlink w:anchor="exhibit322cfocertification.htm">
              <w:r>
                <w:rPr>
                  <w:rStyle w:val="InternetLink"/>
                  <w:rFonts w:ascii="Times New Roman;serif" w:hAnsi="Times New Roman;serif"/>
                  <w:b w:val="false"/>
                  <w:color w:val="000080"/>
                  <w:sz w:val="20"/>
                  <w:u w:val="single"/>
                </w:rPr>
                <w:t>6</w:t>
              </w:r>
            </w:hyperlink>
            <w:hyperlink w:anchor="exhibit322cfocertification.htm">
              <w:r>
                <w:rPr>
                  <w:rStyle w:val="InternetLink"/>
                  <w:rFonts w:ascii="Times New Roman;serif" w:hAnsi="Times New Roman;serif"/>
                  <w:b w:val="false"/>
                  <w:color w:val="000080"/>
                  <w:sz w:val="20"/>
                  <w:u w:val="single"/>
                </w:rPr>
                <w:t>, by Natasha Fernandes</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contract or arrangement.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379d5ed014540febbf2b68577b6e6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7039" w:type="dxa"/>
        <w:jc w:val="left"/>
        <w:tblInd w:w="0" w:type="dxa"/>
        <w:tblLayout w:type="fixed"/>
        <w:tblCellMar>
          <w:top w:w="28" w:type="dxa"/>
          <w:left w:w="28" w:type="dxa"/>
          <w:bottom w:w="28" w:type="dxa"/>
          <w:right w:w="28" w:type="dxa"/>
        </w:tblCellMar>
      </w:tblPr>
      <w:tblGrid>
        <w:gridCol w:w="645"/>
        <w:gridCol w:w="568"/>
        <w:gridCol w:w="571"/>
        <w:gridCol w:w="322"/>
        <w:gridCol w:w="322"/>
        <w:gridCol w:w="322"/>
        <w:gridCol w:w="1250"/>
        <w:gridCol w:w="1250"/>
        <w:gridCol w:w="17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IMAX CORPORATION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JOSE ZLATAR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 Zlatar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Vice-President, Finance &amp; Controller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 - 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Robert D. Lister,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for the quarter ended March 31, 2026 of the registrant, IMAX Corporation;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7"/>
        <w:gridCol w:w="174"/>
        <w:gridCol w:w="175"/>
        <w:gridCol w:w="109"/>
        <w:gridCol w:w="109"/>
        <w:gridCol w:w="109"/>
        <w:gridCol w:w="397"/>
        <w:gridCol w:w="397"/>
        <w:gridCol w:w="398"/>
        <w:gridCol w:w="109"/>
        <w:gridCol w:w="109"/>
        <w:gridCol w:w="109"/>
        <w:gridCol w:w="205"/>
        <w:gridCol w:w="205"/>
        <w:gridCol w:w="210"/>
        <w:gridCol w:w="109"/>
        <w:gridCol w:w="109"/>
        <w:gridCol w:w="109"/>
        <w:gridCol w:w="2031"/>
        <w:gridCol w:w="1998"/>
        <w:gridCol w:w="2837"/>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 Lister</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 Lister</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Senior Executive Vice President (Interim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 - 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Natasha Fernandes,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for the quarter ended March 31, 2026 of the registrant, IMAX Corporation;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left"/>
        <w:rPr/>
      </w:pPr>
      <w:r>
        <w:rPr/>
      </w:r>
    </w:p>
    <w:tbl>
      <w:tblPr>
        <w:tblW w:w="7744"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29"/>
        <w:gridCol w:w="429"/>
        <w:gridCol w:w="431"/>
        <w:gridCol w:w="109"/>
        <w:gridCol w:w="109"/>
        <w:gridCol w:w="109"/>
        <w:gridCol w:w="208"/>
        <w:gridCol w:w="208"/>
        <w:gridCol w:w="213"/>
        <w:gridCol w:w="109"/>
        <w:gridCol w:w="109"/>
        <w:gridCol w:w="109"/>
        <w:gridCol w:w="1253"/>
        <w:gridCol w:w="1253"/>
        <w:gridCol w:w="178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32.1</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CERTIFICATIONS</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906 of the Sarbanes-Oxley Act of 2002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(Subsections (A) and (B) of Section 1350, Chapter 63 of Title 18, United States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Robert D. Lister, Interim Principal Executive Officer of IMAX Corporation, a Canadian corporation (the “Company”), hereby certify, to my knowledge,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March 31,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8"/>
        <w:gridCol w:w="175"/>
        <w:gridCol w:w="176"/>
        <w:gridCol w:w="109"/>
        <w:gridCol w:w="109"/>
        <w:gridCol w:w="109"/>
        <w:gridCol w:w="407"/>
        <w:gridCol w:w="407"/>
        <w:gridCol w:w="409"/>
        <w:gridCol w:w="109"/>
        <w:gridCol w:w="109"/>
        <w:gridCol w:w="109"/>
        <w:gridCol w:w="206"/>
        <w:gridCol w:w="206"/>
        <w:gridCol w:w="211"/>
        <w:gridCol w:w="2106"/>
        <w:gridCol w:w="2085"/>
        <w:gridCol w:w="2965"/>
      </w:tblGrid>
      <w:tr>
        <w:trPr/>
        <w:tc>
          <w:tcPr>
            <w:tcW w:w="1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Robert D. Lister</w:t>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 Lister</w:t>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Senior Executive Vice President (Interim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32.2</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CERTIFICATIONS</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906 of the Sarbanes-Oxley Act of 2002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(Subsections (A) and (B) of Section 1350, Chapter 63 of Title 18, United States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March 31,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jc w:val="left"/>
        <w:rPr/>
      </w:pPr>
      <w:r>
        <w:rPr/>
      </w:r>
    </w:p>
    <w:tbl>
      <w:tblPr>
        <w:tblW w:w="7417"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29"/>
        <w:gridCol w:w="429"/>
        <w:gridCol w:w="431"/>
        <w:gridCol w:w="109"/>
        <w:gridCol w:w="109"/>
        <w:gridCol w:w="109"/>
        <w:gridCol w:w="208"/>
        <w:gridCol w:w="208"/>
        <w:gridCol w:w="213"/>
        <w:gridCol w:w="1253"/>
        <w:gridCol w:w="1253"/>
        <w:gridCol w:w="178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30668</Words>
  <Characters>171514</Characters>
  <CharactersWithSpaces>199907</CharactersWithSpaces>
  <Paragraphs>3793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