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660" w:right="1580" w:hanging="3652"/>
        <w:spacing w:after="0" w:line="281" w:lineRule="auto"/>
        <w:tabs>
          <w:tab w:leader="none" w:pos="5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764" w:right="339" w:bottom="1440" w:gutter="0" w:footer="0" w:header="0"/>
        </w:sectPr>
      </w:pPr>
    </w:p>
    <w:p>
      <w:pPr>
        <w:spacing w:after="0" w:line="59"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47" w:lineRule="exact"/>
        <w:rPr>
          <w:sz w:val="24"/>
          <w:szCs w:val="24"/>
          <w:color w:val="auto"/>
        </w:rPr>
      </w:pPr>
    </w:p>
    <w:p>
      <w:pPr>
        <w:sectPr>
          <w:pgSz w:w="11900" w:h="16838" w:orient="portrait"/>
          <w:cols w:equalWidth="0" w:num="2">
            <w:col w:w="6400" w:space="620"/>
            <w:col w:w="4220"/>
          </w:cols>
          <w:pgMar w:left="320" w:top="76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001-35066</w:t>
      </w:r>
    </w:p>
    <w:p>
      <w:pPr>
        <w:sectPr>
          <w:pgSz w:w="11900" w:h="16838" w:orient="portrait"/>
          <w:cols w:equalWidth="0" w:num="1">
            <w:col w:w="11240"/>
          </w:cols>
          <w:pgMar w:left="320" w:top="764"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IMAX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764" w:right="339" w:bottom="1440" w:gutter="0" w:footer="0" w:header="0"/>
          <w:type w:val="continuous"/>
        </w:sectPr>
      </w:pPr>
    </w:p>
    <w:p>
      <w:pPr>
        <w:spacing w:after="0" w:line="200" w:lineRule="exact"/>
        <w:rPr>
          <w:sz w:val="24"/>
          <w:szCs w:val="24"/>
          <w:color w:val="auto"/>
        </w:rPr>
      </w:pPr>
    </w:p>
    <w:p>
      <w:pPr>
        <w:spacing w:after="0" w:line="21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Canada</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jc w:val="center"/>
        <w:ind w:right="4720"/>
        <w:spacing w:after="0"/>
        <w:rPr>
          <w:sz w:val="20"/>
          <w:szCs w:val="20"/>
          <w:color w:val="auto"/>
        </w:rPr>
      </w:pPr>
      <w:r>
        <w:rPr>
          <w:rFonts w:ascii="Arial" w:cs="Arial" w:eastAsia="Arial" w:hAnsi="Arial"/>
          <w:sz w:val="16"/>
          <w:szCs w:val="16"/>
          <w:b w:val="1"/>
          <w:bCs w:val="1"/>
          <w:color w:val="auto"/>
        </w:rPr>
        <w:t>98-0140269</w:t>
      </w:r>
    </w:p>
    <w:p>
      <w:pPr>
        <w:spacing w:after="0" w:line="17" w:lineRule="exact"/>
        <w:rPr>
          <w:sz w:val="24"/>
          <w:szCs w:val="24"/>
          <w:color w:val="auto"/>
        </w:rPr>
      </w:pPr>
    </w:p>
    <w:p>
      <w:pPr>
        <w:sectPr>
          <w:pgSz w:w="11900" w:h="16838" w:orient="portrait"/>
          <w:cols w:equalWidth="0" w:num="2">
            <w:col w:w="4920" w:space="720"/>
            <w:col w:w="5600"/>
          </w:cols>
          <w:pgMar w:left="320" w:top="764" w:right="339" w:bottom="1440" w:gutter="0" w:footer="0" w:header="0"/>
          <w:type w:val="continuous"/>
        </w:sectPr>
      </w:pPr>
    </w:p>
    <w:p>
      <w:pPr>
        <w:ind w:left="20"/>
        <w:spacing w:after="0"/>
        <w:rPr>
          <w:sz w:val="20"/>
          <w:szCs w:val="20"/>
          <w:color w:val="auto"/>
        </w:rPr>
      </w:pPr>
      <w:r>
        <w:rPr>
          <w:rFonts w:ascii="Arial" w:cs="Arial" w:eastAsia="Arial" w:hAnsi="Arial"/>
          <w:sz w:val="14"/>
          <w:szCs w:val="14"/>
          <w:i w:val="1"/>
          <w:iCs w:val="1"/>
          <w:color w:val="auto"/>
        </w:rPr>
        <w:t>(State or other jurisdiction of</w:t>
      </w:r>
    </w:p>
    <w:p>
      <w:pPr>
        <w:ind w:left="2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3"/>
          <w:szCs w:val="13"/>
          <w:i w:val="1"/>
          <w:iCs w:val="1"/>
          <w:color w:val="auto"/>
        </w:rPr>
        <w:t>Identification Number)</w:t>
      </w:r>
    </w:p>
    <w:p>
      <w:pPr>
        <w:spacing w:after="0" w:line="136" w:lineRule="exact"/>
        <w:rPr>
          <w:sz w:val="24"/>
          <w:szCs w:val="24"/>
          <w:color w:val="auto"/>
        </w:rPr>
      </w:pPr>
    </w:p>
    <w:p>
      <w:pPr>
        <w:sectPr>
          <w:pgSz w:w="11900" w:h="16838" w:orient="portrait"/>
          <w:cols w:equalWidth="0" w:num="2">
            <w:col w:w="4920" w:space="720"/>
            <w:col w:w="5600"/>
          </w:cols>
          <w:pgMar w:left="320" w:top="764"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2525 Speakman Drive,</w:t>
      </w:r>
    </w:p>
    <w:p>
      <w:pPr>
        <w:spacing w:after="0" w:line="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Mississauga, Ontario, Canada L5K 1B1</w:t>
      </w:r>
    </w:p>
    <w:p>
      <w:pPr>
        <w:spacing w:after="0" w:line="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(905) 403-6500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902 Broadway, Floor 20</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New York, USA 10010</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(212) 821-0100</w:t>
      </w:r>
    </w:p>
    <w:p>
      <w:pPr>
        <w:spacing w:after="0" w:line="168" w:lineRule="exact"/>
        <w:rPr>
          <w:sz w:val="24"/>
          <w:szCs w:val="24"/>
          <w:color w:val="auto"/>
        </w:rPr>
      </w:pPr>
    </w:p>
    <w:p>
      <w:pPr>
        <w:sectPr>
          <w:pgSz w:w="11900" w:h="16838" w:orient="portrait"/>
          <w:cols w:equalWidth="0" w:num="2">
            <w:col w:w="4920" w:space="720"/>
            <w:col w:w="5600"/>
          </w:cols>
          <w:pgMar w:left="320" w:top="764" w:right="3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180" w:type="dxa"/>
            <w:vAlign w:val="bottom"/>
          </w:tcPr>
          <w:p>
            <w:pPr>
              <w:spacing w:after="0"/>
              <w:rPr>
                <w:sz w:val="16"/>
                <w:szCs w:val="16"/>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6"/>
                <w:szCs w:val="16"/>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Common Shares, no par value</w:t>
            </w:r>
          </w:p>
        </w:tc>
        <w:tc>
          <w:tcPr>
            <w:tcW w:w="18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The New York Stock Exchange</w:t>
            </w:r>
          </w:p>
        </w:tc>
      </w:tr>
    </w:tbl>
    <w:p>
      <w:pPr>
        <w:spacing w:after="0" w:line="372" w:lineRule="exact"/>
        <w:rPr>
          <w:sz w:val="24"/>
          <w:szCs w:val="24"/>
          <w:color w:val="auto"/>
        </w:rPr>
      </w:pPr>
    </w:p>
    <w:p>
      <w:pPr>
        <w:jc w:val="both"/>
        <w:ind w:firstLine="225"/>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firstLine="225"/>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jc w:val="both"/>
        <w:ind w:firstLine="225"/>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firstLine="22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240"/>
        <w:spacing w:after="0" w:line="196" w:lineRule="exact"/>
        <w:tabs>
          <w:tab w:leader="none" w:pos="91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7"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w:t>
            </w:r>
          </w:p>
        </w:tc>
        <w:tc>
          <w:tcPr>
            <w:tcW w:w="220" w:type="dxa"/>
            <w:vAlign w:val="bottom"/>
          </w:tcPr>
          <w:p>
            <w:pPr>
              <w:spacing w:after="0"/>
              <w:rPr>
                <w:sz w:val="16"/>
                <w:szCs w:val="16"/>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 as of September 30, 2022</w:t>
            </w:r>
          </w:p>
        </w:tc>
      </w:tr>
      <w:tr>
        <w:trPr>
          <w:trHeight w:val="224"/>
        </w:trPr>
        <w:tc>
          <w:tcPr>
            <w:tcW w:w="5500" w:type="dxa"/>
            <w:vAlign w:val="bottom"/>
          </w:tcPr>
          <w:p>
            <w:pPr>
              <w:ind w:left="20"/>
              <w:spacing w:after="0"/>
              <w:rPr>
                <w:sz w:val="20"/>
                <w:szCs w:val="20"/>
                <w:color w:val="auto"/>
              </w:rPr>
            </w:pPr>
            <w:r>
              <w:rPr>
                <w:rFonts w:ascii="Arial" w:cs="Arial" w:eastAsia="Arial" w:hAnsi="Arial"/>
                <w:sz w:val="18"/>
                <w:szCs w:val="18"/>
                <w:color w:val="auto"/>
              </w:rPr>
              <w:t>Common Shares, no par value</w:t>
            </w:r>
          </w:p>
        </w:tc>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55,973,443</w:t>
            </w:r>
          </w:p>
        </w:tc>
      </w:tr>
      <w:tr>
        <w:trPr>
          <w:trHeight w:val="619"/>
        </w:trPr>
        <w:tc>
          <w:tcPr>
            <w:tcW w:w="5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r>
      <w:tr>
        <w:trPr>
          <w:trHeight w:val="298"/>
        </w:trPr>
        <w:tc>
          <w:tcPr>
            <w:tcW w:w="5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280" w:type="dxa"/>
            <w:vAlign w:val="bottom"/>
            <w:gridSpan w:val="12"/>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80" w:type="dxa"/>
            <w:vAlign w:val="bottom"/>
            <w:gridSpan w:val="1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Financial Statements</w:t>
            </w:r>
          </w:p>
        </w:tc>
        <w:tc>
          <w:tcPr>
            <w:tcW w:w="722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240" w:type="dxa"/>
            <w:vAlign w:val="bottom"/>
            <w:gridSpan w:val="10"/>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9240" w:type="dxa"/>
            <w:vAlign w:val="bottom"/>
            <w:gridSpan w:val="10"/>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9240" w:type="dxa"/>
            <w:vAlign w:val="bottom"/>
            <w:gridSpan w:val="10"/>
          </w:tcPr>
          <w:p>
            <w:pPr>
              <w:spacing w:after="0" w:line="195" w:lineRule="exact"/>
              <w:rPr>
                <w:sz w:val="20"/>
                <w:szCs w:val="20"/>
                <w:color w:val="auto"/>
              </w:rPr>
            </w:pPr>
            <w:r>
              <w:rPr>
                <w:rFonts w:ascii="Arial" w:cs="Arial" w:eastAsia="Arial" w:hAnsi="Arial"/>
                <w:sz w:val="18"/>
                <w:szCs w:val="18"/>
                <w:color w:val="0000FF"/>
              </w:rPr>
              <w:t>Controls and Procedures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Arial" w:cs="Arial" w:eastAsia="Arial" w:hAnsi="Arial"/>
                <w:sz w:val="18"/>
                <w:szCs w:val="18"/>
                <w:b w:val="1"/>
                <w:bCs w:val="1"/>
                <w:color w:val="0000FF"/>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7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Legal Proceedings</w:t>
            </w:r>
          </w:p>
        </w:tc>
        <w:tc>
          <w:tcPr>
            <w:tcW w:w="750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240" w:type="dxa"/>
            <w:vAlign w:val="bottom"/>
            <w:gridSpan w:val="10"/>
          </w:tcPr>
          <w:p>
            <w:pPr>
              <w:spacing w:after="0" w:line="195" w:lineRule="exact"/>
              <w:rPr>
                <w:sz w:val="20"/>
                <w:szCs w:val="20"/>
                <w:color w:val="auto"/>
              </w:rPr>
            </w:pPr>
            <w:r>
              <w:rPr>
                <w:rFonts w:ascii="Arial" w:cs="Arial" w:eastAsia="Arial" w:hAnsi="Arial"/>
                <w:sz w:val="18"/>
                <w:szCs w:val="18"/>
                <w:color w:val="0000FF"/>
              </w:rPr>
              <w:t>Risk Factors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240" w:type="dxa"/>
            <w:vAlign w:val="bottom"/>
            <w:gridSpan w:val="10"/>
          </w:tcPr>
          <w:p>
            <w:pPr>
              <w:spacing w:after="0" w:line="195" w:lineRule="exact"/>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gridSpan w:val="7"/>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9240" w:type="dxa"/>
            <w:vAlign w:val="bottom"/>
            <w:gridSpan w:val="10"/>
          </w:tcPr>
          <w:p>
            <w:pPr>
              <w:spacing w:after="0" w:line="195" w:lineRule="exact"/>
              <w:rPr>
                <w:sz w:val="20"/>
                <w:szCs w:val="20"/>
                <w:color w:val="auto"/>
              </w:rPr>
            </w:pPr>
            <w:r>
              <w:rPr>
                <w:rFonts w:ascii="Arial" w:cs="Arial" w:eastAsia="Arial" w:hAnsi="Arial"/>
                <w:sz w:val="18"/>
                <w:szCs w:val="18"/>
                <w:color w:val="0000FF"/>
              </w:rPr>
              <w:t>Exhibits</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gridSpan w:val="9"/>
          </w:tcPr>
          <w:p>
            <w:pPr>
              <w:jc w:val="right"/>
              <w:ind w:right="1800"/>
              <w:spacing w:after="0"/>
              <w:rPr>
                <w:sz w:val="20"/>
                <w:szCs w:val="20"/>
                <w:color w:val="auto"/>
              </w:rPr>
            </w:pPr>
            <w:r>
              <w:rPr>
                <w:rFonts w:ascii="Arial" w:cs="Arial" w:eastAsia="Arial" w:hAnsi="Arial"/>
                <w:sz w:val="18"/>
                <w:szCs w:val="18"/>
                <w:color w:val="auto"/>
              </w:rPr>
              <w:t>2</w:t>
            </w:r>
          </w:p>
        </w:tc>
        <w:tc>
          <w:tcPr>
            <w:tcW w:w="2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580" w:type="dxa"/>
            <w:vAlign w:val="bottom"/>
            <w:gridSpan w:val="7"/>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7"/>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580" w:type="dxa"/>
            <w:vAlign w:val="bottom"/>
            <w:gridSpan w:val="7"/>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26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7"/>
          </w:tcPr>
          <w:p>
            <w:pPr>
              <w:spacing w:after="0" w:line="195" w:lineRule="exact"/>
              <w:rPr>
                <w:sz w:val="20"/>
                <w:szCs w:val="20"/>
                <w:color w:val="auto"/>
              </w:rPr>
            </w:pPr>
            <w:r>
              <w:rPr>
                <w:rFonts w:ascii="Arial" w:cs="Arial" w:eastAsia="Arial" w:hAnsi="Arial"/>
                <w:sz w:val="18"/>
                <w:szCs w:val="18"/>
                <w:color w:val="0000FF"/>
              </w:rPr>
              <w:t>Condensed Consolidated Statements of Operations for the three and nine months ended September 30, 2022 and 2021</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7"/>
          </w:tcPr>
          <w:p>
            <w:pPr>
              <w:spacing w:after="0" w:line="195" w:lineRule="exact"/>
              <w:rPr>
                <w:sz w:val="20"/>
                <w:szCs w:val="20"/>
                <w:color w:val="auto"/>
              </w:rPr>
            </w:pPr>
            <w:r>
              <w:rPr>
                <w:rFonts w:ascii="Arial" w:cs="Arial" w:eastAsia="Arial" w:hAnsi="Arial"/>
                <w:sz w:val="18"/>
                <w:szCs w:val="18"/>
                <w:color w:val="0000FF"/>
              </w:rPr>
              <w:t>Condensed Consolidated Statements of Comprehensive Loss for the three and nine months ended September 30, 2022 and 2021</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0000FF"/>
            </w:tcBorders>
            <w:gridSpan w:val="6"/>
          </w:tcPr>
          <w:p>
            <w:pPr>
              <w:spacing w:after="0" w:line="195" w:lineRule="exact"/>
              <w:rPr>
                <w:sz w:val="20"/>
                <w:szCs w:val="20"/>
                <w:color w:val="auto"/>
              </w:rPr>
            </w:pPr>
            <w:r>
              <w:rPr>
                <w:rFonts w:ascii="Arial" w:cs="Arial" w:eastAsia="Arial" w:hAnsi="Arial"/>
                <w:sz w:val="18"/>
                <w:szCs w:val="18"/>
                <w:color w:val="0000FF"/>
              </w:rPr>
              <w:t>Condensed Consolidated Statements of Cash Flows for the nine months ended September 30, 2022 and 2021</w:t>
            </w:r>
          </w:p>
        </w:tc>
        <w:tc>
          <w:tcPr>
            <w:tcW w:w="1380" w:type="dxa"/>
            <w:vAlign w:val="bottom"/>
          </w:tcPr>
          <w:p>
            <w:pPr>
              <w:spacing w:after="0"/>
              <w:rPr>
                <w:sz w:val="17"/>
                <w:szCs w:val="17"/>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7"/>
          </w:tcPr>
          <w:p>
            <w:pPr>
              <w:spacing w:after="0" w:line="195" w:lineRule="exact"/>
              <w:rPr>
                <w:sz w:val="20"/>
                <w:szCs w:val="20"/>
                <w:color w:val="auto"/>
              </w:rPr>
            </w:pPr>
            <w:r>
              <w:rPr>
                <w:rFonts w:ascii="Arial" w:cs="Arial" w:eastAsia="Arial" w:hAnsi="Arial"/>
                <w:sz w:val="18"/>
                <w:szCs w:val="18"/>
                <w:color w:val="0000FF"/>
              </w:rPr>
              <w:t>Condensed Consolidated Statements of Shareholders' Equity for the three and nine months ended September 30, 2022 and 2021</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0000FF"/>
            </w:tcBorders>
            <w:gridSpan w:val="5"/>
          </w:tcPr>
          <w:p>
            <w:pPr>
              <w:spacing w:after="0" w:line="195" w:lineRule="exact"/>
              <w:rPr>
                <w:sz w:val="20"/>
                <w:szCs w:val="20"/>
                <w:color w:val="auto"/>
              </w:rPr>
            </w:pPr>
            <w:r>
              <w:rPr>
                <w:rFonts w:ascii="Arial" w:cs="Arial" w:eastAsia="Arial" w:hAnsi="Arial"/>
                <w:sz w:val="18"/>
                <w:szCs w:val="18"/>
                <w:color w:val="0000FF"/>
              </w:rPr>
              <w:t>Notes to Condensed Consolidated Financial Statements</w:t>
            </w:r>
          </w:p>
        </w:tc>
        <w:tc>
          <w:tcPr>
            <w:tcW w:w="1400" w:type="dxa"/>
            <w:vAlign w:val="bottom"/>
            <w:gridSpan w:val="2"/>
          </w:tcPr>
          <w:p>
            <w:pPr>
              <w:spacing w:after="0"/>
              <w:rPr>
                <w:sz w:val="17"/>
                <w:szCs w:val="17"/>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81"/>
        </w:trPr>
        <w:tc>
          <w:tcPr>
            <w:tcW w:w="20" w:type="dxa"/>
            <w:vAlign w:val="bottom"/>
          </w:tcPr>
          <w:p>
            <w:pPr>
              <w:spacing w:after="0"/>
              <w:rPr>
                <w:sz w:val="24"/>
                <w:szCs w:val="24"/>
                <w:color w:val="auto"/>
              </w:rPr>
            </w:pPr>
          </w:p>
        </w:tc>
        <w:tc>
          <w:tcPr>
            <w:tcW w:w="3980" w:type="dxa"/>
            <w:vAlign w:val="bottom"/>
            <w:tcBorders>
              <w:top w:val="single" w:sz="8" w:color="0000FF"/>
            </w:tcBorders>
          </w:tcPr>
          <w:p>
            <w:pPr>
              <w:spacing w:after="0"/>
              <w:rPr>
                <w:sz w:val="24"/>
                <w:szCs w:val="24"/>
                <w:color w:val="auto"/>
              </w:rPr>
            </w:pPr>
          </w:p>
        </w:tc>
        <w:tc>
          <w:tcPr>
            <w:tcW w:w="2600" w:type="dxa"/>
            <w:vAlign w:val="bottom"/>
          </w:tcPr>
          <w:p>
            <w:pPr>
              <w:jc w:val="right"/>
              <w:ind w:right="85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 except share amounts)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87,151</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189,711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 for credit losses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125,686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110,050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Financing receivables, net of allowance for credit losses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122,618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141,049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consideration receivables, net of allowance for credit losses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26,924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Film assets, net of accumulated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 of accumulated depreciation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251,518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260,353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Investment in equity securities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 assets, net of valuation allowance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13,906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23,080</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800,227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883,247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119,138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111,896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76,461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81,281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Revolving credit facility borrowings, net of unamortized debt issuance costs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 and other borrowings,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226,527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223,641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462,293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452,875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(see Note 9)</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736</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55,973,443 issued and outstanding (December 31, 2021 — 58,653,642 issued and outstanding)</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388,953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409,979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equity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179,571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174,620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Statutory surplus reserve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(282,944 )</w:t>
            </w: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(234,975 )</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(16,173 )</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273,339</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356,083</w:t>
            </w: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337,198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429,614</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800,227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883,247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-2978785</wp:posOffset>
            </wp:positionV>
            <wp:extent cx="1241425"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14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-1849120</wp:posOffset>
            </wp:positionV>
            <wp:extent cx="685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-1566545</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-598805</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-316230</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 except per share amounts)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Technology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18,065</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13,160</w:t>
            </w:r>
          </w:p>
        </w:tc>
        <w:tc>
          <w:tcPr>
            <w:tcW w:w="2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35,270</w:t>
            </w:r>
          </w:p>
        </w:tc>
        <w:tc>
          <w:tcPr>
            <w:tcW w:w="2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34,508</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Image enhancement and maintenance services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117,285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76,914</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Technology rentals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12,540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income</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68,755</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56,602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202,759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146,311</w:t>
            </w:r>
          </w:p>
        </w:tc>
        <w:tc>
          <w:tcPr>
            <w:tcW w:w="100" w:type="dxa"/>
            <w:vAlign w:val="bottom"/>
          </w:tcPr>
          <w:p>
            <w:pPr>
              <w:spacing w:after="0"/>
              <w:rPr>
                <w:sz w:val="18"/>
                <w:szCs w:val="18"/>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Costs and expenses applicable to revenues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Technology sales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10,061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Image enhancement and maintenance services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Technology rentals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w:t>
            </w:r>
          </w:p>
        </w:tc>
        <w:tc>
          <w:tcPr>
            <w:tcW w:w="100" w:type="dxa"/>
            <w:vAlign w:val="bottom"/>
          </w:tcPr>
          <w:p>
            <w:pPr>
              <w:spacing w:after="0"/>
              <w:rPr>
                <w:sz w:val="18"/>
                <w:szCs w:val="18"/>
                <w:color w:val="auto"/>
              </w:rPr>
            </w:pPr>
          </w:p>
        </w:tc>
      </w:tr>
      <w:tr>
        <w:trPr>
          <w:trHeight w:val="209"/>
        </w:trPr>
        <w:tc>
          <w:tcPr>
            <w:tcW w:w="56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37,054</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29,115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95,251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31,701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27,487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107,508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70,371</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82,393</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Credit loss expense (reversal),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(3,317 )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(4,884 )</w:t>
            </w: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impairments (see Note 17(e))</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Legal judgment and arbitration awards (see Note 9)</w:t>
            </w:r>
          </w:p>
        </w:tc>
        <w:tc>
          <w:tcPr>
            <w:tcW w:w="24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(1,770 )</w:t>
            </w:r>
          </w:p>
        </w:tc>
      </w:tr>
      <w:tr>
        <w:trPr>
          <w:trHeight w:val="209"/>
        </w:trPr>
        <w:tc>
          <w:tcPr>
            <w:tcW w:w="56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(4,238</w:t>
            </w:r>
          </w:p>
        </w:tc>
        <w:tc>
          <w:tcPr>
            <w:tcW w:w="28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(12,371</w:t>
            </w:r>
          </w:p>
        </w:tc>
        <w:tc>
          <w:tcPr>
            <w:tcW w:w="240" w:type="dxa"/>
            <w:vAlign w:val="bottom"/>
            <w:tcBorders>
              <w:top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(14,650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Realized and unrealized investment gains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5,311</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benefits non-service expense</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(140 )</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(417 )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(347 )</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(1,323 )</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(1,540 )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(4,354 )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(5,534 )</w:t>
            </w:r>
          </w:p>
        </w:tc>
      </w:tr>
      <w:tr>
        <w:trPr>
          <w:trHeight w:val="20"/>
        </w:trPr>
        <w:tc>
          <w:tcPr>
            <w:tcW w:w="5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(5,409 )</w:t>
            </w:r>
          </w:p>
        </w:tc>
        <w:tc>
          <w:tcPr>
            <w:tcW w:w="44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(1,942 )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(15,867 )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(13,540 )</w:t>
            </w: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(2,348 )</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(4,402 )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(8,091 )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(9,416 )</w:t>
            </w:r>
          </w:p>
        </w:tc>
      </w:tr>
      <w:tr>
        <w:trPr>
          <w:trHeight w:val="20"/>
        </w:trPr>
        <w:tc>
          <w:tcPr>
            <w:tcW w:w="5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(7,757 )</w:t>
            </w:r>
          </w:p>
        </w:tc>
        <w:tc>
          <w:tcPr>
            <w:tcW w:w="44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(6,344 )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(23,958 )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(22,956 )</w:t>
            </w: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(1,196 )</w:t>
            </w:r>
          </w:p>
        </w:tc>
        <w:tc>
          <w:tcPr>
            <w:tcW w:w="4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(2,034 )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(1,455 )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(9,473 )</w:t>
            </w:r>
          </w:p>
        </w:tc>
      </w:tr>
      <w:tr>
        <w:trPr>
          <w:trHeight w:val="20"/>
        </w:trPr>
        <w:tc>
          <w:tcPr>
            <w:tcW w:w="5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(8,953 )</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(8,378 )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(25,413 )</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(32,429 )</w:t>
            </w: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w w:val="90"/>
              </w:rPr>
              <w:t>Net loss per share attributable to common shareholders - basic and diluted:</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(0.16 )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(0.14 )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(0.44 )</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(0.55 )</w:t>
            </w: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-3681095</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-3681095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-3681095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-3681095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-2833370</wp:posOffset>
            </wp:positionV>
            <wp:extent cx="768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-2833370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-2833370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-1866265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-1866265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-1866265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-1172210</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-1172210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-1172210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-889635</wp:posOffset>
            </wp:positionV>
            <wp:extent cx="7683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-889635</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-889635</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-607060</wp:posOffset>
            </wp:positionV>
            <wp:extent cx="76835" cy="307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-607060</wp:posOffset>
            </wp:positionV>
            <wp:extent cx="68580" cy="307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-607060</wp:posOffset>
            </wp:positionV>
            <wp:extent cx="68580" cy="307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307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30797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(7,757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(6,344</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(23,958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(22,956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before tax</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net loss from cash flow hedging instruments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(1,567 )</w:t>
            </w: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(759 )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(1,862 )</w:t>
            </w:r>
          </w:p>
        </w:tc>
        <w:tc>
          <w:tcPr>
            <w:tcW w:w="4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(159 )</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Realized net loss (gain) from cash flow hedging instruments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(1,367 )</w:t>
            </w:r>
          </w:p>
        </w:tc>
      </w:tr>
      <w:tr>
        <w:trPr>
          <w:trHeight w:val="174"/>
        </w:trPr>
        <w:tc>
          <w:tcPr>
            <w:tcW w:w="57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Reclassification of unrealized gain from ineffective cash flow hedging</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instruments</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(318 )</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(11,703 )</w:t>
            </w:r>
          </w:p>
        </w:tc>
        <w:tc>
          <w:tcPr>
            <w:tcW w:w="4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(1,325 )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(24,644 )</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(531 )</w:t>
            </w: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Defined benefit and postretirement benefit plans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8"/>
                <w:szCs w:val="18"/>
                <w:color w:val="auto"/>
              </w:rPr>
            </w:pPr>
          </w:p>
        </w:tc>
      </w:tr>
      <w:tr>
        <w:trPr>
          <w:trHeight w:val="209"/>
        </w:trPr>
        <w:tc>
          <w:tcPr>
            <w:tcW w:w="5740" w:type="dxa"/>
            <w:vAlign w:val="bottom"/>
          </w:tcPr>
          <w:p>
            <w:pPr>
              <w:ind w:left="300"/>
              <w:spacing w:after="0"/>
              <w:rPr>
                <w:sz w:val="20"/>
                <w:szCs w:val="20"/>
                <w:color w:val="auto"/>
              </w:rPr>
            </w:pPr>
            <w:r>
              <w:rPr>
                <w:rFonts w:ascii="Arial" w:cs="Arial" w:eastAsia="Arial" w:hAnsi="Arial"/>
                <w:sz w:val="18"/>
                <w:szCs w:val="18"/>
                <w:b w:val="1"/>
                <w:bCs w:val="1"/>
                <w:color w:val="auto"/>
              </w:rPr>
              <w:t>Total other comprehensive loss, before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(13,144</w:t>
            </w:r>
          </w:p>
        </w:tc>
        <w:tc>
          <w:tcPr>
            <w:tcW w:w="2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(2,373</w:t>
            </w:r>
          </w:p>
        </w:tc>
        <w:tc>
          <w:tcPr>
            <w:tcW w:w="2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(26,193</w:t>
            </w:r>
          </w:p>
        </w:tc>
        <w:tc>
          <w:tcPr>
            <w:tcW w:w="2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 related to other comprehensive loss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(12,764 )</w:t>
            </w:r>
          </w:p>
        </w:tc>
        <w:tc>
          <w:tcPr>
            <w:tcW w:w="4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(2,097 )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(25,785 )</w:t>
            </w: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(1,785 )</w:t>
            </w: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(20,521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(8,441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(49,743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(24,741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(1,636 )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(9,313 )</w:t>
            </w: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(18,371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(10,077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(44,113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-598805</wp:posOffset>
            </wp:positionV>
            <wp:extent cx="7683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-598805</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-598805</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 of U.S. Dollars)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6"/>
                <w:szCs w:val="16"/>
                <w:color w:val="auto"/>
              </w:rPr>
            </w:pPr>
          </w:p>
        </w:tc>
      </w:tr>
      <w:tr>
        <w:trPr>
          <w:trHeight w:val="201"/>
        </w:trPr>
        <w:tc>
          <w:tcPr>
            <w:tcW w:w="7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(23,958 )</w:t>
            </w:r>
          </w:p>
        </w:tc>
        <w:tc>
          <w:tcPr>
            <w:tcW w:w="7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(22,956 )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cash provided by (used in) operating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42,663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40,570</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2,465</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1,749</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Credit loss expense (reversal), net</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8,149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(4,884 )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Write-downs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5,707</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878</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(3,374 )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(1,687 )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and other non-cash compensation</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19,510</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18,558</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Unrealized foreign currency exchange loss</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555</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Realized and unrealized investment gains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(18,050 )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(24,336 )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(10,131 )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653</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Film assets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(5,989 )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(1,434 )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other operating assets and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(3,548 )</w:t>
            </w:r>
          </w:p>
        </w:tc>
        <w:tc>
          <w:tcPr>
            <w:tcW w:w="16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(11,902 )</w:t>
            </w:r>
          </w:p>
        </w:tc>
      </w:tr>
      <w:tr>
        <w:trPr>
          <w:trHeight w:val="209"/>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481</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(19,582 )</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Acquisition of SSIMWAVE, net of cash and cash equivalents acquired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(12,639 )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Investment in equipment for joint revenue sharing arrangements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(14,543 )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(5,361 )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 film classified as a financial instrument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Acquisition of other intangible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(3,246 )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(3,399 )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 of equity securities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17,769</w:t>
            </w:r>
          </w:p>
        </w:tc>
      </w:tr>
      <w:tr>
        <w:trPr>
          <w:trHeight w:val="209"/>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(40,407 )</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6,656</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issuance of convertible notes, net</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223,675</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issuance costs related to convertible notes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Purchase of capped calls related to convertible notes</w:t>
            </w: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(19,067 )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 borrowings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4,890</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3,600</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Repayments of revolving credit facility borrowings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(3,600 )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(300,243 )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 amendment fees paid</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Repurchase of common shares, IMAX Corporation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(53,581 )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(4,610 )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 of common shares, IMAX China</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Taxes withheld and paid on employee stock awards vested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(3,393 )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(3,045 )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shares issued - stock options exercised</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883</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Principal payment under finance lease obligations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(2,701 )</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(5,027 )</w:t>
            </w:r>
          </w:p>
        </w:tc>
      </w:tr>
      <w:tr>
        <w:trPr>
          <w:trHeight w:val="209"/>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(64,595 )</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(110,487 )</w:t>
            </w: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1,961</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(958 )</w:t>
            </w: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 during period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(102,560 )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(124,371 )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189,711</w:t>
            </w:r>
          </w:p>
        </w:tc>
        <w:tc>
          <w:tcPr>
            <w:tcW w:w="16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317,379</w:t>
            </w: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87,151</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193,008</w:t>
            </w: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-3804920</wp:posOffset>
            </wp:positionV>
            <wp:extent cx="11684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8400" cy="17970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-2692400</wp:posOffset>
            </wp:positionV>
            <wp:extent cx="11684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68400" cy="1797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-744220</wp:posOffset>
            </wp:positionV>
            <wp:extent cx="10287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-453390</wp:posOffset>
            </wp:positionV>
            <wp:extent cx="10287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40" w:type="dxa"/>
            <w:vAlign w:val="bottom"/>
            <w:gridSpan w:val="5"/>
          </w:tcPr>
          <w:p>
            <w:pPr>
              <w:jc w:val="right"/>
              <w:ind w:right="599"/>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6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r>
      <w:tr>
        <w:trPr>
          <w:trHeight w:val="20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Adjustments to capital stock:</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391,107</w:t>
            </w:r>
          </w:p>
        </w:tc>
        <w:tc>
          <w:tcPr>
            <w:tcW w:w="2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415,849</w:t>
            </w:r>
          </w:p>
        </w:tc>
        <w:tc>
          <w:tcPr>
            <w:tcW w:w="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409,979</w:t>
            </w:r>
          </w:p>
        </w:tc>
        <w:tc>
          <w:tcPr>
            <w:tcW w:w="24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407,020</w:t>
            </w: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shares held in treasury</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w w:val="96"/>
              </w:rPr>
              <w:t>Employee stock options exercised, net of shares withheld for employee tax obligations</w:t>
            </w:r>
          </w:p>
        </w:tc>
        <w:tc>
          <w:tcPr>
            <w:tcW w:w="240" w:type="dxa"/>
            <w:vAlign w:val="bottom"/>
          </w:tcPr>
          <w:p>
            <w:pPr>
              <w:spacing w:after="0"/>
              <w:rPr>
                <w:sz w:val="17"/>
                <w:szCs w:val="17"/>
                <w:color w:val="auto"/>
              </w:rPr>
            </w:pP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Grant date fair value of stock options exercised</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Average carrying value of repurchased and retired common shares</w:t>
            </w:r>
          </w:p>
        </w:tc>
        <w:tc>
          <w:tcPr>
            <w:tcW w:w="24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(4,161 )</w:t>
            </w:r>
          </w:p>
        </w:tc>
        <w:tc>
          <w:tcPr>
            <w:tcW w:w="36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(2,380 )</w:t>
            </w:r>
          </w:p>
        </w:tc>
        <w:tc>
          <w:tcPr>
            <w:tcW w:w="24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(32,929 )</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(2,380 )</w:t>
            </w: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Restricted share units vested, net of shares withheld for employee tax obligations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7,725</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Issuance of common shares in acquisition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388,953</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413,527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388,953</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413,527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Adjustments to other equity: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174,668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169,050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174,620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188,845</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Amortization of share-based payment expense - stock options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share-based payment expense - restricted share units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12,732</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Amortization of share-based payment expense - performance stock units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5,414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Restricted share units vested</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(302 )</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(58 )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(14,010 )</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(11,850 )</w:t>
            </w: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Grant date fair value of stock options exercised</w:t>
            </w:r>
          </w:p>
        </w:tc>
        <w:tc>
          <w:tcPr>
            <w:tcW w:w="240" w:type="dxa"/>
            <w:vAlign w:val="bottom"/>
          </w:tcPr>
          <w:p>
            <w:pPr>
              <w:spacing w:after="0"/>
              <w:rPr>
                <w:sz w:val="17"/>
                <w:szCs w:val="17"/>
                <w:color w:val="auto"/>
              </w:rPr>
            </w:pP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(271 )</w:t>
            </w: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ownership interest related to IMAX China common share repurchases</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(856 )</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(3,645 )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(1,399 )</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(3,645 )</w:t>
            </w: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Purchase of capped calls related to convertible notes</w:t>
            </w:r>
          </w:p>
        </w:tc>
        <w:tc>
          <w:tcPr>
            <w:tcW w:w="240" w:type="dxa"/>
            <w:vAlign w:val="bottom"/>
          </w:tcPr>
          <w:p>
            <w:pPr>
              <w:spacing w:after="0"/>
              <w:rPr>
                <w:sz w:val="17"/>
                <w:szCs w:val="17"/>
                <w:color w:val="auto"/>
              </w:rPr>
            </w:pP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(19,067 )</w:t>
            </w: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179,571</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171,065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179,571</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171,065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Adjustments to statutory surplus reserve: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Establishment of statutory surplus reserve, IMAX China</w:t>
            </w:r>
          </w:p>
        </w:tc>
        <w:tc>
          <w:tcPr>
            <w:tcW w:w="240" w:type="dxa"/>
            <w:vAlign w:val="bottom"/>
          </w:tcPr>
          <w:p>
            <w:pPr>
              <w:spacing w:after="0"/>
              <w:rPr>
                <w:sz w:val="17"/>
                <w:szCs w:val="17"/>
                <w:color w:val="auto"/>
              </w:rPr>
            </w:pP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3,932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17"/>
                <w:szCs w:val="17"/>
                <w:color w:val="auto"/>
              </w:rPr>
            </w:pP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Adjustments to accumulated deficit: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(272,022 )</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(226,900 )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(234,975 )</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(202,849 )</w:t>
            </w: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Net loss attributable to common shareholders</w:t>
            </w:r>
          </w:p>
        </w:tc>
        <w:tc>
          <w:tcPr>
            <w:tcW w:w="24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(8,953 )</w:t>
            </w:r>
          </w:p>
        </w:tc>
        <w:tc>
          <w:tcPr>
            <w:tcW w:w="36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(8,378 )</w:t>
            </w:r>
          </w:p>
        </w:tc>
        <w:tc>
          <w:tcPr>
            <w:tcW w:w="24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(25,413 )</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(32,429 )</w:t>
            </w: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Statutory surplus reserve deducted from retained earnings, IMAX China</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(3,932 )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(3,932 )</w:t>
            </w: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Common shares repurchased and retired</w:t>
            </w:r>
          </w:p>
        </w:tc>
        <w:tc>
          <w:tcPr>
            <w:tcW w:w="24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(1,969 )</w:t>
            </w:r>
          </w:p>
        </w:tc>
        <w:tc>
          <w:tcPr>
            <w:tcW w:w="36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(2,230 )</w:t>
            </w:r>
          </w:p>
        </w:tc>
        <w:tc>
          <w:tcPr>
            <w:tcW w:w="24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(22,556 )</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(2,230 )</w:t>
            </w: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(282,944</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(241,440</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(282,944</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(241,440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Adjustments to accumulated other comprehensive (loss) income: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(6,755 )</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(9,418 )</w:t>
            </w:r>
          </w:p>
        </w:tc>
        <w:tc>
          <w:tcPr>
            <w:tcW w:w="36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(1,699 )</w:t>
            </w:r>
          </w:p>
        </w:tc>
        <w:tc>
          <w:tcPr>
            <w:tcW w:w="24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(18,700 )</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(1,625 )</w:t>
            </w: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(16,173</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(16,173</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Adjustments to non-controlling interests: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66,555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75,698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73,531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70,004</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9,472</w:t>
            </w: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(3,346 )</w:t>
            </w:r>
          </w:p>
        </w:tc>
        <w:tc>
          <w:tcPr>
            <w:tcW w:w="3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(398 )</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(7,085 )</w:t>
            </w:r>
          </w:p>
        </w:tc>
        <w:tc>
          <w:tcPr>
            <w:tcW w:w="3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(160 )</w:t>
            </w: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Dividends paid to non-controlling shareholders of IMAX China</w:t>
            </w:r>
          </w:p>
        </w:tc>
        <w:tc>
          <w:tcPr>
            <w:tcW w:w="24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(91 )</w:t>
            </w:r>
          </w:p>
        </w:tc>
        <w:tc>
          <w:tcPr>
            <w:tcW w:w="36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(2,928 )</w:t>
            </w:r>
          </w:p>
        </w:tc>
        <w:tc>
          <w:tcPr>
            <w:tcW w:w="24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(2,701 )</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(5,027 )</w:t>
            </w:r>
          </w:p>
        </w:tc>
      </w:tr>
      <w:tr>
        <w:trPr>
          <w:trHeight w:val="202"/>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 attributable to non-controlling interests</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(118 )</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Arial" w:cs="Arial" w:eastAsia="Arial" w:hAnsi="Arial"/>
                <w:sz w:val="16"/>
                <w:szCs w:val="16"/>
                <w:color w:val="auto"/>
              </w:rPr>
              <w:t>Change in ownership interest related to IMAX China common share repurchases</w:t>
            </w:r>
          </w:p>
        </w:tc>
        <w:tc>
          <w:tcPr>
            <w:tcW w:w="24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(343 )</w:t>
            </w:r>
          </w:p>
        </w:tc>
        <w:tc>
          <w:tcPr>
            <w:tcW w:w="360" w:type="dxa"/>
            <w:vAlign w:val="bottom"/>
          </w:tcPr>
          <w:p>
            <w:pPr>
              <w:spacing w:after="0"/>
              <w:rPr>
                <w:sz w:val="17"/>
                <w:szCs w:val="17"/>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6"/>
                <w:szCs w:val="16"/>
                <w:color w:val="auto"/>
              </w:rPr>
              <w:t>(1,371 )</w:t>
            </w:r>
          </w:p>
        </w:tc>
        <w:tc>
          <w:tcPr>
            <w:tcW w:w="240" w:type="dxa"/>
            <w:vAlign w:val="bottom"/>
          </w:tcPr>
          <w:p>
            <w:pPr>
              <w:spacing w:after="0"/>
              <w:rPr>
                <w:sz w:val="17"/>
                <w:szCs w:val="17"/>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6"/>
                <w:szCs w:val="16"/>
                <w:color w:val="auto"/>
              </w:rPr>
              <w:t>(1,644 )</w:t>
            </w:r>
          </w:p>
        </w:tc>
        <w:tc>
          <w:tcPr>
            <w:tcW w:w="3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(1,371 )</w:t>
            </w: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63,859</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73,263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63,859</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337,198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419,710</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337,198</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419,710</w:t>
            </w:r>
          </w:p>
        </w:tc>
        <w:tc>
          <w:tcPr>
            <w:tcW w:w="10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-4357370</wp:posOffset>
            </wp:positionV>
            <wp:extent cx="7683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-4357370</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-4357370</wp:posOffset>
            </wp:positionV>
            <wp:extent cx="6858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-4357370</wp:posOffset>
            </wp:positionV>
            <wp:extent cx="6858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-3056255</wp:posOffset>
            </wp:positionV>
            <wp:extent cx="7683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-3056255</wp:posOffset>
            </wp:positionV>
            <wp:extent cx="6858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-3056255</wp:posOffset>
            </wp:positionV>
            <wp:extent cx="6858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-3056255</wp:posOffset>
            </wp:positionV>
            <wp:extent cx="6858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-2525395</wp:posOffset>
            </wp:positionV>
            <wp:extent cx="7683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-2525395</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-2525395</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-1737360</wp:posOffset>
            </wp:positionV>
            <wp:extent cx="7683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-1737360</wp:posOffset>
            </wp:positionV>
            <wp:extent cx="6858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-1737360</wp:posOffset>
            </wp:positionV>
            <wp:extent cx="6858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-1206500</wp:posOffset>
            </wp:positionV>
            <wp:extent cx="7683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-1206500</wp:posOffset>
            </wp:positionV>
            <wp:extent cx="6858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-1206500</wp:posOffset>
            </wp:positionV>
            <wp:extent cx="6858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-161925</wp:posOffset>
            </wp:positionV>
            <wp:extent cx="7683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-161925</wp:posOffset>
            </wp:positionV>
            <wp:extent cx="685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-161925</wp:posOffset>
            </wp:positionV>
            <wp:extent cx="6858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i w:val="1"/>
          <w:iCs w:val="1"/>
          <w:color w:val="auto"/>
        </w:rPr>
        <w:t>(Tabular amounts in thousands of U.S. Dollars, unless otherwise stated)</w:t>
      </w:r>
    </w:p>
    <w:p>
      <w:pPr>
        <w:jc w:val="center"/>
        <w:spacing w:after="0" w:line="235" w:lineRule="auto"/>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jc w:val="both"/>
        <w:ind w:left="280" w:right="9360" w:hanging="272"/>
        <w:spacing w:after="0" w:line="473" w:lineRule="auto"/>
        <w:tabs>
          <w:tab w:leader="none" w:pos="23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i w:val="1"/>
          <w:iCs w:val="1"/>
          <w:color w:val="auto"/>
        </w:rPr>
        <w:t>Accounting Principles</w:t>
      </w:r>
    </w:p>
    <w:p>
      <w:pPr>
        <w:jc w:val="both"/>
        <w:ind w:firstLine="225"/>
        <w:spacing w:after="0" w:line="244"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2021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150" w:lineRule="exact"/>
        <w:rPr>
          <w:sz w:val="20"/>
          <w:szCs w:val="20"/>
          <w:color w:val="auto"/>
        </w:rPr>
      </w:pPr>
    </w:p>
    <w:p>
      <w:pPr>
        <w:jc w:val="both"/>
        <w:ind w:firstLine="225"/>
        <w:spacing w:after="0" w:line="234"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included in the Company's 2021 Annual Report on Form 10-K (the "2021 Form 10-K"), which should be consulted for a summary of the significant accounting policies utilized by the Company. The Condensed Consolidated Financial Statements are prepared following the same accounting policies disclosed in the 2021 Form 10-K.</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Revision of Prior Period Amounts</w:t>
      </w:r>
    </w:p>
    <w:p>
      <w:pPr>
        <w:spacing w:after="0" w:line="171" w:lineRule="exact"/>
        <w:rPr>
          <w:sz w:val="20"/>
          <w:szCs w:val="20"/>
          <w:color w:val="auto"/>
        </w:rPr>
      </w:pPr>
    </w:p>
    <w:p>
      <w:pPr>
        <w:jc w:val="both"/>
        <w:ind w:firstLine="225"/>
        <w:spacing w:after="0" w:line="246" w:lineRule="auto"/>
        <w:rPr>
          <w:sz w:val="20"/>
          <w:szCs w:val="20"/>
          <w:color w:val="auto"/>
        </w:rPr>
      </w:pPr>
      <w:r>
        <w:rPr>
          <w:rFonts w:ascii="Arial" w:cs="Arial" w:eastAsia="Arial" w:hAnsi="Arial"/>
          <w:sz w:val="17"/>
          <w:szCs w:val="17"/>
          <w:color w:val="auto"/>
        </w:rPr>
        <w:t>In the Condensed Consolidated Statements of Shareholders' Equity, the Company revised the September 30, 2021 balances of Total Shareholders' Equity Attributable to Common Shareholders and Non-Controlling Interests. The revisions were principally made to properly reflect changes in the Company's ownership interest in IMAX China Holding, Inc. ("IMAX China") as a result of common share repurchases made by IMAX China and the amortization of share-based compensation related to IMAX China. The revisions resulted in a reclassification of $9.5 million between the balances of Other Equity and Non-Controlling Interests as of September 30, 2021. There is no change in Total Shareholders' Equity as a result of the revisions. (See Note 3(a) of Notes to Consolidated Financial Statements in Part II, Item 8 of the Company's 2021 Form 10-K).</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jc w:val="both"/>
        <w:ind w:firstLine="225"/>
        <w:spacing w:after="0" w:line="234" w:lineRule="auto"/>
        <w:rPr>
          <w:sz w:val="20"/>
          <w:szCs w:val="20"/>
          <w:color w:val="auto"/>
        </w:rPr>
      </w:pPr>
      <w:r>
        <w:rPr>
          <w:rFonts w:ascii="Arial" w:cs="Arial" w:eastAsia="Arial" w:hAnsi="Arial"/>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50" w:lineRule="exact"/>
        <w:rPr>
          <w:sz w:val="20"/>
          <w:szCs w:val="20"/>
          <w:color w:val="auto"/>
        </w:rPr>
      </w:pPr>
    </w:p>
    <w:p>
      <w:pPr>
        <w:jc w:val="both"/>
        <w:ind w:firstLine="225"/>
        <w:spacing w:after="0" w:line="244"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18(b).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 of Operations.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2022 and December 31, 2021, total assets and liabilities of the Company's consolidated VIEs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399"/>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99"/>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36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r>
      <w:tr>
        <w:trPr>
          <w:trHeight w:val="209"/>
        </w:trPr>
        <w:tc>
          <w:tcPr>
            <w:tcW w:w="3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39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1,576</w:t>
            </w:r>
          </w:p>
        </w:tc>
      </w:tr>
      <w:tr>
        <w:trPr>
          <w:trHeight w:val="230"/>
        </w:trPr>
        <w:tc>
          <w:tcPr>
            <w:tcW w:w="36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4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256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259</w:t>
            </w:r>
          </w:p>
        </w:tc>
      </w:tr>
      <w:tr>
        <w:trPr>
          <w:trHeight w:val="822"/>
        </w:trPr>
        <w:tc>
          <w:tcPr>
            <w:tcW w:w="3680" w:type="dxa"/>
            <w:vAlign w:val="bottom"/>
          </w:tcPr>
          <w:p>
            <w:pPr>
              <w:spacing w:after="0"/>
              <w:rPr>
                <w:sz w:val="24"/>
                <w:szCs w:val="24"/>
                <w:color w:val="auto"/>
              </w:rPr>
            </w:pPr>
          </w:p>
        </w:tc>
        <w:tc>
          <w:tcPr>
            <w:tcW w:w="3980" w:type="dxa"/>
            <w:vAlign w:val="bottom"/>
          </w:tcPr>
          <w:p>
            <w:pPr>
              <w:jc w:val="right"/>
              <w:ind w:right="191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57" w:lineRule="exact"/>
        <w:rPr>
          <w:sz w:val="20"/>
          <w:szCs w:val="20"/>
          <w:color w:val="auto"/>
        </w:rPr>
      </w:pPr>
    </w:p>
    <w:p>
      <w:pPr>
        <w:jc w:val="both"/>
        <w:ind w:firstLine="225"/>
        <w:spacing w:after="0" w:line="242" w:lineRule="auto"/>
        <w:rPr>
          <w:sz w:val="20"/>
          <w:szCs w:val="20"/>
          <w:color w:val="auto"/>
        </w:rPr>
      </w:pPr>
      <w:r>
        <w:rPr>
          <w:rFonts w:ascii="Arial" w:cs="Arial" w:eastAsia="Arial" w:hAnsi="Arial"/>
          <w:sz w:val="17"/>
          <w:szCs w:val="17"/>
          <w:color w:val="auto"/>
        </w:rPr>
        <w:t>In preparing the Company's Condensed Consolidated Financial Statements, management makes judgments in applying various accounting policies. The areas of policy judgment are consistent with those reported in Note 3(c) of the Company's audited Consolidated Financial Statements included in its 2021 Form 10-K.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Theater System arrangement to distinct performance obligations; (ii) the amount of variable consideration to be earned on sales of IMAX Theater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153" w:lineRule="exact"/>
        <w:rPr>
          <w:sz w:val="20"/>
          <w:szCs w:val="20"/>
          <w:color w:val="auto"/>
        </w:rPr>
      </w:pPr>
    </w:p>
    <w:p>
      <w:pPr>
        <w:jc w:val="both"/>
        <w:ind w:firstLine="225"/>
        <w:spacing w:after="0" w:line="272" w:lineRule="auto"/>
        <w:rPr>
          <w:sz w:val="20"/>
          <w:szCs w:val="20"/>
          <w:color w:val="auto"/>
        </w:rPr>
      </w:pPr>
      <w:r>
        <w:rPr>
          <w:rFonts w:ascii="Arial" w:cs="Arial" w:eastAsia="Arial" w:hAnsi="Arial"/>
          <w:sz w:val="16"/>
          <w:szCs w:val="16"/>
          <w:color w:val="auto"/>
        </w:rPr>
        <w:t>The impact of the COVID-19 pandemic is complex and continuously evolving, resulting in significant disruption to the Company's business and the global economy, as described in Note 2. Although management is encouraged by the broad reopening of the IMAX theater network, the continued progress towards the resumption of normal theater operations, normal film release schedules, and recent box office results, there continues to be risk and uncertainty relating to the judgments, assumptions, and estimates used by management in preparing the Company's Condensed Consolidated Financial Statements.</w:t>
      </w:r>
    </w:p>
    <w:p>
      <w:pPr>
        <w:spacing w:after="0" w:line="123" w:lineRule="exact"/>
        <w:rPr>
          <w:sz w:val="20"/>
          <w:szCs w:val="20"/>
          <w:color w:val="auto"/>
        </w:rPr>
      </w:pPr>
    </w:p>
    <w:p>
      <w:pPr>
        <w:jc w:val="both"/>
        <w:ind w:firstLine="225"/>
        <w:spacing w:after="0" w:line="241" w:lineRule="auto"/>
        <w:rPr>
          <w:sz w:val="20"/>
          <w:szCs w:val="20"/>
          <w:color w:val="auto"/>
        </w:rPr>
      </w:pPr>
      <w:r>
        <w:rPr>
          <w:rFonts w:ascii="Arial" w:cs="Arial" w:eastAsia="Arial" w:hAnsi="Arial"/>
          <w:sz w:val="17"/>
          <w:szCs w:val="17"/>
          <w:color w:val="auto"/>
        </w:rPr>
        <w:t>In response to the ongoing conflict between Russia and Ukraine, a number of countries in which the Company operates, including Canada and the United States, have imposed broad sanctions and other restrictive actions against governmental and other entities in Russia, which in turn have and may continue to have an adverse impact on the Company's business and results of operations in the affected regions. Commencing in March 2022, in response to the conflict and resulting sanctions, the Company suspended its operations in Russia and Belarus. As of September 30, 2022, the IMAX network includes 54 theaters in Russia, nine theaters in Ukraine, and one theater in Belarus, and the Company's backlog includes 14 theaters in Russia, one theater in Ukraine, and five theaters in Belarus with a total fixed contracted value of $22.9 million. As a result of the ongoing conflict, there is risk and uncertainty relating to the judgments, assumptions, and estimates used by management in preparing the Company's Condensed Consolidated Financial Statements, including estimates related to expected credit losses on accounts receivables, financing receivables, and variable consideration receivables, as discussed in Note 5.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beginning in the first quarter of 2022, exhibitors in Russia, Ukraine, and Belarus were placed on nonaccrual status for maintenance revenue and finance income. The Company continues to monitor the evolving impacts of this conflict and its effects on the global economy and the Company. Given the global nature of the Company's operations, any protracted conflict or the broader macroeconomic impact of the Russia-Ukraine conflict and sanctions imposed on Russia could have further adverse impacts on the Company's business, results of operations, and financial condition.</w:t>
      </w:r>
    </w:p>
    <w:p>
      <w:pPr>
        <w:spacing w:after="0" w:line="157"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On September 7, 2022, Cineworld Group plc ("Cineworld"), the parent company of Regal Entertainment Group, and certain of its subsidiaries and Regal CineMedia Holdings, LLC, filed petitions for reorganization under Chapter 11 of the United States Bankruptcy Code in the Southern District of Texas.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network of theaters with Cineworld resulting from this reorganization. There can, however, be no guarantees as to the ultimate outcome of a Chapter 11 proceeding. The Company has an unsecured claim of $11.4 million related to receivables from the entities included in the reorganization proceeding.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7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China in the first quarter of 2022, the Chinese government reinstituted capacity restrictions and safety protocols on large public gatherings, which has led to the temporary closure of theaters in several cities. As of September 30, 2022, approximately 92% of the IMAX theaters in Greater China were open at various capacities. On average, during the third quarter of 2022, approximately 82% of the IMAX theaters in Greater China were open at various capacities.</w:t>
      </w:r>
    </w:p>
    <w:p>
      <w:pPr>
        <w:spacing w:after="0" w:line="152"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Standards</w:t>
      </w:r>
    </w:p>
    <w:p>
      <w:pPr>
        <w:spacing w:after="0" w:line="18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ASU 2020-04 is effective for all entities from the beginning of an interim period that includes the issuance date of the ASU. An entity may elect to apply ASU 2020-04 prospectively through December 31, 2022. In October 2022, the FASB extended the temporary accounting relief to December 31, 2024 from the current sunset date of December 31, 2022. As of September 30, 2022, the Company is not party to any third party contracts that reference the London Interbank Offered Rate (LIBOR). Accordingly, the Company does not expect ASU 2020-04 to have a material effect on its Condensed Consolidated Financial Statements.</w:t>
      </w:r>
    </w:p>
    <w:p>
      <w:pPr>
        <w:spacing w:after="0" w:line="133"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October 2021, the FASB issued ASU No. 2021-08, "2021-08: Business Combinations (Topic 850): Accounting for Contract Assets and Contract Liabilities from Contracts with Customers" ("ASU 2021-08"). ASU 2021-08 requires that an acquirer recognize and measure contract assets and contract liabilities (e.g., deferred revenue) acquired in a business combination in accordance with Topic 606, as opposed to at fair value. ASU 2021-08 is effective for fiscal years beginning after December 15, 2022, including interim periods within those periods. Early adoption is permitted. The Company elected to early adopt ASU 2021-08 in the third quarter of 2022 in connection with its acquisition of SSIMWAVE Inc. (see Note 4).</w:t>
      </w:r>
    </w:p>
    <w:p>
      <w:pPr>
        <w:spacing w:after="0" w:line="126"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November 2021, the FASB issued ASU No. 2021-10, "2021-10: Government Assistance (Topic 832): Disclosures by Business Entities about Government Assistance" ("ASU 2021-10"). ASU 2021-10 requires annual disclosures about transactions with a government that are accounted for by applying a grant or contribution accounting model by analogy. ASU 2021-10 is effective for annual periods beginning after December 15, 2021. Early adoption is permitted. The Company will adopt ASU 2021-10 for the year ending December 31, 2022 and will provide the required disclosures, if material.</w:t>
      </w:r>
    </w:p>
    <w:p>
      <w:pPr>
        <w:spacing w:after="0" w:line="125"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auto"/>
        </w:rPr>
        <w:t>In March 2022, the FASB issued ASU No. 2022-02, "2022-02: Financial Instruments—Credit Losses (Topic 326): Troubled Debt Restructurings and Vintage Disclosures" ("ASU 2022-02"). ASU 2022-02 amends and eliminates the accounting guidance for Troubled Debt Restructurings by creditors, while enhancing disclosure requirements for certain loan refinancings and restructurings by creditors when a borrower is experiencing financial difficulty and requires for public business entities, to disclose current-period gross write offs by year of origination for financing receivables and net investments in leases. ASU 2022-02 is effective for fiscal years beginning after December 15, 2022, including interim periods within those fiscal years. Early adoption is permitted. The Company will adopt ASU 2022-02 for the first quarter of 2023 and is in the process of evaluating the accounting and disclosure impact, if any, on the Company's Condensed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jc w:val="both"/>
        <w:ind w:firstLine="225"/>
        <w:spacing w:after="0" w:line="247" w:lineRule="auto"/>
        <w:rPr>
          <w:sz w:val="20"/>
          <w:szCs w:val="20"/>
          <w:color w:val="auto"/>
        </w:rPr>
      </w:pPr>
      <w:r>
        <w:rPr>
          <w:rFonts w:ascii="Arial" w:cs="Arial" w:eastAsia="Arial" w:hAnsi="Arial"/>
          <w:sz w:val="18"/>
          <w:szCs w:val="18"/>
          <w:color w:val="auto"/>
        </w:rPr>
        <w:t>The Company considers the applicability and impact of all FASB ASUs that are recently issued, but not yet effective. ASUs that are not noted above were assessed and determined to be not applicable or not significant to the Company's Condensed Consolidated Financial Statements for the period ended September 30,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88"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18"/>
          <w:szCs w:val="18"/>
          <w:color w:val="auto"/>
        </w:rPr>
        <w:t>On September 22, 2022 (the "Closing Date"), the Company acquired all of the issued and outstanding shares of SSIMWAVE Inc. ("SSIMWAVE") pursuant to a share purchase agreement by and among the Company, SSIMWAVE, and related shareholders (the "Sellers"). SSIMWAVE provides perceptual quality measurement and optimization solutions based on artificial intelligence technologies for leading media and entertainment companies. Following the acquisition, SSIMWAVE became a wholly-owned subsidiary of the Company.</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consideration for the acquisition of SSIMWAVE, the Company is paying an aggregate purchase price of approximately $23.1 million, comprised of:</w:t>
      </w:r>
    </w:p>
    <w:p>
      <w:pPr>
        <w:spacing w:after="0" w:line="34" w:lineRule="exact"/>
        <w:rPr>
          <w:sz w:val="20"/>
          <w:szCs w:val="20"/>
          <w:color w:val="auto"/>
        </w:rPr>
      </w:pPr>
    </w:p>
    <w:p>
      <w:pPr>
        <w:jc w:val="both"/>
        <w:ind w:firstLine="8"/>
        <w:spacing w:after="0" w:line="242" w:lineRule="auto"/>
        <w:tabs>
          <w:tab w:leader="none" w:pos="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$19.4 million in cash, of which $16.2 million was paid on the Closing Date, (ii) 160,547 common shares of the Company with a fair value of $1.9 million (the "IMAX Share Consideration"), and (iii) contingent consideration with a fair value of $1.8 million (the "Earn-Out Payment"). The fair value of the IMAX Share Consideration is reduced to reflect the fair value of certain restrictions on the future transfer of the shares. The Earn-Out Payment may be paid to certain Sellers in an aggregate amount of up to $2.0 million in cash, contingent upon and following the achievement of certain commercial and financial milestones during the period from January 1, 2023 to December 31, 2024. The fair value of the Earn-Out Payment is based on management's assessment of the likelihood of achieving these milestones.</w:t>
      </w:r>
    </w:p>
    <w:p>
      <w:pPr>
        <w:spacing w:after="0" w:line="161"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The revenues and earnings of SSIMWAVE were not material to the three and nine months ended September 30, 2022. In the third quarter of 2022, the Company incurred $1.0 million of professional fees in connection with the acquisition of SSIMWAVE, which were recorded within Selling, General and Administrative Expenses on the Company's Condensed Consolidated Statements of Operations.</w:t>
      </w:r>
    </w:p>
    <w:p>
      <w:pPr>
        <w:spacing w:after="0" w:line="156"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 is accounting for the acquisition of SSIMWAVE as a business combination and is in the process of valuing the assets acquired, such as technology-related and customer-related intangible assets, and liabilities assumed. The Company will complete the allocation of the purchase price during the twelve-month measurement period following the date of the acquisition. The table below summarizes the preliminary allocation of the purchase price to the SSIMWAVE assets acquired and liabilities assumed. This allocation is subject to revision upon completion of the Company's valuation procedures.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3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3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shd w:val="clear" w:color="auto" w:fill="CFF0FC"/>
          </w:tcPr>
          <w:p>
            <w:pPr>
              <w:spacing w:after="0"/>
              <w:rPr>
                <w:sz w:val="16"/>
                <w:szCs w:val="16"/>
                <w:color w:val="auto"/>
              </w:rPr>
            </w:pPr>
          </w:p>
        </w:tc>
        <w:tc>
          <w:tcPr>
            <w:tcW w:w="53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Purchase Price:</w:t>
            </w:r>
          </w:p>
        </w:tc>
        <w:tc>
          <w:tcPr>
            <w:tcW w:w="38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Cash payments</w:t>
            </w:r>
          </w:p>
        </w:tc>
        <w:tc>
          <w:tcPr>
            <w:tcW w:w="46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5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IMAX Share Consideration</w:t>
            </w:r>
          </w:p>
        </w:tc>
        <w:tc>
          <w:tcPr>
            <w:tcW w:w="3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FF0F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Earn-Out Payment</w:t>
            </w:r>
          </w:p>
        </w:tc>
        <w:tc>
          <w:tcPr>
            <w:tcW w:w="38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34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Total Purchase Price</w:t>
            </w:r>
          </w:p>
        </w:tc>
        <w:tc>
          <w:tcPr>
            <w:tcW w:w="38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5340" w:type="dxa"/>
            <w:vAlign w:val="bottom"/>
            <w:gridSpan w:val="3"/>
          </w:tcPr>
          <w:p>
            <w:pPr>
              <w:spacing w:after="0" w:line="170" w:lineRule="exact"/>
              <w:rPr>
                <w:sz w:val="20"/>
                <w:szCs w:val="20"/>
                <w:color w:val="auto"/>
              </w:rPr>
            </w:pPr>
            <w:r>
              <w:rPr>
                <w:rFonts w:ascii="Arial" w:cs="Arial" w:eastAsia="Arial" w:hAnsi="Arial"/>
                <w:sz w:val="18"/>
                <w:szCs w:val="18"/>
                <w:b w:val="1"/>
                <w:bCs w:val="1"/>
                <w:color w:val="auto"/>
              </w:rPr>
              <w:t>Allocation of Purchase Price:</w:t>
            </w:r>
          </w:p>
        </w:tc>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460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Accounts receivable</w:t>
            </w:r>
          </w:p>
        </w:tc>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5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Property, plant and equipment</w:t>
            </w:r>
          </w:p>
        </w:tc>
        <w:tc>
          <w:tcPr>
            <w:tcW w:w="3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Other assets</w:t>
            </w:r>
          </w:p>
        </w:tc>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5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3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(1,091 )</w:t>
            </w:r>
          </w:p>
        </w:tc>
      </w:tr>
      <w:tr>
        <w:trPr>
          <w:trHeight w:val="229"/>
        </w:trPr>
        <w:tc>
          <w:tcPr>
            <w:tcW w:w="20" w:type="dxa"/>
            <w:vAlign w:val="bottom"/>
          </w:tcPr>
          <w:p>
            <w:pPr>
              <w:spacing w:after="0"/>
              <w:rPr>
                <w:sz w:val="19"/>
                <w:szCs w:val="19"/>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Deferred revenue</w:t>
            </w:r>
          </w:p>
        </w:tc>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(1,274 )</w:t>
            </w:r>
          </w:p>
        </w:tc>
      </w:tr>
      <w:tr>
        <w:trPr>
          <w:trHeight w:val="229"/>
        </w:trPr>
        <w:tc>
          <w:tcPr>
            <w:tcW w:w="20" w:type="dxa"/>
            <w:vAlign w:val="bottom"/>
            <w:shd w:val="clear" w:color="auto" w:fill="CFF0FC"/>
          </w:tcPr>
          <w:p>
            <w:pPr>
              <w:spacing w:after="0"/>
              <w:rPr>
                <w:sz w:val="19"/>
                <w:szCs w:val="19"/>
                <w:color w:val="auto"/>
              </w:rPr>
            </w:pPr>
          </w:p>
        </w:tc>
        <w:tc>
          <w:tcPr>
            <w:tcW w:w="5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2"/>
              </w:rPr>
              <w:t>Federal economic development loan, net of unaccreted interest benefit</w:t>
            </w:r>
          </w:p>
        </w:tc>
        <w:tc>
          <w:tcPr>
            <w:tcW w:w="3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(1,772 )</w:t>
            </w:r>
          </w:p>
        </w:tc>
      </w:tr>
      <w:tr>
        <w:trPr>
          <w:trHeight w:val="216"/>
        </w:trPr>
        <w:tc>
          <w:tcPr>
            <w:tcW w:w="20" w:type="dxa"/>
            <w:vAlign w:val="bottom"/>
          </w:tcPr>
          <w:p>
            <w:pPr>
              <w:spacing w:after="0"/>
              <w:rPr>
                <w:sz w:val="18"/>
                <w:szCs w:val="18"/>
                <w:color w:val="auto"/>
              </w:rPr>
            </w:pPr>
          </w:p>
        </w:tc>
        <w:tc>
          <w:tcPr>
            <w:tcW w:w="5340" w:type="dxa"/>
            <w:vAlign w:val="bottom"/>
            <w:gridSpan w:val="3"/>
          </w:tcPr>
          <w:p>
            <w:pPr>
              <w:ind w:left="100"/>
              <w:spacing w:after="0"/>
              <w:rPr>
                <w:sz w:val="20"/>
                <w:szCs w:val="20"/>
                <w:color w:val="auto"/>
              </w:rPr>
            </w:pPr>
            <w:r>
              <w:rPr>
                <w:rFonts w:ascii="Arial" w:cs="Arial" w:eastAsia="Arial" w:hAnsi="Arial"/>
                <w:sz w:val="18"/>
                <w:szCs w:val="18"/>
                <w:color w:val="auto"/>
              </w:rPr>
              <w:t>Goodwill</w:t>
            </w:r>
          </w:p>
        </w:tc>
        <w:tc>
          <w:tcPr>
            <w:tcW w:w="38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22,691</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34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Total Purchase Price</w:t>
            </w:r>
          </w:p>
        </w:tc>
        <w:tc>
          <w:tcPr>
            <w:tcW w:w="38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20" w:type="dxa"/>
            <w:vAlign w:val="bottom"/>
          </w:tcPr>
          <w:p>
            <w:pPr>
              <w:jc w:val="right"/>
              <w:ind w:right="337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Receivables</w:t>
      </w:r>
    </w:p>
    <w:p>
      <w:pPr>
        <w:spacing w:after="0" w:line="17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their being unable to fulfill their payment obligations to the Company.</w:t>
      </w:r>
    </w:p>
    <w:p>
      <w:pPr>
        <w:spacing w:after="0" w:line="148"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7"/>
          <w:szCs w:val="17"/>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27" w:lineRule="exact"/>
        <w:rPr>
          <w:sz w:val="20"/>
          <w:szCs w:val="20"/>
          <w:color w:val="auto"/>
        </w:rPr>
      </w:pPr>
    </w:p>
    <w:p>
      <w:pPr>
        <w:ind w:left="980" w:hanging="373"/>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Good Standing — The theater operator continues to be in good standing as payments and reporting are received on a regular basis.</w:t>
      </w:r>
    </w:p>
    <w:p>
      <w:pPr>
        <w:spacing w:after="0" w:line="195" w:lineRule="exact"/>
        <w:rPr>
          <w:rFonts w:ascii="Arial" w:cs="Arial" w:eastAsia="Arial" w:hAnsi="Arial"/>
          <w:sz w:val="17"/>
          <w:szCs w:val="17"/>
          <w:color w:val="auto"/>
        </w:rPr>
      </w:pPr>
    </w:p>
    <w:p>
      <w:pPr>
        <w:jc w:val="both"/>
        <w:ind w:left="980" w:hanging="373"/>
        <w:spacing w:after="0" w:line="24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57" w:lineRule="exact"/>
        <w:rPr>
          <w:rFonts w:ascii="Arial" w:cs="Arial" w:eastAsia="Arial" w:hAnsi="Arial"/>
          <w:sz w:val="18"/>
          <w:szCs w:val="18"/>
          <w:color w:val="auto"/>
        </w:rPr>
      </w:pPr>
    </w:p>
    <w:p>
      <w:pPr>
        <w:jc w:val="both"/>
        <w:ind w:left="980" w:hanging="373"/>
        <w:spacing w:after="0" w:line="263"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42" w:lineRule="exact"/>
        <w:rPr>
          <w:rFonts w:ascii="Arial" w:cs="Arial" w:eastAsia="Arial" w:hAnsi="Arial"/>
          <w:sz w:val="17"/>
          <w:szCs w:val="17"/>
          <w:color w:val="auto"/>
        </w:rPr>
      </w:pPr>
    </w:p>
    <w:p>
      <w:pPr>
        <w:jc w:val="both"/>
        <w:ind w:left="980" w:hanging="373"/>
        <w:spacing w:after="0" w:line="29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22"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151" w:lineRule="exact"/>
        <w:rPr>
          <w:sz w:val="20"/>
          <w:szCs w:val="20"/>
          <w:color w:val="auto"/>
        </w:rPr>
      </w:pPr>
    </w:p>
    <w:p>
      <w:pPr>
        <w:jc w:val="both"/>
        <w:ind w:right="20" w:firstLine="225"/>
        <w:spacing w:after="0" w:line="271" w:lineRule="auto"/>
        <w:rPr>
          <w:sz w:val="20"/>
          <w:szCs w:val="20"/>
          <w:color w:val="auto"/>
        </w:rPr>
      </w:pPr>
      <w:r>
        <w:rPr>
          <w:rFonts w:ascii="Arial" w:cs="Arial" w:eastAsia="Arial" w:hAnsi="Arial"/>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35"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3" w:name="page14"/>
    <w:bookmarkEnd w:id="13"/>
    <w:p>
      <w:pPr>
        <w:jc w:val="both"/>
        <w:ind w:firstLine="225"/>
        <w:spacing w:after="0" w:line="300" w:lineRule="auto"/>
        <w:rPr>
          <w:sz w:val="20"/>
          <w:szCs w:val="20"/>
          <w:color w:val="auto"/>
        </w:rPr>
      </w:pPr>
      <w:r>
        <w:rPr>
          <w:rFonts w:ascii="Arial" w:cs="Arial" w:eastAsia="Arial" w:hAnsi="Arial"/>
          <w:sz w:val="16"/>
          <w:szCs w:val="16"/>
          <w:color w:val="auto"/>
        </w:rPr>
        <w:t>On September 7, 2022, Cineworld, the parent company of Regal Entertainment Group, and certain of its subsidiaries and Regal CineMedia Holdings, LLC, filed petitions for reorganization under Chapter 11 of the United States Bankruptcy Code in the Southern District of Texas.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network of theaters with Cineworld resulting from this reorganization. There can, however, be no guarantees as to the ultimate outcome of a Chapter 11 proceeding. The Company has an unsecured claim of $11.4 million related to receivables from the entities included in the reorganization proceeding.</w:t>
      </w:r>
    </w:p>
    <w:p>
      <w:pPr>
        <w:spacing w:after="0" w:line="130" w:lineRule="exact"/>
        <w:rPr>
          <w:sz w:val="20"/>
          <w:szCs w:val="20"/>
          <w:color w:val="auto"/>
        </w:rPr>
      </w:pPr>
    </w:p>
    <w:p>
      <w:pPr>
        <w:jc w:val="both"/>
        <w:ind w:firstLine="225"/>
        <w:spacing w:after="0" w:line="305" w:lineRule="auto"/>
        <w:rPr>
          <w:sz w:val="20"/>
          <w:szCs w:val="20"/>
          <w:color w:val="auto"/>
        </w:rPr>
      </w:pPr>
      <w:r>
        <w:rPr>
          <w:rFonts w:ascii="Arial" w:cs="Arial" w:eastAsia="Arial" w:hAnsi="Arial"/>
          <w:sz w:val="16"/>
          <w:szCs w:val="16"/>
          <w:color w:val="auto"/>
        </w:rPr>
        <w:t>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 The impacts of inflation, and rising interest rates may also impact future credit losses. The Company will continue to monitor for economic trends and conditions and portfolio performance and adjust its allowance for credit loss accordingly.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84"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summarize the activity in the allowance for credit losses related to Accounts Receivable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Three Months Ended September 30, 2022</w:t>
            </w:r>
          </w:p>
        </w:tc>
        <w:tc>
          <w:tcPr>
            <w:tcW w:w="6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rPr>
              <w:t>Nine Months Ended September 30, 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Operators</w:t>
            </w:r>
          </w:p>
        </w:tc>
        <w:tc>
          <w:tcPr>
            <w:tcW w:w="16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Studios</w:t>
            </w:r>
          </w:p>
        </w:tc>
        <w:tc>
          <w:tcPr>
            <w:tcW w:w="180" w:type="dxa"/>
            <w:vAlign w:val="bottom"/>
          </w:tcPr>
          <w:p>
            <w:pPr>
              <w:spacing w:after="0"/>
              <w:rPr>
                <w:sz w:val="16"/>
                <w:szCs w:val="16"/>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Operators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Studios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9"/>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13,355</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FF0FC"/>
          </w:tcPr>
          <w:p>
            <w:pPr>
              <w:spacing w:after="0"/>
              <w:rPr>
                <w:sz w:val="18"/>
                <w:szCs w:val="18"/>
                <w:color w:val="auto"/>
              </w:rPr>
            </w:pPr>
          </w:p>
        </w:tc>
      </w:tr>
      <w:tr>
        <w:trPr>
          <w:trHeight w:val="174"/>
        </w:trPr>
        <w:tc>
          <w:tcPr>
            <w:tcW w:w="2560" w:type="dxa"/>
            <w:vAlign w:val="bottom"/>
          </w:tcPr>
          <w:p>
            <w:pPr>
              <w:ind w:left="120"/>
              <w:spacing w:after="0" w:line="175" w:lineRule="exact"/>
              <w:rPr>
                <w:sz w:val="20"/>
                <w:szCs w:val="20"/>
                <w:color w:val="auto"/>
              </w:rPr>
            </w:pPr>
            <w:r>
              <w:rPr>
                <w:rFonts w:ascii="Arial" w:cs="Arial" w:eastAsia="Arial" w:hAnsi="Arial"/>
                <w:sz w:val="18"/>
                <w:szCs w:val="18"/>
                <w:color w:val="auto"/>
              </w:rPr>
              <w:t>Current period provision</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(reversal), net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0"/>
                <w:szCs w:val="20"/>
                <w:color w:val="auto"/>
              </w:rPr>
            </w:pPr>
          </w:p>
        </w:tc>
      </w:tr>
      <w:tr>
        <w:trPr>
          <w:trHeight w:val="216"/>
        </w:trPr>
        <w:tc>
          <w:tcPr>
            <w:tcW w:w="2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(394 )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(565 )</w:t>
            </w:r>
          </w:p>
        </w:tc>
      </w:tr>
      <w:tr>
        <w:trPr>
          <w:trHeight w:val="216"/>
        </w:trPr>
        <w:tc>
          <w:tcPr>
            <w:tcW w:w="256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(216 )</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(500 )</w:t>
            </w:r>
          </w:p>
        </w:tc>
      </w:tr>
      <w:tr>
        <w:trPr>
          <w:trHeight w:val="249"/>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8"/>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Three Months Ended September 30, 2021</w:t>
            </w:r>
          </w:p>
        </w:tc>
        <w:tc>
          <w:tcPr>
            <w:tcW w:w="6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rPr>
              <w:t>Nine Months Ended September 30, 2021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25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Operators</w:t>
            </w:r>
          </w:p>
        </w:tc>
        <w:tc>
          <w:tcPr>
            <w:tcW w:w="16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Studios</w:t>
            </w:r>
          </w:p>
        </w:tc>
        <w:tc>
          <w:tcPr>
            <w:tcW w:w="180" w:type="dxa"/>
            <w:vAlign w:val="bottom"/>
          </w:tcPr>
          <w:p>
            <w:pPr>
              <w:spacing w:after="0"/>
              <w:rPr>
                <w:sz w:val="16"/>
                <w:szCs w:val="16"/>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Operators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Studios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9"/>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12,306</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ind w:left="120"/>
              <w:spacing w:after="0"/>
              <w:rPr>
                <w:sz w:val="20"/>
                <w:szCs w:val="20"/>
                <w:color w:val="auto"/>
              </w:rPr>
            </w:pPr>
            <w:r>
              <w:rPr>
                <w:rFonts w:ascii="Arial" w:cs="Arial" w:eastAsia="Arial" w:hAnsi="Arial"/>
                <w:sz w:val="18"/>
                <w:szCs w:val="18"/>
                <w:color w:val="auto"/>
              </w:rPr>
              <w:t>Current period reversal, net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(489 )</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(251 )</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(764 )</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(1,928 )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(2,308 )</w:t>
            </w:r>
          </w:p>
        </w:tc>
      </w:tr>
      <w:tr>
        <w:trPr>
          <w:trHeight w:val="216"/>
        </w:trPr>
        <w:tc>
          <w:tcPr>
            <w:tcW w:w="2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(43 )</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(270 )</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(313 )</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(800 )</w:t>
            </w:r>
          </w:p>
        </w:tc>
      </w:tr>
      <w:tr>
        <w:trPr>
          <w:trHeight w:val="216"/>
        </w:trPr>
        <w:tc>
          <w:tcPr>
            <w:tcW w:w="256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r>
      <w:tr>
        <w:trPr>
          <w:trHeight w:val="249"/>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-1232535</wp:posOffset>
            </wp:positionV>
            <wp:extent cx="4949190" cy="513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49190" cy="51371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5"/>
        <w:spacing w:after="0" w:line="242" w:lineRule="auto"/>
        <w:rPr>
          <w:sz w:val="20"/>
          <w:szCs w:val="20"/>
          <w:color w:val="auto"/>
        </w:rPr>
      </w:pPr>
      <w:r>
        <w:rPr>
          <w:rFonts w:ascii="Arial" w:cs="Arial" w:eastAsia="Arial" w:hAnsi="Arial"/>
          <w:sz w:val="18"/>
          <w:szCs w:val="18"/>
          <w:color w:val="auto"/>
        </w:rPr>
        <w:t>For the three months ended September 30, 2022, the Company's allowance for current expected credit losses related to Accounts Receivable increased by $0.4 million, principally due to the provision for certain receivables partially offset by foreign currency exchange rate movements. For the three months ended September 30, 2022, the Company recorded write-downs of $0.1 million directly to Credit Loss Expenses in the Company's Condensed Consolidated Statements of Operations for Studio-related receivables for which the Company did not have a previously established provision. For the nine months ended September 30, 2022, the Company's allowance for current expected credit losses related to Accounts Receivable increased by $1.8 million, principally due to reserves established against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4" w:name="page15"/>
    <w:bookmarkEnd w:id="14"/>
    <w:p>
      <w:pPr>
        <w:jc w:val="both"/>
        <w:ind w:firstLine="225"/>
        <w:spacing w:after="0" w:line="245" w:lineRule="auto"/>
        <w:rPr>
          <w:sz w:val="20"/>
          <w:szCs w:val="20"/>
          <w:color w:val="auto"/>
        </w:rPr>
      </w:pPr>
      <w:r>
        <w:rPr>
          <w:rFonts w:ascii="Arial" w:cs="Arial" w:eastAsia="Arial" w:hAnsi="Arial"/>
          <w:sz w:val="18"/>
          <w:szCs w:val="18"/>
          <w:color w:val="auto"/>
        </w:rPr>
        <w:t>For the three and nine months ended September 30, 2021, the Company's allowance for current expected credit losses related to Accounts Receivable decreased by $1.2 million and $3.2 million, respectively, principally due to the reversal of previously recorded credit loss expense as a result of an improving outlook for theater operators following the reopening of theaters and the resumption of normal film release schedules as the theatrical exhibition industry began to recover from the COVID-19 global pandemic, as well as better than anticipated collection experience with respect to foreign theater and studio receivable balances.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71" w:lineRule="exact"/>
        <w:rPr>
          <w:sz w:val="20"/>
          <w:szCs w:val="20"/>
          <w:color w:val="auto"/>
        </w:rPr>
      </w:pPr>
    </w:p>
    <w:p>
      <w:pPr>
        <w:jc w:val="both"/>
        <w:ind w:firstLine="225"/>
        <w:spacing w:after="0" w:line="324"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As of September 30, 2022 and December 31, 2021, financing receivables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2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 leases</w:t>
            </w:r>
          </w:p>
        </w:tc>
        <w:tc>
          <w:tcPr>
            <w:tcW w:w="15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Gross minimum payments due under sales-type leases</w:t>
            </w:r>
          </w:p>
        </w:tc>
        <w:tc>
          <w:tcPr>
            <w:tcW w:w="1560" w:type="dxa"/>
            <w:vAlign w:val="bottom"/>
          </w:tcPr>
          <w:p>
            <w:pPr>
              <w:jc w:val="right"/>
              <w:ind w:right="13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29,953</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Unearned finance income</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(661 )</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(763 )</w:t>
            </w:r>
          </w:p>
        </w:tc>
      </w:tr>
      <w:tr>
        <w:trPr>
          <w:trHeight w:val="209"/>
        </w:trPr>
        <w:tc>
          <w:tcPr>
            <w:tcW w:w="7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minimum payments due under sales-type leases</w:t>
            </w:r>
          </w:p>
        </w:tc>
        <w:tc>
          <w:tcPr>
            <w:tcW w:w="15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29,190</w:t>
            </w:r>
          </w:p>
        </w:tc>
        <w:tc>
          <w:tcPr>
            <w:tcW w:w="100" w:type="dxa"/>
            <w:vAlign w:val="bottom"/>
            <w:tcBorders>
              <w:top w:val="single" w:sz="8" w:color="CFF0FC"/>
            </w:tcBorders>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(670 )</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(798 )</w:t>
            </w:r>
          </w:p>
        </w:tc>
      </w:tr>
      <w:tr>
        <w:trPr>
          <w:trHeight w:val="209"/>
        </w:trPr>
        <w:tc>
          <w:tcPr>
            <w:tcW w:w="7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investment in leases</w:t>
            </w:r>
          </w:p>
        </w:tc>
        <w:tc>
          <w:tcPr>
            <w:tcW w:w="15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24,991</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28,392</w:t>
            </w:r>
          </w:p>
        </w:tc>
        <w:tc>
          <w:tcPr>
            <w:tcW w:w="100" w:type="dxa"/>
            <w:vAlign w:val="bottom"/>
            <w:tcBorders>
              <w:top w:val="single" w:sz="8" w:color="CFF0FC"/>
            </w:tcBorders>
          </w:tcPr>
          <w:p>
            <w:pPr>
              <w:spacing w:after="0"/>
              <w:rPr>
                <w:sz w:val="18"/>
                <w:szCs w:val="18"/>
                <w:color w:val="auto"/>
              </w:rPr>
            </w:pPr>
          </w:p>
        </w:tc>
      </w:tr>
      <w:tr>
        <w:trPr>
          <w:trHeight w:val="20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Financed sales receivables</w:t>
            </w:r>
          </w:p>
        </w:tc>
        <w:tc>
          <w:tcPr>
            <w:tcW w:w="15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Gross minimum payments due under financed sales</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137,586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152,315</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Unearned finance income</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(29,000 )</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(34,244 )</w:t>
            </w:r>
          </w:p>
        </w:tc>
      </w:tr>
      <w:tr>
        <w:trPr>
          <w:trHeight w:val="209"/>
        </w:trPr>
        <w:tc>
          <w:tcPr>
            <w:tcW w:w="7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minimum payments due under financed sales</w:t>
            </w:r>
          </w:p>
        </w:tc>
        <w:tc>
          <w:tcPr>
            <w:tcW w:w="15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108,586</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118,071</w:t>
            </w:r>
          </w:p>
        </w:tc>
        <w:tc>
          <w:tcPr>
            <w:tcW w:w="100" w:type="dxa"/>
            <w:vAlign w:val="bottom"/>
            <w:tcBorders>
              <w:top w:val="single" w:sz="8" w:color="CFF0FC"/>
            </w:tcBorders>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(10,959 )</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(5,414 )</w:t>
            </w:r>
          </w:p>
        </w:tc>
      </w:tr>
      <w:tr>
        <w:trPr>
          <w:trHeight w:val="209"/>
        </w:trPr>
        <w:tc>
          <w:tcPr>
            <w:tcW w:w="7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financed sales receivables</w:t>
            </w:r>
          </w:p>
        </w:tc>
        <w:tc>
          <w:tcPr>
            <w:tcW w:w="15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97,627</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w:t>
            </w:r>
          </w:p>
        </w:tc>
        <w:tc>
          <w:tcPr>
            <w:tcW w:w="100" w:type="dxa"/>
            <w:vAlign w:val="bottom"/>
            <w:tcBorders>
              <w:top w:val="single" w:sz="8" w:color="CFF0FC"/>
            </w:tcBorders>
          </w:tcPr>
          <w:p>
            <w:pPr>
              <w:spacing w:after="0"/>
              <w:rPr>
                <w:sz w:val="18"/>
                <w:szCs w:val="18"/>
                <w:color w:val="auto"/>
              </w:rPr>
            </w:pPr>
          </w:p>
        </w:tc>
      </w:tr>
      <w:tr>
        <w:trPr>
          <w:trHeight w:val="249"/>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financing receivables</w:t>
            </w:r>
          </w:p>
        </w:tc>
        <w:tc>
          <w:tcPr>
            <w:tcW w:w="1560" w:type="dxa"/>
            <w:vAlign w:val="bottom"/>
            <w:tcBorders>
              <w:bottom w:val="single" w:sz="8" w:color="auto"/>
            </w:tcBorders>
            <w:shd w:val="clear" w:color="auto" w:fill="CFF0FC"/>
          </w:tcPr>
          <w:p>
            <w:pPr>
              <w:jc w:val="right"/>
              <w:ind w:right="13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122,618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7200" w:type="dxa"/>
            <w:vAlign w:val="bottom"/>
          </w:tcPr>
          <w:p>
            <w:pPr>
              <w:ind w:left="20"/>
              <w:spacing w:after="0"/>
              <w:rPr>
                <w:sz w:val="20"/>
                <w:szCs w:val="20"/>
                <w:color w:val="auto"/>
              </w:rPr>
            </w:pPr>
            <w:r>
              <w:rPr>
                <w:rFonts w:ascii="Arial" w:cs="Arial" w:eastAsia="Arial" w:hAnsi="Arial"/>
                <w:sz w:val="18"/>
                <w:szCs w:val="18"/>
                <w:color w:val="auto"/>
              </w:rPr>
              <w:t>Net financed sales receivables due within one year</w:t>
            </w:r>
          </w:p>
        </w:tc>
        <w:tc>
          <w:tcPr>
            <w:tcW w:w="1560" w:type="dxa"/>
            <w:vAlign w:val="bottom"/>
          </w:tcPr>
          <w:p>
            <w:pPr>
              <w:jc w:val="right"/>
              <w:ind w:right="13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30,360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29,115</w:t>
            </w:r>
          </w:p>
        </w:tc>
        <w:tc>
          <w:tcPr>
            <w:tcW w:w="100" w:type="dxa"/>
            <w:vAlign w:val="bottom"/>
          </w:tcPr>
          <w:p>
            <w:pPr>
              <w:spacing w:after="0"/>
              <w:rPr>
                <w:sz w:val="24"/>
                <w:szCs w:val="24"/>
                <w:color w:val="auto"/>
              </w:rPr>
            </w:pPr>
          </w:p>
        </w:tc>
      </w:tr>
      <w:tr>
        <w:trPr>
          <w:trHeight w:val="21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financed sales receivables due after one year</w:t>
            </w:r>
          </w:p>
        </w:tc>
        <w:tc>
          <w:tcPr>
            <w:tcW w:w="15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00" w:type="dxa"/>
            <w:vAlign w:val="bottom"/>
          </w:tcPr>
          <w:p>
            <w:pPr>
              <w:ind w:left="20"/>
              <w:spacing w:after="0"/>
              <w:rPr>
                <w:sz w:val="20"/>
                <w:szCs w:val="20"/>
                <w:color w:val="auto"/>
              </w:rPr>
            </w:pPr>
            <w:r>
              <w:rPr>
                <w:rFonts w:ascii="Arial" w:cs="Arial" w:eastAsia="Arial" w:hAnsi="Arial"/>
                <w:sz w:val="18"/>
                <w:szCs w:val="18"/>
                <w:color w:val="auto"/>
              </w:rPr>
              <w:t>Total financed sales receivables</w:t>
            </w:r>
          </w:p>
        </w:tc>
        <w:tc>
          <w:tcPr>
            <w:tcW w:w="1560" w:type="dxa"/>
            <w:vAlign w:val="bottom"/>
            <w:tcBorders>
              <w:bottom w:val="single" w:sz="8" w:color="auto"/>
            </w:tcBorders>
          </w:tcPr>
          <w:p>
            <w:pPr>
              <w:jc w:val="right"/>
              <w:ind w:right="13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112,657</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-2028825</wp:posOffset>
            </wp:positionV>
            <wp:extent cx="6858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-1746250</wp:posOffset>
            </wp:positionV>
            <wp:extent cx="685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-1181100</wp:posOffset>
            </wp:positionV>
            <wp:extent cx="6858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-898525</wp:posOffset>
            </wp:positionV>
            <wp:extent cx="6858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-607060</wp:posOffset>
            </wp:positionV>
            <wp:extent cx="1181735" cy="2997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81735" cy="29972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-170815</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2022 and December 31, 2021, the weighted-average remaining lease term and weighted-average interest rate associated with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r>
      <w:tr>
        <w:trPr>
          <w:trHeight w:val="201"/>
        </w:trPr>
        <w:tc>
          <w:tcPr>
            <w:tcW w:w="4680" w:type="dxa"/>
            <w:vAlign w:val="bottom"/>
          </w:tcPr>
          <w:p>
            <w:pPr>
              <w:spacing w:after="0"/>
              <w:rPr>
                <w:sz w:val="17"/>
                <w:szCs w:val="17"/>
                <w:color w:val="auto"/>
              </w:rPr>
            </w:pPr>
          </w:p>
        </w:tc>
        <w:tc>
          <w:tcPr>
            <w:tcW w:w="43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170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r>
      <w:tr>
        <w:trPr>
          <w:trHeight w:val="20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76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Sales-type lease arrangements</w:t>
            </w:r>
          </w:p>
        </w:tc>
        <w:tc>
          <w:tcPr>
            <w:tcW w:w="4380" w:type="dxa"/>
            <w:vAlign w:val="bottom"/>
            <w:gridSpan w:val="2"/>
          </w:tcPr>
          <w:p>
            <w:pPr>
              <w:jc w:val="right"/>
              <w:ind w:right="8"/>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700" w:type="dxa"/>
            <w:vAlign w:val="bottom"/>
            <w:gridSpan w:val="2"/>
          </w:tcPr>
          <w:p>
            <w:pPr>
              <w:jc w:val="right"/>
              <w:ind w:right="8"/>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interest rate</w:t>
            </w:r>
          </w:p>
        </w:tc>
        <w:tc>
          <w:tcPr>
            <w:tcW w:w="27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Sales-type lease arrangements</w:t>
            </w:r>
          </w:p>
        </w:tc>
        <w:tc>
          <w:tcPr>
            <w:tcW w:w="4380" w:type="dxa"/>
            <w:vAlign w:val="bottom"/>
            <w:gridSpan w:val="2"/>
          </w:tcPr>
          <w:p>
            <w:pPr>
              <w:jc w:val="right"/>
              <w:ind w:right="8"/>
              <w:spacing w:after="0"/>
              <w:rPr>
                <w:sz w:val="20"/>
                <w:szCs w:val="20"/>
                <w:color w:val="auto"/>
              </w:rPr>
            </w:pPr>
            <w:r>
              <w:rPr>
                <w:rFonts w:ascii="Arial" w:cs="Arial" w:eastAsia="Arial" w:hAnsi="Arial"/>
                <w:sz w:val="18"/>
                <w:szCs w:val="18"/>
                <w:color w:val="auto"/>
              </w:rPr>
              <w:t>6.83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
              <w:spacing w:after="0"/>
              <w:rPr>
                <w:sz w:val="20"/>
                <w:szCs w:val="20"/>
                <w:color w:val="auto"/>
              </w:rPr>
            </w:pPr>
            <w:r>
              <w:rPr>
                <w:rFonts w:ascii="Arial" w:cs="Arial" w:eastAsia="Arial" w:hAnsi="Arial"/>
                <w:sz w:val="18"/>
                <w:szCs w:val="18"/>
                <w:color w:val="auto"/>
              </w:rPr>
              <w:t>6.56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Financed sales receivables</w:t>
            </w:r>
          </w:p>
        </w:tc>
        <w:tc>
          <w:tcPr>
            <w:tcW w:w="4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647"/>
        </w:trPr>
        <w:tc>
          <w:tcPr>
            <w:tcW w:w="4680" w:type="dxa"/>
            <w:vAlign w:val="bottom"/>
          </w:tcPr>
          <w:p>
            <w:pPr>
              <w:spacing w:after="0"/>
              <w:rPr>
                <w:sz w:val="24"/>
                <w:szCs w:val="24"/>
                <w:color w:val="auto"/>
              </w:rPr>
            </w:pPr>
          </w:p>
        </w:tc>
        <w:tc>
          <w:tcPr>
            <w:tcW w:w="2760" w:type="dxa"/>
            <w:vAlign w:val="bottom"/>
          </w:tcPr>
          <w:p>
            <w:pPr>
              <w:jc w:val="right"/>
              <w:ind w:right="1634"/>
              <w:spacing w:after="0"/>
              <w:rPr>
                <w:sz w:val="20"/>
                <w:szCs w:val="20"/>
                <w:color w:val="auto"/>
              </w:rPr>
            </w:pPr>
            <w:r>
              <w:rPr>
                <w:rFonts w:ascii="Arial" w:cs="Arial" w:eastAsia="Arial" w:hAnsi="Arial"/>
                <w:sz w:val="18"/>
                <w:szCs w:val="18"/>
                <w:color w:val="auto"/>
              </w:rPr>
              <w:t>15</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8"/>
        </w:trPr>
        <w:tc>
          <w:tcPr>
            <w:tcW w:w="46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5" w:name="page16"/>
    <w:bookmarkEnd w:id="15"/>
    <w:p>
      <w:pPr>
        <w:jc w:val="both"/>
        <w:ind w:firstLine="225"/>
        <w:spacing w:after="0" w:line="247" w:lineRule="auto"/>
        <w:rPr>
          <w:sz w:val="20"/>
          <w:szCs w:val="20"/>
          <w:color w:val="auto"/>
        </w:rPr>
      </w:pPr>
      <w:r>
        <w:rPr>
          <w:rFonts w:ascii="Arial" w:cs="Arial" w:eastAsia="Arial" w:hAnsi="Arial"/>
          <w:sz w:val="18"/>
          <w:szCs w:val="18"/>
          <w:color w:val="auto"/>
        </w:rPr>
        <w:t>The tables below provide information on the Company's net investment in leases by credit quality indicator as of September 30, 2022 and December 31, 2021. The amounts disclosed for each credit quality classification are determined on a customer-by-customer basis and include both billed and unbilled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By Origination Year</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 leases: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24,835</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1"/>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By Origination Year</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 leases: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7,973</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28,319</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-1412240</wp:posOffset>
            </wp:positionV>
            <wp:extent cx="4358005" cy="419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58005" cy="41973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tables below provide information on the Company's financed sale receivables by credit quality indicator as of September 30, 2022 and December 31, 2021. The amounts disclosed for each credit quality classification are determined on a customer-by-customer basis and include both billed and unbilled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By Origination Year</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Financed sales receivables: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10,506</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7,659</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8,466</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44,289</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86,685</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8,884</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1"/>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By Origination Year</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Financed sales receivables: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13,278</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47,950</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105,207</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6,909</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-1883410</wp:posOffset>
            </wp:positionV>
            <wp:extent cx="4358005" cy="419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58005" cy="41973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-495935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-478790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-495935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-478790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-495935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-478790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-495935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-478790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-495935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-478790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-495935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-478790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6" w:name="page17"/>
    <w:bookmarkEnd w:id="16"/>
    <w:p>
      <w:pPr>
        <w:jc w:val="both"/>
        <w:ind w:firstLine="225"/>
        <w:spacing w:after="0" w:line="247" w:lineRule="auto"/>
        <w:rPr>
          <w:sz w:val="20"/>
          <w:szCs w:val="20"/>
          <w:color w:val="auto"/>
        </w:rPr>
      </w:pPr>
      <w:r>
        <w:rPr>
          <w:rFonts w:ascii="Arial" w:cs="Arial" w:eastAsia="Arial" w:hAnsi="Arial"/>
          <w:sz w:val="18"/>
          <w:szCs w:val="18"/>
          <w:color w:val="auto"/>
        </w:rPr>
        <w:t>The balance of financed sale receivables classified within the Transactions Suspended category as of September 30, 2022 includes amounts due from exhibitors in Russia, Ukraine, and Belarus which were reclassified from other credit quality classifications in the first quarter of 2022 as a result of the ongoing Russia-Ukraine conflict.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an aging analysis for the Company's net investment in leases and financed sale receivables as of September 30, 2022 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w w:val="94"/>
              </w:rPr>
              <w:t>As of September 30, 2022</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130"/>
              <w:spacing w:after="0" w:line="133" w:lineRule="exact"/>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30-89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ind w:right="97"/>
              <w:spacing w:after="0" w:line="157" w:lineRule="exact"/>
              <w:rPr>
                <w:sz w:val="20"/>
                <w:szCs w:val="20"/>
                <w:color w:val="auto"/>
              </w:rPr>
            </w:pPr>
            <w:r>
              <w:rPr>
                <w:rFonts w:ascii="Arial" w:cs="Arial" w:eastAsia="Arial" w:hAnsi="Arial"/>
                <w:sz w:val="14"/>
                <w:szCs w:val="14"/>
                <w:b w:val="1"/>
                <w:bCs w:val="1"/>
                <w:color w:val="auto"/>
                <w:w w:val="92"/>
              </w:rPr>
              <w:t>90+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3"/>
                <w:szCs w:val="13"/>
                <w:color w:val="auto"/>
              </w:rPr>
            </w:pPr>
          </w:p>
        </w:tc>
        <w:tc>
          <w:tcPr>
            <w:tcW w:w="1020" w:type="dxa"/>
            <w:vAlign w:val="bottom"/>
            <w:gridSpan w:val="3"/>
          </w:tcPr>
          <w:p>
            <w:pPr>
              <w:jc w:val="center"/>
              <w:ind w:right="150"/>
              <w:spacing w:after="0" w:line="157" w:lineRule="exact"/>
              <w:rPr>
                <w:sz w:val="20"/>
                <w:szCs w:val="20"/>
                <w:color w:val="auto"/>
              </w:rPr>
            </w:pPr>
            <w:r>
              <w:rPr>
                <w:rFonts w:ascii="Arial" w:cs="Arial" w:eastAsia="Arial" w:hAnsi="Arial"/>
                <w:sz w:val="14"/>
                <w:szCs w:val="14"/>
                <w:b w:val="1"/>
                <w:bCs w:val="1"/>
                <w:color w:val="auto"/>
                <w:w w:val="98"/>
              </w:rPr>
              <w:t>for Credit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Current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Days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Billed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Unbilled</w:t>
            </w:r>
          </w:p>
        </w:tc>
        <w:tc>
          <w:tcPr>
            <w:tcW w:w="2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23,168</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25,661</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24,991</w:t>
            </w:r>
          </w:p>
        </w:tc>
        <w:tc>
          <w:tcPr>
            <w:tcW w:w="100" w:type="dxa"/>
            <w:vAlign w:val="bottom"/>
            <w:shd w:val="clear" w:color="auto" w:fill="CFF0FC"/>
          </w:tcPr>
          <w:p>
            <w:pPr>
              <w:spacing w:after="0"/>
              <w:rPr>
                <w:sz w:val="18"/>
                <w:szCs w:val="18"/>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94,590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$ 108,586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(10,959 )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97,627</w:t>
            </w:r>
          </w:p>
        </w:tc>
        <w:tc>
          <w:tcPr>
            <w:tcW w:w="100" w:type="dxa"/>
            <w:vAlign w:val="bottom"/>
          </w:tcPr>
          <w:p>
            <w:pPr>
              <w:spacing w:after="0"/>
              <w:rPr>
                <w:sz w:val="18"/>
                <w:szCs w:val="18"/>
                <w:color w:val="auto"/>
              </w:rPr>
            </w:pPr>
          </w:p>
        </w:tc>
      </w:tr>
      <w:tr>
        <w:trPr>
          <w:trHeight w:val="249"/>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117,758</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$ 134,247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122,618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8"/>
        </w:trPr>
        <w:tc>
          <w:tcPr>
            <w:tcW w:w="3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4"/>
                <w:szCs w:val="14"/>
                <w:b w:val="1"/>
                <w:bCs w:val="1"/>
                <w:color w:val="auto"/>
                <w:w w:val="95"/>
              </w:rPr>
              <w:t>As of December 31, 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130"/>
              <w:spacing w:after="0" w:line="133" w:lineRule="exact"/>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30-89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ind w:right="97"/>
              <w:spacing w:after="0" w:line="157" w:lineRule="exact"/>
              <w:rPr>
                <w:sz w:val="20"/>
                <w:szCs w:val="20"/>
                <w:color w:val="auto"/>
              </w:rPr>
            </w:pPr>
            <w:r>
              <w:rPr>
                <w:rFonts w:ascii="Arial" w:cs="Arial" w:eastAsia="Arial" w:hAnsi="Arial"/>
                <w:sz w:val="14"/>
                <w:szCs w:val="14"/>
                <w:b w:val="1"/>
                <w:bCs w:val="1"/>
                <w:color w:val="auto"/>
                <w:w w:val="92"/>
              </w:rPr>
              <w:t>90+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3"/>
                <w:szCs w:val="13"/>
                <w:color w:val="auto"/>
              </w:rPr>
            </w:pPr>
          </w:p>
        </w:tc>
        <w:tc>
          <w:tcPr>
            <w:tcW w:w="1020" w:type="dxa"/>
            <w:vAlign w:val="bottom"/>
            <w:gridSpan w:val="3"/>
          </w:tcPr>
          <w:p>
            <w:pPr>
              <w:jc w:val="center"/>
              <w:ind w:right="150"/>
              <w:spacing w:after="0" w:line="157" w:lineRule="exact"/>
              <w:rPr>
                <w:sz w:val="20"/>
                <w:szCs w:val="20"/>
                <w:color w:val="auto"/>
              </w:rPr>
            </w:pPr>
            <w:r>
              <w:rPr>
                <w:rFonts w:ascii="Arial" w:cs="Arial" w:eastAsia="Arial" w:hAnsi="Arial"/>
                <w:sz w:val="14"/>
                <w:szCs w:val="14"/>
                <w:b w:val="1"/>
                <w:bCs w:val="1"/>
                <w:color w:val="auto"/>
                <w:w w:val="98"/>
              </w:rPr>
              <w:t>for Credit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Current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Days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Billed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w w:val="94"/>
              </w:rPr>
              <w:t>Unbilled</w:t>
            </w:r>
          </w:p>
        </w:tc>
        <w:tc>
          <w:tcPr>
            <w:tcW w:w="2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27,542</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28,392</w:t>
            </w:r>
          </w:p>
        </w:tc>
        <w:tc>
          <w:tcPr>
            <w:tcW w:w="100" w:type="dxa"/>
            <w:vAlign w:val="bottom"/>
            <w:shd w:val="clear" w:color="auto" w:fill="CFF0FC"/>
          </w:tcPr>
          <w:p>
            <w:pPr>
              <w:spacing w:after="0"/>
              <w:rPr>
                <w:sz w:val="18"/>
                <w:szCs w:val="18"/>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106,954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118,071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(5,414 )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112,657</w:t>
            </w:r>
          </w:p>
        </w:tc>
        <w:tc>
          <w:tcPr>
            <w:tcW w:w="100" w:type="dxa"/>
            <w:vAlign w:val="bottom"/>
          </w:tcPr>
          <w:p>
            <w:pPr>
              <w:spacing w:after="0"/>
              <w:rPr>
                <w:sz w:val="18"/>
                <w:szCs w:val="18"/>
                <w:color w:val="auto"/>
              </w:rPr>
            </w:pPr>
          </w:p>
        </w:tc>
      </w:tr>
      <w:tr>
        <w:trPr>
          <w:trHeight w:val="249"/>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134,496</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$ 147,261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141,049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-1061085</wp:posOffset>
            </wp:positionV>
            <wp:extent cx="4640580" cy="6165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40580" cy="61658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following tables provide information about the Company's net investment in leases and financed sale receivables with billed amounts past due for which it continues to accrue finance income as of September 30, 2022 and December 31, 2021. The amounts disclosed for each credit quality classification are determined on a customer-by-customer basis and include both billed and unbilled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0"/>
              </w:rPr>
              <w:t>As of September 30, 2022</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6"/>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9"/>
              <w:spacing w:after="0" w:line="146" w:lineRule="exact"/>
              <w:rPr>
                <w:sz w:val="20"/>
                <w:szCs w:val="20"/>
                <w:color w:val="auto"/>
              </w:rPr>
            </w:pPr>
            <w:r>
              <w:rPr>
                <w:rFonts w:ascii="Arial" w:cs="Arial" w:eastAsia="Arial" w:hAnsi="Arial"/>
                <w:sz w:val="14"/>
                <w:szCs w:val="14"/>
                <w:b w:val="1"/>
                <w:bCs w:val="1"/>
                <w:color w:val="auto"/>
                <w:w w:val="92"/>
              </w:rPr>
              <w:t>Accrued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70"/>
              <w:spacing w:after="0" w:line="146"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 w:type="dxa"/>
            <w:vAlign w:val="bottom"/>
          </w:tcPr>
          <w:p>
            <w:pPr>
              <w:spacing w:after="0"/>
              <w:rPr>
                <w:sz w:val="16"/>
                <w:szCs w:val="16"/>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Current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30-89 Days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90+ Days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Billed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75"/>
              <w:spacing w:after="0"/>
              <w:rPr>
                <w:sz w:val="20"/>
                <w:szCs w:val="20"/>
                <w:color w:val="auto"/>
              </w:rPr>
            </w:pPr>
            <w:r>
              <w:rPr>
                <w:rFonts w:ascii="Arial" w:cs="Arial" w:eastAsia="Arial" w:hAnsi="Arial"/>
                <w:sz w:val="14"/>
                <w:szCs w:val="14"/>
                <w:b w:val="1"/>
                <w:bCs w:val="1"/>
                <w:color w:val="auto"/>
              </w:rPr>
              <w:t>Unbilled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20,945</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(1,333 )</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57,062</w:t>
            </w:r>
          </w:p>
        </w:tc>
        <w:tc>
          <w:tcPr>
            <w:tcW w:w="100" w:type="dxa"/>
            <w:vAlign w:val="bottom"/>
          </w:tcPr>
          <w:p>
            <w:pPr>
              <w:spacing w:after="0"/>
              <w:rPr>
                <w:sz w:val="18"/>
                <w:szCs w:val="18"/>
                <w:color w:val="auto"/>
              </w:rPr>
            </w:pPr>
          </w:p>
        </w:tc>
      </w:tr>
      <w:tr>
        <w:trPr>
          <w:trHeight w:val="249"/>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65,569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8"/>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0"/>
              </w:rPr>
              <w:t>As of December 31, 2021</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9"/>
              <w:spacing w:after="0" w:line="146" w:lineRule="exact"/>
              <w:rPr>
                <w:sz w:val="20"/>
                <w:szCs w:val="20"/>
                <w:color w:val="auto"/>
              </w:rPr>
            </w:pPr>
            <w:r>
              <w:rPr>
                <w:rFonts w:ascii="Arial" w:cs="Arial" w:eastAsia="Arial" w:hAnsi="Arial"/>
                <w:sz w:val="14"/>
                <w:szCs w:val="14"/>
                <w:b w:val="1"/>
                <w:bCs w:val="1"/>
                <w:color w:val="auto"/>
                <w:w w:val="92"/>
              </w:rPr>
              <w:t>Accrued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70"/>
              <w:spacing w:after="0" w:line="146"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 w:type="dxa"/>
            <w:vAlign w:val="bottom"/>
          </w:tcPr>
          <w:p>
            <w:pPr>
              <w:spacing w:after="0"/>
              <w:rPr>
                <w:sz w:val="16"/>
                <w:szCs w:val="16"/>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Current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30-89 Days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90+ Days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Billed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75"/>
              <w:spacing w:after="0"/>
              <w:rPr>
                <w:sz w:val="20"/>
                <w:szCs w:val="20"/>
                <w:color w:val="auto"/>
              </w:rPr>
            </w:pPr>
            <w:r>
              <w:rPr>
                <w:rFonts w:ascii="Arial" w:cs="Arial" w:eastAsia="Arial" w:hAnsi="Arial"/>
                <w:sz w:val="14"/>
                <w:szCs w:val="14"/>
                <w:b w:val="1"/>
                <w:bCs w:val="1"/>
                <w:color w:val="auto"/>
              </w:rPr>
              <w:t>Unbilled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(1,413 )</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47,904</w:t>
            </w:r>
          </w:p>
        </w:tc>
        <w:tc>
          <w:tcPr>
            <w:tcW w:w="100" w:type="dxa"/>
            <w:vAlign w:val="bottom"/>
          </w:tcPr>
          <w:p>
            <w:pPr>
              <w:spacing w:after="0"/>
              <w:rPr>
                <w:sz w:val="18"/>
                <w:szCs w:val="18"/>
                <w:color w:val="auto"/>
              </w:rPr>
            </w:pPr>
          </w:p>
        </w:tc>
      </w:tr>
      <w:tr>
        <w:trPr>
          <w:trHeight w:val="249"/>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-1061085</wp:posOffset>
            </wp:positionV>
            <wp:extent cx="4392295" cy="6165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92295" cy="61658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4"/>
                <w:szCs w:val="14"/>
                <w:b w:val="1"/>
                <w:bCs w:val="1"/>
                <w:color w:val="auto"/>
                <w:w w:val="91"/>
              </w:rPr>
              <w:t>As of September 30, 2022</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w w:val="92"/>
              </w:rPr>
              <w:t>As of December 31, 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1"/>
              <w:spacing w:after="0" w:line="133"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1"/>
              <w:spacing w:after="0" w:line="133"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9"/>
              <w:spacing w:after="0" w:line="157" w:lineRule="exact"/>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01"/>
              <w:spacing w:after="0" w:line="157" w:lineRule="exact"/>
              <w:rPr>
                <w:sz w:val="20"/>
                <w:szCs w:val="20"/>
                <w:color w:val="auto"/>
              </w:rPr>
            </w:pPr>
            <w:r>
              <w:rPr>
                <w:rFonts w:ascii="Arial" w:cs="Arial" w:eastAsia="Arial" w:hAnsi="Arial"/>
                <w:sz w:val="14"/>
                <w:szCs w:val="14"/>
                <w:b w:val="1"/>
                <w:bCs w:val="1"/>
                <w:color w:val="auto"/>
                <w:w w:val="98"/>
              </w:rPr>
              <w:t>for Credit</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9"/>
              <w:spacing w:after="0" w:line="157" w:lineRule="exact"/>
              <w:rPr>
                <w:sz w:val="20"/>
                <w:szCs w:val="20"/>
                <w:color w:val="auto"/>
              </w:rPr>
            </w:pPr>
            <w:r>
              <w:rPr>
                <w:rFonts w:ascii="Arial" w:cs="Arial" w:eastAsia="Arial" w:hAnsi="Arial"/>
                <w:sz w:val="14"/>
                <w:szCs w:val="14"/>
                <w:b w:val="1"/>
                <w:bCs w:val="1"/>
                <w:color w:val="auto"/>
                <w:w w:val="95"/>
              </w:rPr>
              <w:t>Recorded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1"/>
              <w:spacing w:after="0" w:line="157" w:lineRule="exact"/>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Receivable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0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Net financed sales receivables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(9,653 )</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(2,357 )</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18"/>
                <w:szCs w:val="18"/>
                <w:color w:val="auto"/>
              </w:rPr>
            </w:pP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11,184</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-495935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-478790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-495935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-478790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-495935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-478790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-495935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-478790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-495935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-478790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7" w:name="page18"/>
    <w:bookmarkEnd w:id="17"/>
    <w:p>
      <w:pPr>
        <w:jc w:val="both"/>
        <w:ind w:firstLine="225"/>
        <w:spacing w:after="0" w:line="247" w:lineRule="auto"/>
        <w:rPr>
          <w:sz w:val="20"/>
          <w:szCs w:val="20"/>
          <w:color w:val="auto"/>
        </w:rPr>
      </w:pPr>
      <w:r>
        <w:rPr>
          <w:rFonts w:ascii="Arial" w:cs="Arial" w:eastAsia="Arial" w:hAnsi="Arial"/>
          <w:sz w:val="18"/>
          <w:szCs w:val="18"/>
          <w:color w:val="auto"/>
        </w:rPr>
        <w:t>The balances of net investment in leases and financed sale receivables that are on nonaccrual status as of September 30, 2022 include amounts due from exhibitors in Russia, Ukraine, and Belarus which were placed on nonaccrual status in the first quarter of 2022 as a result of the ongoing Russia-Ukraine conflict.</w:t>
      </w:r>
    </w:p>
    <w:p>
      <w:pPr>
        <w:spacing w:after="0" w:line="156"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auto"/>
        </w:rPr>
        <w:t>For the three and nine months ended September 30, 2022, the Company recognized less than $0.1 million and $0.1 million, respectively, (2021 — less than $0.1 million and $0.1 million) in Finance Income related to the net investment in leases with billed amounts past due. For the three and nine months ended September 30, 2022 and 2021, the Company did not recognize Finance Income related to the net investment in leases on nonaccrual status. For the three and nine months ended September 30, 2022, the Company recognized $1.1 million and $3.1 million, respectively, (2021 — $1.3 million and $3.6 million, respectively) in Finance Income related to the financed sale receivables with billed amounts past due. For the three and nine months ended September 30, 2022, the Company recognized $0.1 million and $0.4 million, respectively, (2021 — $0.1 million and $0.1 million, respectively) in Finance Income related to the financed sales receivables on nonaccrual status.</w:t>
      </w:r>
    </w:p>
    <w:p>
      <w:pPr>
        <w:spacing w:after="0" w:line="136" w:lineRule="exact"/>
        <w:rPr>
          <w:sz w:val="20"/>
          <w:szCs w:val="20"/>
          <w:color w:val="auto"/>
        </w:rPr>
      </w:pPr>
    </w:p>
    <w:p>
      <w:pPr>
        <w:ind w:right="520" w:firstLine="260"/>
        <w:spacing w:after="0" w:line="292" w:lineRule="auto"/>
        <w:rPr>
          <w:sz w:val="20"/>
          <w:szCs w:val="20"/>
          <w:color w:val="auto"/>
        </w:rPr>
      </w:pPr>
      <w:r>
        <w:rPr>
          <w:rFonts w:ascii="Arial" w:cs="Arial" w:eastAsia="Arial" w:hAnsi="Arial"/>
          <w:sz w:val="18"/>
          <w:szCs w:val="18"/>
          <w:color w:val="auto"/>
        </w:rPr>
        <w:t>The following tables summarize the activity in the allowance for credit losses related to the Company's net investment in leases and financed sale receivables for the three and nine months ended September 30, 2022 and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2022</w:t>
            </w:r>
          </w:p>
        </w:tc>
        <w:tc>
          <w:tcPr>
            <w:tcW w:w="220" w:type="dxa"/>
            <w:vAlign w:val="bottom"/>
          </w:tcPr>
          <w:p>
            <w:pPr>
              <w:spacing w:after="0"/>
              <w:rPr>
                <w:sz w:val="16"/>
                <w:szCs w:val="16"/>
                <w:color w:val="auto"/>
              </w:rPr>
            </w:pPr>
          </w:p>
        </w:tc>
        <w:tc>
          <w:tcPr>
            <w:tcW w:w="3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Nine Months Ended September 30, 2022</w:t>
            </w:r>
          </w:p>
        </w:tc>
      </w:tr>
      <w:tr>
        <w:trPr>
          <w:trHeight w:val="160"/>
        </w:trPr>
        <w:tc>
          <w:tcPr>
            <w:tcW w:w="4300" w:type="dxa"/>
            <w:vAlign w:val="bottom"/>
          </w:tcPr>
          <w:p>
            <w:pPr>
              <w:spacing w:after="0"/>
              <w:rPr>
                <w:sz w:val="13"/>
                <w:szCs w:val="13"/>
                <w:color w:val="auto"/>
              </w:rPr>
            </w:pPr>
          </w:p>
        </w:tc>
        <w:tc>
          <w:tcPr>
            <w:tcW w:w="1260" w:type="dxa"/>
            <w:vAlign w:val="bottom"/>
            <w:tcBorders>
              <w:top w:val="single" w:sz="8" w:color="auto"/>
            </w:tcBorders>
          </w:tcPr>
          <w:p>
            <w:pPr>
              <w:jc w:val="center"/>
              <w:ind w:left="201"/>
              <w:spacing w:after="0" w:line="159" w:lineRule="exact"/>
              <w:rPr>
                <w:sz w:val="20"/>
                <w:szCs w:val="20"/>
                <w:color w:val="auto"/>
              </w:rPr>
            </w:pPr>
            <w:r>
              <w:rPr>
                <w:rFonts w:ascii="Arial" w:cs="Arial" w:eastAsia="Arial" w:hAnsi="Arial"/>
                <w:sz w:val="14"/>
                <w:szCs w:val="14"/>
                <w:b w:val="1"/>
                <w:bCs w:val="1"/>
                <w:color w:val="auto"/>
                <w:w w:val="93"/>
              </w:rPr>
              <w:t>Net Investment</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75"/>
              <w:spacing w:after="0" w:line="159" w:lineRule="exact"/>
              <w:rPr>
                <w:sz w:val="20"/>
                <w:szCs w:val="20"/>
                <w:color w:val="auto"/>
              </w:rPr>
            </w:pPr>
            <w:r>
              <w:rPr>
                <w:rFonts w:ascii="Arial" w:cs="Arial" w:eastAsia="Arial" w:hAnsi="Arial"/>
                <w:sz w:val="14"/>
                <w:szCs w:val="14"/>
                <w:b w:val="1"/>
                <w:bCs w:val="1"/>
                <w:color w:val="auto"/>
                <w:w w:val="91"/>
              </w:rPr>
              <w:t>Financed</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3"/>
              </w:rPr>
              <w:t>Net Investment</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95"/>
              <w:spacing w:after="0" w:line="159" w:lineRule="exact"/>
              <w:rPr>
                <w:sz w:val="20"/>
                <w:szCs w:val="20"/>
                <w:color w:val="auto"/>
              </w:rPr>
            </w:pPr>
            <w:r>
              <w:rPr>
                <w:rFonts w:ascii="Arial" w:cs="Arial" w:eastAsia="Arial" w:hAnsi="Arial"/>
                <w:sz w:val="14"/>
                <w:szCs w:val="14"/>
                <w:b w:val="1"/>
                <w:bCs w:val="1"/>
                <w:color w:val="auto"/>
                <w:w w:val="91"/>
              </w:rPr>
              <w:t>Financed</w:t>
            </w:r>
          </w:p>
        </w:tc>
        <w:tc>
          <w:tcPr>
            <w:tcW w:w="100" w:type="dxa"/>
            <w:vAlign w:val="bottom"/>
          </w:tcPr>
          <w:p>
            <w:pPr>
              <w:spacing w:after="0"/>
              <w:rPr>
                <w:sz w:val="13"/>
                <w:szCs w:val="13"/>
                <w:color w:val="auto"/>
              </w:rPr>
            </w:pPr>
          </w:p>
        </w:tc>
      </w:tr>
      <w:tr>
        <w:trPr>
          <w:trHeight w:val="18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in Leases</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Sales Receivables</w:t>
            </w:r>
          </w:p>
        </w:tc>
        <w:tc>
          <w:tcPr>
            <w:tcW w:w="22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in Leases</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Sales Receivables</w:t>
            </w:r>
          </w:p>
        </w:tc>
      </w:tr>
      <w:tr>
        <w:trPr>
          <w:trHeight w:val="20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60" w:type="dxa"/>
            <w:vAlign w:val="bottom"/>
            <w:tcBorders>
              <w:top w:val="single" w:sz="8" w:color="auto"/>
            </w:tcBorders>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688</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11,038</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12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(17 )</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(151 )</w:t>
            </w: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(302 )</w:t>
            </w:r>
          </w:p>
        </w:tc>
      </w:tr>
      <w:tr>
        <w:trPr>
          <w:trHeight w:val="24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60" w:type="dxa"/>
            <w:vAlign w:val="bottom"/>
            <w:tcBorders>
              <w:top w:val="single" w:sz="8" w:color="auto"/>
              <w:bottom w:val="single" w:sz="8" w:color="auto"/>
            </w:tcBorders>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670</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1"/>
        </w:trPr>
        <w:tc>
          <w:tcPr>
            <w:tcW w:w="4300" w:type="dxa"/>
            <w:vAlign w:val="bottom"/>
          </w:tcPr>
          <w:p>
            <w:pPr>
              <w:spacing w:after="0"/>
              <w:rPr>
                <w:sz w:val="24"/>
                <w:szCs w:val="24"/>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2021</w:t>
            </w:r>
          </w:p>
        </w:tc>
        <w:tc>
          <w:tcPr>
            <w:tcW w:w="220" w:type="dxa"/>
            <w:vAlign w:val="bottom"/>
          </w:tcPr>
          <w:p>
            <w:pPr>
              <w:spacing w:after="0"/>
              <w:rPr>
                <w:sz w:val="24"/>
                <w:szCs w:val="24"/>
                <w:color w:val="auto"/>
              </w:rPr>
            </w:pPr>
          </w:p>
        </w:tc>
        <w:tc>
          <w:tcPr>
            <w:tcW w:w="3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Nine Months Ended September 30, 2021</w:t>
            </w:r>
          </w:p>
        </w:tc>
      </w:tr>
      <w:tr>
        <w:trPr>
          <w:trHeight w:val="160"/>
        </w:trPr>
        <w:tc>
          <w:tcPr>
            <w:tcW w:w="4300" w:type="dxa"/>
            <w:vAlign w:val="bottom"/>
          </w:tcPr>
          <w:p>
            <w:pPr>
              <w:spacing w:after="0"/>
              <w:rPr>
                <w:sz w:val="13"/>
                <w:szCs w:val="13"/>
                <w:color w:val="auto"/>
              </w:rPr>
            </w:pPr>
          </w:p>
        </w:tc>
        <w:tc>
          <w:tcPr>
            <w:tcW w:w="1260" w:type="dxa"/>
            <w:vAlign w:val="bottom"/>
            <w:tcBorders>
              <w:top w:val="single" w:sz="8" w:color="auto"/>
            </w:tcBorders>
          </w:tcPr>
          <w:p>
            <w:pPr>
              <w:jc w:val="center"/>
              <w:ind w:left="201"/>
              <w:spacing w:after="0" w:line="159" w:lineRule="exact"/>
              <w:rPr>
                <w:sz w:val="20"/>
                <w:szCs w:val="20"/>
                <w:color w:val="auto"/>
              </w:rPr>
            </w:pPr>
            <w:r>
              <w:rPr>
                <w:rFonts w:ascii="Arial" w:cs="Arial" w:eastAsia="Arial" w:hAnsi="Arial"/>
                <w:sz w:val="14"/>
                <w:szCs w:val="14"/>
                <w:b w:val="1"/>
                <w:bCs w:val="1"/>
                <w:color w:val="auto"/>
                <w:w w:val="93"/>
              </w:rPr>
              <w:t>Net Investment</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95"/>
              <w:spacing w:after="0" w:line="159" w:lineRule="exact"/>
              <w:rPr>
                <w:sz w:val="20"/>
                <w:szCs w:val="20"/>
                <w:color w:val="auto"/>
              </w:rPr>
            </w:pPr>
            <w:r>
              <w:rPr>
                <w:rFonts w:ascii="Arial" w:cs="Arial" w:eastAsia="Arial" w:hAnsi="Arial"/>
                <w:sz w:val="14"/>
                <w:szCs w:val="14"/>
                <w:b w:val="1"/>
                <w:bCs w:val="1"/>
                <w:color w:val="auto"/>
                <w:w w:val="93"/>
              </w:rPr>
              <w:t>Net Financed</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3"/>
              </w:rPr>
              <w:t>Net Investment</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75"/>
              <w:spacing w:after="0" w:line="159" w:lineRule="exact"/>
              <w:rPr>
                <w:sz w:val="20"/>
                <w:szCs w:val="20"/>
                <w:color w:val="auto"/>
              </w:rPr>
            </w:pPr>
            <w:r>
              <w:rPr>
                <w:rFonts w:ascii="Arial" w:cs="Arial" w:eastAsia="Arial" w:hAnsi="Arial"/>
                <w:sz w:val="14"/>
                <w:szCs w:val="14"/>
                <w:b w:val="1"/>
                <w:bCs w:val="1"/>
                <w:color w:val="auto"/>
                <w:w w:val="93"/>
              </w:rPr>
              <w:t>Net Financed</w:t>
            </w:r>
          </w:p>
        </w:tc>
        <w:tc>
          <w:tcPr>
            <w:tcW w:w="100" w:type="dxa"/>
            <w:vAlign w:val="bottom"/>
          </w:tcPr>
          <w:p>
            <w:pPr>
              <w:spacing w:after="0"/>
              <w:rPr>
                <w:sz w:val="13"/>
                <w:szCs w:val="13"/>
                <w:color w:val="auto"/>
              </w:rPr>
            </w:pPr>
          </w:p>
        </w:tc>
      </w:tr>
      <w:tr>
        <w:trPr>
          <w:trHeight w:val="18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in Leases</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Sales Receivables</w:t>
            </w:r>
          </w:p>
        </w:tc>
        <w:tc>
          <w:tcPr>
            <w:tcW w:w="22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in Leases</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Sales Receivables</w:t>
            </w:r>
          </w:p>
        </w:tc>
      </w:tr>
      <w:tr>
        <w:trPr>
          <w:trHeight w:val="20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60" w:type="dxa"/>
            <w:vAlign w:val="bottom"/>
            <w:tcBorders>
              <w:top w:val="single" w:sz="8" w:color="auto"/>
            </w:tcBorders>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579</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Current period reversal, net</w:t>
            </w:r>
          </w:p>
        </w:tc>
        <w:tc>
          <w:tcPr>
            <w:tcW w:w="12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(84 )</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(1,536 )</w:t>
            </w:r>
          </w:p>
        </w:tc>
        <w:tc>
          <w:tcPr>
            <w:tcW w:w="2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(1,741 )</w:t>
            </w:r>
          </w:p>
        </w:tc>
      </w:tr>
      <w:tr>
        <w:trPr>
          <w:trHeight w:val="216"/>
        </w:trPr>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4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60" w:type="dxa"/>
            <w:vAlign w:val="bottom"/>
            <w:tcBorders>
              <w:top w:val="single" w:sz="8" w:color="auto"/>
              <w:bottom w:val="single" w:sz="8" w:color="auto"/>
            </w:tcBorders>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494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-1232535</wp:posOffset>
            </wp:positionV>
            <wp:extent cx="3416300" cy="513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16300" cy="51371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For the three and nine months ended September 30, 2022, the Company's allowance for current expected credit losses related to its net investment in leases and financed sale receivables decreased by $0.1 million and increased by $5.4 million, respectively. The increase in the nine months ended September 30, 2022 is principally due to reserves established against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84"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8" w:name="page19"/>
    <w:bookmarkEnd w:id="18"/>
    <w:p>
      <w:pPr>
        <w:jc w:val="both"/>
        <w:ind w:right="20" w:firstLine="225"/>
        <w:spacing w:after="0" w:line="261" w:lineRule="auto"/>
        <w:rPr>
          <w:sz w:val="20"/>
          <w:szCs w:val="20"/>
          <w:color w:val="auto"/>
        </w:rPr>
      </w:pPr>
      <w:r>
        <w:rPr>
          <w:rFonts w:ascii="Arial" w:cs="Arial" w:eastAsia="Arial" w:hAnsi="Arial"/>
          <w:sz w:val="18"/>
          <w:szCs w:val="18"/>
          <w:color w:val="auto"/>
        </w:rPr>
        <w:t>The following table summarizes the activity in the allowance for credit losses related to Variable Consideration Receivables for the three and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6"/>
        </w:trPr>
        <w:tc>
          <w:tcPr>
            <w:tcW w:w="56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r>
      <w:tr>
        <w:trPr>
          <w:trHeight w:val="133"/>
        </w:trPr>
        <w:tc>
          <w:tcPr>
            <w:tcW w:w="5620" w:type="dxa"/>
            <w:vAlign w:val="bottom"/>
          </w:tcPr>
          <w:p>
            <w:pPr>
              <w:spacing w:after="0"/>
              <w:rPr>
                <w:sz w:val="11"/>
                <w:szCs w:val="11"/>
                <w:color w:val="auto"/>
              </w:rPr>
            </w:pPr>
          </w:p>
        </w:tc>
        <w:tc>
          <w:tcPr>
            <w:tcW w:w="940" w:type="dxa"/>
            <w:vAlign w:val="bottom"/>
          </w:tcPr>
          <w:p>
            <w:pPr>
              <w:jc w:val="center"/>
              <w:ind w:left="202"/>
              <w:spacing w:after="0" w:line="133" w:lineRule="exact"/>
              <w:rPr>
                <w:sz w:val="20"/>
                <w:szCs w:val="20"/>
                <w:color w:val="auto"/>
              </w:rPr>
            </w:pPr>
            <w:r>
              <w:rPr>
                <w:rFonts w:ascii="Arial" w:cs="Arial" w:eastAsia="Arial" w:hAnsi="Arial"/>
                <w:sz w:val="14"/>
                <w:szCs w:val="14"/>
                <w:b w:val="1"/>
                <w:bCs w:val="1"/>
                <w:color w:val="auto"/>
                <w:w w:val="98"/>
              </w:rPr>
              <w:t>Theater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8"/>
              </w:rPr>
              <w:t>Theater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4"/>
              </w:rPr>
              <w:t>Theater</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94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Operators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Operators</w:t>
            </w: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Operators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Operators</w:t>
            </w: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top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501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Current period provision (reversal), net</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(933 )</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(515 )</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(771 )</w:t>
            </w:r>
          </w:p>
        </w:tc>
      </w:tr>
      <w:tr>
        <w:trPr>
          <w:trHeight w:val="216"/>
        </w:trPr>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9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(24 )</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49"/>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534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For the three and nine months ended September 30, 2022, the Company's allowance for current expected credit losses related to Variable Consideration Receivables increased by less than $0.1 million and decreased by $0.5 million, respectively. The decrease in the nine months ended September 30, 2022 is principally due to the reversal of provisions associated with the COVID-19 pandemic as the outlook for the theatrical exhibition industry in Domestic and Rest of World markets continues to improve.</w:t>
      </w:r>
    </w:p>
    <w:p>
      <w:pPr>
        <w:spacing w:after="0" w:line="1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 Arrangements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Corporation as a Lessee</w:t>
      </w:r>
    </w:p>
    <w:p>
      <w:pPr>
        <w:spacing w:after="0" w:line="184"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15 months and are not expected to be renewed.</w:t>
      </w:r>
    </w:p>
    <w:p>
      <w:pPr>
        <w:spacing w:after="0" w:line="137"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In the second quarter of 2022, the Company entered into a finance lease arrangement involving equipment used to facilitate the streaming of live events to IMAX theaters.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three and nine months ended September 30, 2022 and 2021, the components of lease expense recorded within Selling, General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Pr>
          <w:p>
            <w:pPr>
              <w:spacing w:after="0"/>
              <w:rPr>
                <w:sz w:val="17"/>
                <w:szCs w:val="17"/>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Amortization of operating lease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602</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684</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operating lease liabilities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Short-term and variable lease costs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Amortization of finance lease assets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Interest on finance lease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1,024</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1,089</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-650240</wp:posOffset>
            </wp:positionV>
            <wp:extent cx="685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-650240</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-650240</wp:posOffset>
            </wp:positionV>
            <wp:extent cx="5969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-650240</wp:posOffset>
            </wp:positionV>
            <wp:extent cx="5969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9" w:name="page20"/>
    <w:bookmarkEnd w:id="19"/>
    <w:p>
      <w:pPr>
        <w:ind w:left="240"/>
        <w:spacing w:after="0"/>
        <w:rPr>
          <w:sz w:val="20"/>
          <w:szCs w:val="20"/>
          <w:color w:val="auto"/>
        </w:rPr>
      </w:pPr>
      <w:r>
        <w:rPr>
          <w:rFonts w:ascii="Arial" w:cs="Arial" w:eastAsia="Arial" w:hAnsi="Arial"/>
          <w:sz w:val="18"/>
          <w:szCs w:val="18"/>
          <w:color w:val="auto"/>
        </w:rPr>
        <w:t>For the nine months ended September 30, 2022 and 2021, supplemental cash and non-cash information related to leases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4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4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Supplemental disclosure of noncash leasing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FF0FC"/>
          </w:tcPr>
          <w:p>
            <w:pPr>
              <w:spacing w:after="0"/>
              <w:rPr>
                <w:sz w:val="18"/>
                <w:szCs w:val="18"/>
                <w:color w:val="auto"/>
              </w:rPr>
            </w:pPr>
          </w:p>
        </w:tc>
      </w:tr>
      <w:tr>
        <w:trPr>
          <w:trHeight w:val="230"/>
        </w:trPr>
        <w:tc>
          <w:tcPr>
            <w:tcW w:w="7520" w:type="dxa"/>
            <w:vAlign w:val="bottom"/>
            <w:gridSpan w:val="2"/>
          </w:tcPr>
          <w:p>
            <w:pPr>
              <w:ind w:left="120"/>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r>
      <w:tr>
        <w:trPr>
          <w:trHeight w:val="390"/>
        </w:trPr>
        <w:tc>
          <w:tcPr>
            <w:tcW w:w="9440" w:type="dxa"/>
            <w:vAlign w:val="bottom"/>
            <w:gridSpan w:val="7"/>
          </w:tcPr>
          <w:p>
            <w:pPr>
              <w:ind w:left="240"/>
              <w:spacing w:after="0"/>
              <w:rPr>
                <w:sz w:val="20"/>
                <w:szCs w:val="20"/>
                <w:color w:val="auto"/>
              </w:rPr>
            </w:pPr>
            <w:r>
              <w:rPr>
                <w:rFonts w:ascii="Arial" w:cs="Arial" w:eastAsia="Arial" w:hAnsi="Arial"/>
                <w:sz w:val="18"/>
                <w:szCs w:val="18"/>
                <w:color w:val="auto"/>
                <w:w w:val="93"/>
              </w:rPr>
              <w:t>As of September 30, 2022 and December 31, 2021, supplemental balance sheet information related to leases is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3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20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380" w:type="dxa"/>
            <w:vAlign w:val="bottom"/>
            <w:shd w:val="clear" w:color="auto" w:fill="CFF0FC"/>
          </w:tcPr>
          <w:p>
            <w:pPr>
              <w:ind w:left="660"/>
              <w:spacing w:after="0"/>
              <w:rPr>
                <w:sz w:val="20"/>
                <w:szCs w:val="20"/>
                <w:color w:val="auto"/>
              </w:rPr>
            </w:pPr>
            <w:r>
              <w:rPr>
                <w:rFonts w:ascii="Arial" w:cs="Arial" w:eastAsia="Arial" w:hAnsi="Arial"/>
                <w:sz w:val="18"/>
                <w:szCs w:val="18"/>
                <w:b w:val="1"/>
                <w:bCs w:val="1"/>
                <w:color w:val="auto"/>
              </w:rPr>
              <w:t>Balance Sheet Location</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380" w:type="dxa"/>
            <w:vAlign w:val="bottom"/>
          </w:tcPr>
          <w:p>
            <w:pPr>
              <w:ind w:left="660"/>
              <w:spacing w:after="0"/>
              <w:rPr>
                <w:sz w:val="20"/>
                <w:szCs w:val="20"/>
                <w:color w:val="auto"/>
              </w:rPr>
            </w:pPr>
            <w:r>
              <w:rPr>
                <w:rFonts w:ascii="Arial" w:cs="Arial" w:eastAsia="Arial" w:hAnsi="Arial"/>
                <w:sz w:val="18"/>
                <w:szCs w:val="18"/>
                <w:color w:val="auto"/>
              </w:rPr>
              <w:t>Property, plant and equipment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13,092</w:t>
            </w:r>
          </w:p>
        </w:tc>
        <w:tc>
          <w:tcPr>
            <w:tcW w:w="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12,132</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right-of-use assets</w:t>
            </w:r>
          </w:p>
        </w:tc>
        <w:tc>
          <w:tcPr>
            <w:tcW w:w="43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380" w:type="dxa"/>
            <w:vAlign w:val="bottom"/>
          </w:tcPr>
          <w:p>
            <w:pPr>
              <w:ind w:left="660"/>
              <w:spacing w:after="0"/>
              <w:rPr>
                <w:sz w:val="20"/>
                <w:szCs w:val="20"/>
                <w:color w:val="auto"/>
              </w:rPr>
            </w:pPr>
            <w:r>
              <w:rPr>
                <w:rFonts w:ascii="Arial" w:cs="Arial" w:eastAsia="Arial" w:hAnsi="Arial"/>
                <w:sz w:val="18"/>
                <w:szCs w:val="18"/>
                <w:b w:val="1"/>
                <w:bCs w:val="1"/>
                <w:color w:val="auto"/>
              </w:rPr>
              <w:t>Balance Sheet Location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4380" w:type="dxa"/>
            <w:vAlign w:val="bottom"/>
            <w:shd w:val="clear" w:color="auto" w:fill="CFF0FC"/>
          </w:tcPr>
          <w:p>
            <w:pPr>
              <w:ind w:left="660"/>
              <w:spacing w:after="0"/>
              <w:rPr>
                <w:sz w:val="20"/>
                <w:szCs w:val="20"/>
                <w:color w:val="auto"/>
              </w:rPr>
            </w:pPr>
            <w:r>
              <w:rPr>
                <w:rFonts w:ascii="Arial" w:cs="Arial" w:eastAsia="Arial" w:hAnsi="Arial"/>
                <w:sz w:val="18"/>
                <w:szCs w:val="18"/>
                <w:color w:val="auto"/>
              </w:rPr>
              <w:t>Accrued and other liabilities</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15,373</w:t>
            </w:r>
          </w:p>
        </w:tc>
        <w:tc>
          <w:tcPr>
            <w:tcW w:w="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FF0FC"/>
          </w:tcPr>
          <w:p>
            <w:pPr>
              <w:spacing w:after="0"/>
              <w:rPr>
                <w:sz w:val="18"/>
                <w:szCs w:val="18"/>
                <w:color w:val="auto"/>
              </w:rPr>
            </w:pPr>
          </w:p>
        </w:tc>
      </w:tr>
      <w:tr>
        <w:trPr>
          <w:trHeight w:val="314"/>
        </w:trPr>
        <w:tc>
          <w:tcPr>
            <w:tcW w:w="3140" w:type="dxa"/>
            <w:vAlign w:val="bottom"/>
          </w:tcPr>
          <w:p>
            <w:pPr>
              <w:ind w:left="20"/>
              <w:spacing w:after="0"/>
              <w:rPr>
                <w:sz w:val="20"/>
                <w:szCs w:val="20"/>
                <w:color w:val="auto"/>
              </w:rPr>
            </w:pPr>
            <w:r>
              <w:rPr>
                <w:rFonts w:ascii="Arial" w:cs="Arial" w:eastAsia="Arial" w:hAnsi="Arial"/>
                <w:sz w:val="18"/>
                <w:szCs w:val="18"/>
                <w:color w:val="auto"/>
              </w:rPr>
              <w:t>Finance lease liabilities</w:t>
            </w:r>
            <w:r>
              <w:rPr>
                <w:rFonts w:ascii="Arial" w:cs="Arial" w:eastAsia="Arial" w:hAnsi="Arial"/>
                <w:sz w:val="24"/>
                <w:szCs w:val="24"/>
                <w:color w:val="auto"/>
                <w:vertAlign w:val="superscript"/>
              </w:rPr>
              <w:t>(1)</w:t>
            </w:r>
          </w:p>
        </w:tc>
        <w:tc>
          <w:tcPr>
            <w:tcW w:w="4380" w:type="dxa"/>
            <w:vAlign w:val="bottom"/>
          </w:tcPr>
          <w:p>
            <w:pPr>
              <w:ind w:left="66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9505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Recorded net of a $0.9 million upfront payment made upon execution of the finance lease arrangement.</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2022 and December 31, 2021, the weighted-average remaining lease term and weighted-average interest rate associated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4"/>
              </w:rPr>
              <w:t>December 31,</w:t>
            </w:r>
          </w:p>
        </w:tc>
      </w:tr>
      <w:tr>
        <w:trPr>
          <w:trHeight w:val="214"/>
        </w:trPr>
        <w:tc>
          <w:tcPr>
            <w:tcW w:w="45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3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405"/>
        </w:trPr>
        <w:tc>
          <w:tcPr>
            <w:tcW w:w="4520" w:type="dxa"/>
            <w:vAlign w:val="bottom"/>
          </w:tcPr>
          <w:p>
            <w:pPr>
              <w:ind w:left="100"/>
              <w:spacing w:after="0"/>
              <w:rPr>
                <w:sz w:val="20"/>
                <w:szCs w:val="20"/>
                <w:color w:val="auto"/>
              </w:rPr>
            </w:pPr>
            <w:r>
              <w:rPr>
                <w:rFonts w:ascii="Arial" w:cs="Arial" w:eastAsia="Arial" w:hAnsi="Arial"/>
                <w:sz w:val="18"/>
                <w:szCs w:val="18"/>
                <w:color w:val="auto"/>
              </w:rPr>
              <w:t>Weighted-average remaining lease term (years)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r>
      <w:tr>
        <w:trPr>
          <w:trHeight w:val="216"/>
        </w:trPr>
        <w:tc>
          <w:tcPr>
            <w:tcW w:w="4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Weighted-average discount rate</w:t>
            </w:r>
          </w:p>
        </w:tc>
        <w:tc>
          <w:tcPr>
            <w:tcW w:w="3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5.91</w:t>
            </w:r>
          </w:p>
        </w:tc>
        <w:tc>
          <w:tcPr>
            <w:tcW w:w="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5.97  %</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Weighted-average remaining lease term (years)</w:t>
            </w:r>
          </w:p>
        </w:tc>
        <w:tc>
          <w:tcPr>
            <w:tcW w:w="3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N/A</w:t>
            </w:r>
          </w:p>
        </w:tc>
      </w:tr>
      <w:tr>
        <w:trPr>
          <w:trHeight w:val="230"/>
        </w:trPr>
        <w:tc>
          <w:tcPr>
            <w:tcW w:w="4520" w:type="dxa"/>
            <w:vAlign w:val="bottom"/>
          </w:tcPr>
          <w:p>
            <w:pPr>
              <w:ind w:left="100"/>
              <w:spacing w:after="0"/>
              <w:rPr>
                <w:sz w:val="20"/>
                <w:szCs w:val="20"/>
                <w:color w:val="auto"/>
              </w:rPr>
            </w:pPr>
            <w:r>
              <w:rPr>
                <w:rFonts w:ascii="Arial" w:cs="Arial" w:eastAsia="Arial" w:hAnsi="Arial"/>
                <w:sz w:val="18"/>
                <w:szCs w:val="18"/>
                <w:color w:val="auto"/>
              </w:rPr>
              <w:t>Weighted-average discount rate</w:t>
            </w: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6.00</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r>
      <w:tr>
        <w:trPr>
          <w:trHeight w:val="404"/>
        </w:trPr>
        <w:tc>
          <w:tcPr>
            <w:tcW w:w="9220" w:type="dxa"/>
            <w:vAlign w:val="bottom"/>
            <w:gridSpan w:val="5"/>
          </w:tcPr>
          <w:p>
            <w:pPr>
              <w:ind w:left="240"/>
              <w:spacing w:after="0"/>
              <w:rPr>
                <w:sz w:val="20"/>
                <w:szCs w:val="20"/>
                <w:color w:val="auto"/>
              </w:rPr>
            </w:pPr>
            <w:r>
              <w:rPr>
                <w:rFonts w:ascii="Arial" w:cs="Arial" w:eastAsia="Arial" w:hAnsi="Arial"/>
                <w:sz w:val="18"/>
                <w:szCs w:val="18"/>
                <w:color w:val="auto"/>
              </w:rPr>
              <w:t>As of September 30, 2022, the maturities of the Company's operating and finance lease liabilities are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8"/>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Operating Leases</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Finance Leases</w:t>
            </w: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(three months remaining)</w:t>
            </w:r>
          </w:p>
        </w:tc>
        <w:tc>
          <w:tcPr>
            <w:tcW w:w="3160" w:type="dxa"/>
            <w:vAlign w:val="bottom"/>
            <w:gridSpan w:val="2"/>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970</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2023</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2,986</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480</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2025</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2,062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6,475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3160" w:type="dxa"/>
            <w:vAlign w:val="bottom"/>
            <w:gridSpan w:val="2"/>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18,344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960</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(2,971 )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(71 )</w:t>
            </w:r>
          </w:p>
        </w:tc>
      </w:tr>
      <w:tr>
        <w:trPr>
          <w:trHeight w:val="249"/>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316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15,373</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889</w:t>
            </w:r>
          </w:p>
        </w:tc>
      </w:tr>
      <w:tr>
        <w:trPr>
          <w:trHeight w:val="614"/>
        </w:trPr>
        <w:tc>
          <w:tcPr>
            <w:tcW w:w="4520" w:type="dxa"/>
            <w:vAlign w:val="bottom"/>
          </w:tcPr>
          <w:p>
            <w:pPr>
              <w:spacing w:after="0"/>
              <w:rPr>
                <w:sz w:val="24"/>
                <w:szCs w:val="24"/>
                <w:color w:val="auto"/>
              </w:rPr>
            </w:pPr>
          </w:p>
        </w:tc>
        <w:tc>
          <w:tcPr>
            <w:tcW w:w="3020" w:type="dxa"/>
            <w:vAlign w:val="bottom"/>
          </w:tcPr>
          <w:p>
            <w:pPr>
              <w:jc w:val="right"/>
              <w:ind w:right="173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8"/>
        </w:trPr>
        <w:tc>
          <w:tcPr>
            <w:tcW w:w="45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-495935</wp:posOffset>
            </wp:positionV>
            <wp:extent cx="1111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-478790</wp:posOffset>
            </wp:positionV>
            <wp:extent cx="111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0" w:name="page21"/>
    <w:bookmarkEnd w:id="20"/>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IMAX Corporation as a Lessor</w:t>
      </w:r>
    </w:p>
    <w:p>
      <w:pPr>
        <w:spacing w:after="0" w:line="17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6"/>
          <w:szCs w:val="16"/>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3(p) of the Company's audited Consolidated Financial Statements included in its 2021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45"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5"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following lease payments are expected to be received by the Company for its sales-type leases and joint revenue sharing arrangements in each of the next five years and thereafter following the September 30, 2022 balance sheet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Arial" w:cs="Arial" w:eastAsia="Arial" w:hAnsi="Arial"/>
                <w:sz w:val="14"/>
                <w:szCs w:val="14"/>
                <w:b w:val="1"/>
                <w:bCs w:val="1"/>
                <w:color w:val="auto"/>
              </w:rPr>
              <w:t>Sales-Type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ind w:right="374"/>
              <w:spacing w:after="0"/>
              <w:rPr>
                <w:sz w:val="20"/>
                <w:szCs w:val="20"/>
                <w:color w:val="auto"/>
              </w:rPr>
            </w:pPr>
            <w:r>
              <w:rPr>
                <w:rFonts w:ascii="Arial" w:cs="Arial" w:eastAsia="Arial" w:hAnsi="Arial"/>
                <w:sz w:val="14"/>
                <w:szCs w:val="14"/>
                <w:b w:val="1"/>
                <w:bCs w:val="1"/>
                <w:color w:val="auto"/>
              </w:rPr>
              <w:t>Joint Revenue</w:t>
            </w:r>
          </w:p>
        </w:tc>
        <w:tc>
          <w:tcPr>
            <w:tcW w:w="100" w:type="dxa"/>
            <w:vAlign w:val="bottom"/>
          </w:tcPr>
          <w:p>
            <w:pPr>
              <w:spacing w:after="0"/>
              <w:rPr>
                <w:sz w:val="15"/>
                <w:szCs w:val="15"/>
                <w:color w:val="auto"/>
              </w:rPr>
            </w:pPr>
          </w:p>
        </w:tc>
      </w:tr>
      <w:tr>
        <w:trPr>
          <w:trHeight w:val="185"/>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Leases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Sharing Arrangements</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(three months remaining)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5 for additional information related to the net investment in leases related to the Company's sales-type lease arrangements.)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ind w:left="240" w:hanging="232"/>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88"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2022 and December 31, 2021, Inventories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01"/>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36,378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26,924</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-170815</wp:posOffset>
            </wp:positionV>
            <wp:extent cx="6858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September 30, 2022, Inventories include finished goods of $3.2 million (December 31, 2021 — $2.6 million) for which title had passed to the customer, but the criteria for revenue recognition were not met as of the balance sheet date.</w:t>
      </w:r>
    </w:p>
    <w:p>
      <w:pPr>
        <w:spacing w:after="0" w:line="143"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During the three and nine months ended September 30, 2022, the Company recorded write-downs of $0.2 million and $0.5 million, respectively, in Costs and Expenses Applicable to Technology Sales. The write-downs recorded during the three and nine months ended September 30, 2022 include $0.2 million related to excess and damaged inventory. In addition, for the nine months ended September 30, 2022, write-downs include $0.3 million recorded to reduce the carrying value of service parts held in Russia. In the three and nine months ended September 30, 2021, the Company recorded write-downs of $0.3 million and $0.5 million, respectively, in Costs and Expenses Applicable to Technology Sales for excess and damaged inventory.</w:t>
      </w:r>
    </w:p>
    <w:p>
      <w:pPr>
        <w:spacing w:after="0" w:line="12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Revolving Credit Facility Borrowings, Net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2022 and December 31, 2021, Revolving Credit Facility Borrowings, Net includes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 borrowings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Bank of China Facility borrowings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HSBC China Facility borrowings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(2,103 )</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(1,140 )</w:t>
            </w:r>
          </w:p>
        </w:tc>
      </w:tr>
      <w:tr>
        <w:trPr>
          <w:trHeight w:val="249"/>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Revolving Credit Facility Borrowings,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Agreement</w:t>
      </w:r>
    </w:p>
    <w:p>
      <w:pPr>
        <w:spacing w:after="0" w:line="184"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157"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18"/>
          <w:szCs w:val="18"/>
          <w:color w:val="auto"/>
        </w:rPr>
        <w:t>The Credit Agreement provides for a revolving borrowing capacity of $300.0 million, and also contains an uncommitted accordion feature allowing the Company to request additional borrowing capacity in an amount equal to the greater of $440.0 million and the EBITDA of the Company for the four most recently ended fiscal quarters, in the form of revolving loans and/or term loans under the incremental facility and subject to conditions set forth in the Credit Agreement.</w:t>
      </w:r>
    </w:p>
    <w:p>
      <w:pPr>
        <w:spacing w:after="0" w:line="160"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Until the Company delivers the compliance certificate and financial statements for the fiscal quarter ended September 30, 2022, loans under the Credit Facility will bear interest, at the Company's option, at (i) with respect to loans on which interest is payable by reference to the Term SOFR, Eurocurrency Rate or CDOR Rate, such rate plus a margin of 1.75%; or (ii) with respect to loans on which interest is payable by reference to the U.S. base rate or the Canadian prime rate, such rate plus a margin of 0.25%.</w:t>
      </w:r>
    </w:p>
    <w:p>
      <w:pPr>
        <w:spacing w:after="0" w:line="156"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Following the delivery of the compliance certificate and financial statements for the fiscal quarter ended September 30, 2022, loans under the Credit Facility will bear interest, at the Company's option, at (i) Term SOFR, Eurocurrency Rate or CDOR Rate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2" w:name="page23"/>
    <w:bookmarkEnd w:id="22"/>
    <w:p>
      <w:pPr>
        <w:jc w:val="both"/>
        <w:ind w:firstLine="225"/>
        <w:spacing w:after="0" w:line="268" w:lineRule="auto"/>
        <w:rPr>
          <w:sz w:val="20"/>
          <w:szCs w:val="20"/>
          <w:color w:val="auto"/>
        </w:rPr>
      </w:pPr>
      <w:r>
        <w:rPr>
          <w:rFonts w:ascii="Arial" w:cs="Arial" w:eastAsia="Arial" w:hAnsi="Arial"/>
          <w:sz w:val="17"/>
          <w:szCs w:val="17"/>
          <w:color w:val="auto"/>
        </w:rPr>
        <w:t>The Credit Agreement requires that the Company maintain a maximum senior secured net leverage ratio of 3.25:1.00, which is tested on the last day of each fiscal quarter, commencing with the fiscal quarter ended June 30, 2022. In addition, 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125"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On May 25, 2022, the Company delivered a "Designated Period" suspension notice to the Agent, and the Company, the Agent and the lenders under the Credit Agreement entered into a limited consent, which notice and limited consent evidenced and effectuated the termination of the Designated Period under the Credit Agreement. From and after the termination of the Designated Period, the $75.0 million minimum liquidity covenant in the Credit Agreement was no longer in effect.</w:t>
      </w:r>
    </w:p>
    <w:p>
      <w:pPr>
        <w:spacing w:after="0" w:line="156"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The Company incurred fees of approximately $1.8 million in connection with the March 2022 amendment of the Credit Agreement, which are being amortized on a straight-line basis over the term of the Credit Agreement. In the first quarter of 2022, the Company expensed $0.4 million in unamortized deferred financing costs associated with lenders that are no longer parties to the Credit Agreement.</w:t>
      </w:r>
    </w:p>
    <w:p>
      <w:pPr>
        <w:spacing w:after="0" w:line="156"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As of September 30, 2022, there were no outstanding borrowings under the Credit Facility and the Company did not have any letters of credit or advance payment guarantees outstanding under the Credit Facility. As of December 31, 2021, there were no amounts drawn under the previous credit facility, and the Company did not have any letters of credit or advance payment guarantees outstanding under the previous credit facility.</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Facility</w:t>
      </w:r>
    </w:p>
    <w:p>
      <w:pPr>
        <w:spacing w:after="0" w:line="18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Within the Credit Facility, the Company is able to purchase foreign currency forward contracts and/or other swap arrangements. As of September 30, 2022, the net unrealized loss on the Company's outstanding foreign currency forward contracts was $(1.6) million, representing the amount by which the notional value of these forward contracts exceeded their fair value (December 31, 2021 — net unrealized gain of $0.1 million). As of September 30, 2022, the notional value of the Company's outstanding foreign currency forward contracts was $30.8 million (December 31, 2021 — $26.7 million).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 of China Facility</w:t>
      </w:r>
    </w:p>
    <w:p>
      <w:pPr>
        <w:spacing w:after="0" w:line="171"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In June 2022, IMAX (Shanghai) Multimedia Technology Co., Ltd. ("IMAX Shanghai"), one of the Company's majority-owned subsidiaries in China, renewed its unsecured revolving facility with Bank of China for up to 200.0 million Chinese Renminbi ("RMB") ($28.2 million), including RMB 10.0 million ($1.4 million) for letters of guarantee, to fund ongoing working capital requirements (the "Bank of China Facility"). The Bank of China Facility expires in September 2023.</w:t>
      </w:r>
    </w:p>
    <w:p>
      <w:pPr>
        <w:spacing w:after="0" w:line="156"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As of September 30, 2022, RMB 2.6 million ($0.4 million) of borrowings were outstanding under the Bank of China Facility and outstanding letters of guarantee were RMB 2.8 million ($0.4 million). As of December 31, 2021, outstanding Bank of China Facility borrowings were RMB 23.0 million ($3.6 million) and outstanding letters of guarantee were RMB 2.8 million ($0.5 million).</w:t>
      </w:r>
    </w:p>
    <w:p>
      <w:pPr>
        <w:spacing w:after="0" w:line="156"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As of September 30, 2022, the amount available for future borrowings under the Bank of China Facility was RMB 187.4 million ($26.4 million) and the amount available for letters of guarantee was RMB 7.2 million ($1.0 million). The amount available for future borrowings under the Bank of China Facility is not subject to a standby fee. The effective interest rate for the three and nine months ended September 30, 2022 was 3.85% and 4.15%, respectively (2021 ― 4.35%).</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HSBC China Facility</w:t>
      </w:r>
    </w:p>
    <w:p>
      <w:pPr>
        <w:spacing w:after="0" w:line="171"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In June 2022, IMAX Shanghai entered into an unsecured revolving facility for up to RMB 200.0 million ($28.2 million) with HSBC Bank (China) Company Limited, Shanghai Branch to fund ongoing working capital requirements (the "HSBC China Facility"). As of September 30, 2022, RMB 31.2 million ($4.4 million) of borrowings were outstanding under the HSBC China facility. As of September 30, 2022, the amount available for future borrowings under the HSBC China Facility was RMB 168.8 million ($23.8 million). The effective interest rate for the three and nine months ended September 30, 2022 was 3.85% and 3.95%,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i w:val="1"/>
          <w:iCs w:val="1"/>
          <w:color w:val="auto"/>
        </w:rPr>
        <w:t>NBC Facility</w:t>
      </w:r>
    </w:p>
    <w:p>
      <w:pPr>
        <w:spacing w:after="0" w:line="17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In October 2019, the Company entered into a $5.0 million facility with National Bank of Canada (the "NBC Facility") fully insured by Export Development Canada for use solely in conjunction with the issuance of performance guarantees and letters of credit. The NBC Facility is renewed on an annual basis, and it was renewed in October 2022 until June 30, 2023 on the same terms and conditions. The Company did not have any letters of credit or advance payment guarantees outstanding as of September 30, 2022 and December 31, 2021 under the NBC Facility.</w:t>
      </w:r>
    </w:p>
    <w:p>
      <w:pPr>
        <w:spacing w:after="0" w:line="138"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Convertible Notes, Net</w:t>
      </w:r>
    </w:p>
    <w:p>
      <w:pPr>
        <w:spacing w:after="0" w:line="184"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As of September 30, 2022 and December 31, 2021, Convertible Notes, Net (as defined below) are recorded within Convertible Notes and Other Borrowings, Net on the Company's Condensed Consolidated Balance Sheets and consist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Unamortized discounts and debt issuance costs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(5,245 )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(6,359 )</w:t>
            </w: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224,755</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previous outstanding revolving credit facility borrowings and used the remainder for working capital or other general corporate purposes.</w:t>
      </w:r>
    </w:p>
    <w:p>
      <w:pPr>
        <w:spacing w:after="0" w:line="129"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56"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21" w:lineRule="exact"/>
        <w:rPr>
          <w:sz w:val="20"/>
          <w:szCs w:val="20"/>
          <w:color w:val="auto"/>
        </w:rPr>
      </w:pPr>
    </w:p>
    <w:p>
      <w:pPr>
        <w:jc w:val="both"/>
        <w:ind w:firstLine="225"/>
        <w:spacing w:after="0" w:line="246"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56"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4" w:name="page25"/>
    <w:bookmarkEnd w:id="24"/>
    <w:p>
      <w:pPr>
        <w:jc w:val="both"/>
        <w:ind w:firstLine="225"/>
        <w:spacing w:after="0" w:line="260" w:lineRule="auto"/>
        <w:rPr>
          <w:sz w:val="20"/>
          <w:szCs w:val="20"/>
          <w:color w:val="auto"/>
        </w:rPr>
      </w:pPr>
      <w:r>
        <w:rPr>
          <w:rFonts w:ascii="Arial" w:cs="Arial" w:eastAsia="Arial" w:hAnsi="Arial"/>
          <w:sz w:val="17"/>
          <w:szCs w:val="17"/>
          <w:color w:val="auto"/>
        </w:rPr>
        <w:t>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4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5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43"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56"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Federal Economic Development Loan</w:t>
      </w:r>
    </w:p>
    <w:p>
      <w:pPr>
        <w:spacing w:after="0" w:line="171" w:lineRule="exact"/>
        <w:rPr>
          <w:sz w:val="20"/>
          <w:szCs w:val="20"/>
          <w:color w:val="auto"/>
        </w:rPr>
      </w:pPr>
    </w:p>
    <w:p>
      <w:pPr>
        <w:jc w:val="both"/>
        <w:ind w:firstLine="225"/>
        <w:spacing w:after="0" w:line="246" w:lineRule="auto"/>
        <w:rPr>
          <w:sz w:val="20"/>
          <w:szCs w:val="20"/>
          <w:color w:val="auto"/>
        </w:rPr>
      </w:pPr>
      <w:r>
        <w:rPr>
          <w:rFonts w:ascii="Arial" w:cs="Arial" w:eastAsia="Arial" w:hAnsi="Arial"/>
          <w:sz w:val="18"/>
          <w:szCs w:val="18"/>
          <w:color w:val="auto"/>
        </w:rPr>
        <w:t>SSIMWAVE entered into a contribution agreement with the Federal Economic Development Agency for Southern Ontario (the "Federal Economic Development Loan") on May 29, 2019, under which SSIMWAVE may receive up to $4.2 million Canadian Dollars ("CAD") ($3.1 million) by way of repayable contributions toward certain eligible projects costs. The contributions under the agreement cover 35% of the eligible and supported costs of SSIMWAVE between January 10, 2019 and December 31, 2022. The contributions are repayable over 60 months, with repayments estimated to begin in January 2024, with an annual interest rate of 0%. As at September 30, 2022, SSIMWAVE has received contributions of CAD$3.8 million ($2.8 million) from the Federal Economic Development Loan.</w:t>
      </w:r>
    </w:p>
    <w:p>
      <w:pPr>
        <w:spacing w:after="0" w:line="143"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The benefit of the interest free loan has been determined by calculating the present value of the payments using a market-based interest rate and comparing this to the proceeds received. The benefit is being recorded as the interest free benefit of government funding within the Condensed Consolidated Statements of Operations. The obligation is being accreted to its maturity amount, resulting in an interest accretion expense in the period. The interest benefit and interest accretion were not material during the three and nine months ended September 30, 2022, as the Company's acquisition of SSIMWAVE was consummated on September 22, 2022.</w:t>
      </w:r>
    </w:p>
    <w:p>
      <w:pPr>
        <w:spacing w:after="0" w:line="14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As of September 30, 2022, the Federal Economic Development Loan has a carrying value of $1.8 million, net of unaccreted interest benefit and is recorded within Convertible Notes and Other Borrowings, Net on the Company's Condensed Consolidated Balance Sheets.</w:t>
      </w:r>
    </w:p>
    <w:p>
      <w:pPr>
        <w:spacing w:after="0" w:line="98"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w:t>
      </w:r>
    </w:p>
    <w:p>
      <w:pPr>
        <w:spacing w:after="0" w:line="184"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8"/>
          <w:szCs w:val="18"/>
          <w:color w:val="auto"/>
        </w:rPr>
        <w:t>In the ordinary course of its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5" w:name="page26"/>
    <w:bookmarkEnd w:id="25"/>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Contingencies and guarantees</w:t>
      </w:r>
    </w:p>
    <w:p>
      <w:pPr>
        <w:spacing w:after="0" w:line="171" w:lineRule="exact"/>
        <w:rPr>
          <w:sz w:val="20"/>
          <w:szCs w:val="20"/>
          <w:color w:val="auto"/>
        </w:rPr>
      </w:pPr>
    </w:p>
    <w:p>
      <w:pPr>
        <w:jc w:val="both"/>
        <w:ind w:firstLine="223"/>
        <w:spacing w:after="0" w:line="258"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51" w:lineRule="exact"/>
        <w:rPr>
          <w:sz w:val="20"/>
          <w:szCs w:val="20"/>
          <w:color w:val="auto"/>
        </w:rPr>
      </w:pPr>
    </w:p>
    <w:p>
      <w:pPr>
        <w:jc w:val="both"/>
        <w:ind w:firstLine="231"/>
        <w:spacing w:after="0" w:line="256" w:lineRule="auto"/>
        <w:tabs>
          <w:tab w:leader="none" w:pos="4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$25.1 million, inclusive of interest, as of September 30, 2022.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48" w:lineRule="exact"/>
        <w:rPr>
          <w:rFonts w:ascii="Arial" w:cs="Arial" w:eastAsia="Arial" w:hAnsi="Arial"/>
          <w:sz w:val="17"/>
          <w:szCs w:val="17"/>
          <w:color w:val="auto"/>
        </w:rPr>
      </w:pPr>
    </w:p>
    <w:p>
      <w:pPr>
        <w:jc w:val="both"/>
        <w:ind w:firstLine="231"/>
        <w:spacing w:after="0" w:line="273" w:lineRule="auto"/>
        <w:tabs>
          <w:tab w:leader="none" w:pos="5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On February 7, 2017, the panel issued a Partial Final Award and on July 21, 2017, the panel issued a Final Award (collectively, the "Award"), which held that the parties had reached a binding settlement, and therefore the panel did not reach a decision regarding the merits of the dispute. On December 3, 2020, the District Judge entered a final judgment (the "Final Judgment") against the Company in the total amount of $11.3 million as damages under the Award. As of December 31, 2020, the Company's Consolidated Balance Sheets included a liability within Accrued and Other Liabilities of $11.3 million related to the Final Judgment, consisting of $7.2 million related to amounts collected from or owed to Giencourt principally in respect of theater systems that were not delivered and $4.1 million in respect of the remaining amounts owed under the Final Judgment. On June 23, 2021, the Company entered into a final settlement agreement with Giencourt to fully resolve all disputes between the parties in the United States and Ontario (the "Settlement Agreement"). In the second quarter of 2021, the Company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Condensed Consolidated Statements of Operations within Legal Judgment and Arbitration Awards in the second quarter of 2021.</w:t>
      </w:r>
    </w:p>
    <w:p>
      <w:pPr>
        <w:spacing w:after="0" w:line="144" w:lineRule="exact"/>
        <w:rPr>
          <w:rFonts w:ascii="Arial" w:cs="Arial" w:eastAsia="Arial" w:hAnsi="Arial"/>
          <w:sz w:val="16"/>
          <w:szCs w:val="16"/>
          <w:color w:val="auto"/>
        </w:rPr>
      </w:pPr>
    </w:p>
    <w:p>
      <w:pPr>
        <w:jc w:val="both"/>
        <w:ind w:firstLine="231"/>
        <w:spacing w:after="0" w:line="247" w:lineRule="auto"/>
        <w:tabs>
          <w:tab w:leader="none" w:pos="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56" w:lineRule="exact"/>
        <w:rPr>
          <w:rFonts w:ascii="Arial" w:cs="Arial" w:eastAsia="Arial" w:hAnsi="Arial"/>
          <w:sz w:val="18"/>
          <w:szCs w:val="18"/>
          <w:color w:val="auto"/>
        </w:rPr>
      </w:pPr>
    </w:p>
    <w:p>
      <w:pPr>
        <w:jc w:val="both"/>
        <w:ind w:firstLine="231"/>
        <w:spacing w:after="0" w:line="263" w:lineRule="auto"/>
        <w:tabs>
          <w:tab w:leader="none" w:pos="5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6" w:name="page27"/>
    <w:bookmarkEnd w:id="26"/>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Financial Guarantees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Certain subsidiaries of the Company have provided significant financial guarantees to third parties under the Credit Agreement (see Note 8).</w:t>
      </w:r>
    </w:p>
    <w:p>
      <w:pPr>
        <w:spacing w:after="0" w:line="196"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Product Warranties</w:t>
      </w:r>
    </w:p>
    <w:p>
      <w:pPr>
        <w:spacing w:after="0" w:line="184"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Condensed Consolidated Balance Sheets, was less than $0.1 million and $nil as of September 30, 2022 and December 31, 2021, respectively.</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Director and Officer Indemnifications</w:t>
      </w:r>
    </w:p>
    <w:p>
      <w:pPr>
        <w:spacing w:after="0" w:line="17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6"/>
          <w:szCs w:val="16"/>
          <w:color w:val="auto"/>
        </w:rPr>
        <w:t xml:space="preserve">The Company's by-laws contain an indemnification of its current directors and officers, former directors and officers, and persons who have acted at its request to be a director and/or officer of an entity in which the Company is a shareholder or creditor, to indemnify them, to the extent permitted by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against expenses (including legal fees), judgments, fines and any amounts actually and reasonably incurred by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September 30, 2022 and December 31, 2021, with respect to this indemnity.</w:t>
      </w:r>
    </w:p>
    <w:p>
      <w:pPr>
        <w:spacing w:after="0" w:line="135" w:lineRule="exact"/>
        <w:rPr>
          <w:sz w:val="20"/>
          <w:szCs w:val="20"/>
          <w:color w:val="auto"/>
        </w:rPr>
      </w:pPr>
    </w:p>
    <w:p>
      <w:pPr>
        <w:ind w:left="600" w:hanging="368"/>
        <w:spacing w:after="0"/>
        <w:tabs>
          <w:tab w:leader="none" w:pos="6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Indemnification Agreements</w:t>
      </w:r>
    </w:p>
    <w:p>
      <w:pPr>
        <w:spacing w:after="0" w:line="18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7"/>
          <w:szCs w:val="17"/>
          <w:color w:val="auto"/>
        </w:rPr>
        <w:t>In the normal course of its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7" w:name="page28"/>
    <w:bookmarkEnd w:id="27"/>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Operations – Supplemental Information</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Expenses</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following table summarizes the Company's selling expenses (reversals), including sales commissions and other selling expenses such as direct advertising and marketing expenses, which are recognized within Costs and Expenses Applicable to Revenues in the Condensed Consolidated Statements of Operations, for three and nine months ended September 30, 2022 and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1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15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80" w:type="dxa"/>
            <w:vAlign w:val="bottom"/>
          </w:tcPr>
          <w:p>
            <w:pPr>
              <w:jc w:val="center"/>
              <w:ind w:left="219"/>
              <w:spacing w:after="0" w:line="133" w:lineRule="exact"/>
              <w:rPr>
                <w:sz w:val="20"/>
                <w:szCs w:val="20"/>
                <w:color w:val="auto"/>
              </w:rPr>
            </w:pPr>
            <w:r>
              <w:rPr>
                <w:rFonts w:ascii="Arial" w:cs="Arial" w:eastAsia="Arial" w:hAnsi="Arial"/>
                <w:sz w:val="14"/>
                <w:szCs w:val="14"/>
                <w:b w:val="1"/>
                <w:bCs w:val="1"/>
                <w:color w:val="auto"/>
                <w:w w:val="81"/>
              </w:rPr>
              <w:t>Sales</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jc w:val="center"/>
              <w:ind w:left="421"/>
              <w:spacing w:after="0" w:line="133" w:lineRule="exact"/>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left="179"/>
              <w:spacing w:after="0" w:line="133"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r>
      <w:tr>
        <w:trPr>
          <w:trHeight w:val="185"/>
        </w:trPr>
        <w:tc>
          <w:tcPr>
            <w:tcW w:w="4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9"/>
              </w:rPr>
              <w:t>Commissions</w:t>
            </w:r>
          </w:p>
        </w:tc>
        <w:tc>
          <w:tcPr>
            <w:tcW w:w="3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Selling Expenses</w:t>
            </w:r>
          </w:p>
        </w:tc>
        <w:tc>
          <w:tcPr>
            <w:tcW w:w="280" w:type="dxa"/>
            <w:vAlign w:val="bottom"/>
          </w:tcPr>
          <w:p>
            <w:pPr>
              <w:spacing w:after="0"/>
              <w:rPr>
                <w:sz w:val="16"/>
                <w:szCs w:val="16"/>
                <w:color w:val="auto"/>
              </w:rPr>
            </w:pPr>
          </w:p>
        </w:tc>
        <w:tc>
          <w:tcPr>
            <w:tcW w:w="118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7"/>
              </w:rPr>
              <w:t>Commissions</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Selling Expenses</w:t>
            </w:r>
          </w:p>
        </w:tc>
        <w:tc>
          <w:tcPr>
            <w:tcW w:w="100" w:type="dxa"/>
            <w:vAlign w:val="bottom"/>
          </w:tcPr>
          <w:p>
            <w:pPr>
              <w:spacing w:after="0"/>
              <w:rPr>
                <w:sz w:val="16"/>
                <w:szCs w:val="16"/>
                <w:color w:val="auto"/>
              </w:rPr>
            </w:pPr>
          </w:p>
        </w:tc>
      </w:tr>
      <w:tr>
        <w:trPr>
          <w:trHeight w:val="209"/>
        </w:trPr>
        <w:tc>
          <w:tcPr>
            <w:tcW w:w="4260" w:type="dxa"/>
            <w:vAlign w:val="bottom"/>
            <w:gridSpan w:val="2"/>
            <w:shd w:val="clear" w:color="auto" w:fill="CFF0FC"/>
          </w:tcPr>
          <w:p>
            <w:pPr>
              <w:ind w:left="20"/>
              <w:spacing w:after="0" w:line="209" w:lineRule="exact"/>
              <w:rPr>
                <w:sz w:val="20"/>
                <w:szCs w:val="20"/>
                <w:color w:val="auto"/>
              </w:rPr>
            </w:pPr>
            <w:r>
              <w:rPr>
                <w:rFonts w:ascii="Arial" w:cs="Arial" w:eastAsia="Arial" w:hAnsi="Arial"/>
                <w:sz w:val="18"/>
                <w:szCs w:val="18"/>
                <w:color w:val="auto"/>
              </w:rPr>
              <w:t>Technology sales</w:t>
            </w:r>
            <w:r>
              <w:rPr>
                <w:rFonts w:ascii="Arial" w:cs="Arial" w:eastAsia="Arial" w:hAnsi="Arial"/>
                <w:sz w:val="24"/>
                <w:szCs w:val="24"/>
                <w:color w:val="auto"/>
                <w:vertAlign w:val="superscript"/>
              </w:rPr>
              <w:t>(1)</w:t>
            </w:r>
          </w:p>
        </w:tc>
        <w:tc>
          <w:tcPr>
            <w:tcW w:w="128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269</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Image enhancement and maintenance services</w:t>
            </w:r>
            <w:r>
              <w:rPr>
                <w:rFonts w:ascii="Arial" w:cs="Arial" w:eastAsia="Arial" w:hAnsi="Arial"/>
                <w:sz w:val="24"/>
                <w:szCs w:val="24"/>
                <w:color w:val="auto"/>
                <w:vertAlign w:val="superscript"/>
              </w:rPr>
              <w:t>(2)</w:t>
            </w:r>
          </w:p>
        </w:tc>
        <w:tc>
          <w:tcPr>
            <w:tcW w:w="12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8"/>
                <w:szCs w:val="18"/>
                <w:color w:val="auto"/>
              </w:rPr>
            </w:pPr>
          </w:p>
        </w:tc>
      </w:tr>
      <w:tr>
        <w:trPr>
          <w:trHeight w:val="216"/>
        </w:trPr>
        <w:tc>
          <w:tcPr>
            <w:tcW w:w="426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Technology rentals</w:t>
            </w:r>
            <w:r>
              <w:rPr>
                <w:rFonts w:ascii="Arial" w:cs="Arial" w:eastAsia="Arial" w:hAnsi="Arial"/>
                <w:sz w:val="24"/>
                <w:szCs w:val="24"/>
                <w:color w:val="auto"/>
                <w:vertAlign w:val="superscript"/>
              </w:rPr>
              <w:t>(3)</w:t>
            </w:r>
          </w:p>
        </w:tc>
        <w:tc>
          <w:tcPr>
            <w:tcW w:w="12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225</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494</w:t>
            </w:r>
          </w:p>
        </w:tc>
        <w:tc>
          <w:tcPr>
            <w:tcW w:w="380" w:type="dxa"/>
            <w:vAlign w:val="bottom"/>
          </w:tcPr>
          <w:p>
            <w:pPr>
              <w:spacing w:after="0"/>
              <w:rPr>
                <w:sz w:val="18"/>
                <w:szCs w:val="18"/>
                <w:color w:val="auto"/>
              </w:rPr>
            </w:pP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310</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15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80" w:type="dxa"/>
            <w:vAlign w:val="bottom"/>
          </w:tcPr>
          <w:p>
            <w:pPr>
              <w:jc w:val="center"/>
              <w:ind w:left="219"/>
              <w:spacing w:after="0" w:line="133" w:lineRule="exact"/>
              <w:rPr>
                <w:sz w:val="20"/>
                <w:szCs w:val="20"/>
                <w:color w:val="auto"/>
              </w:rPr>
            </w:pPr>
            <w:r>
              <w:rPr>
                <w:rFonts w:ascii="Arial" w:cs="Arial" w:eastAsia="Arial" w:hAnsi="Arial"/>
                <w:sz w:val="14"/>
                <w:szCs w:val="14"/>
                <w:b w:val="1"/>
                <w:bCs w:val="1"/>
                <w:color w:val="auto"/>
                <w:w w:val="81"/>
              </w:rPr>
              <w:t>Sales</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jc w:val="center"/>
              <w:ind w:left="421"/>
              <w:spacing w:after="0" w:line="133" w:lineRule="exact"/>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left="179"/>
              <w:spacing w:after="0" w:line="133"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r>
      <w:tr>
        <w:trPr>
          <w:trHeight w:val="185"/>
        </w:trPr>
        <w:tc>
          <w:tcPr>
            <w:tcW w:w="4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9"/>
              </w:rPr>
              <w:t>Commissions</w:t>
            </w:r>
          </w:p>
        </w:tc>
        <w:tc>
          <w:tcPr>
            <w:tcW w:w="3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Selling Expenses</w:t>
            </w:r>
          </w:p>
        </w:tc>
        <w:tc>
          <w:tcPr>
            <w:tcW w:w="280" w:type="dxa"/>
            <w:vAlign w:val="bottom"/>
          </w:tcPr>
          <w:p>
            <w:pPr>
              <w:spacing w:after="0"/>
              <w:rPr>
                <w:sz w:val="16"/>
                <w:szCs w:val="16"/>
                <w:color w:val="auto"/>
              </w:rPr>
            </w:pPr>
          </w:p>
        </w:tc>
        <w:tc>
          <w:tcPr>
            <w:tcW w:w="118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7"/>
              </w:rPr>
              <w:t>Commissions</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Selling Expenses</w:t>
            </w:r>
          </w:p>
        </w:tc>
        <w:tc>
          <w:tcPr>
            <w:tcW w:w="100" w:type="dxa"/>
            <w:vAlign w:val="bottom"/>
          </w:tcPr>
          <w:p>
            <w:pPr>
              <w:spacing w:after="0"/>
              <w:rPr>
                <w:sz w:val="16"/>
                <w:szCs w:val="16"/>
                <w:color w:val="auto"/>
              </w:rPr>
            </w:pPr>
          </w:p>
        </w:tc>
      </w:tr>
      <w:tr>
        <w:trPr>
          <w:trHeight w:val="209"/>
        </w:trPr>
        <w:tc>
          <w:tcPr>
            <w:tcW w:w="4260" w:type="dxa"/>
            <w:vAlign w:val="bottom"/>
            <w:gridSpan w:val="2"/>
            <w:shd w:val="clear" w:color="auto" w:fill="CFF0FC"/>
          </w:tcPr>
          <w:p>
            <w:pPr>
              <w:ind w:left="20"/>
              <w:spacing w:after="0" w:line="209" w:lineRule="exact"/>
              <w:rPr>
                <w:sz w:val="20"/>
                <w:szCs w:val="20"/>
                <w:color w:val="auto"/>
              </w:rPr>
            </w:pPr>
            <w:r>
              <w:rPr>
                <w:rFonts w:ascii="Arial" w:cs="Arial" w:eastAsia="Arial" w:hAnsi="Arial"/>
                <w:sz w:val="18"/>
                <w:szCs w:val="18"/>
                <w:color w:val="auto"/>
              </w:rPr>
              <w:t>Technology sales</w:t>
            </w:r>
            <w:r>
              <w:rPr>
                <w:rFonts w:ascii="Arial" w:cs="Arial" w:eastAsia="Arial" w:hAnsi="Arial"/>
                <w:sz w:val="24"/>
                <w:szCs w:val="24"/>
                <w:color w:val="auto"/>
                <w:vertAlign w:val="superscript"/>
              </w:rPr>
              <w:t>(1)</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316</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Image enhancement and maintenance services</w:t>
            </w:r>
            <w:r>
              <w:rPr>
                <w:rFonts w:ascii="Arial" w:cs="Arial" w:eastAsia="Arial" w:hAnsi="Arial"/>
                <w:sz w:val="24"/>
                <w:szCs w:val="24"/>
                <w:color w:val="auto"/>
                <w:vertAlign w:val="superscript"/>
              </w:rPr>
              <w:t>(2)</w:t>
            </w:r>
          </w:p>
        </w:tc>
        <w:tc>
          <w:tcPr>
            <w:tcW w:w="12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11,443</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18"/>
                <w:szCs w:val="18"/>
                <w:color w:val="auto"/>
              </w:rPr>
            </w:pPr>
          </w:p>
        </w:tc>
      </w:tr>
      <w:tr>
        <w:trPr>
          <w:trHeight w:val="216"/>
        </w:trPr>
        <w:tc>
          <w:tcPr>
            <w:tcW w:w="426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Technology rentals</w:t>
            </w:r>
            <w:r>
              <w:rPr>
                <w:rFonts w:ascii="Arial" w:cs="Arial" w:eastAsia="Arial" w:hAnsi="Arial"/>
                <w:sz w:val="24"/>
                <w:szCs w:val="24"/>
                <w:color w:val="auto"/>
                <w:vertAlign w:val="superscript"/>
              </w:rPr>
              <w:t>(3)</w:t>
            </w:r>
          </w:p>
        </w:tc>
        <w:tc>
          <w:tcPr>
            <w:tcW w:w="12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(64 )</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FF0FC"/>
          </w:tcPr>
          <w:p>
            <w:pPr>
              <w:spacing w:after="0"/>
              <w:rPr>
                <w:sz w:val="18"/>
                <w:szCs w:val="18"/>
                <w:color w:val="auto"/>
              </w:rPr>
            </w:pPr>
          </w:p>
        </w:tc>
      </w:tr>
      <w:tr>
        <w:trPr>
          <w:trHeight w:val="209"/>
        </w:trPr>
        <w:tc>
          <w:tcPr>
            <w:tcW w:w="426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w:t>
            </w:r>
          </w:p>
        </w:tc>
        <w:tc>
          <w:tcPr>
            <w:tcW w:w="38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12,990</w:t>
            </w:r>
          </w:p>
        </w:tc>
        <w:tc>
          <w:tcPr>
            <w:tcW w:w="28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915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top w:val="single" w:sz="8" w:color="CFF0FC"/>
            </w:tcBorders>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2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-1634490</wp:posOffset>
            </wp:positionV>
            <wp:extent cx="7683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-1634490</wp:posOffset>
            </wp:positionV>
            <wp:extent cx="685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-1634490</wp:posOffset>
            </wp:positionV>
            <wp:extent cx="685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-316230</wp:posOffset>
            </wp:positionV>
            <wp:extent cx="76835"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-316230</wp:posOffset>
            </wp:positionV>
            <wp:extent cx="6858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-316230</wp:posOffset>
            </wp:positionV>
            <wp:extent cx="685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left="5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commissions paid prior to the recognition of the related revenue are deferred and recognized upon the client acceptance of the IMAX Theater System. Direct advertising and marketing costs for each theater are expensed as incurred.</w:t>
      </w:r>
    </w:p>
    <w:p>
      <w:pPr>
        <w:spacing w:after="0" w:line="48"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Film exploitation costs, including advertising and marketing costs, are expensed as incurred.</w:t>
      </w:r>
    </w:p>
    <w:p>
      <w:pPr>
        <w:spacing w:after="0" w:line="103" w:lineRule="exact"/>
        <w:rPr>
          <w:rFonts w:ascii="Arial" w:cs="Arial" w:eastAsia="Arial" w:hAnsi="Arial"/>
          <w:sz w:val="18"/>
          <w:szCs w:val="18"/>
          <w:color w:val="auto"/>
        </w:rPr>
      </w:pPr>
    </w:p>
    <w:p>
      <w:pPr>
        <w:ind w:left="520" w:right="20" w:hanging="512"/>
        <w:spacing w:after="0" w:line="341"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 commissions related to joint revenue sharing arrangements accounted for as operating leases are recognized in the month they are earned by the salesperson, which is typically the month in which the theater system is installed, and are subject to subsequent performance-based adjustments.</w:t>
      </w:r>
    </w:p>
    <w:p>
      <w:pPr>
        <w:spacing w:after="0" w:line="70" w:lineRule="exact"/>
        <w:rPr>
          <w:rFonts w:ascii="Arial" w:cs="Arial" w:eastAsia="Arial" w:hAnsi="Arial"/>
          <w:sz w:val="16"/>
          <w:szCs w:val="16"/>
          <w:color w:val="auto"/>
        </w:rPr>
      </w:pPr>
    </w:p>
    <w:p>
      <w:pPr>
        <w:ind w:left="580" w:hanging="378"/>
        <w:spacing w:after="0"/>
        <w:tabs>
          <w:tab w:leader="none" w:pos="58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Included in Selling, General and Administrative Expenses for the three and nine months ended September 30, 2022 is a net loss of $(1.2) million and $(3.0) million, respectively, (2021 — net loss of $(0.6) million and net gain of $1.1 million, respectively) resulting from changes in exchange rates related to RMB denominated monetary assets and liabilities. See Note 17(c) for additional information.</w:t>
      </w:r>
    </w:p>
    <w:p>
      <w:pPr>
        <w:spacing w:after="0" w:line="136" w:lineRule="exact"/>
        <w:rPr>
          <w:sz w:val="20"/>
          <w:szCs w:val="20"/>
          <w:color w:val="auto"/>
        </w:rPr>
      </w:pPr>
    </w:p>
    <w:p>
      <w:pPr>
        <w:ind w:left="620" w:hanging="418"/>
        <w:spacing w:after="0"/>
        <w:tabs>
          <w:tab w:leader="none" w:pos="6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Arrangements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84"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See Note 6 for a description of the material terms of the Company's collaborative joint revenue sharing arrangements. The accounting policy for the Company's joint revenue sharing arrangements is disclosed in Note 3(p) of the Company's audited Consolidated Financial Statements in its 2021 Form 10-K.</w:t>
      </w:r>
    </w:p>
    <w:p>
      <w:pPr>
        <w:spacing w:after="0" w:line="156"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and nine months ended September 30, 2022, such revenues totaled $13.5 million and $46.2 million, respectively (2021 — $10.9 million and $29.9 million, respectively). (See Note 14(a) for a disaggregated presentation of the Company's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8" w:name="page29"/>
    <w:bookmarkEnd w:id="28"/>
    <w:p>
      <w:pPr>
        <w:ind w:left="240"/>
        <w:spacing w:after="0"/>
        <w:rPr>
          <w:sz w:val="20"/>
          <w:szCs w:val="20"/>
          <w:color w:val="auto"/>
        </w:rPr>
      </w:pPr>
      <w:r>
        <w:rPr>
          <w:rFonts w:ascii="Arial" w:cs="Arial" w:eastAsia="Arial" w:hAnsi="Arial"/>
          <w:sz w:val="18"/>
          <w:szCs w:val="18"/>
          <w:i w:val="1"/>
          <w:iCs w:val="1"/>
          <w:color w:val="auto"/>
        </w:rPr>
        <w:t>IMAX DMR</w:t>
      </w:r>
    </w:p>
    <w:p>
      <w:pPr>
        <w:spacing w:after="0" w:line="171"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In an IMAX DMR arrangement, the Company receives a percentage of the box office receipts from a third party who owns the copyright to a film in exchange for converting the film into IMAX DMR format and distributing it through the IMAX network. The fee earned by the Company in a typical IMAX DMR arrangement averages approximately 12.5% of box office receipts (i.e. gross box office receipts less applicable sales taxes), except for within Greater China, where the Company receives a lower percentage of net box office receipts for certain Hollywood films. The accounting policy for the Company's IMAX DMR arrangements is disclosed in Note 3(p) of the Company's audited Consolidated Financial Statements in its 2021 Form 10-K.</w:t>
      </w:r>
    </w:p>
    <w:p>
      <w:pPr>
        <w:spacing w:after="0" w:line="113"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Revenue attributable to transactions arising between the Company and its customers under IMAX DMR arrangements are included in Revenues – Image Enhancement and Maintenance Services. For the three and nine months ended September 30, 2022, such revenues totaled $19.9 million and $67.1 million, respectively (2021 — $15.7 million and $39.4 million, respectively). (See Note 14(a) for a disaggregated presentation of the Company's revenues.)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84" w:lineRule="exact"/>
        <w:rPr>
          <w:sz w:val="20"/>
          <w:szCs w:val="20"/>
          <w:color w:val="auto"/>
        </w:rPr>
      </w:pPr>
    </w:p>
    <w:p>
      <w:pPr>
        <w:jc w:val="both"/>
        <w:ind w:right="20" w:firstLine="225"/>
        <w:spacing w:after="0" w:line="255" w:lineRule="auto"/>
        <w:rPr>
          <w:sz w:val="20"/>
          <w:szCs w:val="20"/>
          <w:color w:val="auto"/>
        </w:rPr>
      </w:pPr>
      <w:r>
        <w:rPr>
          <w:rFonts w:ascii="Arial" w:cs="Arial" w:eastAsia="Arial" w:hAnsi="Arial"/>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3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September 30, 2022, the Company is party to one co-produced film arrangement, which represents the VIE total assets balance of $1.5 million and liabilities balance of $0.3 million and three other co-produced film arrangements, the terms of which are similar. The accounting policies relating to co-produced film arrangements are disclosed in Notes 3(b) and 3(p) of the Company's 2021 Form 10-K.</w:t>
      </w:r>
    </w:p>
    <w:p>
      <w:pPr>
        <w:spacing w:after="0" w:line="149"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For the three and nine months ended September 30, 2022, an expense of $0.2 million and $0.6 million, respectively (2021 — $0.2 million and $0.3 million, respectively) attributable to transactions between the Company and other parties involved in the production of the films have been included in Costs and Expenses Applicable to Revenues – Image Enhancement and Maintenance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9" w:name="page30"/>
    <w:bookmarkEnd w:id="29"/>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 Supplemental Information</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4"/>
              </w:rPr>
              <w:t>Nine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1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5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09"/>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Decrease (increase) in:</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Financing receivables</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11,608</w:t>
            </w:r>
          </w:p>
        </w:tc>
        <w:tc>
          <w:tcPr>
            <w:tcW w:w="280" w:type="dxa"/>
            <w:vAlign w:val="bottom"/>
          </w:tcPr>
          <w:p>
            <w:pPr>
              <w:spacing w:after="0"/>
              <w:rPr>
                <w:sz w:val="18"/>
                <w:szCs w:val="18"/>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(1,693 )</w:t>
            </w:r>
          </w:p>
        </w:tc>
      </w:tr>
      <w:tr>
        <w:trPr>
          <w:trHeight w:val="216"/>
        </w:trPr>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(2,006 )</w:t>
            </w:r>
          </w:p>
        </w:tc>
        <w:tc>
          <w:tcPr>
            <w:tcW w:w="6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(2,767 )</w:t>
            </w:r>
          </w:p>
        </w:tc>
      </w:tr>
      <w:tr>
        <w:trPr>
          <w:trHeight w:val="216"/>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Variable consideration receivables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(1,243 )</w:t>
            </w:r>
          </w:p>
        </w:tc>
      </w:tr>
      <w:tr>
        <w:trPr>
          <w:trHeight w:val="216"/>
        </w:trPr>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Increase (decrease) in: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(5,135 )</w:t>
            </w:r>
          </w:p>
        </w:tc>
      </w:tr>
      <w:tr>
        <w:trPr>
          <w:trHeight w:val="216"/>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Accrued and other liabilities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(20,621 )</w:t>
            </w:r>
          </w:p>
        </w:tc>
        <w:tc>
          <w:tcPr>
            <w:tcW w:w="6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(1,728 )</w:t>
            </w:r>
          </w:p>
        </w:tc>
      </w:tr>
      <w:tr>
        <w:trPr>
          <w:trHeight w:val="249"/>
        </w:trPr>
        <w:tc>
          <w:tcPr>
            <w:tcW w:w="1500" w:type="dxa"/>
            <w:vAlign w:val="bottom"/>
            <w:tcBorders>
              <w:bottom w:val="single" w:sz="8" w:color="CFF0FC"/>
            </w:tcBorders>
            <w:shd w:val="clear" w:color="auto" w:fill="CFF0FC"/>
          </w:tcPr>
          <w:p>
            <w:pPr>
              <w:spacing w:after="0"/>
              <w:rPr>
                <w:sz w:val="21"/>
                <w:szCs w:val="21"/>
                <w:color w:val="auto"/>
              </w:rPr>
            </w:pPr>
          </w:p>
        </w:tc>
        <w:tc>
          <w:tcPr>
            <w:tcW w:w="60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754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rPr>
              <w:t>(b)  Depreciation and amortization</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1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1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75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Film assets</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13,249</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16,639</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ind w:left="120"/>
              <w:spacing w:after="0" w:line="216" w:lineRule="exact"/>
              <w:rPr>
                <w:sz w:val="20"/>
                <w:szCs w:val="20"/>
                <w:color w:val="auto"/>
              </w:rPr>
            </w:pPr>
            <w:r>
              <w:rPr>
                <w:rFonts w:ascii="Arial" w:cs="Arial" w:eastAsia="Arial" w:hAnsi="Arial"/>
                <w:sz w:val="18"/>
                <w:szCs w:val="18"/>
                <w:color w:val="auto"/>
              </w:rPr>
              <w:t>Other property, plant and equipment</w:t>
            </w:r>
            <w:r>
              <w:rPr>
                <w:rFonts w:ascii="Arial" w:cs="Arial" w:eastAsia="Arial" w:hAnsi="Arial"/>
                <w:sz w:val="24"/>
                <w:szCs w:val="24"/>
                <w:color w:val="auto"/>
                <w:vertAlign w:val="superscript"/>
              </w:rPr>
              <w:t>(1)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7,055</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Other intangible assets</w:t>
            </w:r>
            <w:r>
              <w:rPr>
                <w:rFonts w:ascii="Arial" w:cs="Arial" w:eastAsia="Arial" w:hAnsi="Arial"/>
                <w:sz w:val="24"/>
                <w:szCs w:val="24"/>
                <w:color w:val="auto"/>
                <w:vertAlign w:val="superscript"/>
              </w:rPr>
              <w:t>(2)</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Other assets</w:t>
            </w:r>
            <w:r>
              <w:rPr>
                <w:rFonts w:ascii="Arial" w:cs="Arial" w:eastAsia="Arial" w:hAnsi="Arial"/>
                <w:sz w:val="24"/>
                <w:szCs w:val="24"/>
                <w:color w:val="auto"/>
                <w:vertAlign w:val="superscript"/>
              </w:rPr>
              <w:t>(3)</w:t>
            </w: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r>
      <w:tr>
        <w:trPr>
          <w:trHeight w:val="249"/>
        </w:trPr>
        <w:tc>
          <w:tcPr>
            <w:tcW w:w="1500" w:type="dxa"/>
            <w:vAlign w:val="bottom"/>
            <w:tcBorders>
              <w:bottom w:val="single" w:sz="8" w:color="CFF0FC"/>
            </w:tcBorders>
            <w:shd w:val="clear" w:color="auto" w:fill="CFF0FC"/>
          </w:tcPr>
          <w:p>
            <w:pPr>
              <w:spacing w:after="0"/>
              <w:rPr>
                <w:sz w:val="21"/>
                <w:szCs w:val="21"/>
                <w:color w:val="auto"/>
              </w:rPr>
            </w:pPr>
          </w:p>
        </w:tc>
        <w:tc>
          <w:tcPr>
            <w:tcW w:w="60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-1925955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-1908810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-179070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-161925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amortization of laser projection systems, camera, and lens upgrades recorded in Research and Development on the Condensed Consolidated Statement of Operations of $0.6 million in the nine months ended September 30, 2022 (2021 — $0.6 million).</w:t>
      </w:r>
    </w:p>
    <w:p>
      <w:pPr>
        <w:spacing w:after="0" w:line="170"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amortization of licenses and intellectual property recorded in Research and Development on the Condensed Consolidated Statement of Operations of $1.0 million in the nine months ended September 30, 2022 (2021 — $1.0 million).</w:t>
      </w:r>
    </w:p>
    <w:p>
      <w:pPr>
        <w:spacing w:after="0" w:line="14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amortization of lessee incentives provided by the Company to its customers under joint revenue sharing arrangements.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0" w:name="page31"/>
    <w:bookmarkEnd w:id="30"/>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Write-downs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15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560" w:type="dxa"/>
            <w:vAlign w:val="bottom"/>
            <w:gridSpan w:val="2"/>
            <w:shd w:val="clear" w:color="auto" w:fill="CFF0FC"/>
          </w:tcPr>
          <w:p>
            <w:pPr>
              <w:ind w:left="20"/>
              <w:spacing w:after="0" w:line="209" w:lineRule="exact"/>
              <w:rPr>
                <w:sz w:val="20"/>
                <w:szCs w:val="20"/>
                <w:color w:val="auto"/>
              </w:rPr>
            </w:pPr>
            <w:r>
              <w:rPr>
                <w:rFonts w:ascii="Arial" w:cs="Arial" w:eastAsia="Arial" w:hAnsi="Arial"/>
                <w:sz w:val="18"/>
                <w:szCs w:val="18"/>
                <w:color w:val="auto"/>
              </w:rPr>
              <w:t>Other assets</w:t>
            </w:r>
            <w:r>
              <w:rPr>
                <w:rFonts w:ascii="Arial" w:cs="Arial" w:eastAsia="Arial" w:hAnsi="Arial"/>
                <w:sz w:val="24"/>
                <w:szCs w:val="24"/>
                <w:color w:val="auto"/>
                <w:vertAlign w:val="superscript"/>
              </w:rPr>
              <w:t>(1)</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Inventories</w:t>
            </w:r>
            <w:r>
              <w:rPr>
                <w:rFonts w:ascii="Arial" w:cs="Arial" w:eastAsia="Arial" w:hAnsi="Arial"/>
                <w:sz w:val="24"/>
                <w:szCs w:val="24"/>
                <w:color w:val="auto"/>
                <w:vertAlign w:val="superscript"/>
              </w:rPr>
              <w:t>(2)</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2"/>
          </w:tcPr>
          <w:p>
            <w:pPr>
              <w:ind w:left="120"/>
              <w:spacing w:after="0" w:line="216" w:lineRule="exact"/>
              <w:rPr>
                <w:sz w:val="20"/>
                <w:szCs w:val="20"/>
                <w:color w:val="auto"/>
              </w:rPr>
            </w:pPr>
            <w:r>
              <w:rPr>
                <w:rFonts w:ascii="Arial" w:cs="Arial" w:eastAsia="Arial" w:hAnsi="Arial"/>
                <w:sz w:val="18"/>
                <w:szCs w:val="18"/>
                <w:color w:val="auto"/>
              </w:rPr>
              <w:t>Equipment supporting joint revenue sharing arrangements</w:t>
            </w:r>
            <w:r>
              <w:rPr>
                <w:rFonts w:ascii="Arial" w:cs="Arial" w:eastAsia="Arial" w:hAnsi="Arial"/>
                <w:sz w:val="24"/>
                <w:szCs w:val="24"/>
                <w:color w:val="auto"/>
                <w:vertAlign w:val="superscript"/>
              </w:rPr>
              <w:t>(3)</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property, plant and equipment</w:t>
            </w: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Other intangible assets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Film assets</w:t>
            </w:r>
            <w:r>
              <w:rPr>
                <w:rFonts w:ascii="Arial" w:cs="Arial" w:eastAsia="Arial" w:hAnsi="Arial"/>
                <w:sz w:val="24"/>
                <w:szCs w:val="24"/>
                <w:color w:val="auto"/>
                <w:vertAlign w:val="superscript"/>
              </w:rPr>
              <w:t>(4)</w:t>
            </w:r>
          </w:p>
        </w:tc>
        <w:tc>
          <w:tcPr>
            <w:tcW w:w="4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r>
      <w:tr>
        <w:trPr>
          <w:trHeight w:val="209"/>
        </w:trPr>
        <w:tc>
          <w:tcPr>
            <w:tcW w:w="15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61" w:lineRule="exact"/>
        <w:rPr>
          <w:sz w:val="20"/>
          <w:szCs w:val="20"/>
          <w:color w:val="auto"/>
        </w:rPr>
      </w:pPr>
    </w:p>
    <w:p>
      <w:pPr>
        <w:ind w:left="380" w:hanging="372"/>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the nine months ended September 30, 2022, the Company recognized a full impairment of its RMB 30.0 million ($4.5 million) investment in the film </w:t>
      </w:r>
      <w:r>
        <w:rPr>
          <w:rFonts w:ascii="Arial" w:cs="Arial" w:eastAsia="Arial" w:hAnsi="Arial"/>
          <w:sz w:val="18"/>
          <w:szCs w:val="18"/>
          <w:i w:val="1"/>
          <w:iCs w:val="1"/>
          <w:color w:val="auto"/>
        </w:rPr>
        <w:t>Mozart from Space</w:t>
      </w:r>
      <w:r>
        <w:rPr>
          <w:rFonts w:ascii="Arial" w:cs="Arial" w:eastAsia="Arial" w:hAnsi="Arial"/>
          <w:sz w:val="18"/>
          <w:szCs w:val="18"/>
          <w:color w:val="auto"/>
        </w:rPr>
        <w:t xml:space="preserve"> (2021 — $nil) based on projected box office results and distribution costs. (See Note 17(e).)</w:t>
      </w:r>
    </w:p>
    <w:p>
      <w:pPr>
        <w:spacing w:after="0" w:line="115" w:lineRule="exact"/>
        <w:rPr>
          <w:rFonts w:ascii="Arial" w:cs="Arial" w:eastAsia="Arial" w:hAnsi="Arial"/>
          <w:sz w:val="18"/>
          <w:szCs w:val="18"/>
          <w:color w:val="auto"/>
        </w:rPr>
      </w:pPr>
    </w:p>
    <w:p>
      <w:pPr>
        <w:jc w:val="both"/>
        <w:ind w:left="380" w:hanging="372"/>
        <w:spacing w:after="0" w:line="289"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nine months ended September 30, 2022, the Company recorded write-downs of $0.5 million in Costs and Expenses Applicable to Technology Sales. The write-downs recorded during the nine months ended September 30, 2022 include $0.2 million related to excess and damaged inventory and $0.3 million recorded to reduce the carrying value of service parts held in Russia. In the nine months ended September 30, 2021, the Company recorded write-downs of $0.5 million in Costs and Expenses Applicable to Technology Sales to reduce the carrying value of excess inventory.</w:t>
      </w:r>
    </w:p>
    <w:p>
      <w:pPr>
        <w:spacing w:after="0" w:line="125" w:lineRule="exact"/>
        <w:rPr>
          <w:rFonts w:ascii="Arial" w:cs="Arial" w:eastAsia="Arial" w:hAnsi="Arial"/>
          <w:sz w:val="16"/>
          <w:szCs w:val="16"/>
          <w:color w:val="auto"/>
        </w:rPr>
      </w:pPr>
    </w:p>
    <w:p>
      <w:pPr>
        <w:jc w:val="both"/>
        <w:ind w:left="380" w:hanging="372"/>
        <w:spacing w:after="0" w:line="29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nine months ended September 30, 2022, the Company recorded charges of $0.2 million (2021 — $0.3 million) in Costs and Expenses Applicable to Technology Rentals mostly related to an IMAX Theater System that was removed from its existing location, as well as the write-down of leased xenon-based digital systems which were taken out of service in connection with customer upgrades to laser-based digital systems.</w:t>
      </w:r>
    </w:p>
    <w:p>
      <w:pPr>
        <w:spacing w:after="0" w:line="121" w:lineRule="exact"/>
        <w:rPr>
          <w:rFonts w:ascii="Arial" w:cs="Arial" w:eastAsia="Arial" w:hAnsi="Arial"/>
          <w:sz w:val="16"/>
          <w:szCs w:val="16"/>
          <w:color w:val="auto"/>
        </w:rPr>
      </w:pPr>
    </w:p>
    <w:p>
      <w:pPr>
        <w:ind w:left="380" w:hanging="372"/>
        <w:spacing w:after="0" w:line="261"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nine months ended September 30, 2022, the Company recorded impairment losses of $0.5 million (2021 — $nil) related to the write-down of DMR and documentary film assets.</w:t>
      </w:r>
    </w:p>
    <w:p>
      <w:pPr>
        <w:spacing w:after="0" w:line="143" w:lineRule="exact"/>
        <w:rPr>
          <w:rFonts w:ascii="Arial" w:cs="Arial" w:eastAsia="Arial" w:hAnsi="Arial"/>
          <w:sz w:val="18"/>
          <w:szCs w:val="18"/>
          <w:color w:val="auto"/>
        </w:rPr>
      </w:pPr>
    </w:p>
    <w:p>
      <w:pPr>
        <w:ind w:left="600" w:hanging="368"/>
        <w:spacing w:after="0"/>
        <w:tabs>
          <w:tab w:leader="none" w:pos="6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non-cash investing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15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59"/>
        </w:trPr>
        <w:tc>
          <w:tcPr>
            <w:tcW w:w="7560" w:type="dxa"/>
            <w:vAlign w:val="bottom"/>
            <w:gridSpan w:val="2"/>
          </w:tcPr>
          <w:p>
            <w:pPr>
              <w:ind w:left="20"/>
              <w:spacing w:after="0" w:line="159" w:lineRule="exact"/>
              <w:rPr>
                <w:sz w:val="20"/>
                <w:szCs w:val="20"/>
                <w:color w:val="auto"/>
              </w:rPr>
            </w:pPr>
            <w:r>
              <w:rPr>
                <w:rFonts w:ascii="Arial" w:cs="Arial" w:eastAsia="Arial" w:hAnsi="Arial"/>
                <w:sz w:val="18"/>
                <w:szCs w:val="18"/>
                <w:color w:val="auto"/>
              </w:rPr>
              <w:t>Net increase (decrease) in accruals related to:</w:t>
            </w: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6"/>
        </w:trPr>
        <w:tc>
          <w:tcPr>
            <w:tcW w:w="7560" w:type="dxa"/>
            <w:vAlign w:val="bottom"/>
            <w:gridSpan w:val="2"/>
          </w:tcPr>
          <w:p>
            <w:pPr>
              <w:ind w:left="160"/>
              <w:spacing w:after="0" w:line="265" w:lineRule="exact"/>
              <w:rPr>
                <w:sz w:val="20"/>
                <w:szCs w:val="20"/>
                <w:color w:val="auto"/>
              </w:rPr>
            </w:pPr>
            <w:r>
              <w:rPr>
                <w:rFonts w:ascii="Arial" w:cs="Arial" w:eastAsia="Arial" w:hAnsi="Arial"/>
                <w:sz w:val="18"/>
                <w:szCs w:val="18"/>
                <w:color w:val="auto"/>
              </w:rPr>
              <w:t>Cash consideration in respect of SSIMWAVE acquisition</w:t>
            </w:r>
            <w:r>
              <w:rPr>
                <w:rFonts w:ascii="Arial" w:cs="Arial" w:eastAsia="Arial" w:hAnsi="Arial"/>
                <w:sz w:val="24"/>
                <w:szCs w:val="24"/>
                <w:color w:val="auto"/>
                <w:vertAlign w:val="superscript"/>
              </w:rPr>
              <w:t>(1)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3,227</w:t>
            </w:r>
          </w:p>
        </w:tc>
        <w:tc>
          <w:tcPr>
            <w:tcW w:w="8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Investment in equipment supporting joint revenue sharing arrangements</w:t>
            </w: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Acquisition of other intangible assets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(863 )</w:t>
            </w:r>
          </w:p>
        </w:tc>
      </w:tr>
      <w:tr>
        <w:trPr>
          <w:trHeight w:val="216"/>
        </w:trPr>
        <w:tc>
          <w:tcPr>
            <w:tcW w:w="7560" w:type="dxa"/>
            <w:vAlign w:val="bottom"/>
            <w:gridSpan w:val="2"/>
            <w:shd w:val="clear" w:color="auto" w:fill="CFF0FC"/>
          </w:tcPr>
          <w:p>
            <w:pPr>
              <w:ind w:left="160"/>
              <w:spacing w:after="0" w:line="216" w:lineRule="exact"/>
              <w:rPr>
                <w:sz w:val="20"/>
                <w:szCs w:val="20"/>
                <w:color w:val="auto"/>
              </w:rPr>
            </w:pPr>
            <w:r>
              <w:rPr>
                <w:rFonts w:ascii="Arial" w:cs="Arial" w:eastAsia="Arial" w:hAnsi="Arial"/>
                <w:sz w:val="18"/>
                <w:szCs w:val="18"/>
                <w:color w:val="auto"/>
              </w:rPr>
              <w:t>Purchases of property, plant and equipment</w:t>
            </w:r>
            <w:r>
              <w:rPr>
                <w:rFonts w:ascii="Arial" w:cs="Arial" w:eastAsia="Arial" w:hAnsi="Arial"/>
                <w:sz w:val="24"/>
                <w:szCs w:val="24"/>
                <w:color w:val="auto"/>
                <w:vertAlign w:val="superscript"/>
              </w:rPr>
              <w:t>(2)</w:t>
            </w:r>
          </w:p>
        </w:tc>
        <w:tc>
          <w:tcPr>
            <w:tcW w:w="4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(8 )</w:t>
            </w:r>
          </w:p>
        </w:tc>
      </w:tr>
      <w:tr>
        <w:trPr>
          <w:trHeight w:val="20"/>
        </w:trPr>
        <w:tc>
          <w:tcPr>
            <w:tcW w:w="1500" w:type="dxa"/>
            <w:vAlign w:val="bottom"/>
            <w:shd w:val="clear" w:color="auto" w:fill="CFF0FC"/>
          </w:tcPr>
          <w:p>
            <w:pPr>
              <w:spacing w:after="0" w:line="20" w:lineRule="exact"/>
              <w:rPr>
                <w:sz w:val="1"/>
                <w:szCs w:val="1"/>
                <w:color w:val="auto"/>
              </w:rPr>
            </w:pPr>
          </w:p>
        </w:tc>
        <w:tc>
          <w:tcPr>
            <w:tcW w:w="60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15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4,604</w:t>
            </w:r>
          </w:p>
        </w:tc>
        <w:tc>
          <w:tcPr>
            <w:tcW w:w="2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(654 )</w:t>
            </w:r>
          </w:p>
        </w:tc>
      </w:tr>
      <w:tr>
        <w:trPr>
          <w:trHeight w:val="20"/>
        </w:trPr>
        <w:tc>
          <w:tcPr>
            <w:tcW w:w="15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6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-316230</wp:posOffset>
            </wp:positionV>
            <wp:extent cx="6858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jc w:val="both"/>
        <w:ind w:left="380" w:hanging="372"/>
        <w:spacing w:after="0" w:line="24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2022, the Company's Condensed Consolidated Balance Sheets include a liability of $3.2 million related to its acquisition of SSIMWAVE on September 22, 2022, which is recorded on the Condensed Consolidated Balance Sheets within Accrued and Other Liabilities. (See Note 4.)</w:t>
      </w:r>
    </w:p>
    <w:p>
      <w:pPr>
        <w:spacing w:after="0" w:line="156"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5 for supplemental disclosure of noncash leasing activities.</w:t>
      </w:r>
    </w:p>
    <w:p>
      <w:pPr>
        <w:spacing w:after="0" w:line="170" w:lineRule="exact"/>
        <w:rPr>
          <w:rFonts w:ascii="Arial" w:cs="Arial" w:eastAsia="Arial" w:hAnsi="Arial"/>
          <w:sz w:val="18"/>
          <w:szCs w:val="18"/>
          <w:color w:val="auto"/>
        </w:rPr>
      </w:pPr>
    </w:p>
    <w:p>
      <w:pPr>
        <w:ind w:left="600" w:hanging="368"/>
        <w:spacing w:after="0"/>
        <w:tabs>
          <w:tab w:leader="none" w:pos="600" w:val="left"/>
        </w:tabs>
        <w:numPr>
          <w:ilvl w:val="1"/>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non-cash financing activities</w:t>
      </w:r>
    </w:p>
    <w:p>
      <w:pPr>
        <w:spacing w:after="0" w:line="184"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In the third quarter of 2022, the Company recognized a $1.9 million liability related to repurchases of its common shares, which were not settled as of September 30, 2022 and were recorded on the Condensed Consolidated Balance Sheets within Accrued and Other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1" w:name="page32"/>
    <w:bookmarkEnd w:id="31"/>
    <w:p>
      <w:pPr>
        <w:jc w:val="both"/>
        <w:ind w:right="60" w:firstLine="225"/>
        <w:spacing w:after="0" w:line="248" w:lineRule="auto"/>
        <w:rPr>
          <w:sz w:val="20"/>
          <w:szCs w:val="20"/>
          <w:color w:val="auto"/>
        </w:rPr>
      </w:pPr>
      <w:r>
        <w:rPr>
          <w:rFonts w:ascii="Arial" w:cs="Arial" w:eastAsia="Arial" w:hAnsi="Arial"/>
          <w:sz w:val="18"/>
          <w:szCs w:val="18"/>
          <w:color w:val="auto"/>
        </w:rPr>
        <w:t>As of September 30, 2022, the Federal Economic Development Loan acquired in the SSIMWAVE acquisition has a carrying value of $1.8 million, net of unaccreted interest benefit and is recorded within Convertible Notes and Other Borrowings, Net on the Company's Condensed Consolidated Balance Sheets. As at September 30, 2022, SSIMWAVE has received contributions of CAD$3.8 million ($2.8 million) from the Federal Economic Development Loan. (See Note 4 and Note 8(c).)</w:t>
      </w:r>
    </w:p>
    <w:p>
      <w:pPr>
        <w:spacing w:after="0" w:line="13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5" w:lineRule="exact"/>
        <w:rPr>
          <w:rFonts w:ascii="Arial" w:cs="Arial" w:eastAsia="Arial" w:hAnsi="Arial"/>
          <w:sz w:val="18"/>
          <w:szCs w:val="18"/>
          <w:b w:val="1"/>
          <w:bCs w:val="1"/>
          <w:color w:val="auto"/>
        </w:rPr>
      </w:pPr>
    </w:p>
    <w:p>
      <w:pPr>
        <w:ind w:left="600" w:hanging="368"/>
        <w:spacing w:after="0"/>
        <w:tabs>
          <w:tab w:leader="none" w:pos="600" w:val="left"/>
        </w:tabs>
        <w:numPr>
          <w:ilvl w:val="1"/>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right="60" w:firstLine="225"/>
        <w:spacing w:after="0" w:line="255" w:lineRule="auto"/>
        <w:rPr>
          <w:sz w:val="20"/>
          <w:szCs w:val="20"/>
          <w:color w:val="auto"/>
        </w:rPr>
      </w:pPr>
      <w:r>
        <w:rPr>
          <w:rFonts w:ascii="Arial" w:cs="Arial" w:eastAsia="Arial" w:hAnsi="Arial"/>
          <w:sz w:val="18"/>
          <w:szCs w:val="18"/>
          <w:color w:val="auto"/>
        </w:rPr>
        <w:t>For the three months ended September 30, 2022, the Company recorded income tax expense of $2.3 million (2021 — $4.4 million). For the three months ended September 30, 2022, the Company's effective tax rate differs from the combined Canadian federal and provincial statutory income tax rate due to the following factors: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2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7"/>
                <w:szCs w:val="17"/>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rates)</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at combined statutory rates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Adjustments resulting from:</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of valuation allowance</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(4,264 )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(4,270 )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Arial" w:cs="Arial" w:eastAsia="Arial" w:hAnsi="Arial"/>
                <w:sz w:val="18"/>
                <w:szCs w:val="18"/>
                <w:color w:val="auto"/>
              </w:rPr>
              <w:t>Shortfall tax benefits related to share-based compensation</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(4 )</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to tax reserves</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4"/>
        </w:trPr>
        <w:tc>
          <w:tcPr>
            <w:tcW w:w="6280" w:type="dxa"/>
            <w:vAlign w:val="bottom"/>
          </w:tcPr>
          <w:p>
            <w:pPr>
              <w:ind w:left="200"/>
              <w:spacing w:after="0" w:line="175" w:lineRule="exact"/>
              <w:rPr>
                <w:sz w:val="20"/>
                <w:szCs w:val="20"/>
                <w:color w:val="auto"/>
              </w:rPr>
            </w:pPr>
            <w:r>
              <w:rPr>
                <w:rFonts w:ascii="Arial" w:cs="Arial" w:eastAsia="Arial" w:hAnsi="Arial"/>
                <w:sz w:val="18"/>
                <w:szCs w:val="18"/>
                <w:color w:val="auto"/>
                <w:w w:val="96"/>
              </w:rPr>
              <w:t>Changes to deferred tax assets and liabilities resulting from audit and other tax</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return adjustments</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(102 )</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23.4 %</w:t>
            </w:r>
          </w:p>
        </w:tc>
      </w:tr>
      <w:tr>
        <w:trPr>
          <w:trHeight w:val="216"/>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non-deductible/non-taxable items</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14.1 %</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(881 )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(2,348 )</w:t>
            </w: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(4,402 )</w:t>
            </w:r>
          </w:p>
        </w:tc>
        <w:tc>
          <w:tcPr>
            <w:tcW w:w="1120" w:type="dxa"/>
            <w:vAlign w:val="bottom"/>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-170815</wp:posOffset>
            </wp:positionV>
            <wp:extent cx="76835"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7683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-170815</wp:posOffset>
            </wp:positionV>
            <wp:extent cx="6858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both"/>
        <w:ind w:right="80" w:firstLine="225"/>
        <w:spacing w:after="0" w:line="248" w:lineRule="auto"/>
        <w:rPr>
          <w:sz w:val="20"/>
          <w:szCs w:val="20"/>
          <w:color w:val="auto"/>
        </w:rPr>
      </w:pPr>
      <w:r>
        <w:rPr>
          <w:rFonts w:ascii="Arial" w:cs="Arial" w:eastAsia="Arial" w:hAnsi="Arial"/>
          <w:sz w:val="18"/>
          <w:szCs w:val="18"/>
          <w:color w:val="auto"/>
        </w:rPr>
        <w:t>For the three months ended September 30, 2022, the Company recorded an additional $4.3 million (2021 — $4.3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56" w:lineRule="exact"/>
        <w:rPr>
          <w:sz w:val="20"/>
          <w:szCs w:val="20"/>
          <w:color w:val="auto"/>
        </w:rPr>
      </w:pPr>
    </w:p>
    <w:p>
      <w:pPr>
        <w:jc w:val="both"/>
        <w:ind w:right="60" w:firstLine="225"/>
        <w:spacing w:after="0" w:line="247" w:lineRule="auto"/>
        <w:rPr>
          <w:sz w:val="20"/>
          <w:szCs w:val="20"/>
          <w:color w:val="auto"/>
        </w:rPr>
      </w:pPr>
      <w:r>
        <w:rPr>
          <w:rFonts w:ascii="Arial" w:cs="Arial" w:eastAsia="Arial" w:hAnsi="Arial"/>
          <w:sz w:val="18"/>
          <w:szCs w:val="18"/>
          <w:color w:val="auto"/>
        </w:rPr>
        <w:t>For the nine months ended September 30, 2022, the Company recorded income tax expense of $8.1 million (2021 — $9.4 million). For the nine months ended September 30, 2022, the Company's effective tax rate differs from the combined Canadian federal and provincial statutory income tax rate due to the following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6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rates)</w:t>
            </w:r>
          </w:p>
        </w:tc>
        <w:tc>
          <w:tcPr>
            <w:tcW w:w="1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r>
      <w:tr>
        <w:trPr>
          <w:trHeight w:val="20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at combined statutory rates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2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Adjustments resulting from:</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of valuation allowance</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(14,699 )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(14,248 )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6340" w:type="dxa"/>
            <w:vAlign w:val="bottom"/>
          </w:tcPr>
          <w:p>
            <w:pPr>
              <w:ind w:left="200"/>
              <w:spacing w:after="0"/>
              <w:rPr>
                <w:sz w:val="20"/>
                <w:szCs w:val="20"/>
                <w:color w:val="auto"/>
              </w:rPr>
            </w:pPr>
            <w:r>
              <w:rPr>
                <w:rFonts w:ascii="Arial" w:cs="Arial" w:eastAsia="Arial" w:hAnsi="Arial"/>
                <w:sz w:val="18"/>
                <w:szCs w:val="18"/>
                <w:color w:val="auto"/>
              </w:rPr>
              <w:t>(Shortfall) excess tax benefits related to share-based compensation</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(154 )</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to tax reserves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340" w:type="dxa"/>
            <w:vAlign w:val="bottom"/>
          </w:tcPr>
          <w:p>
            <w:pPr>
              <w:ind w:left="200"/>
              <w:spacing w:after="0"/>
              <w:rPr>
                <w:sz w:val="20"/>
                <w:szCs w:val="20"/>
                <w:color w:val="auto"/>
              </w:rPr>
            </w:pPr>
            <w:r>
              <w:rPr>
                <w:rFonts w:ascii="Arial" w:cs="Arial" w:eastAsia="Arial" w:hAnsi="Arial"/>
                <w:sz w:val="18"/>
                <w:szCs w:val="18"/>
                <w:color w:val="auto"/>
              </w:rPr>
              <w:t>Gain on sale of Maoyan investment not taxable</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1,367</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74"/>
        </w:trPr>
        <w:tc>
          <w:tcPr>
            <w:tcW w:w="63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5"/>
              </w:rPr>
              <w:t>Withholding taxes resulting from management's decision to no longer indefinitely</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230"/>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reinvest the historical earnings of certain foreign subsidiaries</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(547 )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174"/>
        </w:trPr>
        <w:tc>
          <w:tcPr>
            <w:tcW w:w="6340" w:type="dxa"/>
            <w:vAlign w:val="bottom"/>
          </w:tcPr>
          <w:p>
            <w:pPr>
              <w:ind w:left="200"/>
              <w:spacing w:after="0" w:line="175" w:lineRule="exact"/>
              <w:rPr>
                <w:sz w:val="20"/>
                <w:szCs w:val="20"/>
                <w:color w:val="auto"/>
              </w:rPr>
            </w:pPr>
            <w:r>
              <w:rPr>
                <w:rFonts w:ascii="Arial" w:cs="Arial" w:eastAsia="Arial" w:hAnsi="Arial"/>
                <w:sz w:val="18"/>
                <w:szCs w:val="18"/>
                <w:color w:val="auto"/>
                <w:w w:val="97"/>
              </w:rPr>
              <w:t>Changes to deferred tax assets and liabilities resulting from audit and other tax</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340" w:type="dxa"/>
            <w:vAlign w:val="bottom"/>
          </w:tcPr>
          <w:p>
            <w:pPr>
              <w:ind w:left="200"/>
              <w:spacing w:after="0"/>
              <w:rPr>
                <w:sz w:val="20"/>
                <w:szCs w:val="20"/>
                <w:color w:val="auto"/>
              </w:rPr>
            </w:pPr>
            <w:r>
              <w:rPr>
                <w:rFonts w:ascii="Arial" w:cs="Arial" w:eastAsia="Arial" w:hAnsi="Arial"/>
                <w:sz w:val="18"/>
                <w:szCs w:val="18"/>
                <w:color w:val="auto"/>
              </w:rPr>
              <w:t>return adjustments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2,395</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(246 )</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non-deductible/non-taxable items</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(1,273 )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(8,091 )</w:t>
            </w: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(9,416 )</w:t>
            </w:r>
          </w:p>
        </w:tc>
        <w:tc>
          <w:tcPr>
            <w:tcW w:w="10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0"/>
        </w:trPr>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-170815</wp:posOffset>
            </wp:positionV>
            <wp:extent cx="7683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-170815</wp:posOffset>
            </wp:positionV>
            <wp:extent cx="7683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685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both"/>
        <w:ind w:right="60" w:firstLine="225"/>
        <w:spacing w:after="0" w:line="248" w:lineRule="auto"/>
        <w:rPr>
          <w:sz w:val="20"/>
          <w:szCs w:val="20"/>
          <w:color w:val="auto"/>
        </w:rPr>
      </w:pPr>
      <w:r>
        <w:rPr>
          <w:rFonts w:ascii="Arial" w:cs="Arial" w:eastAsia="Arial" w:hAnsi="Arial"/>
          <w:sz w:val="18"/>
          <w:szCs w:val="18"/>
          <w:color w:val="auto"/>
        </w:rPr>
        <w:t>For the nine months ended September 30, 2022, the Company recorded an additional $14.7 million (2021 — $14.2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32" w:name="page33"/>
    <w:bookmarkEnd w:id="32"/>
    <w:p>
      <w:pPr>
        <w:jc w:val="both"/>
        <w:ind w:firstLine="225"/>
        <w:spacing w:after="0" w:line="263" w:lineRule="auto"/>
        <w:rPr>
          <w:sz w:val="20"/>
          <w:szCs w:val="20"/>
          <w:color w:val="auto"/>
        </w:rPr>
      </w:pPr>
      <w:r>
        <w:rPr>
          <w:rFonts w:ascii="Arial" w:cs="Arial" w:eastAsia="Arial" w:hAnsi="Arial"/>
          <w:sz w:val="17"/>
          <w:szCs w:val="17"/>
          <w:color w:val="auto"/>
        </w:rPr>
        <w:t>As of September 30, 2022, the Company's Condensed Consolidated Balance Sheets include net deferred income tax assets of $14.4 million, net of a valuation allowance of $61.8 million (December 31, 2021 — $13.9 million, net of a valuation allowance of $46.0 million). The valuation allowance will be reversed when and if management determines it is more likely than not that the Company will incur sufficient tax liabilities to allow it to utilize the deferred tax assets against which the valuation allowance is recorded. Despite the valuation allowance recorded against its deferred tax assets, the Company remains entitled to benefit from tax attributes which currently have a valuation allowance applied to them.</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Income Tax Effect on Other Comprehensive Loss</w:t>
      </w:r>
    </w:p>
    <w:p>
      <w:pPr>
        <w:spacing w:after="0" w:line="19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three and nine months ended September 30, 2022 and 2021, the Income Tax Expense related to the components of Other Comprehensive Loss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6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63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Pr>
          <w:p>
            <w:pPr>
              <w:spacing w:after="0"/>
              <w:rPr>
                <w:sz w:val="17"/>
                <w:szCs w:val="17"/>
                <w:color w:val="auto"/>
              </w:rPr>
            </w:pPr>
          </w:p>
        </w:tc>
        <w:tc>
          <w:tcPr>
            <w:tcW w:w="8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433"/>
              <w:spacing w:after="0"/>
              <w:rPr>
                <w:sz w:val="20"/>
                <w:szCs w:val="20"/>
                <w:color w:val="auto"/>
              </w:rPr>
            </w:pPr>
            <w:r>
              <w:rPr>
                <w:rFonts w:ascii="Arial" w:cs="Arial" w:eastAsia="Arial" w:hAnsi="Arial"/>
                <w:sz w:val="14"/>
                <w:szCs w:val="14"/>
                <w:b w:val="1"/>
                <w:bCs w:val="1"/>
                <w:color w:val="auto"/>
                <w:w w:val="89"/>
              </w:rPr>
              <w:t>2021</w:t>
            </w:r>
          </w:p>
        </w:tc>
      </w:tr>
      <w:tr>
        <w:trPr>
          <w:trHeight w:val="20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change in cash flow hedging instruments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Realized change in cash flow hedging instruments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358</w:t>
            </w:r>
          </w:p>
        </w:tc>
      </w:tr>
      <w:tr>
        <w:trPr>
          <w:trHeight w:val="216"/>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Reclassification of unrealized change in ineffective cash flow hedging instruments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Defined benefit and postretirement benefit plans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49"/>
        </w:trPr>
        <w:tc>
          <w:tcPr>
            <w:tcW w:w="6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-24765</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939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Reserves</w:t>
      </w:r>
    </w:p>
    <w:p>
      <w:pPr>
        <w:spacing w:after="0" w:line="188" w:lineRule="exact"/>
        <w:rPr>
          <w:rFonts w:ascii="Arial" w:cs="Arial" w:eastAsia="Arial" w:hAnsi="Arial"/>
          <w:sz w:val="18"/>
          <w:szCs w:val="18"/>
          <w:b w:val="1"/>
          <w:bCs w:val="1"/>
          <w:color w:val="auto"/>
        </w:rPr>
      </w:pPr>
    </w:p>
    <w:p>
      <w:pPr>
        <w:ind w:left="600" w:hanging="377"/>
        <w:spacing w:after="0"/>
        <w:tabs>
          <w:tab w:leader="none" w:pos="600"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4" w:lineRule="exact"/>
        <w:rPr>
          <w:sz w:val="20"/>
          <w:szCs w:val="20"/>
          <w:color w:val="auto"/>
        </w:rPr>
      </w:pPr>
    </w:p>
    <w:p>
      <w:pPr>
        <w:ind w:right="20" w:firstLine="225"/>
        <w:spacing w:after="0" w:line="324" w:lineRule="auto"/>
        <w:rPr>
          <w:sz w:val="20"/>
          <w:szCs w:val="20"/>
          <w:color w:val="auto"/>
        </w:rPr>
      </w:pPr>
      <w:r>
        <w:rPr>
          <w:rFonts w:ascii="Arial" w:cs="Arial" w:eastAsia="Arial" w:hAnsi="Arial"/>
          <w:sz w:val="16"/>
          <w:szCs w:val="16"/>
          <w:color w:val="auto"/>
        </w:rPr>
        <w:t>For the three and nine months ended September 30, 2022, share-based compensation expense totaled $5.4 million and $19.1 million, respectively (2021 — $6.1 million and $18.2 million, respectively) and is reflected in the following accounts in the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Pr>
          <w:p>
            <w:pPr>
              <w:spacing w:after="0"/>
              <w:rPr>
                <w:sz w:val="18"/>
                <w:szCs w:val="18"/>
                <w:color w:val="auto"/>
              </w:rPr>
            </w:pPr>
          </w:p>
        </w:tc>
        <w:tc>
          <w:tcPr>
            <w:tcW w:w="106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and expenses applicable to revenues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920</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1060" w:type="dxa"/>
            <w:vAlign w:val="bottom"/>
          </w:tcPr>
          <w:p>
            <w:pPr>
              <w:jc w:val="right"/>
              <w:ind w:right="58"/>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5,706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17,974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17,046</w:t>
            </w:r>
          </w:p>
        </w:tc>
      </w:tr>
      <w:tr>
        <w:trPr>
          <w:trHeight w:val="216"/>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245</w:t>
            </w:r>
          </w:p>
        </w:tc>
      </w:tr>
      <w:tr>
        <w:trPr>
          <w:trHeight w:val="209"/>
        </w:trPr>
        <w:tc>
          <w:tcPr>
            <w:tcW w:w="55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8"/>
              <w:spacing w:after="0"/>
              <w:rPr>
                <w:sz w:val="20"/>
                <w:szCs w:val="20"/>
                <w:color w:val="auto"/>
              </w:rPr>
            </w:pPr>
            <w:r>
              <w:rPr>
                <w:rFonts w:ascii="Arial" w:cs="Arial" w:eastAsia="Arial" w:hAnsi="Arial"/>
                <w:sz w:val="18"/>
                <w:szCs w:val="18"/>
                <w:color w:val="auto"/>
              </w:rPr>
              <w:t>5,404</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6,109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19,093</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18,211</w:t>
            </w:r>
          </w:p>
        </w:tc>
      </w:tr>
      <w:tr>
        <w:trPr>
          <w:trHeight w:val="20"/>
        </w:trPr>
        <w:tc>
          <w:tcPr>
            <w:tcW w:w="5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-170815</wp:posOffset>
            </wp:positionV>
            <wp:extent cx="76835"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-170815</wp:posOffset>
            </wp:positionV>
            <wp:extent cx="6858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-170815</wp:posOffset>
            </wp:positionV>
            <wp:extent cx="68580" cy="171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share-based compensation expense (reversal) by each award type: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214"/>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Pr>
          <w:p>
            <w:pPr>
              <w:spacing w:after="0"/>
              <w:rPr>
                <w:sz w:val="18"/>
                <w:szCs w:val="18"/>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808</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2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3,900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11,405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11,524</w:t>
            </w: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Stock Units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1,183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5,317</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3,169</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IMAX China Stock Options</w:t>
            </w:r>
          </w:p>
        </w:tc>
        <w:tc>
          <w:tcPr>
            <w:tcW w:w="2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143</w:t>
            </w: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IMAX China Long Term Incentive Plan Restricted Share Units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2,217</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IMAX China Long Term Incentive Plan Performance Stock Units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r>
      <w:tr>
        <w:trPr>
          <w:trHeight w:val="249"/>
        </w:trPr>
        <w:tc>
          <w:tcPr>
            <w:tcW w:w="55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5,404</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6,109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19,093</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the three and nine months ended September 30, 2022, share-based compensation expense includes nil and $1.3 million, respectively (2021 — $nil), related to restricted share units granted to non-employee directors of IMAX Corporation and IMAX China.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i w:val="1"/>
          <w:iCs w:val="1"/>
          <w:color w:val="auto"/>
        </w:rPr>
        <w:t>Stock Option Summary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under the Company's Stock Option Plan ("SOP") and the IMAX Corporation Second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Long-Term Incentive Plan (as may be amended, "IMAX LTIP") for the nine months ended September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91"/>
              </w:rPr>
              <w:t>Number of Shares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2"/>
              </w:rPr>
              <w:t>Price Per Share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2021</w:t>
            </w:r>
          </w:p>
        </w:tc>
        <w:tc>
          <w:tcPr>
            <w:tcW w:w="160" w:type="dxa"/>
            <w:vAlign w:val="bottom"/>
          </w:tcPr>
          <w:p>
            <w:pPr>
              <w:spacing w:after="0"/>
              <w:rPr>
                <w:sz w:val="17"/>
                <w:szCs w:val="17"/>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 beginning of period</w:t>
            </w:r>
          </w:p>
        </w:tc>
        <w:tc>
          <w:tcPr>
            <w:tcW w:w="12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3,736,157</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9"/>
              </w:rPr>
              <w:t>4,892,962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8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86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(41,613 )</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(86,587 )</w:t>
            </w:r>
          </w:p>
        </w:tc>
        <w:tc>
          <w:tcPr>
            <w:tcW w:w="16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Expired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(126,569 )</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(903,038 )</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(4,849 )</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(123,220 )</w:t>
            </w:r>
          </w:p>
        </w:tc>
        <w:tc>
          <w:tcPr>
            <w:tcW w:w="16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options outstanding, end of period</w:t>
            </w: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3,604,739</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9"/>
              </w:rPr>
              <w:t>3,738,504</w:t>
            </w:r>
          </w:p>
        </w:tc>
        <w:tc>
          <w:tcPr>
            <w:tcW w:w="1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line="196" w:lineRule="exact"/>
              <w:rPr>
                <w:sz w:val="20"/>
                <w:szCs w:val="20"/>
                <w:color w:val="auto"/>
              </w:rPr>
            </w:pPr>
            <w:r>
              <w:rPr>
                <w:rFonts w:ascii="Arial" w:cs="Arial" w:eastAsia="Arial" w:hAnsi="Arial"/>
                <w:sz w:val="18"/>
                <w:szCs w:val="18"/>
                <w:color w:val="auto"/>
              </w:rPr>
              <w:t>Stock options exercisable, end of period</w:t>
            </w:r>
          </w:p>
        </w:tc>
        <w:tc>
          <w:tcPr>
            <w:tcW w:w="12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3,523,032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89"/>
              </w:rPr>
              <w:t>3,487,857</w:t>
            </w:r>
          </w:p>
        </w:tc>
        <w:tc>
          <w:tcPr>
            <w:tcW w:w="160" w:type="dxa"/>
            <w:vAlign w:val="bottom"/>
          </w:tcPr>
          <w:p>
            <w:pPr>
              <w:spacing w:after="0"/>
              <w:rPr>
                <w:sz w:val="17"/>
                <w:szCs w:val="17"/>
                <w:color w:val="auto"/>
              </w:rPr>
            </w:pPr>
          </w:p>
        </w:tc>
        <w:tc>
          <w:tcPr>
            <w:tcW w:w="1260" w:type="dxa"/>
            <w:vAlign w:val="bottom"/>
          </w:tcPr>
          <w:p>
            <w:pPr>
              <w:jc w:val="right"/>
              <w:ind w:right="55"/>
              <w:spacing w:after="0" w:line="196" w:lineRule="exact"/>
              <w:rPr>
                <w:sz w:val="20"/>
                <w:szCs w:val="20"/>
                <w:color w:val="auto"/>
              </w:rPr>
            </w:pPr>
            <w:r>
              <w:rPr>
                <w:rFonts w:ascii="Arial" w:cs="Arial" w:eastAsia="Arial" w:hAnsi="Arial"/>
                <w:sz w:val="18"/>
                <w:szCs w:val="18"/>
                <w:color w:val="auto"/>
              </w:rPr>
              <w:t>26.45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-187960</wp:posOffset>
            </wp:positionV>
            <wp:extent cx="1019175"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19175" cy="188595"/>
                    </a:xfrm>
                    <a:prstGeom prst="rect">
                      <a:avLst/>
                    </a:prstGeom>
                    <a:noFill/>
                  </pic:spPr>
                </pic:pic>
              </a:graphicData>
            </a:graphic>
          </wp:anchor>
        </w:drawing>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are no longer granted under the Company's previously approved SOP.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Units ("RSU") Summary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respect of RSUs issued under the IMAX LTIP for the nine months ended September 30,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720" w:type="dxa"/>
            <w:vAlign w:val="bottom"/>
            <w:gridSpan w:val="3"/>
            <w:vMerge w:val="restart"/>
          </w:tcPr>
          <w:p>
            <w:pPr>
              <w:jc w:val="right"/>
              <w:ind w:right="730"/>
              <w:spacing w:after="0"/>
              <w:rPr>
                <w:sz w:val="20"/>
                <w:szCs w:val="20"/>
                <w:color w:val="auto"/>
              </w:rPr>
            </w:pPr>
            <w:r>
              <w:rPr>
                <w:rFonts w:ascii="Arial" w:cs="Arial" w:eastAsia="Arial" w:hAnsi="Arial"/>
                <w:sz w:val="14"/>
                <w:szCs w:val="14"/>
                <w:b w:val="1"/>
                <w:bCs w:val="1"/>
                <w:color w:val="auto"/>
              </w:rPr>
              <w:t>Number of Awards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72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2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4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outstanding, beginning of period</w:t>
            </w:r>
          </w:p>
        </w:tc>
        <w:tc>
          <w:tcPr>
            <w:tcW w:w="12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1,457,883</w:t>
            </w:r>
          </w:p>
        </w:tc>
        <w:tc>
          <w:tcPr>
            <w:tcW w:w="1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1,564,838</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694,131</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831,123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settled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(714,496 )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(571,616 )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(108,504 )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(231,380 )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RSUs outstanding, end of period</w:t>
            </w:r>
          </w:p>
        </w:tc>
        <w:tc>
          <w:tcPr>
            <w:tcW w:w="12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1,329,014</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1,592,965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-24765</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Stock Units ("PSU") Summary</w:t>
      </w:r>
    </w:p>
    <w:p>
      <w:pPr>
        <w:spacing w:after="0" w:line="171"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The Company grants awards for two types of PSUs,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40"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40"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4" w:name="page35"/>
    <w:bookmarkEnd w:id="34"/>
    <w:p>
      <w:pPr>
        <w:jc w:val="both"/>
        <w:ind w:firstLine="225"/>
        <w:spacing w:after="0" w:line="279" w:lineRule="auto"/>
        <w:rPr>
          <w:sz w:val="20"/>
          <w:szCs w:val="20"/>
          <w:color w:val="auto"/>
        </w:rPr>
      </w:pPr>
      <w:r>
        <w:rPr>
          <w:rFonts w:ascii="Arial" w:cs="Arial" w:eastAsia="Arial" w:hAnsi="Arial"/>
          <w:sz w:val="16"/>
          <w:szCs w:val="16"/>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nine months ended September 30, 2022 and 2021 includes adjustments reflecting management's estimate of the number of PSUs with EBITDA-based targets expected to vest.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respect of PSUs issued under the IMAX LTIP for the nine months ended September 30,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76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Number of Awards</w:t>
            </w:r>
          </w:p>
        </w:tc>
        <w:tc>
          <w:tcPr>
            <w:tcW w:w="260" w:type="dxa"/>
            <w:vAlign w:val="bottom"/>
          </w:tcPr>
          <w:p>
            <w:pPr>
              <w:spacing w:after="0"/>
              <w:rPr>
                <w:sz w:val="14"/>
                <w:szCs w:val="14"/>
                <w:color w:val="auto"/>
              </w:rPr>
            </w:pPr>
          </w:p>
        </w:tc>
        <w:tc>
          <w:tcPr>
            <w:tcW w:w="24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Weighted Average Grant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7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Fair Value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PSUs outstanding, beginning of period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613,405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361,844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359,138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309,574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(37,266 )</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(54,634 )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PSUs outstanding, end of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935,277</w:t>
            </w:r>
          </w:p>
        </w:tc>
        <w:tc>
          <w:tcPr>
            <w:tcW w:w="24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616,784</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18.97</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-170815</wp:posOffset>
            </wp:positionV>
            <wp:extent cx="76835"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-170815</wp:posOffset>
            </wp:positionV>
            <wp:extent cx="6858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As of September 30, 2022, the maximum number of shares of common stock that may be issued with respect to PSUs outstanding is 1,636,735, assuming full achievement of the EBITDA and TSR targets.</w:t>
      </w:r>
    </w:p>
    <w:p>
      <w:pPr>
        <w:spacing w:after="0" w:line="14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171"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auto"/>
        </w:rPr>
        <w:t>On April 28, 2022 and July 28, 2022, the Company's Board of Directors approved a 12-month extension to its share repurchase program through June 30, 2023 and an increase of $200.0 million in the share repurchase program, respectively. With the increase of $200.0 million, the Company's total share repurchase authority is $400.0 million under the current share repurchase program. As of September 30, 2022, the Company has $220.1 million available under its approved repurchased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49"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During the three and nine months ended September 30, 2022, the Company repurchased 418,496 and 3,501,696 common shares, respectively, at an average price of $14.62 and $15.82 per share, respectively, for a total of $6.1 million and $55.4 million, respectively, excluding commissions. During the three and nine months ended September 30, 2021 the Company repurchased 316,812 common shares, respectively, at an average price of $14.53 per share, respectively, for a total of $4.6 million, excluding commissions. During the three and nine months ended September 30, 2022 and 2021, there were no shares purchases in the administration of employee share based plans.</w:t>
      </w:r>
    </w:p>
    <w:p>
      <w:pPr>
        <w:spacing w:after="0" w:line="157"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As of September 30, 2022 and December 31, 2021, the IMAX LTIP trustee did not hold any shares. Any shares held with the trustee are recorded at cost and are reported as a reduction against Capital Stock on the Company's Condensed Consolidated Balance Sheets.</w:t>
      </w:r>
    </w:p>
    <w:p>
      <w:pPr>
        <w:spacing w:after="0" w:line="143" w:lineRule="exact"/>
        <w:rPr>
          <w:sz w:val="20"/>
          <w:szCs w:val="20"/>
          <w:color w:val="auto"/>
        </w:rPr>
      </w:pPr>
    </w:p>
    <w:p>
      <w:pPr>
        <w:jc w:val="both"/>
        <w:ind w:right="20" w:firstLine="223"/>
        <w:spacing w:after="0" w:line="261" w:lineRule="auto"/>
        <w:rPr>
          <w:sz w:val="20"/>
          <w:szCs w:val="20"/>
          <w:color w:val="auto"/>
        </w:rPr>
      </w:pPr>
      <w:r>
        <w:rPr>
          <w:rFonts w:ascii="Arial" w:cs="Arial" w:eastAsia="Arial" w:hAnsi="Arial"/>
          <w:sz w:val="18"/>
          <w:szCs w:val="18"/>
          <w:color w:val="auto"/>
        </w:rPr>
        <w:t>Subsequent to September 30, 2022 and through October 28, 2022, the Company completed repurchases through a 10b5-1 program of 1,129,774 shares at an average price of $13.96 per share, for a total cost of $15.8 million, excluding commissions.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5" w:name="page36"/>
    <w:bookmarkEnd w:id="35"/>
    <w:p>
      <w:pPr>
        <w:jc w:val="both"/>
        <w:ind w:firstLine="225"/>
        <w:spacing w:after="0" w:line="273" w:lineRule="auto"/>
        <w:rPr>
          <w:sz w:val="20"/>
          <w:szCs w:val="20"/>
          <w:color w:val="auto"/>
        </w:rPr>
      </w:pPr>
      <w:r>
        <w:rPr>
          <w:rFonts w:ascii="Arial" w:cs="Arial" w:eastAsia="Arial" w:hAnsi="Arial"/>
          <w:sz w:val="16"/>
          <w:szCs w:val="16"/>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expired on the date of the 2022 Annual General Meeting of IMAX China on June 23, 2022. During the 2022 Annual General Meeting, shareholders approved the repurchase of shares of IMAX China not to exceed 10% of the total number of issued shares as of June 23, 2022 (34,063,480 shares). This program will be valid until the 2023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and nine months ended September 30, 2022, IMAX China repurchased 1,513,800 and 2,961,800 common shares, respectively, at an average price of 6.20 Hong Kong Dollar ("HKD") and HKD 8.00 per share ($0.79 and $1.02 per share), respectively, for a total of HKD 9.4 million and HKD 23.7 million or $1.2 million and $3.0 million, respectively. During the three and nine months ended September 30, 2021 IMAX China repurchased 3,569,000 common shares, respectively, at an average price of HKD 10.90 per share, respectively ($1.40 per share) for a total of HKD 38.9 million ($5.0 million).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 (See Note 1.)</w:t>
      </w:r>
    </w:p>
    <w:p>
      <w:pPr>
        <w:spacing w:after="0" w:line="13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Basic and Diluted Weighted Average Shares Outstanding</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920" w:type="dxa"/>
            <w:vAlign w:val="bottom"/>
            <w:tcBorders>
              <w:bottom w:val="single" w:sz="8" w:color="auto"/>
            </w:tcBorders>
            <w:gridSpan w:val="3"/>
          </w:tcPr>
          <w:p>
            <w:pPr>
              <w:jc w:val="center"/>
              <w:ind w:left="757"/>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beginning of period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56,095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58,654</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Weighted average number of shares (repurchased) issued, net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(56 )</w:t>
            </w: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(152 )</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(1,353 )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56,039</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57,301</w:t>
            </w: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Weighted average effect of potential common shares, if dilutive</w:t>
            </w:r>
          </w:p>
        </w:tc>
        <w:tc>
          <w:tcPr>
            <w:tcW w:w="19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56,039</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57,301</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For the three and nine months ended September 30, 2022, the calculation of diluted weighted average shares outstanding excludes 6,178,413 shares (2021 — 6,115,389 shares) that are issuable upon the vesting or exercise of share-based compensation including: (i) 1,329,014 RSUs (2021 — 1,592,965 RSUs), (ii) 1,244,660 PSUs (2021 — 783,920 PSUs) and (iii) 3,604,739 stock options (2021 — 3,738,504 stock options), as the effect would be anti-dilutive.</w:t>
      </w:r>
    </w:p>
    <w:p>
      <w:pPr>
        <w:spacing w:after="0" w:line="156"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The calculation of diluted weighted average shares outstanding for the three and nine months ended September 30, 2022 and 2021 also excludes any shares potentially issuable upon the conversion of the Convertible Notes as the average market price of the Company's common shares during the period of time they were outstanding was less than the conversion price of the Convertible Notes. (See Note 8(b).)</w:t>
      </w:r>
    </w:p>
    <w:p>
      <w:pPr>
        <w:spacing w:after="0" w:line="13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Statutory Surplus Reserve</w:t>
      </w:r>
    </w:p>
    <w:p>
      <w:pPr>
        <w:spacing w:after="0" w:line="171"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Pursuant to the corporate law of the People's Republic of China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115"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 xml:space="preserve">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w:t>
      </w:r>
      <w:r>
        <w:rPr>
          <w:rFonts w:ascii="Arial" w:cs="Arial" w:eastAsia="Arial" w:hAnsi="Arial"/>
          <w:sz w:val="17"/>
          <w:szCs w:val="17"/>
          <w:color w:val="333333"/>
        </w:rPr>
        <w:t>The statutory surplus reserve is non-distributable other than during liquidation and may</w:t>
      </w:r>
      <w:r>
        <w:rPr>
          <w:rFonts w:ascii="Arial" w:cs="Arial" w:eastAsia="Arial" w:hAnsi="Arial"/>
          <w:sz w:val="17"/>
          <w:szCs w:val="17"/>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6" w:name="page37"/>
    <w:bookmarkEnd w:id="36"/>
    <w:p>
      <w:pPr>
        <w:jc w:val="both"/>
        <w:ind w:firstLine="275"/>
        <w:spacing w:after="0" w:line="243" w:lineRule="auto"/>
        <w:rPr>
          <w:sz w:val="20"/>
          <w:szCs w:val="20"/>
          <w:color w:val="auto"/>
        </w:rPr>
      </w:pPr>
      <w:r>
        <w:rPr>
          <w:rFonts w:ascii="Arial" w:cs="Arial" w:eastAsia="Arial" w:hAnsi="Arial"/>
          <w:sz w:val="18"/>
          <w:szCs w:val="18"/>
          <w:color w:val="auto"/>
        </w:rPr>
        <w:t>In 2021, one of the Company's PRC subsidiaries declared and paid dividends of RMB 131.6 million ($20.4 million). In the third quarter of 2021, upon passage of the requisite resolution of the Board of Directors, a statutory surplus reserve of RMB 36.4 million ($5.6 million) was recorded within Shareholders' Equity as an appropriation of the retained earnings of the Company's PRC subsidiaries, of which $3.9 million is attributable to the Company's common shareholders and $1.7 million is attributable to non-controlling shareholders. The statutory surplus reserve of RMB 36.4 million ($5.6 million) has reached 50% of its PRC subsidiaries' registered capital. No additional statutory surplus reserve was recorded by the Company's PRC subsidiaries for the three months ended September 30, 2022.</w:t>
      </w:r>
    </w:p>
    <w:p>
      <w:pPr>
        <w:spacing w:after="0" w:line="154"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84"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color w:val="auto"/>
        </w:rPr>
        <w:t>The following tables summarize the Company's revenues by type and reportable segment for the three and nine months ended September 30,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532"/>
              <w:spacing w:after="0"/>
              <w:rPr>
                <w:sz w:val="20"/>
                <w:szCs w:val="20"/>
                <w:color w:val="auto"/>
              </w:rPr>
            </w:pPr>
            <w:r>
              <w:rPr>
                <w:rFonts w:ascii="Arial" w:cs="Arial" w:eastAsia="Arial" w:hAnsi="Arial"/>
                <w:sz w:val="14"/>
                <w:szCs w:val="14"/>
                <w:b w:val="1"/>
                <w:bCs w:val="1"/>
                <w:color w:val="auto"/>
              </w:rPr>
              <w:t>Three Months Ended September 30, 2022</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Revenue from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4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Contracts with Customers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Revenue from</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Fixed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0"/>
              </w:rPr>
              <w:t>Lease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Finance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7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0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Consideration</w:t>
            </w:r>
          </w:p>
        </w:tc>
        <w:tc>
          <w:tcPr>
            <w:tcW w:w="280" w:type="dxa"/>
            <w:vAlign w:val="bottom"/>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Consideration</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Arrangements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Technology sales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11,162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fixed fees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Other Theater Business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w:t>
            </w:r>
          </w:p>
        </w:tc>
        <w:tc>
          <w:tcPr>
            <w:tcW w:w="100" w:type="dxa"/>
            <w:vAlign w:val="bottom"/>
          </w:tcPr>
          <w:p>
            <w:pPr>
              <w:spacing w:after="0"/>
              <w:rPr>
                <w:sz w:val="18"/>
                <w:szCs w:val="18"/>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Image enhancement and maintenance services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IMAX DMR</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IMAX Maintenance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Film Distribution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Film Post-Production</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Technology rentals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contingent rent</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shd w:val="clear" w:color="auto" w:fill="CFF0FC"/>
          </w:tcPr>
          <w:p>
            <w:pPr>
              <w:spacing w:after="0"/>
              <w:rPr>
                <w:sz w:val="18"/>
                <w:szCs w:val="18"/>
                <w:color w:val="auto"/>
              </w:rPr>
            </w:pPr>
          </w:p>
        </w:tc>
      </w:tr>
      <w:tr>
        <w:trPr>
          <w:trHeight w:val="209"/>
        </w:trPr>
        <w:tc>
          <w:tcPr>
            <w:tcW w:w="4720" w:type="dxa"/>
            <w:vAlign w:val="bottom"/>
          </w:tcPr>
          <w:p>
            <w:pPr>
              <w:ind w:left="20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8"/>
                <w:szCs w:val="18"/>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 income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IMAX Systems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8"/>
                <w:szCs w:val="18"/>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23,841</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-2473960</wp:posOffset>
            </wp:positionV>
            <wp:extent cx="76835"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-2473960</wp:posOffset>
            </wp:positionV>
            <wp:extent cx="76835"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-2473960</wp:posOffset>
            </wp:positionV>
            <wp:extent cx="6858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-2473960</wp:posOffset>
            </wp:positionV>
            <wp:extent cx="6858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-1351915</wp:posOffset>
            </wp:positionV>
            <wp:extent cx="76835" cy="145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-1351915</wp:posOffset>
            </wp:positionV>
            <wp:extent cx="76835"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-1351915</wp:posOffset>
            </wp:positionV>
            <wp:extent cx="68580" cy="145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-1351915</wp:posOffset>
            </wp:positionV>
            <wp:extent cx="68580" cy="145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145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-1082675</wp:posOffset>
            </wp:positionV>
            <wp:extent cx="3493135" cy="179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93135" cy="17970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-495935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-478790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-495935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-478790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-495935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-478790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-495935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-478790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0"/>
          </w:tcPr>
          <w:p>
            <w:pPr>
              <w:jc w:val="right"/>
              <w:ind w:right="572"/>
              <w:spacing w:after="0"/>
              <w:rPr>
                <w:sz w:val="20"/>
                <w:szCs w:val="20"/>
                <w:color w:val="auto"/>
              </w:rPr>
            </w:pPr>
            <w:r>
              <w:rPr>
                <w:rFonts w:ascii="Arial" w:cs="Arial" w:eastAsia="Arial" w:hAnsi="Arial"/>
                <w:sz w:val="14"/>
                <w:szCs w:val="14"/>
                <w:b w:val="1"/>
                <w:bCs w:val="1"/>
                <w:color w:val="auto"/>
              </w:rPr>
              <w:t>Nine Months Ended September 30, 2022</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Revenue from</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Contracts with Customers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8"/>
              </w:rPr>
              <w:t>Fixed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Variable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92"/>
              <w:spacing w:after="0" w:line="133" w:lineRule="exact"/>
              <w:rPr>
                <w:sz w:val="20"/>
                <w:szCs w:val="20"/>
                <w:color w:val="auto"/>
              </w:rPr>
            </w:pPr>
            <w:r>
              <w:rPr>
                <w:rFonts w:ascii="Arial" w:cs="Arial" w:eastAsia="Arial" w:hAnsi="Arial"/>
                <w:sz w:val="14"/>
                <w:szCs w:val="14"/>
                <w:b w:val="1"/>
                <w:bCs w:val="1"/>
                <w:color w:val="auto"/>
                <w:w w:val="98"/>
              </w:rPr>
              <w:t>Finance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7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consideration</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consideration</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22,032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4,055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26,328</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FF0FC"/>
          </w:tcPr>
          <w:p>
            <w:pPr>
              <w:spacing w:after="0"/>
              <w:rPr>
                <w:sz w:val="18"/>
                <w:szCs w:val="18"/>
                <w:color w:val="auto"/>
              </w:rPr>
            </w:pPr>
          </w:p>
        </w:tc>
      </w:tr>
      <w:tr>
        <w:trPr>
          <w:trHeight w:val="209"/>
        </w:trPr>
        <w:tc>
          <w:tcPr>
            <w:tcW w:w="4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28,406</w:t>
            </w:r>
          </w:p>
        </w:tc>
        <w:tc>
          <w:tcPr>
            <w:tcW w:w="2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4,137</w:t>
            </w: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35,270</w:t>
            </w:r>
          </w:p>
        </w:tc>
        <w:tc>
          <w:tcPr>
            <w:tcW w:w="100" w:type="dxa"/>
            <w:vAlign w:val="bottom"/>
            <w:tcBorders>
              <w:top w:val="single" w:sz="8" w:color="CFF0FC"/>
            </w:tcBorders>
          </w:tcPr>
          <w:p>
            <w:pPr>
              <w:spacing w:after="0"/>
              <w:rPr>
                <w:sz w:val="18"/>
                <w:szCs w:val="18"/>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67,064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67,064</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43,564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43,564</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46,803</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70,482</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43,726</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Finance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IMAX Systems</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75,209</w:t>
            </w:r>
          </w:p>
        </w:tc>
        <w:tc>
          <w:tcPr>
            <w:tcW w:w="2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74,619</w:t>
            </w:r>
          </w:p>
        </w:tc>
        <w:tc>
          <w:tcPr>
            <w:tcW w:w="30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46,453</w:t>
            </w:r>
          </w:p>
        </w:tc>
        <w:tc>
          <w:tcPr>
            <w:tcW w:w="24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202,759</w:t>
            </w: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right"/>
              <w:ind w:right="532"/>
              <w:spacing w:after="0"/>
              <w:rPr>
                <w:sz w:val="20"/>
                <w:szCs w:val="20"/>
                <w:color w:val="auto"/>
              </w:rPr>
            </w:pPr>
            <w:r>
              <w:rPr>
                <w:rFonts w:ascii="Arial" w:cs="Arial" w:eastAsia="Arial" w:hAnsi="Arial"/>
                <w:sz w:val="14"/>
                <w:szCs w:val="14"/>
                <w:b w:val="1"/>
                <w:bCs w:val="1"/>
                <w:color w:val="auto"/>
              </w:rPr>
              <w:t>Three Months Ended September 30, 2021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4"/>
              </w:rPr>
              <w:t>Revenue from</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Contracts with Customers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Revenue from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4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Fixed</w:t>
            </w: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3"/>
              <w:spacing w:after="0" w:line="133" w:lineRule="exact"/>
              <w:rPr>
                <w:sz w:val="20"/>
                <w:szCs w:val="20"/>
                <w:color w:val="auto"/>
              </w:rPr>
            </w:pPr>
            <w:r>
              <w:rPr>
                <w:rFonts w:ascii="Arial" w:cs="Arial" w:eastAsia="Arial" w:hAnsi="Arial"/>
                <w:sz w:val="14"/>
                <w:szCs w:val="14"/>
                <w:b w:val="1"/>
                <w:bCs w:val="1"/>
                <w:color w:val="auto"/>
                <w:w w:val="95"/>
              </w:rPr>
              <w:t>Variable</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Finance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47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Consideration</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Consideration</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Arrangements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59"/>
        </w:trPr>
        <w:tc>
          <w:tcPr>
            <w:tcW w:w="4720" w:type="dxa"/>
            <w:vAlign w:val="bottom"/>
          </w:tcPr>
          <w:p>
            <w:pPr>
              <w:ind w:left="20"/>
              <w:spacing w:after="0" w:line="159" w:lineRule="exact"/>
              <w:rPr>
                <w:sz w:val="20"/>
                <w:szCs w:val="20"/>
                <w:color w:val="auto"/>
              </w:rPr>
            </w:pPr>
            <w:r>
              <w:rPr>
                <w:rFonts w:ascii="Arial" w:cs="Arial" w:eastAsia="Arial" w:hAnsi="Arial"/>
                <w:sz w:val="18"/>
                <w:szCs w:val="18"/>
                <w:b w:val="1"/>
                <w:bCs w:val="1"/>
                <w:color w:val="auto"/>
              </w:rPr>
              <w:t>Technology sales</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66"/>
        </w:trPr>
        <w:tc>
          <w:tcPr>
            <w:tcW w:w="4720" w:type="dxa"/>
            <w:vAlign w:val="bottom"/>
          </w:tcPr>
          <w:p>
            <w:pPr>
              <w:ind w:left="20"/>
              <w:spacing w:after="0" w:line="265"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9,701</w:t>
            </w:r>
          </w:p>
        </w:tc>
        <w:tc>
          <w:tcPr>
            <w:tcW w:w="2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3"/>
                <w:szCs w:val="23"/>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spacing w:after="0"/>
              <w:rPr>
                <w:sz w:val="18"/>
                <w:szCs w:val="18"/>
                <w:color w:val="auto"/>
              </w:rPr>
            </w:pPr>
          </w:p>
        </w:tc>
      </w:tr>
      <w:tr>
        <w:trPr>
          <w:trHeight w:val="209"/>
        </w:trPr>
        <w:tc>
          <w:tcPr>
            <w:tcW w:w="4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11,218</w:t>
            </w: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13,160</w:t>
            </w:r>
          </w:p>
        </w:tc>
        <w:tc>
          <w:tcPr>
            <w:tcW w:w="100" w:type="dxa"/>
            <w:vAlign w:val="bottom"/>
            <w:tcBorders>
              <w:top w:val="single" w:sz="8" w:color="CFF0FC"/>
            </w:tcBorders>
          </w:tcPr>
          <w:p>
            <w:pPr>
              <w:spacing w:after="0"/>
              <w:rPr>
                <w:sz w:val="18"/>
                <w:szCs w:val="18"/>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15,701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14,157</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16,431</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10,219</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Finance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IMAX Systems</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25,375</w:t>
            </w:r>
          </w:p>
        </w:tc>
        <w:tc>
          <w:tcPr>
            <w:tcW w:w="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17,239</w:t>
            </w:r>
          </w:p>
        </w:tc>
        <w:tc>
          <w:tcPr>
            <w:tcW w:w="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11,353</w:t>
            </w:r>
          </w:p>
        </w:tc>
        <w:tc>
          <w:tcPr>
            <w:tcW w:w="24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2,635</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56,602</w:t>
            </w: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7"/>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-6438265</wp:posOffset>
            </wp:positionV>
            <wp:extent cx="76835"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-6438265</wp:posOffset>
            </wp:positionV>
            <wp:extent cx="76835"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-6438265</wp:posOffset>
            </wp:positionV>
            <wp:extent cx="6858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-6438265</wp:posOffset>
            </wp:positionV>
            <wp:extent cx="6858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-6438265</wp:posOffset>
            </wp:positionV>
            <wp:extent cx="6858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-5316855</wp:posOffset>
            </wp:positionV>
            <wp:extent cx="76835" cy="145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-5316855</wp:posOffset>
            </wp:positionV>
            <wp:extent cx="76835" cy="145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-5316855</wp:posOffset>
            </wp:positionV>
            <wp:extent cx="6858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-5316855</wp:posOffset>
            </wp:positionV>
            <wp:extent cx="68580"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-5316855</wp:posOffset>
            </wp:positionV>
            <wp:extent cx="68580" cy="145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-4751705</wp:posOffset>
            </wp:positionV>
            <wp:extent cx="76835"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-4751705</wp:posOffset>
            </wp:positionV>
            <wp:extent cx="76835"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-4751705</wp:posOffset>
            </wp:positionV>
            <wp:extent cx="6858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-4751705</wp:posOffset>
            </wp:positionV>
            <wp:extent cx="6858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-4751705</wp:posOffset>
            </wp:positionV>
            <wp:extent cx="68580" cy="145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-4469130</wp:posOffset>
            </wp:positionV>
            <wp:extent cx="76835"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-4469130</wp:posOffset>
            </wp:positionV>
            <wp:extent cx="76835"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-4469130</wp:posOffset>
            </wp:positionV>
            <wp:extent cx="6858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-4469130</wp:posOffset>
            </wp:positionV>
            <wp:extent cx="6858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-4469130</wp:posOffset>
            </wp:positionV>
            <wp:extent cx="685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-3424555</wp:posOffset>
            </wp:positionV>
            <wp:extent cx="71323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-2739390</wp:posOffset>
            </wp:positionV>
            <wp:extent cx="76835"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-2739390</wp:posOffset>
            </wp:positionV>
            <wp:extent cx="76835"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-2739390</wp:posOffset>
            </wp:positionV>
            <wp:extent cx="68580"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-2739390</wp:posOffset>
            </wp:positionV>
            <wp:extent cx="6858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-2739390</wp:posOffset>
            </wp:positionV>
            <wp:extent cx="6858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-1617345</wp:posOffset>
            </wp:positionV>
            <wp:extent cx="76835" cy="145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-1617345</wp:posOffset>
            </wp:positionV>
            <wp:extent cx="76835" cy="145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-1617345</wp:posOffset>
            </wp:positionV>
            <wp:extent cx="68580"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-1617345</wp:posOffset>
            </wp:positionV>
            <wp:extent cx="68580"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1454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-1052830</wp:posOffset>
            </wp:positionV>
            <wp:extent cx="76835" cy="145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-1052830</wp:posOffset>
            </wp:positionV>
            <wp:extent cx="76835" cy="145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-1052830</wp:posOffset>
            </wp:positionV>
            <wp:extent cx="68580" cy="1454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-1052830</wp:posOffset>
            </wp:positionV>
            <wp:extent cx="6858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-770255</wp:posOffset>
            </wp:positionV>
            <wp:extent cx="76835"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-770255</wp:posOffset>
            </wp:positionV>
            <wp:extent cx="76835" cy="1714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-770255</wp:posOffset>
            </wp:positionV>
            <wp:extent cx="68580" cy="171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-770255</wp:posOffset>
            </wp:positionV>
            <wp:extent cx="6858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1714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jc w:val="right"/>
              <w:ind w:right="572"/>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Revenue from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Contracts with Customers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Revenue from</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74"/>
              <w:spacing w:after="0" w:line="146" w:lineRule="exact"/>
              <w:rPr>
                <w:sz w:val="20"/>
                <w:szCs w:val="20"/>
                <w:color w:val="auto"/>
              </w:rPr>
            </w:pPr>
            <w:r>
              <w:rPr>
                <w:rFonts w:ascii="Arial" w:cs="Arial" w:eastAsia="Arial" w:hAnsi="Arial"/>
                <w:sz w:val="14"/>
                <w:szCs w:val="14"/>
                <w:b w:val="1"/>
                <w:bCs w:val="1"/>
                <w:color w:val="auto"/>
              </w:rPr>
              <w:t>Fixed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193"/>
              <w:spacing w:after="0" w:line="146" w:lineRule="exact"/>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3"/>
              <w:spacing w:after="0" w:line="146" w:lineRule="exact"/>
              <w:rPr>
                <w:sz w:val="20"/>
                <w:szCs w:val="20"/>
                <w:color w:val="auto"/>
              </w:rPr>
            </w:pPr>
            <w:r>
              <w:rPr>
                <w:rFonts w:ascii="Arial" w:cs="Arial" w:eastAsia="Arial" w:hAnsi="Arial"/>
                <w:sz w:val="14"/>
                <w:szCs w:val="14"/>
                <w:b w:val="1"/>
                <w:bCs w:val="1"/>
                <w:color w:val="auto"/>
                <w:w w:val="90"/>
              </w:rPr>
              <w:t>Lease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92"/>
              <w:spacing w:after="0" w:line="146" w:lineRule="exact"/>
              <w:rPr>
                <w:sz w:val="20"/>
                <w:szCs w:val="20"/>
                <w:color w:val="auto"/>
              </w:rPr>
            </w:pPr>
            <w:r>
              <w:rPr>
                <w:rFonts w:ascii="Arial" w:cs="Arial" w:eastAsia="Arial" w:hAnsi="Arial"/>
                <w:sz w:val="14"/>
                <w:szCs w:val="14"/>
                <w:b w:val="1"/>
                <w:bCs w:val="1"/>
                <w:color w:val="auto"/>
                <w:w w:val="98"/>
              </w:rPr>
              <w:t>Finance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consideration</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consideration</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Arrangements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Technology sales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fixed fees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Other Theater Business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23,892</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Image enhancement and maintenance services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IMAX DMR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IMAX Maintenance</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Film Distribution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Film Post-Production</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36,286</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40,628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Technology rentals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Revenue Sharing Arrangements, contingent rent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Finance income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IMAX Systems</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60,178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43,248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34,704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8,181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-2139950</wp:posOffset>
            </wp:positionV>
            <wp:extent cx="76835"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-2139950</wp:posOffset>
            </wp:positionV>
            <wp:extent cx="76835"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-2139950</wp:posOffset>
            </wp:positionV>
            <wp:extent cx="6858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-2139950</wp:posOffset>
            </wp:positionV>
            <wp:extent cx="6858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-1018540</wp:posOffset>
            </wp:positionV>
            <wp:extent cx="76835" cy="1454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-1018540</wp:posOffset>
            </wp:positionV>
            <wp:extent cx="76835" cy="145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-1018540</wp:posOffset>
            </wp:positionV>
            <wp:extent cx="68580" cy="1454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-1018540</wp:posOffset>
            </wp:positionV>
            <wp:extent cx="68580" cy="145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454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-453390</wp:posOffset>
            </wp:positionV>
            <wp:extent cx="76835" cy="1454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-453390</wp:posOffset>
            </wp:positionV>
            <wp:extent cx="76835"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-453390</wp:posOffset>
            </wp:positionV>
            <wp:extent cx="68580" cy="1454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-453390</wp:posOffset>
            </wp:positionV>
            <wp:extent cx="68580" cy="145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-170815</wp:posOffset>
            </wp:positionV>
            <wp:extent cx="76835"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-170815</wp:posOffset>
            </wp:positionV>
            <wp:extent cx="76835" cy="1714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68580"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-170815</wp:posOffset>
            </wp:positionV>
            <wp:extent cx="6858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9505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380" w:hanging="372"/>
        <w:spacing w:after="0" w:line="26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revenues earned from sale and sales-type lease arrangements involving new and upgraded IMAX Theater Systems, as well as the impact of renewals and amendments to existing theater system arrangements.</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Deferred Revenue</w:t>
      </w:r>
    </w:p>
    <w:p>
      <w:pPr>
        <w:spacing w:after="0" w:line="171" w:lineRule="exact"/>
        <w:rPr>
          <w:sz w:val="20"/>
          <w:szCs w:val="20"/>
          <w:color w:val="auto"/>
        </w:rPr>
      </w:pPr>
    </w:p>
    <w:p>
      <w:pPr>
        <w:jc w:val="both"/>
        <w:ind w:firstLine="300"/>
        <w:spacing w:after="0" w:line="260" w:lineRule="auto"/>
        <w:rPr>
          <w:sz w:val="20"/>
          <w:szCs w:val="20"/>
          <w:color w:val="auto"/>
        </w:rPr>
      </w:pPr>
      <w:r>
        <w:rPr>
          <w:rFonts w:ascii="Arial" w:cs="Arial" w:eastAsia="Arial" w:hAnsi="Arial"/>
          <w:sz w:val="17"/>
          <w:szCs w:val="17"/>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As of September 30, 2022, $16.3 million of consideration has been deferred in relation to outstanding maintenance services to be provided on existing maintenance contracts (December 31, 2021 — $20.2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9"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15. Segment Reporting</w:t>
      </w:r>
    </w:p>
    <w:p>
      <w:pPr>
        <w:spacing w:after="0" w:line="202" w:lineRule="exact"/>
        <w:rPr>
          <w:sz w:val="20"/>
          <w:szCs w:val="20"/>
          <w:color w:val="auto"/>
        </w:rPr>
      </w:pPr>
    </w:p>
    <w:p>
      <w:pPr>
        <w:jc w:val="both"/>
        <w:ind w:firstLine="210"/>
        <w:spacing w:after="0" w:line="268"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25"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 The Company organizes its reportable segments into the following three categories, identified by the nature of the product sold or service provided:</w:t>
      </w:r>
    </w:p>
    <w:p>
      <w:pPr>
        <w:spacing w:after="0" w:line="183" w:lineRule="exact"/>
        <w:rPr>
          <w:sz w:val="20"/>
          <w:szCs w:val="20"/>
          <w:color w:val="auto"/>
        </w:rPr>
      </w:pPr>
    </w:p>
    <w:p>
      <w:pPr>
        <w:ind w:left="1140" w:right="20" w:hanging="758"/>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JRSA segment;</w:t>
      </w:r>
    </w:p>
    <w:p>
      <w:pPr>
        <w:spacing w:after="0" w:line="170" w:lineRule="exact"/>
        <w:rPr>
          <w:rFonts w:ascii="Arial" w:cs="Arial" w:eastAsia="Arial" w:hAnsi="Arial"/>
          <w:sz w:val="18"/>
          <w:szCs w:val="18"/>
          <w:color w:val="auto"/>
        </w:rPr>
      </w:pPr>
    </w:p>
    <w:p>
      <w:pPr>
        <w:ind w:left="1140" w:hanging="758"/>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 and</w:t>
      </w:r>
    </w:p>
    <w:p>
      <w:pPr>
        <w:spacing w:after="0" w:line="170" w:lineRule="exact"/>
        <w:rPr>
          <w:rFonts w:ascii="Arial" w:cs="Arial" w:eastAsia="Arial" w:hAnsi="Arial"/>
          <w:sz w:val="18"/>
          <w:szCs w:val="18"/>
          <w:color w:val="auto"/>
        </w:rPr>
      </w:pPr>
    </w:p>
    <w:p>
      <w:pPr>
        <w:jc w:val="both"/>
        <w:ind w:left="1140" w:hanging="758"/>
        <w:spacing w:after="0" w:line="269" w:lineRule="auto"/>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Film Distribution and Post-Production, which includes activities related to the distribution of large-format documentary films, primarily to institutional theaters, and the distribution of exclusive experiences ranging from live performances to interactive events with leading artists and creators (through the Film Distribution segment) and the provision of film post-production and quality control services.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presents its segment information at a disaggregated level to provide more relevant information to the users of its financial statements.</w:t>
      </w:r>
    </w:p>
    <w:p>
      <w:pPr>
        <w:spacing w:after="0" w:line="207"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130"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In the first quarter of 2022, the Company's internal reporting was updated to reclassify the results of IMAX Enhanced</w:t>
      </w:r>
      <w:r>
        <w:rPr>
          <w:rFonts w:ascii="Arial" w:cs="Arial" w:eastAsia="Arial" w:hAnsi="Arial"/>
          <w:sz w:val="17"/>
          <w:szCs w:val="17"/>
          <w:b w:val="1"/>
          <w:bCs w:val="1"/>
          <w:color w:val="auto"/>
        </w:rPr>
        <w:t>®</w:t>
      </w:r>
      <w:r>
        <w:rPr>
          <w:rFonts w:ascii="Arial" w:cs="Arial" w:eastAsia="Arial" w:hAnsi="Arial"/>
          <w:sz w:val="16"/>
          <w:szCs w:val="16"/>
          <w:color w:val="auto"/>
        </w:rPr>
        <w:t xml:space="preserve">, an initiative to bring </w:t>
      </w:r>
      <w:r>
        <w:rPr>
          <w:rFonts w:ascii="Arial" w:cs="Arial" w:eastAsia="Arial" w:hAnsi="Arial"/>
          <w:sz w:val="16"/>
          <w:szCs w:val="16"/>
          <w:i w:val="1"/>
          <w:iCs w:val="1"/>
          <w:color w:val="auto"/>
        </w:rPr>
        <w:t>The</w:t>
      </w:r>
      <w:r>
        <w:rPr>
          <w:rFonts w:ascii="Arial" w:cs="Arial" w:eastAsia="Arial" w:hAnsi="Arial"/>
          <w:sz w:val="16"/>
          <w:szCs w:val="16"/>
          <w:color w:val="auto"/>
        </w:rPr>
        <w:t xml:space="preserve"> IMAX </w:t>
      </w:r>
      <w:r>
        <w:rPr>
          <w:rFonts w:ascii="Arial" w:cs="Arial" w:eastAsia="Arial" w:hAnsi="Arial"/>
          <w:sz w:val="16"/>
          <w:szCs w:val="16"/>
          <w:i w:val="1"/>
          <w:iCs w:val="1"/>
          <w:color w:val="auto"/>
        </w:rPr>
        <w:t>Experience</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home, out of the New Business Initiatives segment and into All Other for segment reporting purposes. IMAX Enhanced was the only</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the New Business Initiatives segment. Prior period comparatives have been reclassified to conform with the current period presentation.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Gross Margin (Margin Loss)</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IMAX Technology Network</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IMAX DMR</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19,919</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15,701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11,408</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JRSA, contingent rent</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IMAX Technology Sales and Maintenance</w:t>
            </w: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4400" w:type="dxa"/>
            <w:vAlign w:val="bottom"/>
          </w:tcPr>
          <w:p>
            <w:pPr>
              <w:ind w:left="120"/>
              <w:spacing w:after="0" w:line="265"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(2)</w:t>
            </w: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15,957</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13,236</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9,029</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JRSA, fixed fees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(154 )</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120"/>
              <w:spacing w:after="0" w:line="166" w:lineRule="exact"/>
              <w:rPr>
                <w:sz w:val="20"/>
                <w:szCs w:val="20"/>
                <w:color w:val="auto"/>
              </w:rPr>
            </w:pPr>
            <w:r>
              <w:rPr>
                <w:rFonts w:ascii="Arial" w:cs="Arial" w:eastAsia="Arial" w:hAnsi="Arial"/>
                <w:sz w:val="18"/>
                <w:szCs w:val="18"/>
                <w:color w:val="auto"/>
              </w:rPr>
              <w:t>IMAX Maintenance</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13,939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8"/>
                <w:szCs w:val="18"/>
                <w:color w:val="auto"/>
              </w:rPr>
              <w:t>13,055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6,406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6,462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400" w:type="dxa"/>
            <w:vAlign w:val="bottom"/>
          </w:tcPr>
          <w:p>
            <w:pPr>
              <w:ind w:left="120"/>
              <w:spacing w:after="0" w:line="265" w:lineRule="exact"/>
              <w:rPr>
                <w:sz w:val="20"/>
                <w:szCs w:val="20"/>
                <w:color w:val="auto"/>
              </w:rPr>
            </w:pPr>
            <w:r>
              <w:rPr>
                <w:rFonts w:ascii="Arial" w:cs="Arial" w:eastAsia="Arial" w:hAnsi="Arial"/>
                <w:sz w:val="18"/>
                <w:szCs w:val="18"/>
                <w:color w:val="auto"/>
              </w:rPr>
              <w:t>Other Theater Business</w:t>
            </w:r>
            <w:r>
              <w:rPr>
                <w:rFonts w:ascii="Arial" w:cs="Arial" w:eastAsia="Arial" w:hAnsi="Arial"/>
                <w:sz w:val="24"/>
                <w:szCs w:val="24"/>
                <w:color w:val="auto"/>
                <w:vertAlign w:val="superscript"/>
              </w:rPr>
              <w:t>(3)</w:t>
            </w:r>
          </w:p>
        </w:tc>
        <w:tc>
          <w:tcPr>
            <w:tcW w:w="1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33,001</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Film Distribution and Post-Production</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Film Distribution</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(2,369 )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Post-Production</w:t>
            </w: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Sub-total for reportable segments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(2,082 )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4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67,509</w:t>
            </w: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54,876</w:t>
            </w:r>
          </w:p>
        </w:tc>
        <w:tc>
          <w:tcPr>
            <w:tcW w:w="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31,077</w:t>
            </w:r>
          </w:p>
        </w:tc>
        <w:tc>
          <w:tcPr>
            <w:tcW w:w="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26,227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400" w:type="dxa"/>
            <w:vAlign w:val="bottom"/>
            <w:vMerge w:val="restart"/>
          </w:tcPr>
          <w:p>
            <w:pPr>
              <w:ind w:left="20"/>
              <w:spacing w:after="0" w:line="265"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(4)</w:t>
            </w:r>
          </w:p>
        </w:tc>
        <w:tc>
          <w:tcPr>
            <w:tcW w:w="14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4"/>
        </w:trPr>
        <w:tc>
          <w:tcPr>
            <w:tcW w:w="440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-2482215</wp:posOffset>
            </wp:positionV>
            <wp:extent cx="7132320" cy="290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2908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132320" cy="4451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-495935</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-478790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-495935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-478790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-495935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-478790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1" w:name="page42"/>
    <w:bookmarkEnd w:id="41"/>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Gross Margin (Margin Loss)</w:t>
            </w:r>
          </w:p>
        </w:tc>
        <w:tc>
          <w:tcPr>
            <w:tcW w:w="0" w:type="dxa"/>
            <w:vAlign w:val="bottom"/>
          </w:tcPr>
          <w:p>
            <w:pPr>
              <w:spacing w:after="0"/>
              <w:rPr>
                <w:sz w:val="1"/>
                <w:szCs w:val="1"/>
                <w:color w:val="auto"/>
              </w:rPr>
            </w:pPr>
          </w:p>
        </w:tc>
      </w:tr>
      <w:tr>
        <w:trPr>
          <w:trHeight w:val="196"/>
        </w:trPr>
        <w:tc>
          <w:tcPr>
            <w:tcW w:w="5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67,064</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39,438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42,965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JRSA, contingent rent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8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820" w:type="dxa"/>
            <w:vAlign w:val="bottom"/>
            <w:gridSpan w:val="2"/>
          </w:tcPr>
          <w:p>
            <w:pPr>
              <w:ind w:left="120"/>
              <w:spacing w:after="0" w:line="265"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32,806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18,432</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JRSA, fixed fees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820" w:type="dxa"/>
            <w:vAlign w:val="bottom"/>
            <w:gridSpan w:val="2"/>
          </w:tcPr>
          <w:p>
            <w:pPr>
              <w:ind w:left="120"/>
              <w:spacing w:after="0" w:line="166" w:lineRule="exact"/>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43,564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8"/>
                <w:szCs w:val="18"/>
                <w:color w:val="auto"/>
              </w:rPr>
              <w:t>33,196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21,643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15,360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820" w:type="dxa"/>
            <w:vAlign w:val="bottom"/>
            <w:gridSpan w:val="2"/>
          </w:tcPr>
          <w:p>
            <w:pPr>
              <w:ind w:left="120"/>
              <w:spacing w:after="0" w:line="265" w:lineRule="exact"/>
              <w:rPr>
                <w:sz w:val="20"/>
                <w:szCs w:val="20"/>
                <w:color w:val="auto"/>
              </w:rPr>
            </w:pPr>
            <w:r>
              <w:rPr>
                <w:rFonts w:ascii="Arial" w:cs="Arial" w:eastAsia="Arial" w:hAnsi="Arial"/>
                <w:sz w:val="18"/>
                <w:szCs w:val="18"/>
                <w:color w:val="auto"/>
              </w:rPr>
              <w:t>Other Theater Business</w:t>
            </w:r>
            <w:r>
              <w:rPr>
                <w:rFonts w:ascii="Arial" w:cs="Arial" w:eastAsia="Arial" w:hAnsi="Arial"/>
                <w:sz w:val="24"/>
                <w:szCs w:val="24"/>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Film Distribution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(4,631 )</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Post-Production</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vMerge w:val="restart"/>
          </w:tcPr>
          <w:p>
            <w:pPr>
              <w:ind w:left="20"/>
              <w:spacing w:after="0"/>
              <w:rPr>
                <w:sz w:val="20"/>
                <w:szCs w:val="20"/>
                <w:color w:val="auto"/>
              </w:rPr>
            </w:pPr>
            <w:r>
              <w:rPr>
                <w:rFonts w:ascii="Arial" w:cs="Arial" w:eastAsia="Arial" w:hAnsi="Arial"/>
                <w:sz w:val="18"/>
                <w:szCs w:val="18"/>
                <w:color w:val="auto"/>
              </w:rPr>
              <w:t>Sub-total for reportable segments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(3,470 )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82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198,743</w:t>
            </w: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142,919</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105,352</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68,759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820" w:type="dxa"/>
            <w:vAlign w:val="bottom"/>
            <w:gridSpan w:val="2"/>
          </w:tcPr>
          <w:p>
            <w:pPr>
              <w:ind w:left="20"/>
              <w:spacing w:after="0" w:line="265"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202,759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146,311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107,508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-2148840</wp:posOffset>
            </wp:positionV>
            <wp:extent cx="7132320" cy="290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290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-744220</wp:posOffset>
            </wp:positionV>
            <wp:extent cx="7132320" cy="290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-170815</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-153670</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-170815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-153670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-153670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both"/>
        <w:ind w:left="380" w:hanging="372"/>
        <w:spacing w:after="0" w:line="24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largest customer represents 11% and 13%, respectively, of total Revenues for the three and nine months ended September 30, 2022 (2021 — 18% and 22%, respectively). No single customer comprises more than 10% of the Company's total Accounts Receivable as of September 30, 2022 and December 31, 2021.</w:t>
      </w:r>
    </w:p>
    <w:p>
      <w:pPr>
        <w:spacing w:after="0" w:line="156" w:lineRule="exact"/>
        <w:rPr>
          <w:rFonts w:ascii="Arial" w:cs="Arial" w:eastAsia="Arial" w:hAnsi="Arial"/>
          <w:sz w:val="18"/>
          <w:szCs w:val="18"/>
          <w:color w:val="auto"/>
        </w:rPr>
      </w:pPr>
    </w:p>
    <w:p>
      <w:pPr>
        <w:jc w:val="both"/>
        <w:ind w:left="380" w:hanging="372"/>
        <w:spacing w:after="0" w:line="269"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38" w:lineRule="exact"/>
        <w:rPr>
          <w:rFonts w:ascii="Arial" w:cs="Arial" w:eastAsia="Arial" w:hAnsi="Arial"/>
          <w:sz w:val="17"/>
          <w:szCs w:val="17"/>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Theater System parts and 3D glasses.</w:t>
      </w:r>
    </w:p>
    <w:p>
      <w:pPr>
        <w:spacing w:after="0" w:line="184" w:lineRule="exact"/>
        <w:rPr>
          <w:rFonts w:ascii="Arial" w:cs="Arial" w:eastAsia="Arial" w:hAnsi="Arial"/>
          <w:sz w:val="18"/>
          <w:szCs w:val="18"/>
          <w:color w:val="auto"/>
        </w:rPr>
      </w:pPr>
    </w:p>
    <w:p>
      <w:pPr>
        <w:jc w:val="both"/>
        <w:ind w:left="380" w:hanging="372"/>
        <w:spacing w:after="0" w:line="273"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Other includes the results from IMAX Enhanced, SSIMWAVE,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 The results of SSIMWAVE, which was acquired on September 22, 2022, were not material to the period. (See Note 4 for additional information related to the Company's acquisition of</w:t>
      </w:r>
    </w:p>
    <w:p>
      <w:pPr>
        <w:spacing w:after="0" w:line="1"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SSIMWAVE)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7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Company's revenues by geographic area for the three and nine months ended September 30, 2022 and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6"/>
                <w:szCs w:val="16"/>
                <w:color w:val="auto"/>
              </w:rPr>
            </w:pPr>
          </w:p>
        </w:tc>
      </w:tr>
      <w:tr>
        <w:trPr>
          <w:trHeight w:val="214"/>
        </w:trPr>
        <w:tc>
          <w:tcPr>
            <w:tcW w:w="1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8"/>
                <w:szCs w:val="18"/>
                <w:color w:val="auto"/>
              </w:rPr>
            </w:pPr>
          </w:p>
        </w:tc>
      </w:tr>
      <w:tr>
        <w:trPr>
          <w:trHeight w:val="196"/>
        </w:trPr>
        <w:tc>
          <w:tcPr>
            <w:tcW w:w="39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96"/>
              </w:rPr>
              <w:t>2021</w:t>
            </w:r>
          </w:p>
        </w:tc>
      </w:tr>
      <w:tr>
        <w:trPr>
          <w:trHeight w:val="209"/>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23,168</w:t>
            </w: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16,469</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75,881</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34,275</w:t>
            </w: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Greater China</w:t>
            </w:r>
          </w:p>
        </w:tc>
        <w:tc>
          <w:tcPr>
            <w:tcW w:w="38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14,889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22,203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47,602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75,634</w:t>
            </w: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Asia (excluding China)</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13,921</w:t>
            </w: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4,925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31,045</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12,837</w:t>
            </w: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Western Europe</w:t>
            </w:r>
          </w:p>
        </w:tc>
        <w:tc>
          <w:tcPr>
            <w:tcW w:w="38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8,938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26,700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11,160</w:t>
            </w: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2,397</w:t>
            </w: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6,826</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1,579</w:t>
            </w: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1,780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5,520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620</w:t>
            </w:r>
          </w:p>
        </w:tc>
      </w:tr>
      <w:tr>
        <w:trPr>
          <w:trHeight w:val="216"/>
        </w:trPr>
        <w:tc>
          <w:tcPr>
            <w:tcW w:w="390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Russia/the CIS &amp; Ukraine</w:t>
            </w:r>
            <w:r>
              <w:rPr>
                <w:rFonts w:ascii="Arial" w:cs="Arial" w:eastAsia="Arial" w:hAnsi="Arial"/>
                <w:sz w:val="24"/>
                <w:szCs w:val="24"/>
                <w:color w:val="auto"/>
                <w:vertAlign w:val="superscript"/>
              </w:rPr>
              <w:t>(1)</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1,638</w:t>
            </w: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1,353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2,794</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4,577</w:t>
            </w: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Rest of the World</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6,391</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5,629</w:t>
            </w:r>
          </w:p>
        </w:tc>
      </w:tr>
      <w:tr>
        <w:trPr>
          <w:trHeight w:val="249"/>
        </w:trPr>
        <w:tc>
          <w:tcPr>
            <w:tcW w:w="3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68,755</w:t>
            </w:r>
          </w:p>
        </w:tc>
        <w:tc>
          <w:tcPr>
            <w:tcW w:w="4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56,602</w:t>
            </w:r>
          </w:p>
        </w:tc>
        <w:tc>
          <w:tcPr>
            <w:tcW w:w="38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202,759</w:t>
            </w:r>
          </w:p>
        </w:tc>
        <w:tc>
          <w:tcPr>
            <w:tcW w:w="2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146,311</w:t>
            </w:r>
          </w:p>
        </w:tc>
      </w:tr>
      <w:tr>
        <w:trPr>
          <w:trHeight w:val="210"/>
        </w:trPr>
        <w:tc>
          <w:tcPr>
            <w:tcW w:w="15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-179070</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-161925</wp:posOffset>
            </wp:positionV>
            <wp:extent cx="137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-179070</wp:posOffset>
            </wp:positionV>
            <wp:extent cx="1200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-161925</wp:posOffset>
            </wp:positionV>
            <wp:extent cx="1200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1282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1282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77"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September 30, 2022, the IMAX network includes 54 theaters in Russia, nine theaters in Ukraine, and one theater in Belarus.</w:t>
      </w:r>
    </w:p>
    <w:p>
      <w:pPr>
        <w:spacing w:after="0" w:line="11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 in the nine months ended September 30, 2022 and 2021.</w:t>
      </w:r>
    </w:p>
    <w:p>
      <w:pPr>
        <w:spacing w:after="0" w:line="11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88" w:lineRule="exact"/>
        <w:rPr>
          <w:rFonts w:ascii="Arial" w:cs="Arial" w:eastAsia="Arial" w:hAnsi="Arial"/>
          <w:sz w:val="18"/>
          <w:szCs w:val="18"/>
          <w:b w:val="1"/>
          <w:bCs w:val="1"/>
          <w:color w:val="auto"/>
        </w:rPr>
      </w:pPr>
    </w:p>
    <w:p>
      <w:pPr>
        <w:ind w:left="480" w:hanging="292"/>
        <w:spacing w:after="0"/>
        <w:tabs>
          <w:tab w:leader="none" w:pos="480" w:val="left"/>
        </w:tabs>
        <w:numPr>
          <w:ilvl w:val="1"/>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4" w:lineRule="exact"/>
        <w:rPr>
          <w:sz w:val="20"/>
          <w:szCs w:val="20"/>
          <w:color w:val="auto"/>
        </w:rPr>
      </w:pPr>
    </w:p>
    <w:p>
      <w:pPr>
        <w:jc w:val="both"/>
        <w:ind w:firstLine="223"/>
        <w:spacing w:after="0" w:line="279"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2022 and December 31, 2021, the Company's projected benefit obligation and unfunded status related to the SERP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Projected benefit obligation:</w:t>
            </w:r>
          </w:p>
        </w:tc>
        <w:tc>
          <w:tcPr>
            <w:tcW w:w="3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Obligation, beginning of period</w:t>
            </w:r>
          </w:p>
        </w:tc>
        <w:tc>
          <w:tcPr>
            <w:tcW w:w="3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20,056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20,116</w:t>
            </w:r>
          </w:p>
        </w:tc>
      </w:tr>
      <w:tr>
        <w:trPr>
          <w:trHeight w:val="216"/>
        </w:trPr>
        <w:tc>
          <w:tcPr>
            <w:tcW w:w="4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cost</w:t>
            </w:r>
          </w:p>
        </w:tc>
        <w:tc>
          <w:tcPr>
            <w:tcW w:w="3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72</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Actuarial gain</w:t>
            </w:r>
          </w:p>
        </w:tc>
        <w:tc>
          <w:tcPr>
            <w:tcW w:w="3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(132 )</w:t>
            </w:r>
          </w:p>
        </w:tc>
      </w:tr>
      <w:tr>
        <w:trPr>
          <w:trHeight w:val="249"/>
        </w:trPr>
        <w:tc>
          <w:tcPr>
            <w:tcW w:w="4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Obligation, end of period and unfunded status</w:t>
            </w:r>
          </w:p>
        </w:tc>
        <w:tc>
          <w:tcPr>
            <w:tcW w:w="3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20,176</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20,056</w:t>
            </w:r>
          </w:p>
        </w:tc>
      </w:tr>
      <w:tr>
        <w:trPr>
          <w:trHeight w:val="830"/>
        </w:trPr>
        <w:tc>
          <w:tcPr>
            <w:tcW w:w="4480" w:type="dxa"/>
            <w:vAlign w:val="bottom"/>
          </w:tcPr>
          <w:p>
            <w:pPr>
              <w:spacing w:after="0"/>
              <w:rPr>
                <w:sz w:val="24"/>
                <w:szCs w:val="24"/>
                <w:color w:val="auto"/>
              </w:rPr>
            </w:pPr>
          </w:p>
        </w:tc>
        <w:tc>
          <w:tcPr>
            <w:tcW w:w="3220" w:type="dxa"/>
            <w:vAlign w:val="bottom"/>
          </w:tcPr>
          <w:p>
            <w:pPr>
              <w:jc w:val="right"/>
              <w:ind w:right="189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8"/>
        </w:trPr>
        <w:tc>
          <w:tcPr>
            <w:tcW w:w="44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-633095</wp:posOffset>
            </wp:positionV>
            <wp:extent cx="939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-615950</wp:posOffset>
            </wp:positionV>
            <wp:extent cx="939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3" w:name="page44"/>
    <w:bookmarkEnd w:id="43"/>
    <w:p>
      <w:pPr>
        <w:jc w:val="both"/>
        <w:ind w:firstLine="223"/>
        <w:spacing w:after="0" w:line="269" w:lineRule="auto"/>
        <w:rPr>
          <w:sz w:val="20"/>
          <w:szCs w:val="20"/>
          <w:color w:val="auto"/>
        </w:rPr>
      </w:pPr>
      <w:r>
        <w:rPr>
          <w:rFonts w:ascii="Arial" w:cs="Arial" w:eastAsia="Arial" w:hAnsi="Arial"/>
          <w:sz w:val="17"/>
          <w:szCs w:val="17"/>
          <w:color w:val="auto"/>
        </w:rPr>
        <w:t>For the three and nine months ended September 30, 2022, the Company recorded interest costs of less than $0.1 million and $0.1 million, respectively (2021 — less than $0.1 million and $0.1 million) related to the SERP. The Company expects to recognize additional interest costs of less than $0.1 million related to the SERP during the remainder of 2022. No contributions are expected to be made to the SERP in 2022.</w:t>
      </w:r>
    </w:p>
    <w:p>
      <w:pPr>
        <w:spacing w:after="0" w:line="138"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Defined Contribution Pension Plan</w:t>
      </w:r>
    </w:p>
    <w:p>
      <w:pPr>
        <w:spacing w:after="0" w:line="184"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nine months ended September 30, 2022, the Company contributed and recorded expense of $0.4 million and $0.9 million, respectively (2021 — $0.3 million and $0.8 million, respectively) to its Canadian defined contribution plan and $0.1 million and $0.5 million, respectively (2021 — $0.1 million and $0.4 million, respectively) to its defined contribution employee plan under Section 401(k) of the U.S. Internal Revenue Code.</w:t>
      </w:r>
    </w:p>
    <w:p>
      <w:pPr>
        <w:spacing w:after="0" w:line="129"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Postretirement Benefits – Executives</w:t>
      </w:r>
    </w:p>
    <w:p>
      <w:pPr>
        <w:spacing w:after="0" w:line="184"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7"/>
          <w:szCs w:val="17"/>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The Company maintained Mr. Wechsler's health benefits through December 31, 2021, and thereafter is providing him with Medicare supplemental coverage.</w:t>
      </w:r>
    </w:p>
    <w:p>
      <w:pPr>
        <w:spacing w:after="0" w:line="143"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8"/>
          <w:szCs w:val="18"/>
          <w:color w:val="auto"/>
        </w:rPr>
        <w:t>As of September 30, 2022, the Company's postretirement benefits obligation under this plan is $0.7 million (December 31, 2021 — $0.7 million). For the three and nine months ended September 30, 2022, the Company has recorded an expense of less than $0.1 million (2021 — less than $0.1 million) related to this plan.</w:t>
      </w:r>
    </w:p>
    <w:p>
      <w:pPr>
        <w:spacing w:after="0" w:line="136"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Postretirement Benefits – Canadian Employees</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has an unfunded postretirement plan for its Canadian employees meeting specific eligibility requirements. The Company will provide eligible participants, upon retirement, with health and welfare benefits. As of September 30, 2022, the Company's postretirement benefits obligation under this plan is $1.5 million (December 31, 2021 — $1.7 million). For the three and nine months ended September 30, 2022, the Company has recorded expense of less than $0.1 million and less than $0.1 million, respectively, (2021 — less than $0.1 million) related to this plan.</w:t>
      </w:r>
    </w:p>
    <w:p>
      <w:pPr>
        <w:spacing w:after="0" w:line="11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Deferred Compensation Benefit Plan</w:t>
      </w:r>
    </w:p>
    <w:p>
      <w:pPr>
        <w:spacing w:after="0" w:line="184"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42"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As of September 30, 2022, the benefit obligation related to the Retirement Plan was $3.9 million (December 31, 2021 — $3.8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156"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Retirement Plan is funded by an investment in company-owned life insurance ("COLI"), which is recorded at its fair value on the Company's Condensed Consolidated Balance Sheets within Prepaid Expenses. As of September 30, 2022, fair value of the COLI asset was $3.4 million (December 31, 2021 — $3.3 million). Gains and losses resulting from changes in the cash surrender value of the COLI asset are recognized in the Condensed Consolidated Statements of Operations within Realized and Unrealized Investment Gains.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4" w:name="page45"/>
    <w:bookmarkEnd w:id="44"/>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84"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The Company maintains cash with various major financial institutions. The Company's cash is invested with highly rated financial institutions. The Company's $87.2 million balance of cash and cash equivalents as of September 30, 2022 (December 31, 2021 — $189.7 million) includes $65.5 million in cash held outside of Canada (December 31, 2021 — $102.1 million), of which $27.9 million was held in the PRC (December 31, 2021 — $76.3 million).</w:t>
      </w:r>
    </w:p>
    <w:p>
      <w:pPr>
        <w:spacing w:after="0" w:line="10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184"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and Other Liabilities due within one year approximate their fair values due to the short-term maturity of these instruments. Including these instruments, the Company's financial instruments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As of September 30, 2022</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As of December 31, 2021</w:t>
            </w:r>
          </w:p>
        </w:tc>
      </w:tr>
      <w:tr>
        <w:trPr>
          <w:trHeight w:val="133"/>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93"/>
              <w:spacing w:after="0" w:line="133"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Estimated</w:t>
            </w:r>
          </w:p>
        </w:tc>
      </w:tr>
      <w:tr>
        <w:trPr>
          <w:trHeight w:val="185"/>
        </w:trPr>
        <w:tc>
          <w:tcPr>
            <w:tcW w:w="20" w:type="dxa"/>
            <w:vAlign w:val="bottom"/>
          </w:tcPr>
          <w:p>
            <w:pPr>
              <w:spacing w:after="0"/>
              <w:rPr>
                <w:sz w:val="16"/>
                <w:szCs w:val="16"/>
                <w:color w:val="auto"/>
              </w:rPr>
            </w:pPr>
          </w:p>
        </w:tc>
        <w:tc>
          <w:tcPr>
            <w:tcW w:w="57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169"/>
        </w:trPr>
        <w:tc>
          <w:tcPr>
            <w:tcW w:w="20" w:type="dxa"/>
            <w:vAlign w:val="bottom"/>
            <w:shd w:val="clear" w:color="auto" w:fill="CFF0FC"/>
          </w:tcPr>
          <w:p>
            <w:pPr>
              <w:spacing w:after="0"/>
              <w:rPr>
                <w:sz w:val="14"/>
                <w:szCs w:val="14"/>
                <w:color w:val="auto"/>
              </w:rPr>
            </w:pPr>
          </w:p>
        </w:tc>
        <w:tc>
          <w:tcPr>
            <w:tcW w:w="578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color w:val="auto"/>
              </w:rPr>
              <w:t>Level 1</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4"/>
                <w:szCs w:val="24"/>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87,151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87,151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189,711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189,711</w:t>
            </w:r>
          </w:p>
        </w:tc>
      </w:tr>
      <w:tr>
        <w:trPr>
          <w:trHeight w:val="216"/>
        </w:trPr>
        <w:tc>
          <w:tcPr>
            <w:tcW w:w="20" w:type="dxa"/>
            <w:vAlign w:val="bottom"/>
            <w:shd w:val="clear" w:color="auto" w:fill="CFF0FC"/>
          </w:tcPr>
          <w:p>
            <w:pPr>
              <w:spacing w:after="0"/>
              <w:rPr>
                <w:sz w:val="18"/>
                <w:szCs w:val="18"/>
                <w:color w:val="auto"/>
              </w:rPr>
            </w:pPr>
          </w:p>
        </w:tc>
        <w:tc>
          <w:tcPr>
            <w:tcW w:w="578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Equity securities</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1,087</w:t>
            </w:r>
          </w:p>
        </w:tc>
      </w:tr>
      <w:tr>
        <w:trPr>
          <w:trHeight w:val="175"/>
        </w:trPr>
        <w:tc>
          <w:tcPr>
            <w:tcW w:w="20" w:type="dxa"/>
            <w:vAlign w:val="bottom"/>
          </w:tcPr>
          <w:p>
            <w:pPr>
              <w:spacing w:after="0"/>
              <w:rPr>
                <w:sz w:val="15"/>
                <w:szCs w:val="15"/>
                <w:color w:val="auto"/>
              </w:rPr>
            </w:pPr>
          </w:p>
        </w:tc>
        <w:tc>
          <w:tcPr>
            <w:tcW w:w="5780" w:type="dxa"/>
            <w:vAlign w:val="bottom"/>
            <w:gridSpan w:val="2"/>
          </w:tcPr>
          <w:p>
            <w:pPr>
              <w:spacing w:after="0" w:line="176" w:lineRule="exact"/>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78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Net financed sales receivables</w:t>
            </w:r>
            <w:r>
              <w:rPr>
                <w:rFonts w:ascii="Arial" w:cs="Arial" w:eastAsia="Arial" w:hAnsi="Arial"/>
                <w:sz w:val="24"/>
                <w:szCs w:val="24"/>
                <w:color w:val="auto"/>
                <w:vertAlign w:val="superscript"/>
              </w:rPr>
              <w:t>(3)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97,770</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96,019</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112,657</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112,662</w:t>
            </w: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8"/>
                <w:szCs w:val="18"/>
                <w:color w:val="auto"/>
              </w:rPr>
              <w:t>Net investment in sales-type leases</w:t>
            </w:r>
            <w:r>
              <w:rPr>
                <w:rFonts w:ascii="Arial" w:cs="Arial" w:eastAsia="Arial" w:hAnsi="Arial"/>
                <w:sz w:val="24"/>
                <w:szCs w:val="24"/>
                <w:color w:val="auto"/>
                <w:vertAlign w:val="superscript"/>
              </w:rPr>
              <w:t>(3)</w:t>
            </w:r>
          </w:p>
        </w:tc>
        <w:tc>
          <w:tcPr>
            <w:tcW w:w="20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24,848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24,823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28,392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28,407</w:t>
            </w:r>
          </w:p>
        </w:tc>
      </w:tr>
      <w:tr>
        <w:trPr>
          <w:trHeight w:val="216"/>
        </w:trPr>
        <w:tc>
          <w:tcPr>
            <w:tcW w:w="20" w:type="dxa"/>
            <w:vAlign w:val="bottom"/>
            <w:shd w:val="clear" w:color="auto" w:fill="CFF0FC"/>
          </w:tcPr>
          <w:p>
            <w:pPr>
              <w:spacing w:after="0"/>
              <w:rPr>
                <w:sz w:val="18"/>
                <w:szCs w:val="18"/>
                <w:color w:val="auto"/>
              </w:rPr>
            </w:pPr>
          </w:p>
        </w:tc>
        <w:tc>
          <w:tcPr>
            <w:tcW w:w="578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Equity securities</w:t>
            </w:r>
            <w:r>
              <w:rPr>
                <w:rFonts w:ascii="Arial" w:cs="Arial" w:eastAsia="Arial" w:hAnsi="Arial"/>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8"/>
                <w:szCs w:val="18"/>
                <w:color w:val="auto"/>
              </w:rPr>
              <w:t>COLI</w:t>
            </w:r>
            <w:r>
              <w:rPr>
                <w:rFonts w:ascii="Arial" w:cs="Arial" w:eastAsia="Arial" w:hAnsi="Arial"/>
                <w:sz w:val="24"/>
                <w:szCs w:val="24"/>
                <w:color w:val="auto"/>
                <w:vertAlign w:val="superscript"/>
              </w:rPr>
              <w:t>(4)</w:t>
            </w:r>
          </w:p>
        </w:tc>
        <w:tc>
          <w:tcPr>
            <w:tcW w:w="20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3,366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3,366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3,275</w:t>
            </w:r>
          </w:p>
        </w:tc>
      </w:tr>
      <w:tr>
        <w:trPr>
          <w:trHeight w:val="216"/>
        </w:trPr>
        <w:tc>
          <w:tcPr>
            <w:tcW w:w="20" w:type="dxa"/>
            <w:vAlign w:val="bottom"/>
            <w:shd w:val="clear" w:color="auto" w:fill="CFF0FC"/>
          </w:tcPr>
          <w:p>
            <w:pPr>
              <w:spacing w:after="0"/>
              <w:rPr>
                <w:sz w:val="18"/>
                <w:szCs w:val="18"/>
                <w:color w:val="auto"/>
              </w:rPr>
            </w:pPr>
          </w:p>
        </w:tc>
        <w:tc>
          <w:tcPr>
            <w:tcW w:w="578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8"/>
                <w:szCs w:val="18"/>
                <w:color w:val="auto"/>
              </w:rPr>
              <w:t>Bank of China Facility borrowings</w:t>
            </w:r>
            <w:r>
              <w:rPr>
                <w:rFonts w:ascii="Arial" w:cs="Arial" w:eastAsia="Arial" w:hAnsi="Arial"/>
                <w:sz w:val="24"/>
                <w:szCs w:val="24"/>
                <w:color w:val="auto"/>
                <w:vertAlign w:val="superscript"/>
              </w:rPr>
              <w:t>(1)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(4,763 )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(3,612 )</w:t>
            </w:r>
          </w:p>
        </w:tc>
      </w:tr>
      <w:tr>
        <w:trPr>
          <w:trHeight w:val="216"/>
        </w:trPr>
        <w:tc>
          <w:tcPr>
            <w:tcW w:w="20" w:type="dxa"/>
            <w:vAlign w:val="bottom"/>
            <w:shd w:val="clear" w:color="auto" w:fill="CFF0FC"/>
          </w:tcPr>
          <w:p>
            <w:pPr>
              <w:spacing w:after="0"/>
              <w:rPr>
                <w:sz w:val="18"/>
                <w:szCs w:val="18"/>
                <w:color w:val="auto"/>
              </w:rPr>
            </w:pPr>
          </w:p>
        </w:tc>
        <w:tc>
          <w:tcPr>
            <w:tcW w:w="5780" w:type="dxa"/>
            <w:vAlign w:val="bottom"/>
            <w:gridSpan w:val="2"/>
            <w:shd w:val="clear" w:color="auto" w:fill="CFF0FC"/>
          </w:tcPr>
          <w:p>
            <w:pPr>
              <w:spacing w:after="0" w:line="216" w:lineRule="exact"/>
              <w:rPr>
                <w:sz w:val="20"/>
                <w:szCs w:val="20"/>
                <w:color w:val="auto"/>
              </w:rPr>
            </w:pPr>
            <w:r>
              <w:rPr>
                <w:rFonts w:ascii="Arial" w:cs="Arial" w:eastAsia="Arial" w:hAnsi="Arial"/>
                <w:sz w:val="18"/>
                <w:szCs w:val="18"/>
                <w:color w:val="auto"/>
              </w:rPr>
              <w:t>Federal Economic Development Loan</w:t>
            </w:r>
            <w:r>
              <w:rPr>
                <w:rFonts w:ascii="Arial" w:cs="Arial" w:eastAsia="Arial" w:hAnsi="Arial"/>
                <w:sz w:val="24"/>
                <w:szCs w:val="24"/>
                <w:color w:val="auto"/>
                <w:vertAlign w:val="superscript"/>
              </w:rPr>
              <w:t>(3)</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line="216" w:lineRule="exact"/>
              <w:rPr>
                <w:sz w:val="20"/>
                <w:szCs w:val="20"/>
                <w:color w:val="auto"/>
              </w:rPr>
            </w:pPr>
            <w:r>
              <w:rPr>
                <w:rFonts w:ascii="Arial" w:cs="Arial" w:eastAsia="Arial" w:hAnsi="Arial"/>
                <w:sz w:val="18"/>
                <w:szCs w:val="18"/>
                <w:color w:val="auto"/>
              </w:rPr>
              <w:t>Convertible Notes</w:t>
            </w:r>
            <w:r>
              <w:rPr>
                <w:rFonts w:ascii="Arial" w:cs="Arial" w:eastAsia="Arial" w:hAnsi="Arial"/>
                <w:sz w:val="24"/>
                <w:szCs w:val="24"/>
                <w:color w:val="auto"/>
                <w:vertAlign w:val="superscript"/>
              </w:rPr>
              <w:t>(5)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(230,000 )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(193,400 )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(230,000 )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(223,100 )</w:t>
            </w:r>
          </w:p>
        </w:tc>
      </w:tr>
      <w:tr>
        <w:trPr>
          <w:trHeight w:val="175"/>
        </w:trPr>
        <w:tc>
          <w:tcPr>
            <w:tcW w:w="20" w:type="dxa"/>
            <w:vAlign w:val="bottom"/>
            <w:shd w:val="clear" w:color="auto" w:fill="CFF0FC"/>
          </w:tcPr>
          <w:p>
            <w:pPr>
              <w:spacing w:after="0"/>
              <w:rPr>
                <w:sz w:val="15"/>
                <w:szCs w:val="15"/>
                <w:color w:val="auto"/>
              </w:rPr>
            </w:pPr>
          </w:p>
        </w:tc>
        <w:tc>
          <w:tcPr>
            <w:tcW w:w="5780" w:type="dxa"/>
            <w:vAlign w:val="bottom"/>
            <w:gridSpan w:val="2"/>
            <w:shd w:val="clear" w:color="auto" w:fill="CFF0FC"/>
          </w:tcPr>
          <w:p>
            <w:pPr>
              <w:spacing w:after="0" w:line="176" w:lineRule="exact"/>
              <w:rPr>
                <w:sz w:val="20"/>
                <w:szCs w:val="20"/>
                <w:color w:val="auto"/>
              </w:rPr>
            </w:pPr>
            <w:r>
              <w:rPr>
                <w:rFonts w:ascii="Arial" w:cs="Arial" w:eastAsia="Arial" w:hAnsi="Arial"/>
                <w:sz w:val="18"/>
                <w:szCs w:val="18"/>
                <w:color w:val="auto"/>
              </w:rPr>
              <w:t>Level 3</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Interest in film classified as a financial instrument</w:t>
            </w:r>
            <w:r>
              <w:rPr>
                <w:rFonts w:ascii="Arial" w:cs="Arial" w:eastAsia="Arial" w:hAnsi="Arial"/>
                <w:sz w:val="24"/>
                <w:szCs w:val="24"/>
                <w:color w:val="auto"/>
                <w:vertAlign w:val="superscript"/>
              </w:rPr>
              <w:t>(6)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9505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85"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Fair value is determined using quoted prices in active markets.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Fair value is determined using quoted market prices that are observable in the market or that could be derived from observable market data.</w:t>
      </w:r>
    </w:p>
    <w:p>
      <w:pPr>
        <w:spacing w:after="0" w:line="182" w:lineRule="exact"/>
        <w:rPr>
          <w:rFonts w:ascii="Arial" w:cs="Arial" w:eastAsia="Arial" w:hAnsi="Arial"/>
          <w:sz w:val="17"/>
          <w:szCs w:val="17"/>
          <w:color w:val="auto"/>
        </w:rPr>
      </w:pPr>
    </w:p>
    <w:p>
      <w:pPr>
        <w:ind w:left="380" w:hanging="372"/>
        <w:spacing w:after="0" w:line="341"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Recorded at amortized cost less impairment losses. Inputs used in the calculation of estimated fair value include management's projection of future box office and ancillary receipts for the film net of distribution costs and other costs in accordance with the investment agreement. See 17(e)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5" w:name="page46"/>
    <w:bookmarkEnd w:id="45"/>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Foreign Exchange Risk Management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is exposed to market risk from changes in foreign currency rates.</w:t>
      </w:r>
    </w:p>
    <w:p>
      <w:pPr>
        <w:spacing w:after="0" w:line="184"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6"/>
          <w:szCs w:val="16"/>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121"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at September 30, 2022 (the "Foreign Currency Hedges"), with settlement dates throughout 2022 and 2023.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and reclassified to the Condensed Consolidated Statements of Operations when the forecasted transaction occurs. Any ineffective portion is recognized immediately in the Condensed Consolidated Statements of Operations.</w:t>
      </w:r>
    </w:p>
    <w:p>
      <w:pPr>
        <w:spacing w:after="0" w:line="151"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Notional value of foreign exchange contracts</w:t>
      </w:r>
      <w:r>
        <w:rPr>
          <w:rFonts w:ascii="Arial" w:cs="Arial" w:eastAsia="Arial" w:hAnsi="Arial"/>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5"/>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23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1"/>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2022</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77"/>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488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4"/>
          </w:tcPr>
          <w:p>
            <w:pPr>
              <w:ind w:left="120"/>
              <w:spacing w:after="0"/>
              <w:rPr>
                <w:sz w:val="20"/>
                <w:szCs w:val="20"/>
                <w:color w:val="auto"/>
              </w:rPr>
            </w:pPr>
            <w:r>
              <w:rPr>
                <w:rFonts w:ascii="Arial" w:cs="Arial" w:eastAsia="Arial" w:hAnsi="Arial"/>
                <w:sz w:val="18"/>
                <w:szCs w:val="18"/>
                <w:color w:val="auto"/>
              </w:rPr>
              <w:t>Foreign exchange contracts — Forwards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ind w:right="46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30,806</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ind w:left="240"/>
              <w:spacing w:after="0"/>
              <w:rPr>
                <w:sz w:val="20"/>
                <w:szCs w:val="20"/>
                <w:color w:val="auto"/>
              </w:rPr>
            </w:pPr>
            <w:r>
              <w:rPr>
                <w:rFonts w:ascii="Arial" w:cs="Arial" w:eastAsia="Arial" w:hAnsi="Arial"/>
                <w:sz w:val="18"/>
                <w:szCs w:val="18"/>
                <w:color w:val="auto"/>
              </w:rPr>
              <w:t>Fair value of derivatives in foreign exchange contracts:</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8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gridSpan w:val="5"/>
          </w:tcPr>
          <w:p>
            <w:pPr>
              <w:jc w:val="right"/>
              <w:ind w:right="357"/>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23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4"/>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2022</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77"/>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488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4"/>
          </w:tcPr>
          <w:p>
            <w:pPr>
              <w:ind w:left="120"/>
              <w:spacing w:after="0"/>
              <w:rPr>
                <w:sz w:val="20"/>
                <w:szCs w:val="20"/>
                <w:color w:val="auto"/>
              </w:rPr>
            </w:pPr>
            <w:r>
              <w:rPr>
                <w:rFonts w:ascii="Arial" w:cs="Arial" w:eastAsia="Arial" w:hAnsi="Arial"/>
                <w:sz w:val="18"/>
                <w:szCs w:val="18"/>
                <w:color w:val="auto"/>
              </w:rPr>
              <w:t>Foreign exchange contracts — Forwards</w:t>
            </w:r>
          </w:p>
        </w:tc>
        <w:tc>
          <w:tcPr>
            <w:tcW w:w="900" w:type="dxa"/>
            <w:vAlign w:val="bottom"/>
            <w:gridSpan w:val="4"/>
          </w:tcPr>
          <w:p>
            <w:pPr>
              <w:ind w:left="20"/>
              <w:spacing w:after="0"/>
              <w:rPr>
                <w:sz w:val="20"/>
                <w:szCs w:val="20"/>
                <w:color w:val="auto"/>
              </w:rPr>
            </w:pPr>
            <w:r>
              <w:rPr>
                <w:rFonts w:ascii="Arial" w:cs="Arial" w:eastAsia="Arial" w:hAnsi="Arial"/>
                <w:sz w:val="18"/>
                <w:szCs w:val="18"/>
                <w:color w:val="auto"/>
                <w:w w:val="84"/>
              </w:rPr>
              <w:t>Other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ind w:right="4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14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w w:val="95"/>
              </w:rPr>
              <w:t>Accrued and other liabilities</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(1,608 )</w:t>
            </w: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(1,608 )</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780" w:type="dxa"/>
            <w:vAlign w:val="bottom"/>
            <w:gridSpan w:val="8"/>
            <w:vMerge w:val="restart"/>
          </w:tcPr>
          <w:p>
            <w:pPr>
              <w:ind w:left="240"/>
              <w:spacing w:after="0"/>
              <w:rPr>
                <w:sz w:val="20"/>
                <w:szCs w:val="20"/>
                <w:color w:val="auto"/>
              </w:rPr>
            </w:pPr>
            <w:r>
              <w:rPr>
                <w:rFonts w:ascii="Arial" w:cs="Arial" w:eastAsia="Arial" w:hAnsi="Arial"/>
                <w:sz w:val="18"/>
                <w:szCs w:val="18"/>
                <w:color w:val="auto"/>
              </w:rPr>
              <w:t>Derivatives in foreign currency hedging relationships are as follows:</w:t>
            </w: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80" w:type="dxa"/>
            <w:vAlign w:val="bottom"/>
            <w:gridSpan w:val="8"/>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4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242"/>
              <w:spacing w:after="0"/>
              <w:rPr>
                <w:sz w:val="20"/>
                <w:szCs w:val="20"/>
                <w:color w:val="auto"/>
              </w:rPr>
            </w:pPr>
            <w:r>
              <w:rPr>
                <w:rFonts w:ascii="Arial" w:cs="Arial" w:eastAsia="Arial" w:hAnsi="Arial"/>
                <w:sz w:val="14"/>
                <w:szCs w:val="14"/>
                <w:b w:val="1"/>
                <w:bCs w:val="1"/>
                <w:color w:val="auto"/>
                <w:w w:val="92"/>
              </w:rPr>
              <w:t>Three Months Ended September 30,</w:t>
            </w: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Derivative Loss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 Forwards</w:t>
            </w:r>
          </w:p>
        </w:tc>
        <w:tc>
          <w:tcPr>
            <w:tcW w:w="2240" w:type="dxa"/>
            <w:vAlign w:val="bottom"/>
            <w:gridSpan w:val="2"/>
          </w:tcPr>
          <w:p>
            <w:pPr>
              <w:ind w:left="100"/>
              <w:spacing w:after="0"/>
              <w:rPr>
                <w:sz w:val="20"/>
                <w:szCs w:val="20"/>
                <w:color w:val="auto"/>
              </w:rPr>
            </w:pPr>
            <w:r>
              <w:rPr>
                <w:rFonts w:ascii="Arial" w:cs="Arial" w:eastAsia="Arial" w:hAnsi="Arial"/>
                <w:sz w:val="18"/>
                <w:szCs w:val="18"/>
                <w:color w:val="auto"/>
              </w:rPr>
              <w:t>Recognized in OCI</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40" w:type="dxa"/>
            <w:vAlign w:val="bottom"/>
            <w:shd w:val="clear" w:color="auto" w:fill="CFF0FC"/>
          </w:tcPr>
          <w:p>
            <w:pPr>
              <w:spacing w:after="0"/>
              <w:rPr>
                <w:sz w:val="22"/>
                <w:szCs w:val="22"/>
                <w:color w:val="auto"/>
              </w:rPr>
            </w:pPr>
          </w:p>
        </w:tc>
        <w:tc>
          <w:tcPr>
            <w:tcW w:w="2400" w:type="dxa"/>
            <w:vAlign w:val="bottom"/>
            <w:shd w:val="clear" w:color="auto" w:fill="CFF0FC"/>
          </w:tcPr>
          <w:p>
            <w:pPr>
              <w:spacing w:after="0"/>
              <w:rPr>
                <w:sz w:val="22"/>
                <w:szCs w:val="22"/>
                <w:color w:val="auto"/>
              </w:rPr>
            </w:pPr>
          </w:p>
        </w:tc>
        <w:tc>
          <w:tcPr>
            <w:tcW w:w="2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(Effective Portion)</w:t>
            </w:r>
          </w:p>
        </w:tc>
        <w:tc>
          <w:tcPr>
            <w:tcW w:w="900" w:type="dxa"/>
            <w:vAlign w:val="bottom"/>
            <w:gridSpan w:val="4"/>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(1,567 )</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(759 )</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(1,862 )</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413"/>
        </w:trPr>
        <w:tc>
          <w:tcPr>
            <w:tcW w:w="240" w:type="dxa"/>
            <w:vAlign w:val="bottom"/>
            <w:tcBorders>
              <w:top w:val="single" w:sz="8" w:color="CFF0FC"/>
            </w:tcBorders>
          </w:tcPr>
          <w:p>
            <w:pPr>
              <w:spacing w:after="0"/>
              <w:rPr>
                <w:sz w:val="24"/>
                <w:szCs w:val="24"/>
                <w:color w:val="auto"/>
              </w:rPr>
            </w:pPr>
          </w:p>
        </w:tc>
        <w:tc>
          <w:tcPr>
            <w:tcW w:w="240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gridSpan w:val="2"/>
          </w:tcPr>
          <w:p>
            <w:pPr>
              <w:ind w:left="20"/>
              <w:spacing w:after="0"/>
              <w:rPr>
                <w:sz w:val="20"/>
                <w:szCs w:val="20"/>
                <w:color w:val="auto"/>
              </w:rPr>
            </w:pPr>
            <w:r>
              <w:rPr>
                <w:rFonts w:ascii="Arial" w:cs="Arial" w:eastAsia="Arial" w:hAnsi="Arial"/>
                <w:sz w:val="14"/>
                <w:szCs w:val="14"/>
                <w:b w:val="1"/>
                <w:bCs w:val="1"/>
                <w:color w:val="auto"/>
                <w:w w:val="96"/>
              </w:rPr>
              <w:t>Location of Derivative (Loss) Gain</w:t>
            </w: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Reclassified from AOCI</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jc w:val="right"/>
              <w:ind w:right="242"/>
              <w:spacing w:after="0"/>
              <w:rPr>
                <w:sz w:val="20"/>
                <w:szCs w:val="20"/>
                <w:color w:val="auto"/>
              </w:rPr>
            </w:pPr>
            <w:r>
              <w:rPr>
                <w:rFonts w:ascii="Arial" w:cs="Arial" w:eastAsia="Arial" w:hAnsi="Arial"/>
                <w:sz w:val="14"/>
                <w:szCs w:val="14"/>
                <w:b w:val="1"/>
                <w:bCs w:val="1"/>
                <w:color w:val="auto"/>
                <w:w w:val="92"/>
              </w:rPr>
              <w:t>Three Months Ended September 30,</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(Effective Portion)</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 Forwards</w:t>
            </w:r>
          </w:p>
        </w:tc>
        <w:tc>
          <w:tcPr>
            <w:tcW w:w="2240" w:type="dxa"/>
            <w:vAlign w:val="bottom"/>
            <w:gridSpan w:val="2"/>
          </w:tcPr>
          <w:p>
            <w:pPr>
              <w:ind w:left="100"/>
              <w:spacing w:after="0"/>
              <w:rPr>
                <w:sz w:val="20"/>
                <w:szCs w:val="20"/>
                <w:color w:val="auto"/>
              </w:rPr>
            </w:pPr>
            <w:r>
              <w:rPr>
                <w:rFonts w:ascii="Arial" w:cs="Arial" w:eastAsia="Arial" w:hAnsi="Arial"/>
                <w:sz w:val="18"/>
                <w:szCs w:val="18"/>
                <w:color w:val="auto"/>
              </w:rPr>
              <w:t>administrative expenses</w:t>
            </w:r>
          </w:p>
        </w:tc>
        <w:tc>
          <w:tcPr>
            <w:tcW w:w="660" w:type="dxa"/>
            <w:vAlign w:val="bottom"/>
            <w:gridSpan w:val="3"/>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8"/>
                <w:szCs w:val="18"/>
                <w:color w:val="auto"/>
              </w:rPr>
              <w:t>312</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(175 )</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4"/>
          </w:tcPr>
          <w:p>
            <w:pPr>
              <w:ind w:left="660"/>
              <w:spacing w:after="0"/>
              <w:rPr>
                <w:sz w:val="20"/>
                <w:szCs w:val="20"/>
                <w:color w:val="auto"/>
              </w:rPr>
            </w:pPr>
            <w:r>
              <w:rPr>
                <w:rFonts w:ascii="Arial" w:cs="Arial" w:eastAsia="Arial" w:hAnsi="Arial"/>
                <w:sz w:val="18"/>
                <w:szCs w:val="18"/>
                <w:color w:val="auto"/>
              </w:rPr>
              <w:t>46</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4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-1343660</wp:posOffset>
            </wp:positionV>
            <wp:extent cx="1969135" cy="5734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69135" cy="5734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6" w:name="page47"/>
    <w:bookmarkEnd w:id="46"/>
    <w:p>
      <w:pPr>
        <w:ind w:left="240"/>
        <w:spacing w:after="0"/>
        <w:rPr>
          <w:sz w:val="20"/>
          <w:szCs w:val="20"/>
          <w:color w:val="auto"/>
        </w:rPr>
      </w:pPr>
      <w:r>
        <w:rPr>
          <w:rFonts w:ascii="Arial" w:cs="Arial" w:eastAsia="Arial" w:hAnsi="Arial"/>
          <w:sz w:val="18"/>
          <w:szCs w:val="18"/>
          <w:u w:val="single" w:color="auto"/>
          <w:color w:val="auto"/>
        </w:rPr>
        <w:t>Non-designated derivatives in foreign currency relationships are as follows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 of Derivative (Loss) Gain</w:t>
            </w:r>
          </w:p>
        </w:tc>
        <w:tc>
          <w:tcPr>
            <w:tcW w:w="88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2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administrative expenses</w:t>
            </w:r>
          </w:p>
        </w:tc>
        <w:tc>
          <w:tcPr>
            <w:tcW w:w="880" w:type="dxa"/>
            <w:vAlign w:val="bottom"/>
          </w:tcPr>
          <w:p>
            <w:pPr>
              <w:jc w:val="right"/>
              <w:ind w:right="6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(122 )   $</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Company's estimated net amount of the existing loss as of September 30, 2022 is $(1.5) million, which is expected to be reclassified to earnings within the next twelve months.</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Investments in Equity Securities</w:t>
      </w:r>
    </w:p>
    <w:p>
      <w:pPr>
        <w:spacing w:after="0" w:line="171"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As of September 30, 2022, the Condensed Consolidated Balance Sheets includes $1.1 million (December 31, 2021 — $1.1 million) of investments in equity securities.</w:t>
      </w:r>
    </w:p>
    <w:p>
      <w:pPr>
        <w:spacing w:after="0" w:line="130" w:lineRule="exact"/>
        <w:rPr>
          <w:sz w:val="20"/>
          <w:szCs w:val="20"/>
          <w:color w:val="auto"/>
        </w:rPr>
      </w:pPr>
    </w:p>
    <w:p>
      <w:pPr>
        <w:jc w:val="both"/>
        <w:ind w:firstLine="225"/>
        <w:spacing w:after="0" w:line="238" w:lineRule="auto"/>
        <w:rPr>
          <w:sz w:val="20"/>
          <w:szCs w:val="20"/>
          <w:color w:val="auto"/>
        </w:rPr>
      </w:pPr>
      <w:r>
        <w:rPr>
          <w:rFonts w:ascii="Arial" w:cs="Arial" w:eastAsia="Arial" w:hAnsi="Arial"/>
          <w:sz w:val="18"/>
          <w:szCs w:val="18"/>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During the first quarter of 2021, IMAX China (Hong Kong), Limited sold all of its 7,949,000 shares of Maoyan for gross proceeds of $17.8 million and recognized $5.2 million gain in the Condensed Consolidated Statements of Operations.</w:t>
      </w:r>
    </w:p>
    <w:p>
      <w:pPr>
        <w:spacing w:after="0" w:line="165"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The Company has an investment of $1.1 million (December 31, 2021 — $1.1 million) in the shares of an exchange traded fund. This investment is classified as an equity investment.</w:t>
      </w:r>
    </w:p>
    <w:p>
      <w:pPr>
        <w:spacing w:after="0" w:line="130"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As of September 30, 2022, the Company held investments in the preferred shares of enterprises which meet the criteria for classification as an equity security carried at historical cost, net of impairment charges. The carrying value of these equity security investments was $1.0 million at September 30, 2022 (December 31, 2021 — $1.0 million) and is recorded in Other Assets.</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Interest in Film</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6"/>
          <w:szCs w:val="16"/>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Arial" w:cs="Arial" w:eastAsia="Arial" w:hAnsi="Arial"/>
          <w:sz w:val="16"/>
          <w:szCs w:val="16"/>
          <w:i w:val="1"/>
          <w:iCs w:val="1"/>
          <w:color w:val="auto"/>
        </w:rPr>
        <w:t>Mozart from Space</w:t>
      </w:r>
      <w:r>
        <w:rPr>
          <w:rFonts w:ascii="Arial" w:cs="Arial" w:eastAsia="Arial" w:hAnsi="Arial"/>
          <w:sz w:val="16"/>
          <w:szCs w:val="16"/>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spacing w:after="0" w:line="12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 xml:space="preserve">During the second quarter of 2022, the Company recognized a full impairment of its RMB 30.0 million ($4.5 million) investment in </w:t>
      </w:r>
      <w:r>
        <w:rPr>
          <w:rFonts w:ascii="Arial" w:cs="Arial" w:eastAsia="Arial" w:hAnsi="Arial"/>
          <w:sz w:val="18"/>
          <w:szCs w:val="18"/>
          <w:i w:val="1"/>
          <w:iCs w:val="1"/>
          <w:color w:val="auto"/>
        </w:rPr>
        <w:t>Mozart from Space</w:t>
      </w:r>
      <w:r>
        <w:rPr>
          <w:rFonts w:ascii="Arial" w:cs="Arial" w:eastAsia="Arial" w:hAnsi="Arial"/>
          <w:sz w:val="18"/>
          <w:szCs w:val="18"/>
          <w:color w:val="auto"/>
        </w:rPr>
        <w:t xml:space="preserve"> based on projected box office results and distribution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7" w:name="page48"/>
    <w:bookmarkEnd w:id="47"/>
    <w:p>
      <w:pPr>
        <w:ind w:left="320" w:hanging="312"/>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74" w:lineRule="exact"/>
        <w:rPr>
          <w:rFonts w:ascii="Arial" w:cs="Arial" w:eastAsia="Arial" w:hAnsi="Arial"/>
          <w:sz w:val="18"/>
          <w:szCs w:val="18"/>
          <w:b w:val="1"/>
          <w:bCs w:val="1"/>
          <w:color w:val="auto"/>
        </w:rPr>
      </w:pPr>
    </w:p>
    <w:p>
      <w:pPr>
        <w:ind w:left="600" w:hanging="368"/>
        <w:spacing w:after="0"/>
        <w:tabs>
          <w:tab w:leader="none" w:pos="600" w:val="left"/>
        </w:tabs>
        <w:numPr>
          <w:ilvl w:val="1"/>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71"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The Company indirectly owns 71.41% of IMAX China, whose shares trade on the Hong Kong Stock Exchange (December 31, 2021 — 71.11%). IMAX China remains a consolidated subsidiary of the Company. As of September 30, 2022, the balance of the Company's non-controlling interest in IMAX China is $63.9 million (December 31, 2021 — $73.5 million). For the three and nine months ended September 30, 2022, the net income attributable to the non-controlling interest in IMAX China is $1.2 million and $1.5 million, respectively (2021 — $2.0 million and $9.5 million, respectively).</w:t>
      </w:r>
    </w:p>
    <w:p>
      <w:pPr>
        <w:spacing w:after="0" w:line="130"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Other Non-Controlling Interest</w:t>
      </w:r>
    </w:p>
    <w:p>
      <w:pPr>
        <w:spacing w:after="0" w:line="171" w:lineRule="exact"/>
        <w:rPr>
          <w:sz w:val="20"/>
          <w:szCs w:val="20"/>
          <w:color w:val="auto"/>
        </w:rPr>
      </w:pPr>
    </w:p>
    <w:p>
      <w:pPr>
        <w:jc w:val="both"/>
        <w:ind w:firstLine="225"/>
        <w:spacing w:after="0" w:line="241"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September 30, 2022,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47"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Non-Controlling Interest in Temporary Equity</w:t>
      </w:r>
    </w:p>
    <w:p>
      <w:pPr>
        <w:spacing w:after="0" w:line="18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following table summarizes the movement of the non-controlling interest in temporary equity related to the Original Film Fund for the nine months ended September 30,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82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8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18"/>
                <w:szCs w:val="18"/>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(22 )</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49"/>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and nine months ended September 30, 2022 and 2021. MD&amp;A should be read in conjunction with Note 15, "Segment Reporting," in the accompanying Condensed Consolidated Financial Statements in Item 1.</w:t>
      </w:r>
    </w:p>
    <w:p>
      <w:pPr>
        <w:spacing w:after="0" w:line="132" w:lineRule="exact"/>
        <w:rPr>
          <w:sz w:val="20"/>
          <w:szCs w:val="20"/>
          <w:color w:val="auto"/>
        </w:rPr>
      </w:pPr>
    </w:p>
    <w:p>
      <w:pPr>
        <w:jc w:val="both"/>
        <w:ind w:firstLine="225"/>
        <w:spacing w:after="0" w:line="293" w:lineRule="auto"/>
        <w:rPr>
          <w:sz w:val="20"/>
          <w:szCs w:val="20"/>
          <w:color w:val="auto"/>
        </w:rPr>
      </w:pPr>
      <w:r>
        <w:rPr>
          <w:rFonts w:ascii="Arial" w:cs="Arial" w:eastAsia="Arial" w:hAnsi="Arial"/>
          <w:sz w:val="16"/>
          <w:szCs w:val="16"/>
          <w:color w:val="auto"/>
        </w:rPr>
        <w:t>As of September 30, 2022, the Company indirectly owns 71.41% of IMAX China Holding, Inc. ("IMAX China"), whose shares trade on the Hong Kong Stock Exchange. IMAX China is a consolidated subsidiary of the Company. For the three months ended September 30, 2022, net income attributable to IMAX China is $4.2 million, of which $3.0 million is attributable to the shareholders of the Company (2021 — $6.7 million and $4.7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75" w:lineRule="exact"/>
        <w:rPr>
          <w:sz w:val="20"/>
          <w:szCs w:val="20"/>
          <w:color w:val="auto"/>
        </w:rPr>
      </w:pPr>
    </w:p>
    <w:p>
      <w:pPr>
        <w:jc w:val="both"/>
        <w:ind w:firstLine="223"/>
        <w:spacing w:after="0" w:line="269"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such as the conflict between Russia and Ukraine; risks related to the Company's growth and operations in China; the performance of IMAX DMR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including with respect to the Russia-Ukraine conflict; the failure to convert theater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(the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345"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www.sedar.com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IMAX</w:t>
      </w:r>
      <w:r>
        <w:rPr>
          <w:rFonts w:ascii="Arial" w:cs="Arial" w:eastAsia="Arial" w:hAnsi="Arial"/>
          <w:sz w:val="24"/>
          <w:szCs w:val="24"/>
          <w:color w:val="auto"/>
          <w:vertAlign w:val="superscript"/>
        </w:rPr>
        <w:t>®</w:t>
      </w:r>
      <w:r>
        <w:rPr>
          <w:rFonts w:ascii="Arial" w:cs="Arial" w:eastAsia="Arial" w:hAnsi="Arial"/>
          <w:sz w:val="18"/>
          <w:szCs w:val="18"/>
          <w:color w:val="auto"/>
        </w:rPr>
        <w:t>,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Dome,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3D,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3D Dome, Experience It In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24"/>
          <w:szCs w:val="24"/>
          <w:color w:val="auto"/>
          <w:vertAlign w:val="superscript"/>
        </w:rPr>
        <w:t>®</w:t>
      </w:r>
      <w:r>
        <w:rPr>
          <w:rFonts w:ascii="Arial" w:cs="Arial" w:eastAsia="Arial" w:hAnsi="Arial"/>
          <w:sz w:val="18"/>
          <w:szCs w:val="18"/>
          <w:color w:val="auto"/>
        </w:rPr>
        <w:t>, IMAX DMR</w:t>
      </w:r>
      <w:r>
        <w:rPr>
          <w:rFonts w:ascii="Arial" w:cs="Arial" w:eastAsia="Arial" w:hAnsi="Arial"/>
          <w:sz w:val="24"/>
          <w:szCs w:val="24"/>
          <w:color w:val="auto"/>
          <w:vertAlign w:val="superscript"/>
        </w:rPr>
        <w:t>®</w:t>
      </w:r>
      <w:r>
        <w:rPr>
          <w:rFonts w:ascii="Arial" w:cs="Arial" w:eastAsia="Arial" w:hAnsi="Arial"/>
          <w:sz w:val="18"/>
          <w:szCs w:val="18"/>
          <w:color w:val="auto"/>
        </w:rPr>
        <w:t>, DMR</w:t>
      </w:r>
      <w:r>
        <w:rPr>
          <w:rFonts w:ascii="Arial" w:cs="Arial" w:eastAsia="Arial" w:hAnsi="Arial"/>
          <w:sz w:val="24"/>
          <w:szCs w:val="24"/>
          <w:color w:val="auto"/>
          <w:vertAlign w:val="superscript"/>
        </w:rPr>
        <w:t>®</w:t>
      </w:r>
      <w:r>
        <w:rPr>
          <w:rFonts w:ascii="Arial" w:cs="Arial" w:eastAsia="Arial" w:hAnsi="Arial"/>
          <w:sz w:val="18"/>
          <w:szCs w:val="18"/>
          <w:color w:val="auto"/>
        </w:rPr>
        <w:t>, Filmed For IMAX</w:t>
      </w:r>
      <w:r>
        <w:rPr>
          <w:rFonts w:ascii="Arial" w:cs="Arial" w:eastAsia="Arial" w:hAnsi="Arial"/>
          <w:sz w:val="24"/>
          <w:szCs w:val="24"/>
          <w:color w:val="auto"/>
          <w:vertAlign w:val="superscript"/>
        </w:rPr>
        <w:t>TM</w:t>
      </w:r>
      <w:r>
        <w:rPr>
          <w:rFonts w:ascii="Arial" w:cs="Arial" w:eastAsia="Arial" w:hAnsi="Arial"/>
          <w:sz w:val="18"/>
          <w:szCs w:val="18"/>
          <w:color w:val="auto"/>
        </w:rPr>
        <w:t>, IMAX Live</w:t>
      </w:r>
      <w:r>
        <w:rPr>
          <w:rFonts w:ascii="Arial" w:cs="Arial" w:eastAsia="Arial" w:hAnsi="Arial"/>
          <w:sz w:val="24"/>
          <w:szCs w:val="24"/>
          <w:color w:val="auto"/>
          <w:vertAlign w:val="superscript"/>
        </w:rPr>
        <w:t>TM</w:t>
      </w:r>
      <w:r>
        <w:rPr>
          <w:rFonts w:ascii="Arial" w:cs="Arial" w:eastAsia="Arial" w:hAnsi="Arial"/>
          <w:sz w:val="18"/>
          <w:szCs w:val="18"/>
          <w:color w:val="auto"/>
        </w:rPr>
        <w:t>, IMAX Enhanced</w:t>
      </w:r>
      <w:r>
        <w:rPr>
          <w:rFonts w:ascii="Arial" w:cs="Arial" w:eastAsia="Arial" w:hAnsi="Arial"/>
          <w:sz w:val="19"/>
          <w:szCs w:val="19"/>
          <w:b w:val="1"/>
          <w:bCs w:val="1"/>
          <w:color w:val="auto"/>
        </w:rPr>
        <w:t>®</w:t>
      </w:r>
      <w:r>
        <w:rPr>
          <w:rFonts w:ascii="Arial" w:cs="Arial" w:eastAsia="Arial" w:hAnsi="Arial"/>
          <w:sz w:val="18"/>
          <w:szCs w:val="18"/>
          <w:color w:val="auto"/>
        </w:rPr>
        <w:t>, IMAX nXos</w:t>
      </w:r>
      <w:r>
        <w:rPr>
          <w:rFonts w:ascii="Arial" w:cs="Arial" w:eastAsia="Arial" w:hAnsi="Arial"/>
          <w:sz w:val="24"/>
          <w:szCs w:val="24"/>
          <w:color w:val="auto"/>
          <w:vertAlign w:val="superscript"/>
        </w:rPr>
        <w:t>®</w:t>
      </w:r>
      <w:r>
        <w:rPr>
          <w:rFonts w:ascii="Arial" w:cs="Arial" w:eastAsia="Arial" w:hAnsi="Arial"/>
          <w:sz w:val="18"/>
          <w:szCs w:val="18"/>
          <w:color w:val="auto"/>
        </w:rPr>
        <w:t>, Films to the Fullest</w:t>
      </w:r>
      <w:r>
        <w:rPr>
          <w:rFonts w:ascii="Arial" w:cs="Arial" w:eastAsia="Arial" w:hAnsi="Arial"/>
          <w:sz w:val="24"/>
          <w:szCs w:val="24"/>
          <w:color w:val="auto"/>
          <w:vertAlign w:val="superscript"/>
        </w:rPr>
        <w:t>®</w:t>
      </w:r>
      <w:r>
        <w:rPr>
          <w:rFonts w:ascii="Arial" w:cs="Arial" w:eastAsia="Arial" w:hAnsi="Arial"/>
          <w:sz w:val="18"/>
          <w:szCs w:val="18"/>
          <w:color w:val="auto"/>
        </w:rPr>
        <w:t>, SSIMWAVE</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2"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SSIMPLUS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Viewer Score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are trademarks and trade names of the Company or its subsidiaries that are registered or otherwise protected under laws of various jurisdictions.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9" w:name="page50"/>
    <w:bookmarkEnd w:id="49"/>
    <w:p>
      <w:pPr>
        <w:jc w:val="both"/>
        <w:ind w:firstLine="223"/>
        <w:spacing w:after="0" w:line="247"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and SEDAR filings and public conference calls and webcasts.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8"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6"/>
          <w:szCs w:val="16"/>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30" w:lineRule="exact"/>
        <w:rPr>
          <w:sz w:val="20"/>
          <w:szCs w:val="20"/>
          <w:color w:val="auto"/>
        </w:rPr>
      </w:pPr>
    </w:p>
    <w:p>
      <w:pPr>
        <w:jc w:val="both"/>
        <w:ind w:right="20" w:firstLine="225"/>
        <w:spacing w:after="0" w:line="342" w:lineRule="auto"/>
        <w:rPr>
          <w:sz w:val="20"/>
          <w:szCs w:val="20"/>
          <w:color w:val="auto"/>
        </w:rPr>
      </w:pPr>
      <w:r>
        <w:rPr>
          <w:rFonts w:ascii="Arial" w:cs="Arial" w:eastAsia="Arial" w:hAnsi="Arial"/>
          <w:sz w:val="16"/>
          <w:szCs w:val="16"/>
          <w:color w:val="auto"/>
        </w:rPr>
        <w:t>The Company leverages its proprietary technology and engineering in all aspects of its business, which principally consists of the digital remastering of films and other content into the IMAX format ("IMAX DMR"</w:t>
      </w:r>
      <w:r>
        <w:rPr>
          <w:rFonts w:ascii="Arial" w:cs="Arial" w:eastAsia="Arial" w:hAnsi="Arial"/>
          <w:sz w:val="21"/>
          <w:szCs w:val="21"/>
          <w:color w:val="auto"/>
          <w:vertAlign w:val="superscript"/>
        </w:rPr>
        <w:t>®</w:t>
      </w:r>
      <w:r>
        <w:rPr>
          <w:rFonts w:ascii="Arial" w:cs="Arial" w:eastAsia="Arial" w:hAnsi="Arial"/>
          <w:sz w:val="16"/>
          <w:szCs w:val="16"/>
          <w:color w:val="auto"/>
        </w:rPr>
        <w:t>) and the sale or lease of premium IMAX theater systems ("IMAX Theater Systems").</w:t>
      </w:r>
    </w:p>
    <w:p>
      <w:pPr>
        <w:jc w:val="both"/>
        <w:ind w:firstLine="225"/>
        <w:spacing w:after="0" w:line="289" w:lineRule="auto"/>
        <w:rPr>
          <w:sz w:val="20"/>
          <w:szCs w:val="20"/>
          <w:color w:val="auto"/>
        </w:rPr>
      </w:pPr>
      <w:r>
        <w:rPr>
          <w:rFonts w:ascii="Arial" w:cs="Arial" w:eastAsia="Arial" w:hAnsi="Arial"/>
          <w:sz w:val="16"/>
          <w:szCs w:val="16"/>
          <w:color w:val="auto"/>
        </w:rPr>
        <w:t>IMAX Theater Systems are based on proprietary and patented image, audio, and other technology developed over the course of the Company's history since its founding in 1968. The customers for IMAX Theater Systems are principally theater exhibitors that operate commercial multiplex theaters, and, to a much lesser extent, museums, science centers, and destination entertainment sites. The Company generally does not own the theaters in the IMAX network and is not an exhibitor, but instead sells or leases the IMAX Theater System to exhibitor customers along with a license to use its trademarks.</w:t>
      </w:r>
    </w:p>
    <w:p>
      <w:pPr>
        <w:spacing w:after="0" w:line="125"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As of September 30, 2022, there were 1,703 IMAX Theater Systems in 87 countries and territories, including 1,622 commercial multiplexes, 12 commercial destinations, and 69 institutional locations in the Company's global theater network. This compares to 1,664 IMAX Theater Systems in 85 countries and territories as of September 30, 2021, including 1,580 commercial multiplexes, 12 commercial destinations, and 72 institutional locations in the Company's global theater network. (See the table below under "IMAX Network and Backlog" for additional information on the composition of the IMAX network.)</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4" w:lineRule="exact"/>
        <w:rPr>
          <w:sz w:val="20"/>
          <w:szCs w:val="20"/>
          <w:color w:val="auto"/>
        </w:rPr>
      </w:pPr>
    </w:p>
    <w:p>
      <w:pPr>
        <w:ind w:left="600" w:hanging="368"/>
        <w:spacing w:after="0" w:line="261"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 conversion process, which results in higher image and sound fidelity than conventional cinema experiences;</w:t>
      </w:r>
    </w:p>
    <w:p>
      <w:pPr>
        <w:spacing w:after="0" w:line="129" w:lineRule="exact"/>
        <w:rPr>
          <w:rFonts w:ascii="Arial" w:cs="Arial" w:eastAsia="Arial" w:hAnsi="Arial"/>
          <w:sz w:val="18"/>
          <w:szCs w:val="18"/>
          <w:color w:val="auto"/>
        </w:rPr>
      </w:pPr>
    </w:p>
    <w:p>
      <w:pPr>
        <w:ind w:left="600" w:right="20" w:hanging="368"/>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15" w:lineRule="exact"/>
        <w:rPr>
          <w:rFonts w:ascii="Arial" w:cs="Arial" w:eastAsia="Arial" w:hAnsi="Arial"/>
          <w:sz w:val="18"/>
          <w:szCs w:val="18"/>
          <w:color w:val="auto"/>
        </w:rPr>
      </w:pPr>
    </w:p>
    <w:p>
      <w:pPr>
        <w:ind w:left="600" w:hanging="368"/>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15" w:lineRule="exact"/>
        <w:rPr>
          <w:rFonts w:ascii="Arial" w:cs="Arial" w:eastAsia="Arial" w:hAnsi="Arial"/>
          <w:sz w:val="18"/>
          <w:szCs w:val="18"/>
          <w:color w:val="auto"/>
        </w:rPr>
      </w:pPr>
    </w:p>
    <w:p>
      <w:pPr>
        <w:ind w:left="600" w:hanging="368"/>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15" w:lineRule="exact"/>
        <w:rPr>
          <w:rFonts w:ascii="Arial" w:cs="Arial" w:eastAsia="Arial" w:hAnsi="Arial"/>
          <w:sz w:val="18"/>
          <w:szCs w:val="18"/>
          <w:color w:val="auto"/>
        </w:rPr>
      </w:pPr>
    </w:p>
    <w:p>
      <w:pPr>
        <w:ind w:left="600" w:hanging="36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84" w:lineRule="exact"/>
        <w:rPr>
          <w:rFonts w:ascii="Arial" w:cs="Arial" w:eastAsia="Arial" w:hAnsi="Arial"/>
          <w:sz w:val="18"/>
          <w:szCs w:val="18"/>
          <w:color w:val="auto"/>
        </w:rPr>
      </w:pPr>
    </w:p>
    <w:p>
      <w:pPr>
        <w:ind w:left="600" w:hanging="368"/>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0" w:name="page51"/>
    <w:bookmarkEnd w:id="50"/>
    <w:p>
      <w:pPr>
        <w:jc w:val="both"/>
        <w:ind w:firstLine="225"/>
        <w:spacing w:after="0" w:line="248" w:lineRule="auto"/>
        <w:rPr>
          <w:sz w:val="20"/>
          <w:szCs w:val="20"/>
          <w:color w:val="auto"/>
        </w:rPr>
      </w:pPr>
      <w:r>
        <w:rPr>
          <w:rFonts w:ascii="Arial" w:cs="Arial" w:eastAsia="Arial" w:hAnsi="Arial"/>
          <w:sz w:val="18"/>
          <w:szCs w:val="18"/>
          <w:color w:val="auto"/>
        </w:rPr>
        <w:t>In addition, certain movies shown in IMAX theaters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theaters worldwide, movies filmed with IMAX cameras have an IMAX-exclusive 1.43 film aspect ratio, with up to 67% more image.</w:t>
      </w:r>
    </w:p>
    <w:p>
      <w:pPr>
        <w:spacing w:after="0" w:line="142"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16"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 xml:space="preserve">As a result of the engineering and scientific achievements that are a hallmark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and foreign local language movie studios.</w:t>
      </w:r>
    </w:p>
    <w:p>
      <w:pPr>
        <w:spacing w:after="0" w:line="157"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As a premier global technology platform for entertainment and events, the Company strives to remain at the forefront of advancements in cinema technology. The Company offers a suite of IMAX Laser Theater Systems, which deliver increased resolution, sharper and brighter images, deeper contrast, and the widest range of colors available to filmmakers today. The Company further believes that its suite of IMAX Laser Theater Systems are helping facilitate the next major renewal and upgrade cycle for the global IMAX network.</w:t>
      </w:r>
    </w:p>
    <w:p>
      <w:pPr>
        <w:spacing w:after="0" w:line="161" w:lineRule="exact"/>
        <w:rPr>
          <w:sz w:val="20"/>
          <w:szCs w:val="20"/>
          <w:color w:val="auto"/>
        </w:rPr>
      </w:pPr>
    </w:p>
    <w:p>
      <w:pPr>
        <w:jc w:val="both"/>
        <w:ind w:firstLine="225"/>
        <w:spacing w:after="0" w:line="242" w:lineRule="auto"/>
        <w:rPr>
          <w:sz w:val="20"/>
          <w:szCs w:val="20"/>
          <w:color w:val="auto"/>
        </w:rPr>
      </w:pPr>
      <w:r>
        <w:rPr>
          <w:rFonts w:ascii="Arial" w:cs="Arial" w:eastAsia="Arial" w:hAnsi="Arial"/>
          <w:sz w:val="17"/>
          <w:szCs w:val="17"/>
          <w:color w:val="auto"/>
        </w:rPr>
        <w:t>In addition, the Company continues to evolve its platform to bring new, innovative IMAX Live</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events and experiences to audiences worldwide. The Company has a connected IMAX theater footprint capable of delivering live, interactive content with low latency and superior sight and sound. As of September 30, 2022, 176 theaters in the IMAX network across the United States, Canada, and Europe were configured to enable the streaming of live events. The Company expects to have 250 connected IMAX theaters available for distributing IMAX Live events by the end of 2022.</w:t>
      </w:r>
    </w:p>
    <w:p>
      <w:pPr>
        <w:spacing w:after="0" w:line="148"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In September 2022, the Company acquired SSIMWAVE Inc. ("SSIMWAVE"), a leader in AI-driven video quality solutions for media and entertainment companies. The acquisition of SSIMWAVE marks a significant expansion of the Company's strategy to deliver the highest quality video images on any screen — to drive new, recurring revenue and grow its global leadership in entertainment technology. (See "SSIMWAVE" under "Sources of Revenue - All Other" and Note 4 of Notes to Condensed Consolidated Financial Statements for additional information related to the Company's acquisition of SSIMWAVE.)</w:t>
      </w:r>
    </w:p>
    <w:p>
      <w:pPr>
        <w:spacing w:after="0" w:line="157"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17"/>
          <w:szCs w:val="17"/>
          <w:color w:val="auto"/>
        </w:rPr>
        <w:t>Commencing in March 2022, in response to the ongoing conflict between Russia and Ukraine and resulting sanctions, the Company suspended its operations in Russia and Belarus. As of September 30, 2022, the IMAX network includes 54 theaters in Russia, nine theaters in Ukraine, and one theater in Belarus, and the Company's backlog includes 14 theaters in Russia, one theater in Ukraine, and five theaters in Belarus with a total fixed contracted value of $22.9 million.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beginning in the first quarter of 2022, which resulted in decreases of $0.7 million and $2.1 million in revenue during the three and nine months ended September 30, 2022, respectively. Numerous multiplexes in Ukraine have reopened since the conflict began and the Company remains optimistic that its theater network in Ukraine will ultimately resume operations. The Company continues to monitor the evolving impacts of this conflict and its effects on the global economy and the Company. (See Note 5 of Notes to Condensed Consolidated Financial Statements and "Risk Factors - The Company conducts business internationally, which exposes it to uncertainties and risks that could negatively affect its operations, sales, and future growth prospects." in Part II, Item 1A in this report.)</w:t>
      </w:r>
    </w:p>
    <w:p>
      <w:pPr>
        <w:spacing w:after="0" w:line="135"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On September 7, 2022, Cineworld Group plc ("Cineworld"), the parent company of Regal Entertainment Group, and certain of its subsidiaries and Regal CineMedia Holdings, LLC, filed petitions for reorganization under Chapter 11 of the United States Bankruptcy Code in the Southern District of Texas.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network of theaters with Cineworld resulting from this reorganization. There can, however, be no guarantees as to the ultimate outcome of a Chapter 11 proceeding. The Company has an unsecured claim of $11.4 million related to receivables from the entities included in the reorganization proceeding.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7"/>
          <w:szCs w:val="17"/>
          <w:color w:val="auto"/>
        </w:rPr>
        <w:t>The impact of the COVID-19 pandemic is complex and continuously evolving, resulting in significant disruption to the Company's business and the global economy. At various points during the pandemic, authorities around the world imposed measures intended to control the spread of COVID-19, 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originally scheduled for release in 2020 and early 2021, including many of the films scheduled to be shown in IMAX theaters, while several other films were released directly or concurrently to streaming platforms. Beginning in the third quarter of 2020, stay-at-home orders and capacity restrictions were lifted in many key markets and movie theaters throughout the IMAX network gradually reopened. However, following the emergence of the Omicron variant and the rise of COVID-19 cases in China in the first quarter of 2022, the Chinese government reinstituted capacity restrictions and safety protocols on large public gatherings, which has led to the temporary closure of theaters in several cities. As of September 30, 2022, approximately 92% of the IMAX theaters in Greater China were open at various capacities. On average, during the third quarter of 2022, approximately 82% of the IMAX theaters in Greater China were open at various capacities.</w:t>
      </w:r>
    </w:p>
    <w:p>
      <w:pPr>
        <w:spacing w:after="0" w:line="152" w:lineRule="exact"/>
        <w:rPr>
          <w:sz w:val="20"/>
          <w:szCs w:val="20"/>
          <w:color w:val="auto"/>
        </w:rPr>
      </w:pPr>
    </w:p>
    <w:p>
      <w:pPr>
        <w:jc w:val="both"/>
        <w:ind w:firstLine="225"/>
        <w:spacing w:after="0" w:line="256" w:lineRule="auto"/>
        <w:rPr>
          <w:sz w:val="20"/>
          <w:szCs w:val="20"/>
          <w:color w:val="auto"/>
        </w:rPr>
      </w:pPr>
      <w:r>
        <w:rPr>
          <w:rFonts w:ascii="Arial" w:cs="Arial" w:eastAsia="Arial" w:hAnsi="Arial"/>
          <w:sz w:val="17"/>
          <w:szCs w:val="17"/>
          <w:color w:val="auto"/>
        </w:rPr>
        <w:t>For the nine months ended September 30, 2022, gross box office ("GBO") generated by IMAX films totaled $598.1 million, representing a $237.4 million (66%) increase versus the same period in 2021. Although GBO results during the nine months ended September 30, 2022 were impacted by the COVID-related theater closures in China, management remains encouraged by the overall positive trend in box office results and believes it indicates that moviegoers are returning to theaters, and in particular IMAX theaters, where and when theaters are open and they feel safe. Despite accounting for 1% of all domestic screens, the IMAX network had a domestic market share of 5% for the nine months ended September 30, 2022. Management is further encouraged by the return of the prevalence of exclusive theatrical windows and the strong pipeline of Hollywood movies scheduled to be released for theatrical exhibition throughout the remainder of 2022 and into 2023. However, the impact of the COVID-19 pandemic on the Company's business and financial results will continue to depend on numerous evolving factors that cannot be accurately predicted and that will vary by jurisdiction and market, including the duration and scope of the pandemic, the emergence of new and the spread of existing variants of the virus, the progress made on administering vaccines and developing treatments and the effectiveness of such vaccines and treatments, the continuing impact of the pandemic on global economic conditions and ongoing government responses to the pandemic, which could lead to further theater closures, theater capacity restrictions and/or delays in the release of films.</w:t>
      </w:r>
    </w:p>
    <w:p>
      <w:pPr>
        <w:spacing w:after="0" w:line="15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presentation of MD&amp;A, the Company has organized its reportable segments into the following three categories: (i) IMAX Technology Network;</w:t>
      </w:r>
    </w:p>
    <w:p>
      <w:pPr>
        <w:spacing w:after="0" w:line="34" w:lineRule="exact"/>
        <w:rPr>
          <w:sz w:val="20"/>
          <w:szCs w:val="20"/>
          <w:color w:val="auto"/>
        </w:rPr>
      </w:pPr>
    </w:p>
    <w:p>
      <w:pPr>
        <w:jc w:val="both"/>
        <w:ind w:firstLine="8"/>
        <w:spacing w:after="0" w:line="242" w:lineRule="auto"/>
        <w:tabs>
          <w:tab w:leader="none" w:pos="2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IMAX Technology Sales and Maintenance; and (iii) Film Distribution and Post-Production. Within these three categories are the Company's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IMAX Technology Network</w:t>
      </w:r>
    </w:p>
    <w:p>
      <w:pPr>
        <w:spacing w:after="0" w:line="175"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The IMAX Technology Network category earns revenue based on contingent box office receipts. Included in the IMAX Technology Network category are the IMAX DMR segment and contingent rent from the JRSA segment, which are each described in more detail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4"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IMAX DMR is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The fee earned by the Company in a typical IMAX DMR arrangement averages approximately 12.5% of box office receipts (i.e., GBO less applicable sales taxes), except for within Greater China, where the Company receives a lower percentage of net box office receipts for certain Hollywood films.</w:t>
      </w:r>
    </w:p>
    <w:p>
      <w:pPr>
        <w:spacing w:after="0" w:line="157"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 xml:space="preserve">IMAX DMR digitally enhances the image resolution of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in IMAX theaters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57"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7"/>
          <w:szCs w:val="17"/>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theaters worldwide, movies filmed with IMAX cameras have an IMAX-exclusive 1.43 film aspect ratio, with up to 67% more image. The Company has a Filmed For IMAX</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program under which filmmakers craft films from their inception in various ways in order to optimize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which box office metrics demonstrate audiences respond extremely favorably to.</w:t>
      </w:r>
    </w:p>
    <w:p>
      <w:pPr>
        <w:spacing w:after="0" w:line="14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Management believes that growth in international box office remains an important driver of growth for the Company. To support continued growth in international markets, the Company has sought to bolster its international film strategy, supplementing its slate of Hollywood films with appealing local language films released in select markets, particularly in China.</w:t>
      </w:r>
    </w:p>
    <w:p>
      <w:pPr>
        <w:spacing w:after="0" w:line="136"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The following table provides detailed information about the films that were released to the Company's global theater network during the three and nine months ended September 30, 2022 and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18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6"/>
                <w:szCs w:val="16"/>
                <w:color w:val="auto"/>
              </w:rPr>
            </w:pPr>
          </w:p>
        </w:tc>
      </w:tr>
      <w:tr>
        <w:trPr>
          <w:trHeight w:val="221"/>
        </w:trPr>
        <w:tc>
          <w:tcPr>
            <w:tcW w:w="15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4"/>
          </w:tcPr>
          <w:p>
            <w:pPr>
              <w:jc w:val="center"/>
              <w:ind w:left="66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6820" w:type="dxa"/>
            <w:vAlign w:val="bottom"/>
            <w:gridSpan w:val="3"/>
          </w:tcPr>
          <w:p>
            <w:pPr>
              <w:ind w:left="6480"/>
              <w:spacing w:after="0"/>
              <w:rPr>
                <w:sz w:val="20"/>
                <w:szCs w:val="20"/>
                <w:color w:val="auto"/>
              </w:rPr>
            </w:pPr>
            <w:r>
              <w:rPr>
                <w:rFonts w:ascii="Arial" w:cs="Arial" w:eastAsia="Arial" w:hAnsi="Arial"/>
                <w:sz w:val="14"/>
                <w:szCs w:val="14"/>
                <w:b w:val="1"/>
                <w:bCs w:val="1"/>
                <w:color w:val="auto"/>
              </w:rPr>
              <w:t>2022</w:t>
            </w: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r>
      <w:tr>
        <w:trPr>
          <w:trHeight w:val="209"/>
        </w:trPr>
        <w:tc>
          <w:tcPr>
            <w:tcW w:w="6080" w:type="dxa"/>
            <w:vAlign w:val="bottom"/>
            <w:tcBorders>
              <w:bottom w:val="single" w:sz="8" w:color="CFF0FC"/>
            </w:tcBorders>
            <w:gridSpan w:val="2"/>
            <w:shd w:val="clear" w:color="auto" w:fill="CFF0FC"/>
          </w:tcPr>
          <w:p>
            <w:pPr>
              <w:ind w:left="20"/>
              <w:spacing w:after="0" w:line="209" w:lineRule="exact"/>
              <w:rPr>
                <w:sz w:val="20"/>
                <w:szCs w:val="20"/>
                <w:color w:val="auto"/>
              </w:rPr>
            </w:pPr>
            <w:r>
              <w:rPr>
                <w:rFonts w:ascii="Arial" w:cs="Arial" w:eastAsia="Arial" w:hAnsi="Arial"/>
                <w:sz w:val="18"/>
                <w:szCs w:val="18"/>
                <w:color w:val="auto"/>
              </w:rPr>
              <w:t>Hollywood film releases</w:t>
            </w:r>
            <w:r>
              <w:rPr>
                <w:rFonts w:ascii="Arial" w:cs="Arial" w:eastAsia="Arial" w:hAnsi="Arial"/>
                <w:sz w:val="24"/>
                <w:szCs w:val="24"/>
                <w:color w:val="auto"/>
                <w:vertAlign w:val="superscript"/>
              </w:rPr>
              <w:t>(1)</w:t>
            </w: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gridSpan w:val="3"/>
          </w:tcPr>
          <w:p>
            <w:pPr>
              <w:ind w:left="20"/>
              <w:spacing w:after="0"/>
              <w:rPr>
                <w:sz w:val="20"/>
                <w:szCs w:val="20"/>
                <w:color w:val="auto"/>
              </w:rPr>
            </w:pPr>
            <w:r>
              <w:rPr>
                <w:rFonts w:ascii="Arial" w:cs="Arial" w:eastAsia="Arial" w:hAnsi="Arial"/>
                <w:sz w:val="18"/>
                <w:szCs w:val="18"/>
                <w:color w:val="auto"/>
              </w:rPr>
              <w:t>Local language film releases: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3"/>
          </w:tcPr>
          <w:p>
            <w:pPr>
              <w:ind w:left="120"/>
              <w:spacing w:after="0"/>
              <w:rPr>
                <w:sz w:val="20"/>
                <w:szCs w:val="20"/>
                <w:color w:val="auto"/>
              </w:rPr>
            </w:pPr>
            <w:r>
              <w:rPr>
                <w:rFonts w:ascii="Arial" w:cs="Arial" w:eastAsia="Arial" w:hAnsi="Arial"/>
                <w:sz w:val="18"/>
                <w:szCs w:val="18"/>
                <w:color w:val="auto"/>
              </w:rPr>
              <w:t>Japan</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68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South Korea</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3"/>
          </w:tcPr>
          <w:p>
            <w:pPr>
              <w:ind w:left="120"/>
              <w:spacing w:after="0"/>
              <w:rPr>
                <w:sz w:val="20"/>
                <w:szCs w:val="20"/>
                <w:color w:val="auto"/>
              </w:rPr>
            </w:pPr>
            <w:r>
              <w:rPr>
                <w:rFonts w:ascii="Arial" w:cs="Arial" w:eastAsia="Arial" w:hAnsi="Arial"/>
                <w:sz w:val="18"/>
                <w:szCs w:val="18"/>
                <w:color w:val="auto"/>
              </w:rPr>
              <w:t>India</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8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France</w:t>
            </w:r>
          </w:p>
        </w:tc>
        <w:tc>
          <w:tcPr>
            <w:tcW w:w="1440" w:type="dxa"/>
            <w:vAlign w:val="bottom"/>
            <w:gridSpan w:val="3"/>
            <w:shd w:val="clear" w:color="auto" w:fill="CFF0FC"/>
          </w:tcPr>
          <w:p>
            <w:pPr>
              <w:jc w:val="right"/>
              <w:ind w:righ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3"/>
          </w:tcPr>
          <w:p>
            <w:pPr>
              <w:ind w:left="120"/>
              <w:spacing w:after="0"/>
              <w:rPr>
                <w:sz w:val="20"/>
                <w:szCs w:val="20"/>
                <w:color w:val="auto"/>
              </w:rPr>
            </w:pPr>
            <w:r>
              <w:rPr>
                <w:rFonts w:ascii="Arial" w:cs="Arial" w:eastAsia="Arial" w:hAnsi="Arial"/>
                <w:sz w:val="18"/>
                <w:szCs w:val="18"/>
                <w:color w:val="auto"/>
              </w:rPr>
              <w:t>Indonesia</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60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local language film releases</w:t>
            </w: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gridSpan w:val="3"/>
          </w:tcPr>
          <w:p>
            <w:pPr>
              <w:ind w:left="20"/>
              <w:spacing w:after="0" w:line="209" w:lineRule="exact"/>
              <w:rPr>
                <w:sz w:val="20"/>
                <w:szCs w:val="20"/>
                <w:color w:val="auto"/>
              </w:rPr>
            </w:pPr>
            <w:r>
              <w:rPr>
                <w:rFonts w:ascii="Arial" w:cs="Arial" w:eastAsia="Arial" w:hAnsi="Arial"/>
                <w:sz w:val="18"/>
                <w:szCs w:val="18"/>
                <w:color w:val="auto"/>
              </w:rPr>
              <w:t>Total film releases</w:t>
            </w:r>
            <w:r>
              <w:rPr>
                <w:rFonts w:ascii="Arial" w:cs="Arial" w:eastAsia="Arial" w:hAnsi="Arial"/>
                <w:sz w:val="24"/>
                <w:szCs w:val="24"/>
                <w:color w:val="auto"/>
                <w:vertAlign w:val="superscript"/>
              </w:rPr>
              <w:t>(2)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6208395</wp:posOffset>
            </wp:positionH>
            <wp:positionV relativeFrom="paragraph">
              <wp:posOffset>-1724660</wp:posOffset>
            </wp:positionV>
            <wp:extent cx="941705" cy="162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41705" cy="16256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-1437640</wp:posOffset>
            </wp:positionV>
            <wp:extent cx="76835" cy="1454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-1437640</wp:posOffset>
            </wp:positionV>
            <wp:extent cx="68580" cy="1454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-1437640</wp:posOffset>
            </wp:positionV>
            <wp:extent cx="68580" cy="1454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454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-324485</wp:posOffset>
            </wp:positionV>
            <wp:extent cx="76835"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-324485</wp:posOffset>
            </wp:positionV>
            <wp:extent cx="68580" cy="1714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-324485</wp:posOffset>
            </wp:positionV>
            <wp:extent cx="68580"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1714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five re-released films for the three and nine months ended September 30, 2022 (2021 — nil and four, respectively).</w:t>
      </w:r>
    </w:p>
    <w:p>
      <w:pPr>
        <w:spacing w:after="0" w:line="184"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2022, the films released to the Company's global theater network include four and ten with IMAX DNA, respectively (2021 — six and eight,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3" w:name="page54"/>
    <w:bookmarkEnd w:id="53"/>
    <w:p>
      <w:pPr>
        <w:ind w:left="240"/>
        <w:spacing w:after="0"/>
        <w:rPr>
          <w:sz w:val="20"/>
          <w:szCs w:val="20"/>
          <w:color w:val="auto"/>
        </w:rPr>
      </w:pPr>
      <w:r>
        <w:rPr>
          <w:rFonts w:ascii="Arial" w:cs="Arial" w:eastAsia="Arial" w:hAnsi="Arial"/>
          <w:sz w:val="16"/>
          <w:szCs w:val="16"/>
          <w:color w:val="auto"/>
        </w:rPr>
        <w:t xml:space="preserve">The films distributed through the Company's global theater network during the nine months ended September 30, 2022 include </w:t>
      </w:r>
      <w:r>
        <w:rPr>
          <w:rFonts w:ascii="Arial" w:cs="Arial" w:eastAsia="Arial" w:hAnsi="Arial"/>
          <w:sz w:val="16"/>
          <w:szCs w:val="16"/>
          <w:i w:val="1"/>
          <w:iCs w:val="1"/>
          <w:color w:val="auto"/>
        </w:rPr>
        <w:t>Top Gun: Maverick</w:t>
      </w:r>
      <w:r>
        <w:rPr>
          <w:rFonts w:ascii="Arial" w:cs="Arial" w:eastAsia="Arial" w:hAnsi="Arial"/>
          <w:sz w:val="16"/>
          <w:szCs w:val="16"/>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Doctor Strange in the Multiverse of Madness</w:t>
      </w:r>
      <w:r>
        <w:rPr>
          <w:rFonts w:ascii="Arial" w:cs="Arial" w:eastAsia="Arial" w:hAnsi="Arial"/>
          <w:sz w:val="16"/>
          <w:szCs w:val="16"/>
          <w:color w:val="auto"/>
        </w:rPr>
        <w:t>,</w:t>
      </w:r>
      <w:r>
        <w:rPr>
          <w:rFonts w:ascii="Arial" w:cs="Arial" w:eastAsia="Arial" w:hAnsi="Arial"/>
          <w:sz w:val="16"/>
          <w:szCs w:val="16"/>
          <w:i w:val="1"/>
          <w:iCs w:val="1"/>
          <w:color w:val="auto"/>
        </w:rPr>
        <w:t xml:space="preserve"> Jurassic World Dominion</w:t>
      </w:r>
      <w:r>
        <w:rPr>
          <w:rFonts w:ascii="Arial" w:cs="Arial" w:eastAsia="Arial" w:hAnsi="Arial"/>
          <w:sz w:val="16"/>
          <w:szCs w:val="16"/>
          <w:color w:val="auto"/>
        </w:rPr>
        <w:t>,</w:t>
      </w:r>
      <w:r>
        <w:rPr>
          <w:rFonts w:ascii="Arial" w:cs="Arial" w:eastAsia="Arial" w:hAnsi="Arial"/>
          <w:sz w:val="16"/>
          <w:szCs w:val="16"/>
          <w:i w:val="1"/>
          <w:iCs w:val="1"/>
          <w:color w:val="auto"/>
        </w:rPr>
        <w:t xml:space="preserve"> The Batman</w:t>
      </w:r>
      <w:r>
        <w:rPr>
          <w:rFonts w:ascii="Arial" w:cs="Arial" w:eastAsia="Arial" w:hAnsi="Arial"/>
          <w:sz w:val="16"/>
          <w:szCs w:val="16"/>
          <w:color w:val="auto"/>
        </w:rPr>
        <w:t>,</w:t>
      </w:r>
      <w:r>
        <w:rPr>
          <w:rFonts w:ascii="Arial" w:cs="Arial" w:eastAsia="Arial" w:hAnsi="Arial"/>
          <w:sz w:val="16"/>
          <w:szCs w:val="16"/>
          <w:i w:val="1"/>
          <w:iCs w:val="1"/>
          <w:color w:val="auto"/>
        </w:rPr>
        <w:t xml:space="preserve"> Thor: Love and Thunder, The Battle at Lake Changjin 2</w:t>
      </w:r>
      <w:r>
        <w:rPr>
          <w:rFonts w:ascii="Arial" w:cs="Arial" w:eastAsia="Arial" w:hAnsi="Arial"/>
          <w:sz w:val="16"/>
          <w:szCs w:val="16"/>
          <w:color w:val="auto"/>
        </w:rPr>
        <w:t>,</w:t>
      </w:r>
      <w:r>
        <w:rPr>
          <w:rFonts w:ascii="Arial" w:cs="Arial" w:eastAsia="Arial" w:hAnsi="Arial"/>
          <w:sz w:val="16"/>
          <w:szCs w:val="16"/>
          <w:i w:val="1"/>
          <w:iCs w:val="1"/>
          <w:color w:val="auto"/>
        </w:rPr>
        <w:t xml:space="preserve"> Spider-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 No Way Home</w:t>
      </w:r>
      <w:r>
        <w:rPr>
          <w:rFonts w:ascii="Arial" w:cs="Arial" w:eastAsia="Arial" w:hAnsi="Arial"/>
          <w:sz w:val="18"/>
          <w:szCs w:val="18"/>
          <w:color w:val="auto"/>
        </w:rPr>
        <w:t>, and</w:t>
      </w:r>
      <w:r>
        <w:rPr>
          <w:rFonts w:ascii="Arial" w:cs="Arial" w:eastAsia="Arial" w:hAnsi="Arial"/>
          <w:sz w:val="18"/>
          <w:szCs w:val="18"/>
          <w:i w:val="1"/>
          <w:iCs w:val="1"/>
          <w:color w:val="auto"/>
        </w:rPr>
        <w:t xml:space="preserve"> Fantastic Beasts: The Secrets of Dumbledore</w:t>
      </w:r>
      <w:r>
        <w:rPr>
          <w:rFonts w:ascii="Arial" w:cs="Arial" w:eastAsia="Arial" w:hAnsi="Arial"/>
          <w:sz w:val="18"/>
          <w:szCs w:val="18"/>
          <w:color w:val="auto"/>
        </w:rPr>
        <w:t>.</w:t>
      </w:r>
    </w:p>
    <w:p>
      <w:pPr>
        <w:spacing w:after="0" w:line="16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In addition to the films released to the Company's global theater network during the nine months ended September 30, 2022, the Company has announced the following 30 additional titles scheduled to be released throughout the remainder of 2022 and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Scheduled</w:t>
            </w:r>
          </w:p>
        </w:tc>
        <w:tc>
          <w:tcPr>
            <w:tcW w:w="18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56"/>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2"/>
                <w:szCs w:val="22"/>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Studio</w:t>
            </w:r>
          </w:p>
        </w:tc>
        <w:tc>
          <w:tcPr>
            <w:tcW w:w="180" w:type="dxa"/>
            <w:vAlign w:val="bottom"/>
          </w:tcPr>
          <w:p>
            <w:pPr>
              <w:spacing w:after="0"/>
              <w:rPr>
                <w:sz w:val="22"/>
                <w:szCs w:val="22"/>
                <w:color w:val="auto"/>
              </w:rPr>
            </w:pPr>
          </w:p>
        </w:tc>
        <w:tc>
          <w:tcPr>
            <w:tcW w:w="150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8"/>
                <w:szCs w:val="18"/>
                <w:b w:val="1"/>
                <w:bCs w:val="1"/>
                <w:color w:val="auto"/>
                <w:w w:val="86"/>
              </w:rPr>
              <w:t>Release Date</w:t>
            </w:r>
            <w:r>
              <w:rPr>
                <w:rFonts w:ascii="Arial" w:cs="Arial" w:eastAsia="Arial" w:hAnsi="Arial"/>
                <w:sz w:val="24"/>
                <w:szCs w:val="24"/>
                <w:b w:val="1"/>
                <w:bCs w:val="1"/>
                <w:color w:val="auto"/>
                <w:w w:val="86"/>
                <w:vertAlign w:val="superscript"/>
              </w:rPr>
              <w:t>(1)</w:t>
            </w:r>
          </w:p>
        </w:tc>
        <w:tc>
          <w:tcPr>
            <w:tcW w:w="180" w:type="dxa"/>
            <w:vAlign w:val="bottom"/>
          </w:tcPr>
          <w:p>
            <w:pPr>
              <w:spacing w:after="0"/>
              <w:rPr>
                <w:sz w:val="22"/>
                <w:szCs w:val="22"/>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IMAX DNA</w:t>
            </w:r>
          </w:p>
        </w:tc>
      </w:tr>
      <w:tr>
        <w:trPr>
          <w:trHeight w:val="196"/>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87"/>
              </w:rPr>
              <w:t>Amsterdam</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20th Century Studios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October 2022</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1"/>
              </w:rPr>
              <w:t>Halloween Ends</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1"/>
              </w:rPr>
              <w:t>Universal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October 2022</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3"/>
              </w:rPr>
              <w:t>Black Adam</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October 2022</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2"/>
              </w:rPr>
              <w:t>Black Panther: Wakanda Forever</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November 2022</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2"/>
              </w:rPr>
              <w:t>Indochine</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Pathé Live</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November 2022</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4"/>
              </w:rPr>
              <w:t>Violent Night</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1"/>
              </w:rPr>
              <w:t>Universal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December 2022</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1"/>
              </w:rPr>
              <w:t>Avatar: The Way of Water</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December 2022</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line="203" w:lineRule="exact"/>
              <w:rPr>
                <w:sz w:val="20"/>
                <w:szCs w:val="20"/>
                <w:color w:val="auto"/>
              </w:rPr>
            </w:pPr>
            <w:r>
              <w:rPr>
                <w:rFonts w:ascii="Arial" w:cs="Arial" w:eastAsia="Arial" w:hAnsi="Arial"/>
                <w:sz w:val="16"/>
                <w:szCs w:val="16"/>
                <w:i w:val="1"/>
                <w:iCs w:val="1"/>
                <w:color w:val="auto"/>
                <w:w w:val="91"/>
              </w:rPr>
              <w:t>Titanic 3D</w:t>
            </w:r>
            <w:r>
              <w:rPr>
                <w:rFonts w:ascii="Arial" w:cs="Arial" w:eastAsia="Arial" w:hAnsi="Arial"/>
                <w:sz w:val="21"/>
                <w:szCs w:val="21"/>
                <w:i w:val="1"/>
                <w:iCs w:val="1"/>
                <w:color w:val="auto"/>
                <w:w w:val="91"/>
                <w:vertAlign w:val="superscript"/>
              </w:rPr>
              <w:t>(2)</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February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1"/>
              </w:rPr>
              <w:t>Ant-Man and the Wasp: Quantumania</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February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7"/>
              </w:rPr>
              <w:t>Creed III</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United Artists Releasing</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March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2"/>
              </w:rPr>
              <w:t>Shazam!: Fury of the Gods</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March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2"/>
              </w:rPr>
              <w:t>John Wick: Chapter 4</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Lionsgate</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March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2"/>
              </w:rPr>
              <w:t>The Super Mario Bros. Movie</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Universal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April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1"/>
              </w:rPr>
              <w:t>Guardians of the Galaxy Vol. 3</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May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5"/>
              </w:rPr>
              <w:t>Fast X</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Universal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May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5"/>
              </w:rPr>
              <w:t>The Little Mermaid</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May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0"/>
              </w:rPr>
              <w:t>Spider-Man: Across the Spider-Verse</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Sony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June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0"/>
              </w:rPr>
              <w:t>Transformers: Rise of the Beasts</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Paramount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8"/>
              </w:rPr>
              <w:t>June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89"/>
              </w:rPr>
              <w:t>The Flash</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June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2"/>
              </w:rPr>
              <w:t>Indiana Jones 5</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July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2"/>
              </w:rPr>
              <w:t>Mission: Impossible - Dead Reckoning Part One</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Paramount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July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0"/>
              </w:rPr>
              <w:t>Oppenheimer</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1"/>
              </w:rPr>
              <w:t>Universal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July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Shot with IMAX Film Cameras</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0"/>
              </w:rPr>
              <w:t>Blue Beetle</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August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2"/>
              </w:rPr>
              <w:t>The Equalizer 3</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1"/>
              </w:rPr>
              <w:t>Sony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September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0"/>
              </w:rPr>
              <w:t>The Nun 2</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September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2"/>
              </w:rPr>
              <w:t>A Haunting in Venice</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Walt Disney Studios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September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92"/>
              </w:rPr>
              <w:t>Kraven the Hunter</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Sony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October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3"/>
              </w:rPr>
              <w:t>Dune: Part Two</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November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02"/>
        </w:trPr>
        <w:tc>
          <w:tcPr>
            <w:tcW w:w="3980" w:type="dxa"/>
            <w:vAlign w:val="bottom"/>
            <w:shd w:val="clear" w:color="auto" w:fill="CFF0FC"/>
          </w:tcPr>
          <w:p>
            <w:pPr>
              <w:jc w:val="center"/>
              <w:spacing w:after="0"/>
              <w:rPr>
                <w:sz w:val="20"/>
                <w:szCs w:val="20"/>
                <w:color w:val="auto"/>
              </w:rPr>
            </w:pPr>
            <w:r>
              <w:rPr>
                <w:rFonts w:ascii="Arial" w:cs="Arial" w:eastAsia="Arial" w:hAnsi="Arial"/>
                <w:sz w:val="16"/>
                <w:szCs w:val="16"/>
                <w:i w:val="1"/>
                <w:iCs w:val="1"/>
                <w:color w:val="auto"/>
                <w:w w:val="88"/>
              </w:rPr>
              <w:t>Wonka</w:t>
            </w: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December 2023</w:t>
            </w:r>
          </w:p>
        </w:tc>
        <w:tc>
          <w:tcPr>
            <w:tcW w:w="180" w:type="dxa"/>
            <w:vAlign w:val="bottom"/>
            <w:shd w:val="clear" w:color="auto" w:fill="CFF0FC"/>
          </w:tcPr>
          <w:p>
            <w:pPr>
              <w:spacing w:after="0"/>
              <w:rPr>
                <w:sz w:val="17"/>
                <w:szCs w:val="17"/>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06"/>
        </w:trPr>
        <w:tc>
          <w:tcPr>
            <w:tcW w:w="3980" w:type="dxa"/>
            <w:vAlign w:val="bottom"/>
          </w:tcPr>
          <w:p>
            <w:pPr>
              <w:jc w:val="center"/>
              <w:spacing w:after="0"/>
              <w:rPr>
                <w:sz w:val="20"/>
                <w:szCs w:val="20"/>
                <w:color w:val="auto"/>
              </w:rPr>
            </w:pPr>
            <w:r>
              <w:rPr>
                <w:rFonts w:ascii="Arial" w:cs="Arial" w:eastAsia="Arial" w:hAnsi="Arial"/>
                <w:sz w:val="16"/>
                <w:szCs w:val="16"/>
                <w:i w:val="1"/>
                <w:iCs w:val="1"/>
                <w:color w:val="auto"/>
                <w:w w:val="91"/>
              </w:rPr>
              <w:t>Aquaman and the Lost Kingdom</w:t>
            </w:r>
          </w:p>
        </w:tc>
        <w:tc>
          <w:tcPr>
            <w:tcW w:w="2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December 2023</w:t>
            </w:r>
          </w:p>
        </w:tc>
        <w:tc>
          <w:tcPr>
            <w:tcW w:w="1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505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80" w:lineRule="exact"/>
        <w:rPr>
          <w:sz w:val="20"/>
          <w:szCs w:val="20"/>
          <w:color w:val="auto"/>
        </w:rPr>
      </w:pPr>
    </w:p>
    <w:p>
      <w:pPr>
        <w:jc w:val="both"/>
        <w:ind w:left="380" w:hanging="372"/>
        <w:spacing w:after="0" w:line="248"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scheduled release dates in the table above are subject to change, including as a result of the impact of the COVID-19 pandemic, may vary by territory, and may not reflect the date(s) of limited premiere events. (See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in this report.)</w:t>
      </w:r>
    </w:p>
    <w:p>
      <w:pPr>
        <w:spacing w:after="0" w:line="142"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Denotes re-release films.</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 The Company also expects to announce additional local language films to be released to its global theater network in the remainder of 2022 and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4"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the Company provides the IMAX Theater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4" w:name="page55"/>
    <w:bookmarkEnd w:id="54"/>
    <w:p>
      <w:pPr>
        <w:jc w:val="both"/>
        <w:ind w:firstLine="225"/>
        <w:spacing w:after="0" w:line="260" w:lineRule="auto"/>
        <w:rPr>
          <w:sz w:val="20"/>
          <w:szCs w:val="20"/>
          <w:color w:val="auto"/>
        </w:rPr>
      </w:pPr>
      <w:r>
        <w:rPr>
          <w:rFonts w:ascii="Arial" w:cs="Arial" w:eastAsia="Arial" w:hAnsi="Arial"/>
          <w:sz w:val="17"/>
          <w:szCs w:val="17"/>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36"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0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32" w:lineRule="exact"/>
        <w:rPr>
          <w:sz w:val="20"/>
          <w:szCs w:val="20"/>
          <w:color w:val="auto"/>
        </w:rPr>
      </w:pPr>
    </w:p>
    <w:p>
      <w:pPr>
        <w:jc w:val="both"/>
        <w:ind w:firstLine="225"/>
        <w:spacing w:after="0" w:line="290"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21" w:lineRule="exact"/>
        <w:rPr>
          <w:sz w:val="20"/>
          <w:szCs w:val="20"/>
          <w:color w:val="auto"/>
        </w:rPr>
      </w:pPr>
    </w:p>
    <w:p>
      <w:pPr>
        <w:jc w:val="both"/>
        <w:ind w:firstLine="225"/>
        <w:spacing w:after="0" w:line="242" w:lineRule="auto"/>
        <w:rPr>
          <w:sz w:val="20"/>
          <w:szCs w:val="20"/>
          <w:color w:val="auto"/>
        </w:rPr>
      </w:pPr>
      <w:r>
        <w:rPr>
          <w:rFonts w:ascii="Arial" w:cs="Arial" w:eastAsia="Arial" w:hAnsi="Arial"/>
          <w:sz w:val="18"/>
          <w:szCs w:val="18"/>
          <w:color w:val="auto"/>
        </w:rPr>
        <w:t>Joint revenue sharing arrangements have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September 30, 2022, the Company had 926 theaters under joint revenue sharing arrangements in its global commercial multiplex theater network, a 2% increase as compared to the 904 theaters as of September 30, 2021. The Company also had contracts in backlog for 319 theaters under joint revenue sharing arrangements as of September 30, 2022, including 100 upgrades to existing theater locations and 219 new theater locations.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88"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IMAX Technology Sales and Maintenance category earns revenue principally from the sale or sales-type lease of IMAX Theater Systems, as well as from the maintenance of IMAX Theater Systems. To a lesser extent, the IMAX Technology Sales and Maintenance category also earns revenue from certain hybrid joint revenue sharing arrangements and certain ancillary theater business activities. These activities are described in more detail below under the captioned section for each respective segment.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71" w:lineRule="exact"/>
        <w:rPr>
          <w:sz w:val="20"/>
          <w:szCs w:val="20"/>
          <w:color w:val="auto"/>
        </w:rPr>
      </w:pPr>
    </w:p>
    <w:p>
      <w:pPr>
        <w:jc w:val="both"/>
        <w:ind w:firstLine="225"/>
        <w:spacing w:after="0" w:line="276"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5" w:name="page56"/>
    <w:bookmarkEnd w:id="55"/>
    <w:p>
      <w:pPr>
        <w:jc w:val="both"/>
        <w:ind w:firstLine="225"/>
        <w:spacing w:after="0" w:line="248"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revenue earned from customers under the Company's theater system sale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71"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IMAX Theater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theater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Theater System parts and 3D glasses.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8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7"/>
          <w:szCs w:val="17"/>
          <w:color w:val="auto"/>
        </w:rPr>
        <w:t>Through its Film Distribution segment, 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March 2022, the Company released the IMAX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documentary film entitled </w:t>
      </w:r>
      <w:r>
        <w:rPr>
          <w:rFonts w:ascii="Arial" w:cs="Arial" w:eastAsia="Arial" w:hAnsi="Arial"/>
          <w:sz w:val="18"/>
          <w:szCs w:val="18"/>
          <w:i w:val="1"/>
          <w:iCs w:val="1"/>
          <w:color w:val="auto"/>
        </w:rPr>
        <w:t>IMAX presents The Last Glaciers</w:t>
      </w:r>
      <w:r>
        <w:rPr>
          <w:rFonts w:ascii="Arial" w:cs="Arial" w:eastAsia="Arial" w:hAnsi="Arial"/>
          <w:sz w:val="18"/>
          <w:szCs w:val="18"/>
          <w:color w:val="auto"/>
        </w:rPr>
        <w:t>.</w:t>
      </w:r>
    </w:p>
    <w:p>
      <w:pPr>
        <w:spacing w:after="0" w:line="156"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In addition, the Company continues to evolve its platform to bring new, innovative IMAX Live events and experiences to audiences worldwide. The Company has a connected IMAX theater footprint capable of delivering live, interactive content with low latency and superior sight and sound. As of September 30, 2022, 176 theaters in the IMAX network across the United States, Canada, and Europe were configured to enable the streaming of live events. The Company expects to have 250 connected IMAX theaters available for streaming IMAX Live events by the end of 2022.</w:t>
      </w:r>
    </w:p>
    <w:p>
      <w:pPr>
        <w:spacing w:after="0" w:line="138"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18"/>
          <w:szCs w:val="18"/>
          <w:color w:val="auto"/>
        </w:rPr>
        <w:t xml:space="preserve">In the first quarter of 2022, the Company partnered with Disney for a live Q&amp;A with director and producer Peter Jackson, streaming to 68 IMAX theaters in North America, followed by a special screening of </w:t>
      </w:r>
      <w:r>
        <w:rPr>
          <w:rFonts w:ascii="Arial" w:cs="Arial" w:eastAsia="Arial" w:hAnsi="Arial"/>
          <w:sz w:val="18"/>
          <w:szCs w:val="18"/>
          <w:i w:val="1"/>
          <w:iCs w:val="1"/>
          <w:color w:val="auto"/>
        </w:rPr>
        <w:t>The Beatles: Get Back – The Rooftop Concert</w:t>
      </w:r>
      <w:r>
        <w:rPr>
          <w:rFonts w:ascii="Arial" w:cs="Arial" w:eastAsia="Arial" w:hAnsi="Arial"/>
          <w:sz w:val="18"/>
          <w:szCs w:val="18"/>
          <w:color w:val="auto"/>
        </w:rPr>
        <w:t xml:space="preserve">, which was later released across the IMAX global network. In the second quarter of 2022, the Company partnered with Warner Bros. for a live Q&amp;A that preceded a special screening of </w:t>
      </w:r>
      <w:r>
        <w:rPr>
          <w:rFonts w:ascii="Arial" w:cs="Arial" w:eastAsia="Arial" w:hAnsi="Arial"/>
          <w:sz w:val="18"/>
          <w:szCs w:val="18"/>
          <w:i w:val="1"/>
          <w:iCs w:val="1"/>
          <w:color w:val="auto"/>
        </w:rPr>
        <w:t>Fantastic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Beasts: The Secrets of Dumbledore </w:t>
      </w:r>
      <w:r>
        <w:rPr>
          <w:rFonts w:ascii="Arial" w:cs="Arial" w:eastAsia="Arial" w:hAnsi="Arial"/>
          <w:sz w:val="18"/>
          <w:szCs w:val="18"/>
          <w:color w:val="auto"/>
        </w:rPr>
        <w:t>and partnered with Universal for a live Q&amp;A that preceded a special screening of</w:t>
      </w:r>
      <w:r>
        <w:rPr>
          <w:rFonts w:ascii="Arial" w:cs="Arial" w:eastAsia="Arial" w:hAnsi="Arial"/>
          <w:sz w:val="18"/>
          <w:szCs w:val="18"/>
          <w:i w:val="1"/>
          <w:iCs w:val="1"/>
          <w:color w:val="auto"/>
        </w:rPr>
        <w:t xml:space="preserve"> Jurassic World Dominion</w:t>
      </w:r>
      <w:r>
        <w:rPr>
          <w:rFonts w:ascii="Arial" w:cs="Arial" w:eastAsia="Arial" w:hAnsi="Arial"/>
          <w:sz w:val="18"/>
          <w:szCs w:val="18"/>
          <w:color w:val="auto"/>
        </w:rPr>
        <w:t>. Also,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second quarter of 2022, IMAX Live, in partnership with Summer Game Fest 2022, presented </w:t>
      </w:r>
      <w:r>
        <w:rPr>
          <w:rFonts w:ascii="Arial" w:cs="Arial" w:eastAsia="Arial" w:hAnsi="Arial"/>
          <w:sz w:val="18"/>
          <w:szCs w:val="18"/>
          <w:i w:val="1"/>
          <w:iCs w:val="1"/>
          <w:color w:val="auto"/>
        </w:rPr>
        <w:t>Summer Game Fest</w:t>
      </w:r>
      <w:r>
        <w:rPr>
          <w:rFonts w:ascii="Arial" w:cs="Arial" w:eastAsia="Arial" w:hAnsi="Arial"/>
          <w:sz w:val="18"/>
          <w:szCs w:val="18"/>
          <w:color w:val="auto"/>
        </w:rPr>
        <w:t xml:space="preserve">, a first-fan celebration of the future of video games, in connected theaters. In the third quarter of 2022, the Company partnered with Warner Bros. for a live Q&amp;A that preceded a special screening of </w:t>
      </w:r>
      <w:r>
        <w:rPr>
          <w:rFonts w:ascii="Arial" w:cs="Arial" w:eastAsia="Arial" w:hAnsi="Arial"/>
          <w:sz w:val="18"/>
          <w:szCs w:val="18"/>
          <w:i w:val="1"/>
          <w:iCs w:val="1"/>
          <w:color w:val="auto"/>
        </w:rPr>
        <w:t>Don't Worry Darling.</w:t>
      </w:r>
      <w:r>
        <w:rPr>
          <w:rFonts w:ascii="Arial" w:cs="Arial" w:eastAsia="Arial" w:hAnsi="Arial"/>
          <w:sz w:val="18"/>
          <w:szCs w:val="18"/>
          <w:color w:val="auto"/>
        </w:rPr>
        <w:t xml:space="preserve"> Also in the third quarter of 2022, the Company presented </w:t>
      </w:r>
      <w:r>
        <w:rPr>
          <w:rFonts w:ascii="Arial" w:cs="Arial" w:eastAsia="Arial" w:hAnsi="Arial"/>
          <w:sz w:val="18"/>
          <w:szCs w:val="18"/>
          <w:i w:val="1"/>
          <w:iCs w:val="1"/>
          <w:color w:val="auto"/>
        </w:rPr>
        <w:t>Brandi Carlile: In The Canyon Haze - Live from Laurel</w:t>
      </w:r>
      <w:r>
        <w:rPr>
          <w:rFonts w:ascii="Arial" w:cs="Arial" w:eastAsia="Arial" w:hAnsi="Arial"/>
          <w:sz w:val="18"/>
          <w:szCs w:val="18"/>
          <w:color w:val="auto"/>
        </w:rPr>
        <w:t xml:space="preserve"> </w:t>
      </w:r>
      <w:r>
        <w:rPr>
          <w:rFonts w:ascii="Arial" w:cs="Arial" w:eastAsia="Arial" w:hAnsi="Arial"/>
          <w:sz w:val="18"/>
          <w:szCs w:val="18"/>
          <w:i w:val="1"/>
          <w:iCs w:val="1"/>
          <w:color w:val="auto"/>
        </w:rPr>
        <w:t>Canyon</w:t>
      </w:r>
      <w:r>
        <w:rPr>
          <w:rFonts w:ascii="Arial" w:cs="Arial" w:eastAsia="Arial" w:hAnsi="Arial"/>
          <w:sz w:val="18"/>
          <w:szCs w:val="18"/>
          <w:color w:val="auto"/>
        </w:rPr>
        <w:t>, a one-night-only live concert performing her new deluxe album</w:t>
      </w:r>
      <w:r>
        <w:rPr>
          <w:rFonts w:ascii="Arial" w:cs="Arial" w:eastAsia="Arial" w:hAnsi="Arial"/>
          <w:sz w:val="18"/>
          <w:szCs w:val="18"/>
          <w:i w:val="1"/>
          <w:iCs w:val="1"/>
          <w:color w:val="auto"/>
        </w:rPr>
        <w:t xml:space="preserve"> In The Canyon Haze </w:t>
      </w:r>
      <w:r>
        <w:rPr>
          <w:rFonts w:ascii="Arial" w:cs="Arial" w:eastAsia="Arial" w:hAnsi="Arial"/>
          <w:sz w:val="18"/>
          <w:szCs w:val="18"/>
          <w:color w:val="auto"/>
        </w:rPr>
        <w:t>for the very first time, in connected theaters across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w:t>
      </w:r>
    </w:p>
    <w:p>
      <w:pPr>
        <w:spacing w:after="0" w:line="184"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Through its Film Post-Production segment, the Company provides film post-production and quality control services for large-format films, whether produced by IMAX or third parties, and digital post-production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Enhanced</w:t>
      </w:r>
    </w:p>
    <w:p>
      <w:pPr>
        <w:spacing w:after="0" w:line="195" w:lineRule="exact"/>
        <w:rPr>
          <w:sz w:val="20"/>
          <w:szCs w:val="20"/>
          <w:color w:val="auto"/>
        </w:rPr>
      </w:pPr>
    </w:p>
    <w:p>
      <w:pPr>
        <w:jc w:val="both"/>
        <w:ind w:firstLine="225"/>
        <w:spacing w:after="0" w:line="250" w:lineRule="auto"/>
        <w:rPr>
          <w:sz w:val="20"/>
          <w:szCs w:val="20"/>
          <w:color w:val="auto"/>
        </w:rPr>
      </w:pPr>
      <w:r>
        <w:rPr>
          <w:rFonts w:ascii="Arial" w:cs="Arial" w:eastAsia="Arial" w:hAnsi="Arial"/>
          <w:sz w:val="18"/>
          <w:szCs w:val="18"/>
          <w:color w:val="auto"/>
        </w:rPr>
        <w:t>IMAX Enhanced</w:t>
      </w:r>
      <w:r>
        <w:rPr>
          <w:rFonts w:ascii="Arial" w:cs="Arial" w:eastAsia="Arial" w:hAnsi="Arial"/>
          <w:sz w:val="19"/>
          <w:szCs w:val="19"/>
          <w:color w:val="auto"/>
        </w:rPr>
        <w:t>®</w:t>
      </w:r>
      <w:r>
        <w:rPr>
          <w:rFonts w:ascii="Arial" w:cs="Arial" w:eastAsia="Arial" w:hAnsi="Arial"/>
          <w:sz w:val="18"/>
          <w:szCs w:val="18"/>
          <w:color w:val="auto"/>
        </w:rPr>
        <w:t xml:space="preserve"> is an initiative, in partnership with audio leader DTS (an Xperi subsidiary), to bring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153" w:lineRule="exact"/>
        <w:rPr>
          <w:sz w:val="20"/>
          <w:szCs w:val="20"/>
          <w:color w:val="auto"/>
        </w:rPr>
      </w:pPr>
    </w:p>
    <w:p>
      <w:pPr>
        <w:ind w:left="600" w:hanging="36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IMAX's expanded aspect ratio, which is available on select titles and streaming platforms, including Disney+;</w:t>
      </w:r>
    </w:p>
    <w:p>
      <w:pPr>
        <w:spacing w:after="0" w:line="170" w:lineRule="exact"/>
        <w:rPr>
          <w:rFonts w:ascii="Arial" w:cs="Arial" w:eastAsia="Arial" w:hAnsi="Arial"/>
          <w:sz w:val="18"/>
          <w:szCs w:val="18"/>
          <w:color w:val="auto"/>
        </w:rPr>
      </w:pPr>
    </w:p>
    <w:p>
      <w:pPr>
        <w:ind w:left="600" w:hanging="36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IMAX's proprietary remastering technology, which produces more vivid, higher fidelity 4K HDR images on premium televisions; and</w:t>
      </w:r>
    </w:p>
    <w:p>
      <w:pPr>
        <w:spacing w:after="0" w:line="184" w:lineRule="exact"/>
        <w:rPr>
          <w:rFonts w:ascii="Arial" w:cs="Arial" w:eastAsia="Arial" w:hAnsi="Arial"/>
          <w:sz w:val="18"/>
          <w:szCs w:val="18"/>
          <w:color w:val="auto"/>
        </w:rPr>
      </w:pPr>
    </w:p>
    <w:p>
      <w:pPr>
        <w:ind w:left="600" w:hanging="36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IMAX signature sound, which is specially recreated and calibrated for the home by DTS to unlock more immersive audio.</w:t>
      </w:r>
    </w:p>
    <w:p>
      <w:pPr>
        <w:spacing w:after="0" w:line="184"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To be certified as IMAX Enhanced, leading consumer electronics manufacturers spanning 4K/8K televisions, projectors, A/V receivers, loudspeakers, soundbars and smartphones must meet a carefully prescribed set of audiovisual performance standards, set by a certification committee of IMAX and DTS engineers, along with some of Hollywood's leading technical specialists.</w:t>
      </w:r>
    </w:p>
    <w:p>
      <w:pPr>
        <w:spacing w:after="0" w:line="156"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At present, certified global device partners include Sony Electronics, Hisense, TCL, LG, Phillips, Xiaomi, Sound United and Honor, among others. As of September 30, 2022, more than 200 IMAX Enhanced titles have been released across five of the biggest streaming platforms worldwide, including Disney+, Sony Bravia CORE, Tencent Video, iQiyi and Rakuten TV. Over 10 million IMAX Enhanced certified devices are estimated to be in the market today.</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collaboration with Disney, which was announced in November 2021, allows fans to stream 17 Disney titles in IMAX's Expanded Aspect</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Ratio at home on Disney+, including </w:t>
      </w:r>
      <w:r>
        <w:rPr>
          <w:rFonts w:ascii="Arial" w:cs="Arial" w:eastAsia="Arial" w:hAnsi="Arial"/>
          <w:sz w:val="16"/>
          <w:szCs w:val="16"/>
          <w:i w:val="1"/>
          <w:iCs w:val="1"/>
          <w:color w:val="auto"/>
        </w:rPr>
        <w:t>Doctor Strange in the Multiverse of Madness</w:t>
      </w:r>
      <w:r>
        <w:rPr>
          <w:rFonts w:ascii="Arial" w:cs="Arial" w:eastAsia="Arial" w:hAnsi="Arial"/>
          <w:sz w:val="16"/>
          <w:szCs w:val="16"/>
          <w:color w:val="auto"/>
        </w:rPr>
        <w:t xml:space="preserve">, </w:t>
      </w:r>
      <w:r>
        <w:rPr>
          <w:rFonts w:ascii="Arial" w:cs="Arial" w:eastAsia="Arial" w:hAnsi="Arial"/>
          <w:sz w:val="16"/>
          <w:szCs w:val="16"/>
          <w:i w:val="1"/>
          <w:iCs w:val="1"/>
          <w:color w:val="auto"/>
        </w:rPr>
        <w:t>Shang-Chi and The Legend of The Ten Rings</w:t>
      </w:r>
      <w:r>
        <w:rPr>
          <w:rFonts w:ascii="Arial" w:cs="Arial" w:eastAsia="Arial" w:hAnsi="Arial"/>
          <w:sz w:val="16"/>
          <w:szCs w:val="16"/>
          <w:color w:val="auto"/>
        </w:rPr>
        <w:t xml:space="preserve">, and </w:t>
      </w:r>
      <w:r>
        <w:rPr>
          <w:rFonts w:ascii="Arial" w:cs="Arial" w:eastAsia="Arial" w:hAnsi="Arial"/>
          <w:sz w:val="16"/>
          <w:szCs w:val="16"/>
          <w:i w:val="1"/>
          <w:iCs w:val="1"/>
          <w:color w:val="auto"/>
        </w:rPr>
        <w:t>Eternals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Iron Man</w:t>
      </w:r>
      <w:r>
        <w:rPr>
          <w:rFonts w:ascii="Arial" w:cs="Arial" w:eastAsia="Arial" w:hAnsi="Arial"/>
          <w:sz w:val="16"/>
          <w:szCs w:val="16"/>
          <w:color w:val="auto"/>
        </w:rPr>
        <w:t>,</w:t>
      </w:r>
      <w:r>
        <w:rPr>
          <w:rFonts w:ascii="Arial" w:cs="Arial" w:eastAsia="Arial" w:hAnsi="Arial"/>
          <w:sz w:val="16"/>
          <w:szCs w:val="16"/>
          <w:i w:val="1"/>
          <w:iCs w:val="1"/>
          <w:color w:val="auto"/>
        </w:rPr>
        <w:t xml:space="preserve"> Guardians of the Galaxy</w:t>
      </w:r>
      <w:r>
        <w:rPr>
          <w:rFonts w:ascii="Arial" w:cs="Arial" w:eastAsia="Arial" w:hAnsi="Arial"/>
          <w:sz w:val="16"/>
          <w:szCs w:val="16"/>
          <w:color w:val="auto"/>
        </w:rPr>
        <w:t>,</w:t>
      </w:r>
      <w:r>
        <w:rPr>
          <w:rFonts w:ascii="Arial" w:cs="Arial" w:eastAsia="Arial" w:hAnsi="Arial"/>
          <w:sz w:val="16"/>
          <w:szCs w:val="16"/>
          <w:i w:val="1"/>
          <w:iCs w:val="1"/>
          <w:color w:val="auto"/>
        </w:rPr>
        <w:t xml:space="preserve"> Guardians of the Galaxy Vol. 2, Captain America: Civil War</w:t>
      </w:r>
      <w:r>
        <w:rPr>
          <w:rFonts w:ascii="Arial" w:cs="Arial" w:eastAsia="Arial" w:hAnsi="Arial"/>
          <w:sz w:val="16"/>
          <w:szCs w:val="16"/>
          <w:color w:val="auto"/>
        </w:rPr>
        <w:t>,</w:t>
      </w:r>
      <w:r>
        <w:rPr>
          <w:rFonts w:ascii="Arial" w:cs="Arial" w:eastAsia="Arial" w:hAnsi="Arial"/>
          <w:sz w:val="16"/>
          <w:szCs w:val="16"/>
          <w:i w:val="1"/>
          <w:iCs w:val="1"/>
          <w:color w:val="auto"/>
        </w:rPr>
        <w:t xml:space="preserve"> Doctor Strange</w:t>
      </w:r>
      <w:r>
        <w:rPr>
          <w:rFonts w:ascii="Arial" w:cs="Arial" w:eastAsia="Arial" w:hAnsi="Arial"/>
          <w:sz w:val="16"/>
          <w:szCs w:val="16"/>
          <w:color w:val="auto"/>
        </w:rPr>
        <w:t>,</w:t>
      </w:r>
      <w:r>
        <w:rPr>
          <w:rFonts w:ascii="Arial" w:cs="Arial" w:eastAsia="Arial" w:hAnsi="Arial"/>
          <w:sz w:val="16"/>
          <w:szCs w:val="16"/>
          <w:i w:val="1"/>
          <w:iCs w:val="1"/>
          <w:color w:val="auto"/>
        </w:rPr>
        <w:t xml:space="preserve"> Thor: Ragnarok</w:t>
      </w:r>
      <w:r>
        <w:rPr>
          <w:rFonts w:ascii="Arial" w:cs="Arial" w:eastAsia="Arial" w:hAnsi="Arial"/>
          <w:sz w:val="16"/>
          <w:szCs w:val="16"/>
          <w:color w:val="auto"/>
        </w:rPr>
        <w:t>,</w:t>
      </w:r>
      <w:r>
        <w:rPr>
          <w:rFonts w:ascii="Arial" w:cs="Arial" w:eastAsia="Arial" w:hAnsi="Arial"/>
          <w:sz w:val="16"/>
          <w:szCs w:val="16"/>
          <w:i w:val="1"/>
          <w:iCs w:val="1"/>
          <w:color w:val="auto"/>
        </w:rPr>
        <w:t xml:space="preserve"> Black Panther</w:t>
      </w:r>
      <w:r>
        <w:rPr>
          <w:rFonts w:ascii="Arial" w:cs="Arial" w:eastAsia="Arial" w:hAnsi="Arial"/>
          <w:sz w:val="16"/>
          <w:szCs w:val="16"/>
          <w:color w:val="auto"/>
        </w:rPr>
        <w:t>,</w:t>
      </w:r>
      <w:r>
        <w:rPr>
          <w:rFonts w:ascii="Arial" w:cs="Arial" w:eastAsia="Arial" w:hAnsi="Arial"/>
          <w:sz w:val="16"/>
          <w:szCs w:val="16"/>
          <w:i w:val="1"/>
          <w:iCs w:val="1"/>
          <w:color w:val="auto"/>
        </w:rPr>
        <w:t xml:space="preserve"> Avengers: Infinity War</w:t>
      </w:r>
      <w:r>
        <w:rPr>
          <w:rFonts w:ascii="Arial" w:cs="Arial" w:eastAsia="Arial" w:hAnsi="Arial"/>
          <w:sz w:val="16"/>
          <w:szCs w:val="16"/>
          <w:color w:val="auto"/>
        </w:rPr>
        <w:t>,</w:t>
      </w:r>
      <w:r>
        <w:rPr>
          <w:rFonts w:ascii="Arial" w:cs="Arial" w:eastAsia="Arial" w:hAnsi="Arial"/>
          <w:sz w:val="16"/>
          <w:szCs w:val="16"/>
          <w:i w:val="1"/>
          <w:iCs w:val="1"/>
          <w:color w:val="auto"/>
        </w:rPr>
        <w:t xml:space="preserve"> Ant-Man and The Wasp</w:t>
      </w:r>
      <w:r>
        <w:rPr>
          <w:rFonts w:ascii="Arial" w:cs="Arial" w:eastAsia="Arial" w:hAnsi="Arial"/>
          <w:sz w:val="16"/>
          <w:szCs w:val="16"/>
          <w:color w:val="auto"/>
        </w:rPr>
        <w:t>,</w:t>
      </w:r>
      <w:r>
        <w:rPr>
          <w:rFonts w:ascii="Arial" w:cs="Arial" w:eastAsia="Arial" w:hAnsi="Arial"/>
          <w:sz w:val="16"/>
          <w:szCs w:val="16"/>
          <w:i w:val="1"/>
          <w:iCs w:val="1"/>
          <w:color w:val="auto"/>
        </w:rPr>
        <w:t xml:space="preserve"> Captain Marvel</w:t>
      </w:r>
      <w:r>
        <w:rPr>
          <w:rFonts w:ascii="Arial" w:cs="Arial" w:eastAsia="Arial" w:hAnsi="Arial"/>
          <w:sz w:val="16"/>
          <w:szCs w:val="16"/>
          <w:color w:val="auto"/>
        </w:rPr>
        <w:t>,</w:t>
      </w:r>
      <w:r>
        <w:rPr>
          <w:rFonts w:ascii="Arial" w:cs="Arial" w:eastAsia="Arial" w:hAnsi="Arial"/>
          <w:sz w:val="16"/>
          <w:szCs w:val="16"/>
          <w:i w:val="1"/>
          <w:iCs w:val="1"/>
          <w:color w:val="auto"/>
        </w:rPr>
        <w:t xml:space="preserve"> Avengers: Endgame</w:t>
      </w:r>
      <w:r>
        <w:rPr>
          <w:rFonts w:ascii="Arial" w:cs="Arial" w:eastAsia="Arial" w:hAnsi="Arial"/>
          <w:sz w:val="16"/>
          <w:szCs w:val="16"/>
          <w:color w:val="auto"/>
        </w:rPr>
        <w:t>,</w:t>
      </w:r>
      <w:r>
        <w:rPr>
          <w:rFonts w:ascii="Arial" w:cs="Arial" w:eastAsia="Arial" w:hAnsi="Arial"/>
          <w:sz w:val="16"/>
          <w:szCs w:val="16"/>
          <w:i w:val="1"/>
          <w:iCs w:val="1"/>
          <w:color w:val="auto"/>
        </w:rPr>
        <w:t xml:space="preserve"> Black Widow</w:t>
      </w:r>
      <w:r>
        <w:rPr>
          <w:rFonts w:ascii="Arial" w:cs="Arial" w:eastAsia="Arial" w:hAnsi="Arial"/>
          <w:sz w:val="16"/>
          <w:szCs w:val="16"/>
          <w:color w:val="auto"/>
        </w:rPr>
        <w:t>,</w:t>
      </w:r>
      <w:r>
        <w:rPr>
          <w:rFonts w:ascii="Arial" w:cs="Arial" w:eastAsia="Arial" w:hAnsi="Arial"/>
          <w:sz w:val="16"/>
          <w:szCs w:val="16"/>
          <w:i w:val="1"/>
          <w:iCs w:val="1"/>
          <w:color w:val="auto"/>
        </w:rPr>
        <w:t xml:space="preserve"> Lightyear</w:t>
      </w:r>
      <w:r>
        <w:rPr>
          <w:rFonts w:ascii="Arial" w:cs="Arial" w:eastAsia="Arial" w:hAnsi="Arial"/>
          <w:sz w:val="16"/>
          <w:szCs w:val="16"/>
          <w:color w:val="auto"/>
        </w:rPr>
        <w:t>, and</w:t>
      </w:r>
      <w:r>
        <w:rPr>
          <w:rFonts w:ascii="Arial" w:cs="Arial" w:eastAsia="Arial" w:hAnsi="Arial"/>
          <w:sz w:val="16"/>
          <w:szCs w:val="16"/>
          <w:i w:val="1"/>
          <w:iCs w:val="1"/>
          <w:color w:val="auto"/>
        </w:rPr>
        <w:t xml:space="preserve"> Thor: Love and Thunder </w:t>
      </w:r>
      <w:r>
        <w:rPr>
          <w:rFonts w:ascii="Arial" w:cs="Arial" w:eastAsia="Arial" w:hAnsi="Arial"/>
          <w:sz w:val="16"/>
          <w:szCs w:val="16"/>
          <w:color w:val="auto"/>
        </w:rPr>
        <w:t>(content</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availability varies by region). The launch of IMAX Enhanced on Disney+ provides strong brand exposure for IMAX by expanding the Company's in-home entertainment footprint to more than 80 million subscribers.</w:t>
      </w:r>
    </w:p>
    <w:p>
      <w:pPr>
        <w:spacing w:after="0" w:line="15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IMAX Enhanced and the collaboration with Disney is part of the Company's next evolutionary step to extend the IMAX brand and technology further into new use cases, including streaming entertainment and the consumer electronics market.</w:t>
      </w:r>
    </w:p>
    <w:p>
      <w:pPr>
        <w:spacing w:after="0" w:line="143" w:lineRule="exact"/>
        <w:rPr>
          <w:sz w:val="20"/>
          <w:szCs w:val="20"/>
          <w:color w:val="auto"/>
        </w:rPr>
      </w:pPr>
    </w:p>
    <w:p>
      <w:pPr>
        <w:jc w:val="both"/>
        <w:ind w:firstLine="225"/>
        <w:spacing w:after="0" w:line="324" w:lineRule="auto"/>
        <w:rPr>
          <w:sz w:val="20"/>
          <w:szCs w:val="20"/>
          <w:color w:val="auto"/>
        </w:rPr>
      </w:pPr>
      <w:r>
        <w:rPr>
          <w:rFonts w:ascii="Arial" w:cs="Arial" w:eastAsia="Arial" w:hAnsi="Arial"/>
          <w:sz w:val="16"/>
          <w:szCs w:val="16"/>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SSIMWAVE</w:t>
      </w:r>
    </w:p>
    <w:p>
      <w:pPr>
        <w:spacing w:after="0" w:line="171"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On September 22, 2022 (the "Closing Date"), the Company acquired all of the issued and outstanding shares of SSIMWAVE pursuant to a share purchase agreement by and among the Company, SSIMWAVE, and related shareholders (the "Sellers"). SSIMWAVE provides perceptual quality measurement and optimization solutions based on artificial intelligence technologies for leading media and entertainment companies. Following the acquisition, SSIMWAVE became a wholly-owned subsidiary of the Company.</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consideration for the acquisition of SSIMWAVE, the Company is paying an aggregate purchase price of approximately $23.1 million, comprised of:</w:t>
      </w:r>
    </w:p>
    <w:p>
      <w:pPr>
        <w:spacing w:after="0" w:line="34" w:lineRule="exact"/>
        <w:rPr>
          <w:sz w:val="20"/>
          <w:szCs w:val="20"/>
          <w:color w:val="auto"/>
        </w:rPr>
      </w:pPr>
    </w:p>
    <w:p>
      <w:pPr>
        <w:jc w:val="both"/>
        <w:ind w:firstLine="8"/>
        <w:spacing w:after="0" w:line="242" w:lineRule="auto"/>
        <w:tabs>
          <w:tab w:leader="none" w:pos="2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$19.4 million in cash, of which $16.2 million was paid on the Closing Date, (ii) 160,547 common shares of the Company with a fair value of $1.9 million (the "IMAX Share Consideration"), and (iii) contingent consideration with a fair value of $1.8 million (the "Earn-Out Payment"). The fair value of the IMAX Share Consideration is reduced to reflect the fair value of certain restrictions on the future transfer of the shares. The Earn-Out Payment may be paid to certain Sellers in an aggregate amount of up to $2.0 million in cash, contingent upon and following the achievement of certain commercial and financial milestones during the period from January 1, 2023 to December 31, 2024. The fair value of the Earn-Out Payment is based on management's assessment of the likelihood of achieving these milestones.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(See Note 4 of Notes to Condensed Consolidated Financial Statements for additional information related to the Company's acquisition of SSIMWAVE.)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All Other also includes revenues from the one owned and operated IMAX theater in Sacramento, California; a commercial arrangement with one theater resulting in the sharing of profits and losses; the provision of management services to three other theaters; renting the Company's proprietary 2D and 3D large-format film and digital cameras to third-party production companies; and also offering production advice and technical assistance to both documentary and Hollywood filmmakers.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NETWORK AND BACKLOG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IMAX network by type and geographic location as of September 30, 2022 and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22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Institutional</w:t>
            </w:r>
          </w:p>
        </w:tc>
        <w:tc>
          <w:tcPr>
            <w:tcW w:w="120" w:type="dxa"/>
            <w:vAlign w:val="bottom"/>
          </w:tcPr>
          <w:p>
            <w:pPr>
              <w:spacing w:after="0"/>
              <w:rPr>
                <w:sz w:val="11"/>
                <w:szCs w:val="11"/>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08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02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1"/>
                <w:szCs w:val="11"/>
                <w:color w:val="auto"/>
              </w:rPr>
            </w:pPr>
          </w:p>
        </w:tc>
        <w:tc>
          <w:tcPr>
            <w:tcW w:w="11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Institutional</w:t>
            </w:r>
          </w:p>
        </w:tc>
        <w:tc>
          <w:tcPr>
            <w:tcW w:w="100" w:type="dxa"/>
            <w:vAlign w:val="bottom"/>
          </w:tcPr>
          <w:p>
            <w:pPr>
              <w:spacing w:after="0"/>
              <w:rPr>
                <w:sz w:val="11"/>
                <w:szCs w:val="11"/>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Multiplex</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Destination</w:t>
            </w: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Multiplex</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Destination</w:t>
            </w:r>
          </w:p>
        </w:tc>
        <w:tc>
          <w:tcPr>
            <w:tcW w:w="10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57"/>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35"/>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48</w:t>
            </w:r>
          </w:p>
        </w:tc>
        <w:tc>
          <w:tcPr>
            <w:tcW w:w="1180" w:type="dxa"/>
            <w:vAlign w:val="bottom"/>
            <w:gridSpan w:val="2"/>
          </w:tcPr>
          <w:p>
            <w:pPr>
              <w:jc w:val="right"/>
              <w:ind w:right="39"/>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37"/>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55"/>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3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Greater China</w:t>
            </w:r>
            <w:r>
              <w:rPr>
                <w:rFonts w:ascii="Arial" w:cs="Arial" w:eastAsia="Arial" w:hAnsi="Arial"/>
                <w:sz w:val="24"/>
                <w:szCs w:val="24"/>
                <w:color w:val="auto"/>
                <w:vertAlign w:val="superscript"/>
              </w:rPr>
              <w:t>(1)</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790</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Western Europe</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117</w:t>
            </w:r>
          </w:p>
        </w:tc>
        <w:tc>
          <w:tcPr>
            <w:tcW w:w="1340" w:type="dxa"/>
            <w:vAlign w:val="bottom"/>
            <w:gridSpan w:val="2"/>
          </w:tcPr>
          <w:p>
            <w:pPr>
              <w:jc w:val="right"/>
              <w:ind w:right="57"/>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35"/>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129</w:t>
            </w:r>
          </w:p>
        </w:tc>
        <w:tc>
          <w:tcPr>
            <w:tcW w:w="1180" w:type="dxa"/>
            <w:vAlign w:val="bottom"/>
            <w:gridSpan w:val="2"/>
          </w:tcPr>
          <w:p>
            <w:pPr>
              <w:jc w:val="right"/>
              <w:ind w:right="39"/>
              <w:spacing w:after="0"/>
              <w:rPr>
                <w:sz w:val="20"/>
                <w:szCs w:val="20"/>
                <w:color w:val="auto"/>
              </w:rPr>
            </w:pPr>
            <w:r>
              <w:rPr>
                <w:rFonts w:ascii="Arial" w:cs="Arial" w:eastAsia="Arial" w:hAnsi="Arial"/>
                <w:sz w:val="18"/>
                <w:szCs w:val="18"/>
                <w:color w:val="auto"/>
              </w:rPr>
              <w:t>116</w:t>
            </w:r>
          </w:p>
        </w:tc>
        <w:tc>
          <w:tcPr>
            <w:tcW w:w="1140" w:type="dxa"/>
            <w:vAlign w:val="bottom"/>
            <w:gridSpan w:val="2"/>
          </w:tcPr>
          <w:p>
            <w:pPr>
              <w:jc w:val="right"/>
              <w:ind w:right="37"/>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55"/>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3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4"/>
        </w:trPr>
        <w:tc>
          <w:tcPr>
            <w:tcW w:w="21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8"/>
                <w:szCs w:val="18"/>
                <w:color w:val="auto"/>
              </w:rPr>
              <w:t>Asia (excluding Greater</w:t>
            </w: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China)</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131</w:t>
            </w:r>
          </w:p>
        </w:tc>
        <w:tc>
          <w:tcPr>
            <w:tcW w:w="134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121</w:t>
            </w:r>
          </w:p>
        </w:tc>
        <w:tc>
          <w:tcPr>
            <w:tcW w:w="11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line="216" w:lineRule="exact"/>
              <w:rPr>
                <w:sz w:val="20"/>
                <w:szCs w:val="20"/>
                <w:color w:val="auto"/>
              </w:rPr>
            </w:pPr>
            <w:r>
              <w:rPr>
                <w:rFonts w:ascii="Arial" w:cs="Arial" w:eastAsia="Arial" w:hAnsi="Arial"/>
                <w:sz w:val="18"/>
                <w:szCs w:val="18"/>
                <w:color w:val="auto"/>
                <w:w w:val="95"/>
              </w:rPr>
              <w:t>Russia/the CIS &amp; Ukraine</w:t>
            </w:r>
            <w:r>
              <w:rPr>
                <w:rFonts w:ascii="Arial" w:cs="Arial" w:eastAsia="Arial" w:hAnsi="Arial"/>
                <w:sz w:val="24"/>
                <w:szCs w:val="24"/>
                <w:color w:val="auto"/>
                <w:w w:val="95"/>
                <w:vertAlign w:val="superscript"/>
              </w:rPr>
              <w:t>(2)</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ind w:right="39"/>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Latin America</w:t>
            </w:r>
            <w:r>
              <w:rPr>
                <w:rFonts w:ascii="Arial" w:cs="Arial" w:eastAsia="Arial" w:hAnsi="Arial"/>
                <w:sz w:val="24"/>
                <w:szCs w:val="24"/>
                <w:color w:val="auto"/>
                <w:vertAlign w:val="superscript"/>
              </w:rPr>
              <w:t>(3)</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55</w:t>
            </w:r>
          </w:p>
        </w:tc>
        <w:tc>
          <w:tcPr>
            <w:tcW w:w="134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67</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51</w:t>
            </w:r>
          </w:p>
        </w:tc>
        <w:tc>
          <w:tcPr>
            <w:tcW w:w="11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Rest of the World</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5"/>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71</w:t>
            </w:r>
          </w:p>
        </w:tc>
        <w:tc>
          <w:tcPr>
            <w:tcW w:w="1180" w:type="dxa"/>
            <w:vAlign w:val="bottom"/>
            <w:gridSpan w:val="2"/>
          </w:tcPr>
          <w:p>
            <w:pPr>
              <w:jc w:val="right"/>
              <w:ind w:right="39"/>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5"/>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3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9"/>
        </w:trPr>
        <w:tc>
          <w:tcPr>
            <w:tcW w:w="2180" w:type="dxa"/>
            <w:vAlign w:val="bottom"/>
            <w:tcBorders>
              <w:bottom w:val="single" w:sz="8" w:color="CFF0FC"/>
            </w:tcBorders>
            <w:gridSpan w:val="2"/>
            <w:shd w:val="clear" w:color="auto" w:fill="CFF0FC"/>
          </w:tcPr>
          <w:p>
            <w:pPr>
              <w:ind w:left="20"/>
              <w:spacing w:after="0" w:line="209" w:lineRule="exact"/>
              <w:rPr>
                <w:sz w:val="20"/>
                <w:szCs w:val="20"/>
                <w:color w:val="auto"/>
              </w:rPr>
            </w:pPr>
            <w:r>
              <w:rPr>
                <w:rFonts w:ascii="Arial" w:cs="Arial" w:eastAsia="Arial" w:hAnsi="Arial"/>
                <w:sz w:val="18"/>
                <w:szCs w:val="18"/>
                <w:color w:val="auto"/>
              </w:rPr>
              <w:t>Total</w:t>
            </w:r>
            <w:r>
              <w:rPr>
                <w:rFonts w:ascii="Arial" w:cs="Arial" w:eastAsia="Arial" w:hAnsi="Arial"/>
                <w:sz w:val="24"/>
                <w:szCs w:val="24"/>
                <w:color w:val="auto"/>
                <w:vertAlign w:val="superscript"/>
              </w:rPr>
              <w:t>(4)</w:t>
            </w:r>
          </w:p>
        </w:tc>
        <w:tc>
          <w:tcPr>
            <w:tcW w:w="11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-170815</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-153670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-170815</wp:posOffset>
            </wp:positionV>
            <wp:extent cx="768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-153670</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-170815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-153670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-170815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-153670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-170815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-153670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-170815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-153670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-170815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-153670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70" w:lineRule="exact"/>
        <w:rPr>
          <w:rFonts w:ascii="Arial" w:cs="Arial" w:eastAsia="Arial" w:hAnsi="Arial"/>
          <w:sz w:val="18"/>
          <w:szCs w:val="18"/>
          <w:color w:val="auto"/>
        </w:rPr>
      </w:pPr>
    </w:p>
    <w:p>
      <w:pPr>
        <w:jc w:val="both"/>
        <w:ind w:left="380" w:hanging="372"/>
        <w:spacing w:after="0" w:line="277"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September 30, 2022, the IMAX network includes 54 theaters in Russia, nine theaters in Ukraine, and one theater in Belarus.</w:t>
      </w:r>
    </w:p>
    <w:p>
      <w:pPr>
        <w:spacing w:after="0" w:line="132" w:lineRule="exact"/>
        <w:rPr>
          <w:rFonts w:ascii="Arial" w:cs="Arial" w:eastAsia="Arial" w:hAnsi="Arial"/>
          <w:sz w:val="17"/>
          <w:szCs w:val="17"/>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Period-to-period changes in the table above are reported net of the effect of permanently closed theaters.</w:t>
      </w:r>
    </w:p>
    <w:p>
      <w:pPr>
        <w:spacing w:after="0" w:line="184" w:lineRule="exact"/>
        <w:rPr>
          <w:sz w:val="20"/>
          <w:szCs w:val="20"/>
          <w:color w:val="auto"/>
        </w:rPr>
      </w:pPr>
    </w:p>
    <w:p>
      <w:pPr>
        <w:jc w:val="both"/>
        <w:ind w:firstLine="225"/>
        <w:spacing w:after="0" w:line="244" w:lineRule="auto"/>
        <w:rPr>
          <w:sz w:val="20"/>
          <w:szCs w:val="20"/>
          <w:color w:val="auto"/>
        </w:rPr>
      </w:pPr>
      <w:r>
        <w:rPr>
          <w:rFonts w:ascii="Arial" w:cs="Arial" w:eastAsia="Arial" w:hAnsi="Arial"/>
          <w:sz w:val="18"/>
          <w:szCs w:val="18"/>
          <w:color w:val="auto"/>
        </w:rPr>
        <w:t>The Company currently believes that over time its commercial multiplex network could grow to approximately 3,318 IMAX theaters worldwide from the 1,622 theaters in the network as of September 30, 2022. The Company believes that the majority of its future growth will come from international markets. As of September 30, 2022, 75% of IMAX Theater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including Russia, are outlined in "Risk Factors – The Company conducts business internationally, which exposes it to uncertainties and risks that could negatively affect its operations, sales and future growth prospects" in Part II, Item 1A in this report.</w:t>
      </w:r>
    </w:p>
    <w:p>
      <w:pPr>
        <w:spacing w:after="0" w:line="145"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the year ended December 31, 2021, 44% of the Company's consolidated revenue was generated from its Greater China operations (2020 — 38%, 2019 — 31%)</w:t>
      </w:r>
      <w:r>
        <w:rPr>
          <w:rFonts w:ascii="Arial" w:cs="Arial" w:eastAsia="Arial" w:hAnsi="Arial"/>
          <w:sz w:val="18"/>
          <w:szCs w:val="18"/>
          <w:color w:val="auto"/>
        </w:rPr>
        <w:t>.</w:t>
      </w:r>
      <w:r>
        <w:rPr>
          <w:rFonts w:ascii="Arial" w:cs="Arial" w:eastAsia="Arial" w:hAnsi="Arial"/>
          <w:sz w:val="17"/>
          <w:szCs w:val="17"/>
          <w:color w:val="auto"/>
        </w:rPr>
        <w:t xml:space="preserve"> As of September 30, 2022, the Company had 790 theaters operating in Greater China with an additional 211 theaters in backlog. The Company's backlog in Greater China represents 43% of its total current backlog, including upgrades in system type. The Company has a partnership in China with Wanda Film ("Wanda"). As of September 30, 2022, through the Company's partnership with Wanda, there are 375 IMAX Theater Systems operational in Greater China of which 361 are under the parties' joint revenue sharing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8" w:name="page59"/>
    <w:bookmarkEnd w:id="58"/>
    <w:p>
      <w:pPr>
        <w:jc w:val="both"/>
        <w:ind w:firstLine="225"/>
        <w:spacing w:after="0" w:line="248" w:lineRule="auto"/>
        <w:rPr>
          <w:sz w:val="20"/>
          <w:szCs w:val="20"/>
          <w:color w:val="auto"/>
        </w:rPr>
      </w:pPr>
      <w:r>
        <w:rPr>
          <w:rFonts w:ascii="Arial" w:cs="Arial" w:eastAsia="Arial" w:hAnsi="Arial"/>
          <w:sz w:val="18"/>
          <w:szCs w:val="18"/>
          <w:color w:val="auto"/>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Theater Systems and the demand for new IMAX Theater Systems," and "Risk Factors – The Company may not convert all of its backlog into revenue and cash flows" in Part I, Item 1A of the Company's 2021 Form 10-K.)</w:t>
      </w:r>
    </w:p>
    <w:p>
      <w:pPr>
        <w:spacing w:after="0" w:line="142"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10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The following tables provide detailed information about the Company's global commercial multiplex theater network by arrangement type and geographic location as of September 30, 2022 and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3"/>
              </w:rPr>
              <w:t>September 30, 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7"/>
              </w:rPr>
              <w:t>Commercial Multiplex Theaters in IMAX Network</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80" w:type="dxa"/>
            <w:vAlign w:val="bottom"/>
          </w:tcPr>
          <w:p>
            <w:pPr>
              <w:jc w:val="center"/>
              <w:ind w:right="35"/>
              <w:spacing w:after="0" w:line="146" w:lineRule="exact"/>
              <w:rPr>
                <w:sz w:val="20"/>
                <w:szCs w:val="20"/>
                <w:color w:val="auto"/>
              </w:rPr>
            </w:pPr>
            <w:r>
              <w:rPr>
                <w:rFonts w:ascii="Arial" w:cs="Arial" w:eastAsia="Arial" w:hAnsi="Arial"/>
                <w:sz w:val="14"/>
                <w:szCs w:val="14"/>
                <w:b w:val="1"/>
                <w:bCs w:val="1"/>
                <w:color w:val="auto"/>
                <w:w w:val="94"/>
              </w:rPr>
              <w:t>Traditional</w:t>
            </w:r>
          </w:p>
        </w:tc>
        <w:tc>
          <w:tcPr>
            <w:tcW w:w="140" w:type="dxa"/>
            <w:vAlign w:val="bottom"/>
          </w:tcPr>
          <w:p>
            <w:pPr>
              <w:spacing w:after="0"/>
              <w:rPr>
                <w:sz w:val="12"/>
                <w:szCs w:val="12"/>
                <w:color w:val="auto"/>
              </w:rPr>
            </w:pPr>
          </w:p>
        </w:tc>
        <w:tc>
          <w:tcPr>
            <w:tcW w:w="1220" w:type="dxa"/>
            <w:vAlign w:val="bottom"/>
          </w:tcPr>
          <w:p>
            <w:pPr>
              <w:jc w:val="center"/>
              <w:ind w:right="17"/>
              <w:spacing w:after="0" w:line="146" w:lineRule="exact"/>
              <w:rPr>
                <w:sz w:val="20"/>
                <w:szCs w:val="20"/>
                <w:color w:val="auto"/>
              </w:rPr>
            </w:pPr>
            <w:r>
              <w:rPr>
                <w:rFonts w:ascii="Arial" w:cs="Arial" w:eastAsia="Arial" w:hAnsi="Arial"/>
                <w:sz w:val="14"/>
                <w:szCs w:val="14"/>
                <w:b w:val="1"/>
                <w:bCs w:val="1"/>
                <w:color w:val="auto"/>
                <w:w w:val="99"/>
              </w:rPr>
              <w:t>Hybrid</w:t>
            </w:r>
          </w:p>
        </w:tc>
        <w:tc>
          <w:tcPr>
            <w:tcW w:w="140" w:type="dxa"/>
            <w:vAlign w:val="bottom"/>
          </w:tcPr>
          <w:p>
            <w:pPr>
              <w:spacing w:after="0"/>
              <w:rPr>
                <w:sz w:val="12"/>
                <w:szCs w:val="12"/>
                <w:color w:val="auto"/>
              </w:rPr>
            </w:pPr>
          </w:p>
        </w:tc>
        <w:tc>
          <w:tcPr>
            <w:tcW w:w="1600" w:type="dxa"/>
            <w:vAlign w:val="bottom"/>
            <w:gridSpan w:val="3"/>
          </w:tcPr>
          <w:p>
            <w:pPr>
              <w:jc w:val="center"/>
              <w:ind w:right="520"/>
              <w:spacing w:after="0" w:line="146" w:lineRule="exact"/>
              <w:rPr>
                <w:sz w:val="20"/>
                <w:szCs w:val="20"/>
                <w:color w:val="auto"/>
              </w:rPr>
            </w:pPr>
            <w:r>
              <w:rPr>
                <w:rFonts w:ascii="Arial" w:cs="Arial" w:eastAsia="Arial" w:hAnsi="Arial"/>
                <w:sz w:val="14"/>
                <w:szCs w:val="14"/>
                <w:b w:val="1"/>
                <w:bCs w:val="1"/>
                <w:color w:val="auto"/>
                <w:w w:val="88"/>
              </w:rPr>
              <w:t>Sale / Sales-</w:t>
            </w: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JRSA</w:t>
            </w:r>
          </w:p>
        </w:tc>
        <w:tc>
          <w:tcPr>
            <w:tcW w:w="140" w:type="dxa"/>
            <w:vAlign w:val="bottom"/>
          </w:tcPr>
          <w:p>
            <w:pPr>
              <w:spacing w:after="0"/>
              <w:rPr>
                <w:sz w:val="14"/>
                <w:szCs w:val="14"/>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JRSA</w:t>
            </w:r>
          </w:p>
        </w:tc>
        <w:tc>
          <w:tcPr>
            <w:tcW w:w="140" w:type="dxa"/>
            <w:vAlign w:val="bottom"/>
          </w:tcPr>
          <w:p>
            <w:pPr>
              <w:spacing w:after="0"/>
              <w:rPr>
                <w:sz w:val="14"/>
                <w:szCs w:val="14"/>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2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400</w:t>
            </w:r>
          </w:p>
        </w:tc>
        <w:tc>
          <w:tcPr>
            <w:tcW w:w="136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112</w:t>
            </w:r>
          </w:p>
        </w:tc>
        <w:tc>
          <w:tcPr>
            <w:tcW w:w="134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37"/>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58"/>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Western Europe</w:t>
            </w: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47</w:t>
            </w:r>
          </w:p>
        </w:tc>
        <w:tc>
          <w:tcPr>
            <w:tcW w:w="136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Russia/the CIS &amp; Ukraine</w:t>
            </w:r>
            <w:r>
              <w:rPr>
                <w:rFonts w:ascii="Arial" w:cs="Arial" w:eastAsia="Arial" w:hAnsi="Arial"/>
                <w:sz w:val="24"/>
                <w:szCs w:val="24"/>
                <w:color w:val="auto"/>
                <w:vertAlign w:val="superscript"/>
              </w:rPr>
              <w:t>(1)</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Latin America</w:t>
            </w: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Rest of the World</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International Total</w:t>
            </w:r>
          </w:p>
        </w:tc>
        <w:tc>
          <w:tcPr>
            <w:tcW w:w="12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9"/>
        </w:trPr>
        <w:tc>
          <w:tcPr>
            <w:tcW w:w="5840" w:type="dxa"/>
            <w:vAlign w:val="bottom"/>
            <w:gridSpan w:val="2"/>
          </w:tcPr>
          <w:p>
            <w:pPr>
              <w:ind w:left="20"/>
              <w:spacing w:after="0" w:line="209" w:lineRule="exact"/>
              <w:rPr>
                <w:sz w:val="20"/>
                <w:szCs w:val="20"/>
                <w:color w:val="auto"/>
              </w:rPr>
            </w:pPr>
            <w:r>
              <w:rPr>
                <w:rFonts w:ascii="Arial" w:cs="Arial" w:eastAsia="Arial" w:hAnsi="Arial"/>
                <w:sz w:val="18"/>
                <w:szCs w:val="18"/>
                <w:color w:val="auto"/>
              </w:rPr>
              <w:t>Worldwide Total</w:t>
            </w:r>
            <w:r>
              <w:rPr>
                <w:rFonts w:ascii="Arial" w:cs="Arial" w:eastAsia="Arial" w:hAnsi="Arial"/>
                <w:sz w:val="24"/>
                <w:szCs w:val="24"/>
                <w:color w:val="auto"/>
                <w:vertAlign w:val="superscript"/>
              </w:rPr>
              <w:t>(2)</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93"/>
              </w:rPr>
              <w:t>September 30, 2021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7"/>
              </w:rPr>
              <w:t>Commercial Multiplex Theaters in IMAX Network</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80" w:type="dxa"/>
            <w:vAlign w:val="bottom"/>
          </w:tcPr>
          <w:p>
            <w:pPr>
              <w:jc w:val="center"/>
              <w:ind w:right="35"/>
              <w:spacing w:after="0" w:line="146" w:lineRule="exact"/>
              <w:rPr>
                <w:sz w:val="20"/>
                <w:szCs w:val="20"/>
                <w:color w:val="auto"/>
              </w:rPr>
            </w:pPr>
            <w:r>
              <w:rPr>
                <w:rFonts w:ascii="Arial" w:cs="Arial" w:eastAsia="Arial" w:hAnsi="Arial"/>
                <w:sz w:val="14"/>
                <w:szCs w:val="14"/>
                <w:b w:val="1"/>
                <w:bCs w:val="1"/>
                <w:color w:val="auto"/>
                <w:w w:val="94"/>
              </w:rPr>
              <w:t>Traditional</w:t>
            </w:r>
          </w:p>
        </w:tc>
        <w:tc>
          <w:tcPr>
            <w:tcW w:w="140" w:type="dxa"/>
            <w:vAlign w:val="bottom"/>
          </w:tcPr>
          <w:p>
            <w:pPr>
              <w:spacing w:after="0"/>
              <w:rPr>
                <w:sz w:val="12"/>
                <w:szCs w:val="12"/>
                <w:color w:val="auto"/>
              </w:rPr>
            </w:pPr>
          </w:p>
        </w:tc>
        <w:tc>
          <w:tcPr>
            <w:tcW w:w="1220" w:type="dxa"/>
            <w:vAlign w:val="bottom"/>
          </w:tcPr>
          <w:p>
            <w:pPr>
              <w:jc w:val="center"/>
              <w:ind w:right="17"/>
              <w:spacing w:after="0" w:line="146" w:lineRule="exact"/>
              <w:rPr>
                <w:sz w:val="20"/>
                <w:szCs w:val="20"/>
                <w:color w:val="auto"/>
              </w:rPr>
            </w:pPr>
            <w:r>
              <w:rPr>
                <w:rFonts w:ascii="Arial" w:cs="Arial" w:eastAsia="Arial" w:hAnsi="Arial"/>
                <w:sz w:val="14"/>
                <w:szCs w:val="14"/>
                <w:b w:val="1"/>
                <w:bCs w:val="1"/>
                <w:color w:val="auto"/>
                <w:w w:val="99"/>
              </w:rPr>
              <w:t>Hybrid</w:t>
            </w:r>
          </w:p>
        </w:tc>
        <w:tc>
          <w:tcPr>
            <w:tcW w:w="140" w:type="dxa"/>
            <w:vAlign w:val="bottom"/>
          </w:tcPr>
          <w:p>
            <w:pPr>
              <w:spacing w:after="0"/>
              <w:rPr>
                <w:sz w:val="12"/>
                <w:szCs w:val="12"/>
                <w:color w:val="auto"/>
              </w:rPr>
            </w:pPr>
          </w:p>
        </w:tc>
        <w:tc>
          <w:tcPr>
            <w:tcW w:w="1600" w:type="dxa"/>
            <w:vAlign w:val="bottom"/>
            <w:gridSpan w:val="3"/>
          </w:tcPr>
          <w:p>
            <w:pPr>
              <w:jc w:val="center"/>
              <w:ind w:right="520"/>
              <w:spacing w:after="0" w:line="146" w:lineRule="exact"/>
              <w:rPr>
                <w:sz w:val="20"/>
                <w:szCs w:val="20"/>
                <w:color w:val="auto"/>
              </w:rPr>
            </w:pPr>
            <w:r>
              <w:rPr>
                <w:rFonts w:ascii="Arial" w:cs="Arial" w:eastAsia="Arial" w:hAnsi="Arial"/>
                <w:sz w:val="14"/>
                <w:szCs w:val="14"/>
                <w:b w:val="1"/>
                <w:bCs w:val="1"/>
                <w:color w:val="auto"/>
                <w:w w:val="88"/>
              </w:rPr>
              <w:t>Sale / Sales-</w:t>
            </w: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JRSA</w:t>
            </w: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JRSA</w:t>
            </w:r>
          </w:p>
        </w:tc>
        <w:tc>
          <w:tcPr>
            <w:tcW w:w="140" w:type="dxa"/>
            <w:vAlign w:val="bottom"/>
          </w:tcPr>
          <w:p>
            <w:pPr>
              <w:spacing w:after="0"/>
              <w:rPr>
                <w:sz w:val="14"/>
                <w:szCs w:val="14"/>
                <w:color w:val="auto"/>
              </w:rPr>
            </w:pPr>
          </w:p>
        </w:tc>
        <w:tc>
          <w:tcPr>
            <w:tcW w:w="12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8"/>
              </w:rPr>
              <w:t>type Lease</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2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274</w:t>
            </w:r>
          </w:p>
        </w:tc>
        <w:tc>
          <w:tcPr>
            <w:tcW w:w="136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c>
          <w:tcPr>
            <w:tcW w:w="1340" w:type="dxa"/>
            <w:vAlign w:val="bottom"/>
            <w:gridSpan w:val="2"/>
            <w:vMerge w:val="restart"/>
            <w:shd w:val="clear" w:color="auto" w:fill="CFF0FC"/>
          </w:tcPr>
          <w:p>
            <w:pPr>
              <w:jc w:val="right"/>
              <w:ind w:right="58"/>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74"/>
        </w:trPr>
        <w:tc>
          <w:tcPr>
            <w:tcW w:w="1500" w:type="dxa"/>
            <w:vAlign w:val="bottom"/>
            <w:shd w:val="clear" w:color="auto" w:fill="CFF0FC"/>
          </w:tcPr>
          <w:p>
            <w:pPr>
              <w:spacing w:after="0"/>
              <w:rPr>
                <w:sz w:val="15"/>
                <w:szCs w:val="15"/>
                <w:color w:val="auto"/>
              </w:rPr>
            </w:pPr>
          </w:p>
        </w:tc>
        <w:tc>
          <w:tcPr>
            <w:tcW w:w="434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34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2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389</w:t>
            </w:r>
          </w:p>
        </w:tc>
        <w:tc>
          <w:tcPr>
            <w:tcW w:w="136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109</w:t>
            </w:r>
          </w:p>
        </w:tc>
        <w:tc>
          <w:tcPr>
            <w:tcW w:w="1340" w:type="dxa"/>
            <w:vAlign w:val="bottom"/>
            <w:gridSpan w:val="2"/>
            <w:vMerge w:val="restart"/>
            <w:shd w:val="clear" w:color="auto" w:fill="CFF0FC"/>
          </w:tcPr>
          <w:p>
            <w:pPr>
              <w:jc w:val="right"/>
              <w:ind w:right="58"/>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74"/>
        </w:trPr>
        <w:tc>
          <w:tcPr>
            <w:tcW w:w="1500" w:type="dxa"/>
            <w:vAlign w:val="bottom"/>
            <w:shd w:val="clear" w:color="auto" w:fill="CFF0FC"/>
          </w:tcPr>
          <w:p>
            <w:pPr>
              <w:spacing w:after="0"/>
              <w:rPr>
                <w:sz w:val="15"/>
                <w:szCs w:val="15"/>
                <w:color w:val="auto"/>
              </w:rPr>
            </w:pPr>
          </w:p>
        </w:tc>
        <w:tc>
          <w:tcPr>
            <w:tcW w:w="434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34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33</w:t>
            </w:r>
          </w:p>
        </w:tc>
        <w:tc>
          <w:tcPr>
            <w:tcW w:w="1360" w:type="dxa"/>
            <w:vAlign w:val="bottom"/>
            <w:gridSpan w:val="2"/>
            <w:vMerge w:val="restart"/>
          </w:tcPr>
          <w:p>
            <w:pPr>
              <w:jc w:val="right"/>
              <w:ind w:right="37"/>
              <w:spacing w:after="0"/>
              <w:rPr>
                <w:sz w:val="20"/>
                <w:szCs w:val="20"/>
                <w:color w:val="auto"/>
              </w:rPr>
            </w:pPr>
            <w:r>
              <w:rPr>
                <w:rFonts w:ascii="Arial" w:cs="Arial" w:eastAsia="Arial" w:hAnsi="Arial"/>
                <w:sz w:val="18"/>
                <w:szCs w:val="18"/>
                <w:color w:val="auto"/>
              </w:rPr>
              <w:t>2</w:t>
            </w:r>
          </w:p>
        </w:tc>
        <w:tc>
          <w:tcPr>
            <w:tcW w:w="1340" w:type="dxa"/>
            <w:vAlign w:val="bottom"/>
            <w:gridSpan w:val="2"/>
            <w:vMerge w:val="restart"/>
          </w:tcPr>
          <w:p>
            <w:pPr>
              <w:jc w:val="right"/>
              <w:ind w:right="58"/>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Western Europe</w:t>
            </w:r>
          </w:p>
        </w:tc>
        <w:tc>
          <w:tcPr>
            <w:tcW w:w="12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47</w:t>
            </w:r>
          </w:p>
        </w:tc>
        <w:tc>
          <w:tcPr>
            <w:tcW w:w="1360" w:type="dxa"/>
            <w:vAlign w:val="bottom"/>
            <w:gridSpan w:val="2"/>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28</w:t>
            </w:r>
          </w:p>
        </w:tc>
        <w:tc>
          <w:tcPr>
            <w:tcW w:w="1340" w:type="dxa"/>
            <w:vAlign w:val="bottom"/>
            <w:gridSpan w:val="2"/>
            <w:vMerge w:val="restart"/>
            <w:shd w:val="clear" w:color="auto" w:fill="CFF0FC"/>
          </w:tcPr>
          <w:p>
            <w:pPr>
              <w:jc w:val="right"/>
              <w:ind w:right="58"/>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74"/>
        </w:trPr>
        <w:tc>
          <w:tcPr>
            <w:tcW w:w="1500" w:type="dxa"/>
            <w:vAlign w:val="bottom"/>
            <w:shd w:val="clear" w:color="auto" w:fill="CFF0FC"/>
          </w:tcPr>
          <w:p>
            <w:pPr>
              <w:spacing w:after="0"/>
              <w:rPr>
                <w:sz w:val="15"/>
                <w:szCs w:val="15"/>
                <w:color w:val="auto"/>
              </w:rPr>
            </w:pPr>
          </w:p>
        </w:tc>
        <w:tc>
          <w:tcPr>
            <w:tcW w:w="434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34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Russia/the CIS &amp; Ukraine</w:t>
            </w:r>
            <w:r>
              <w:rPr>
                <w:rFonts w:ascii="Arial" w:cs="Arial" w:eastAsia="Arial" w:hAnsi="Arial"/>
                <w:sz w:val="24"/>
                <w:szCs w:val="24"/>
                <w:color w:val="auto"/>
                <w:vertAlign w:val="superscript"/>
              </w:rPr>
              <w:t>(1)</w:t>
            </w: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58"/>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Latin America</w:t>
            </w:r>
          </w:p>
        </w:tc>
        <w:tc>
          <w:tcPr>
            <w:tcW w:w="12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122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FF0FC"/>
          </w:tcPr>
          <w:p>
            <w:pPr>
              <w:jc w:val="right"/>
              <w:ind w:right="58"/>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4"/>
        </w:trPr>
        <w:tc>
          <w:tcPr>
            <w:tcW w:w="1500" w:type="dxa"/>
            <w:vAlign w:val="bottom"/>
            <w:shd w:val="clear" w:color="auto" w:fill="CFF0FC"/>
          </w:tcPr>
          <w:p>
            <w:pPr>
              <w:spacing w:after="0"/>
              <w:rPr>
                <w:sz w:val="15"/>
                <w:szCs w:val="15"/>
                <w:color w:val="auto"/>
              </w:rPr>
            </w:pPr>
          </w:p>
        </w:tc>
        <w:tc>
          <w:tcPr>
            <w:tcW w:w="434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vMerge w:val="continue"/>
            <w:shd w:val="clear" w:color="auto" w:fill="CFF0FC"/>
          </w:tcPr>
          <w:p>
            <w:pPr>
              <w:spacing w:after="0"/>
              <w:rPr>
                <w:sz w:val="15"/>
                <w:szCs w:val="15"/>
                <w:color w:val="auto"/>
              </w:rPr>
            </w:pPr>
          </w:p>
        </w:tc>
        <w:tc>
          <w:tcPr>
            <w:tcW w:w="134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Rest of the World</w:t>
            </w: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20"/>
                <w:szCs w:val="20"/>
                <w:color w:val="auto"/>
              </w:rPr>
            </w:pPr>
          </w:p>
        </w:tc>
        <w:tc>
          <w:tcPr>
            <w:tcW w:w="1200" w:type="dxa"/>
            <w:vAlign w:val="bottom"/>
            <w:vMerge w:val="restart"/>
          </w:tcPr>
          <w:p>
            <w:pPr>
              <w:jc w:val="right"/>
              <w:ind w:right="58"/>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International Total</w:t>
            </w:r>
          </w:p>
        </w:tc>
        <w:tc>
          <w:tcPr>
            <w:tcW w:w="12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color w:val="auto"/>
              </w:rPr>
              <w:t>486</w:t>
            </w:r>
          </w:p>
        </w:tc>
        <w:tc>
          <w:tcPr>
            <w:tcW w:w="140" w:type="dxa"/>
            <w:vAlign w:val="bottom"/>
            <w:vMerge w:val="restart"/>
            <w:shd w:val="clear" w:color="auto" w:fill="CFF0FC"/>
          </w:tcPr>
          <w:p>
            <w:pPr>
              <w:spacing w:after="0"/>
              <w:rPr>
                <w:sz w:val="19"/>
                <w:szCs w:val="19"/>
                <w:color w:val="auto"/>
              </w:rPr>
            </w:pPr>
          </w:p>
        </w:tc>
        <w:tc>
          <w:tcPr>
            <w:tcW w:w="122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139</w:t>
            </w:r>
          </w:p>
        </w:tc>
        <w:tc>
          <w:tcPr>
            <w:tcW w:w="140" w:type="dxa"/>
            <w:vAlign w:val="bottom"/>
            <w:vMerge w:val="restart"/>
            <w:shd w:val="clear" w:color="auto" w:fill="CFF0FC"/>
          </w:tcPr>
          <w:p>
            <w:pPr>
              <w:spacing w:after="0"/>
              <w:rPr>
                <w:sz w:val="19"/>
                <w:szCs w:val="19"/>
                <w:color w:val="auto"/>
              </w:rPr>
            </w:pPr>
          </w:p>
        </w:tc>
        <w:tc>
          <w:tcPr>
            <w:tcW w:w="1200" w:type="dxa"/>
            <w:vAlign w:val="bottom"/>
            <w:vMerge w:val="restart"/>
            <w:shd w:val="clear" w:color="auto" w:fill="CFF0FC"/>
          </w:tcPr>
          <w:p>
            <w:pPr>
              <w:jc w:val="right"/>
              <w:ind w:right="58"/>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174"/>
        </w:trPr>
        <w:tc>
          <w:tcPr>
            <w:tcW w:w="1500" w:type="dxa"/>
            <w:vAlign w:val="bottom"/>
            <w:shd w:val="clear" w:color="auto" w:fill="CFF0FC"/>
          </w:tcPr>
          <w:p>
            <w:pPr>
              <w:spacing w:after="0"/>
              <w:rPr>
                <w:sz w:val="15"/>
                <w:szCs w:val="15"/>
                <w:color w:val="auto"/>
              </w:rPr>
            </w:pPr>
          </w:p>
        </w:tc>
        <w:tc>
          <w:tcPr>
            <w:tcW w:w="4340" w:type="dxa"/>
            <w:vAlign w:val="bottom"/>
            <w:shd w:val="clear" w:color="auto" w:fill="CFF0FC"/>
          </w:tcPr>
          <w:p>
            <w:pPr>
              <w:spacing w:after="0"/>
              <w:rPr>
                <w:sz w:val="15"/>
                <w:szCs w:val="15"/>
                <w:color w:val="auto"/>
              </w:rPr>
            </w:pPr>
          </w:p>
        </w:tc>
        <w:tc>
          <w:tcPr>
            <w:tcW w:w="128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22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20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Worldwide Total</w:t>
            </w:r>
            <w:r>
              <w:rPr>
                <w:rFonts w:ascii="Arial" w:cs="Arial" w:eastAsia="Arial" w:hAnsi="Arial"/>
                <w:sz w:val="24"/>
                <w:szCs w:val="24"/>
                <w:color w:val="auto"/>
                <w:vertAlign w:val="superscript"/>
              </w:rPr>
              <w:t>(2)</w:t>
            </w: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760</w:t>
            </w:r>
          </w:p>
        </w:tc>
        <w:tc>
          <w:tcPr>
            <w:tcW w:w="1360" w:type="dxa"/>
            <w:vAlign w:val="bottom"/>
            <w:gridSpan w:val="2"/>
            <w:vMerge w:val="restart"/>
          </w:tcPr>
          <w:p>
            <w:pPr>
              <w:jc w:val="right"/>
              <w:ind w:right="37"/>
              <w:spacing w:after="0"/>
              <w:rPr>
                <w:sz w:val="20"/>
                <w:szCs w:val="20"/>
                <w:color w:val="auto"/>
              </w:rPr>
            </w:pPr>
            <w:r>
              <w:rPr>
                <w:rFonts w:ascii="Arial" w:cs="Arial" w:eastAsia="Arial" w:hAnsi="Arial"/>
                <w:sz w:val="18"/>
                <w:szCs w:val="18"/>
                <w:color w:val="auto"/>
              </w:rPr>
              <w:t>144</w:t>
            </w:r>
          </w:p>
        </w:tc>
        <w:tc>
          <w:tcPr>
            <w:tcW w:w="1340" w:type="dxa"/>
            <w:vAlign w:val="bottom"/>
            <w:gridSpan w:val="2"/>
            <w:vMerge w:val="restart"/>
          </w:tcPr>
          <w:p>
            <w:pPr>
              <w:jc w:val="right"/>
              <w:ind w:right="58"/>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-4563110</wp:posOffset>
            </wp:positionV>
            <wp:extent cx="93980"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-4563110</wp:posOffset>
            </wp:positionV>
            <wp:extent cx="85725" cy="1454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-4563110</wp:posOffset>
            </wp:positionV>
            <wp:extent cx="111125" cy="1454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-2397125</wp:posOffset>
            </wp:positionV>
            <wp:extent cx="93980" cy="1454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-2397125</wp:posOffset>
            </wp:positionV>
            <wp:extent cx="85725" cy="1454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-2397125</wp:posOffset>
            </wp:positionV>
            <wp:extent cx="111125" cy="1454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1125" cy="145415"/>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77"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September 30, 2022, the IMAX network includes 54 theaters in Russia, nine theaters in Ukraine, and one theater in Belarus.</w:t>
      </w:r>
    </w:p>
    <w:p>
      <w:pPr>
        <w:spacing w:after="0" w:line="132" w:lineRule="exact"/>
        <w:rPr>
          <w:rFonts w:ascii="Arial" w:cs="Arial" w:eastAsia="Arial" w:hAnsi="Arial"/>
          <w:sz w:val="17"/>
          <w:szCs w:val="17"/>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Backlog</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September 30,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4"/>
              </w:rPr>
              <w:t>September 30, 2021</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0"/>
        </w:trPr>
        <w:tc>
          <w:tcPr>
            <w:tcW w:w="1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center"/>
              <w:ind w:left="408"/>
              <w:spacing w:after="0" w:line="159" w:lineRule="exact"/>
              <w:rPr>
                <w:sz w:val="20"/>
                <w:szCs w:val="20"/>
                <w:color w:val="auto"/>
              </w:rPr>
            </w:pPr>
            <w:r>
              <w:rPr>
                <w:rFonts w:ascii="Arial" w:cs="Arial" w:eastAsia="Arial" w:hAnsi="Arial"/>
                <w:sz w:val="14"/>
                <w:szCs w:val="14"/>
                <w:b w:val="1"/>
                <w:bCs w:val="1"/>
                <w:color w:val="auto"/>
                <w:w w:val="96"/>
              </w:rPr>
              <w:t>Dollar Value</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4"/>
          </w:tcPr>
          <w:p>
            <w:pPr>
              <w:jc w:val="center"/>
              <w:ind w:left="308"/>
              <w:spacing w:after="0" w:line="159"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center"/>
              <w:ind w:left="208"/>
              <w:spacing w:after="0" w:line="159" w:lineRule="exact"/>
              <w:rPr>
                <w:sz w:val="20"/>
                <w:szCs w:val="20"/>
                <w:color w:val="auto"/>
              </w:rPr>
            </w:pPr>
            <w:r>
              <w:rPr>
                <w:rFonts w:ascii="Arial" w:cs="Arial" w:eastAsia="Arial" w:hAnsi="Arial"/>
                <w:sz w:val="14"/>
                <w:szCs w:val="14"/>
                <w:b w:val="1"/>
                <w:bCs w:val="1"/>
                <w:color w:val="auto"/>
                <w:w w:val="93"/>
              </w:rPr>
              <w:t>Dollar Value</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5"/>
        </w:trPr>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Systems</w:t>
            </w:r>
          </w:p>
        </w:tc>
        <w:tc>
          <w:tcPr>
            <w:tcW w:w="5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right="228"/>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86"/>
              </w:rPr>
              <w:t>Systems</w:t>
            </w:r>
          </w:p>
        </w:tc>
        <w:tc>
          <w:tcPr>
            <w:tcW w:w="4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i w:val="1"/>
                <w:iCs w:val="1"/>
                <w:color w:val="auto"/>
                <w:w w:val="87"/>
              </w:rPr>
              <w:t>(in thousands)</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New</w:t>
            </w: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Upgrade</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New</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1"/>
              </w:rPr>
              <w:t>Upgrade</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New</w:t>
            </w: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New</w:t>
            </w:r>
          </w:p>
        </w:tc>
        <w:tc>
          <w:tcPr>
            <w:tcW w:w="3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Upgrade</w:t>
            </w:r>
          </w:p>
        </w:tc>
        <w:tc>
          <w:tcPr>
            <w:tcW w:w="180" w:type="dxa"/>
            <w:vAlign w:val="bottom"/>
          </w:tcPr>
          <w:p>
            <w:pPr>
              <w:spacing w:after="0"/>
              <w:rPr>
                <w:sz w:val="14"/>
                <w:szCs w:val="14"/>
                <w:color w:val="auto"/>
              </w:rPr>
            </w:pPr>
          </w:p>
        </w:tc>
      </w:tr>
      <w:tr>
        <w:trPr>
          <w:trHeight w:val="137"/>
        </w:trPr>
        <w:tc>
          <w:tcPr>
            <w:tcW w:w="2320" w:type="dxa"/>
            <w:vAlign w:val="bottom"/>
            <w:gridSpan w:val="2"/>
            <w:shd w:val="clear" w:color="auto" w:fill="CFF0FC"/>
          </w:tcPr>
          <w:p>
            <w:pPr>
              <w:ind w:left="20"/>
              <w:spacing w:after="0" w:line="137" w:lineRule="exact"/>
              <w:rPr>
                <w:sz w:val="20"/>
                <w:szCs w:val="20"/>
                <w:color w:val="auto"/>
              </w:rPr>
            </w:pPr>
            <w:r>
              <w:rPr>
                <w:rFonts w:ascii="Arial" w:cs="Arial" w:eastAsia="Arial" w:hAnsi="Arial"/>
                <w:sz w:val="14"/>
                <w:szCs w:val="14"/>
                <w:color w:val="auto"/>
              </w:rPr>
              <w:t>Sale and sales-type lease</w:t>
            </w: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81"/>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arrangements</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175,617</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18,312</w:t>
            </w: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194,539</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3"/>
              </w:rPr>
              <w:t>14,207</w:t>
            </w:r>
          </w:p>
        </w:tc>
        <w:tc>
          <w:tcPr>
            <w:tcW w:w="180" w:type="dxa"/>
            <w:vAlign w:val="bottom"/>
            <w:shd w:val="clear" w:color="auto" w:fill="CFF0FC"/>
          </w:tcPr>
          <w:p>
            <w:pPr>
              <w:spacing w:after="0"/>
              <w:rPr>
                <w:sz w:val="15"/>
                <w:szCs w:val="15"/>
                <w:color w:val="auto"/>
              </w:rPr>
            </w:pPr>
          </w:p>
        </w:tc>
      </w:tr>
      <w:tr>
        <w:trPr>
          <w:trHeight w:val="175"/>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Hybrid JRSA</w:t>
            </w:r>
          </w:p>
        </w:tc>
        <w:tc>
          <w:tcPr>
            <w:tcW w:w="54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88,604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4,785</w:t>
            </w:r>
          </w:p>
        </w:tc>
        <w:tc>
          <w:tcPr>
            <w:tcW w:w="3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95,349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4,785</w:t>
            </w:r>
          </w:p>
        </w:tc>
        <w:tc>
          <w:tcPr>
            <w:tcW w:w="180" w:type="dxa"/>
            <w:vAlign w:val="bottom"/>
          </w:tcPr>
          <w:p>
            <w:pPr>
              <w:spacing w:after="0"/>
              <w:rPr>
                <w:sz w:val="15"/>
                <w:szCs w:val="15"/>
                <w:color w:val="auto"/>
              </w:rPr>
            </w:pPr>
          </w:p>
        </w:tc>
      </w:tr>
      <w:tr>
        <w:trPr>
          <w:trHeight w:val="175"/>
        </w:trPr>
        <w:tc>
          <w:tcPr>
            <w:tcW w:w="2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Traditional JRSA</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0"/>
                <w:szCs w:val="10"/>
                <w:color w:val="auto"/>
              </w:rPr>
              <w:t>(1)</w:t>
            </w:r>
          </w:p>
        </w:tc>
        <w:tc>
          <w:tcPr>
            <w:tcW w:w="3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94</w:t>
            </w:r>
          </w:p>
        </w:tc>
        <w:tc>
          <w:tcPr>
            <w:tcW w:w="380" w:type="dxa"/>
            <w:vAlign w:val="bottom"/>
            <w:tcBorders>
              <w:bottom w:val="single" w:sz="8" w:color="CFF0FC"/>
            </w:tcBorders>
            <w:shd w:val="clear" w:color="auto" w:fill="CFF0FC"/>
          </w:tcPr>
          <w:p>
            <w:pPr>
              <w:jc w:val="right"/>
              <w:ind w:right="192"/>
              <w:spacing w:after="0"/>
              <w:rPr>
                <w:sz w:val="20"/>
                <w:szCs w:val="20"/>
                <w:color w:val="auto"/>
              </w:rPr>
            </w:pPr>
            <w:r>
              <w:rPr>
                <w:rFonts w:ascii="Arial" w:cs="Arial" w:eastAsia="Arial" w:hAnsi="Arial"/>
                <w:sz w:val="10"/>
                <w:szCs w:val="10"/>
                <w:color w:val="auto"/>
                <w:w w:val="97"/>
              </w:rPr>
              <w:t>(1)</w:t>
            </w: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200</w:t>
            </w:r>
          </w:p>
        </w:tc>
        <w:tc>
          <w:tcPr>
            <w:tcW w:w="360" w:type="dxa"/>
            <w:vAlign w:val="bottom"/>
            <w:tcBorders>
              <w:bottom w:val="single" w:sz="8" w:color="CFF0FC"/>
            </w:tcBorders>
            <w:shd w:val="clear" w:color="auto" w:fill="CFF0FC"/>
          </w:tcPr>
          <w:p>
            <w:pPr>
              <w:jc w:val="center"/>
              <w:ind w:right="192"/>
              <w:spacing w:after="0"/>
              <w:rPr>
                <w:sz w:val="20"/>
                <w:szCs w:val="20"/>
                <w:color w:val="auto"/>
              </w:rPr>
            </w:pPr>
            <w:r>
              <w:rPr>
                <w:rFonts w:ascii="Arial" w:cs="Arial" w:eastAsia="Arial" w:hAnsi="Arial"/>
                <w:sz w:val="10"/>
                <w:szCs w:val="10"/>
                <w:color w:val="auto"/>
                <w:w w:val="97"/>
              </w:rPr>
              <w:t>(2)</w:t>
            </w: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4,500</w:t>
            </w:r>
          </w:p>
        </w:tc>
        <w:tc>
          <w:tcPr>
            <w:tcW w:w="340" w:type="dxa"/>
            <w:vAlign w:val="bottom"/>
            <w:tcBorders>
              <w:bottom w:val="single" w:sz="8" w:color="CFF0FC"/>
            </w:tcBorders>
            <w:shd w:val="clear" w:color="auto" w:fill="CFF0FC"/>
          </w:tcPr>
          <w:p>
            <w:pPr>
              <w:jc w:val="right"/>
              <w:ind w:right="172"/>
              <w:spacing w:after="0"/>
              <w:rPr>
                <w:sz w:val="20"/>
                <w:szCs w:val="20"/>
                <w:color w:val="auto"/>
              </w:rPr>
            </w:pPr>
            <w:r>
              <w:rPr>
                <w:rFonts w:ascii="Arial" w:cs="Arial" w:eastAsia="Arial" w:hAnsi="Arial"/>
                <w:sz w:val="10"/>
                <w:szCs w:val="10"/>
                <w:color w:val="auto"/>
                <w:w w:val="81"/>
              </w:rPr>
              <w:t>(2)</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jc w:val="right"/>
              <w:ind w:right="172"/>
              <w:spacing w:after="0"/>
              <w:rPr>
                <w:sz w:val="20"/>
                <w:szCs w:val="20"/>
                <w:color w:val="auto"/>
              </w:rPr>
            </w:pPr>
            <w:r>
              <w:rPr>
                <w:rFonts w:ascii="Arial" w:cs="Arial" w:eastAsia="Arial" w:hAnsi="Arial"/>
                <w:sz w:val="10"/>
                <w:szCs w:val="10"/>
                <w:color w:val="auto"/>
                <w:w w:val="81"/>
              </w:rPr>
              <w:t>(1)</w:t>
            </w:r>
          </w:p>
        </w:tc>
        <w:tc>
          <w:tcPr>
            <w:tcW w:w="2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77</w:t>
            </w:r>
          </w:p>
        </w:tc>
        <w:tc>
          <w:tcPr>
            <w:tcW w:w="30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0"/>
                <w:szCs w:val="10"/>
                <w:color w:val="auto"/>
                <w:w w:val="81"/>
              </w:rPr>
              <w:t>(1)</w:t>
            </w: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200</w:t>
            </w:r>
          </w:p>
        </w:tc>
        <w:tc>
          <w:tcPr>
            <w:tcW w:w="300" w:type="dxa"/>
            <w:vAlign w:val="bottom"/>
            <w:tcBorders>
              <w:bottom w:val="single" w:sz="8" w:color="CFF0FC"/>
            </w:tcBorders>
            <w:shd w:val="clear" w:color="auto" w:fill="CFF0FC"/>
          </w:tcPr>
          <w:p>
            <w:pPr>
              <w:jc w:val="center"/>
              <w:ind w:right="92"/>
              <w:spacing w:after="0"/>
              <w:rPr>
                <w:sz w:val="20"/>
                <w:szCs w:val="20"/>
                <w:color w:val="auto"/>
              </w:rPr>
            </w:pPr>
            <w:r>
              <w:rPr>
                <w:rFonts w:ascii="Arial" w:cs="Arial" w:eastAsia="Arial" w:hAnsi="Arial"/>
                <w:sz w:val="10"/>
                <w:szCs w:val="10"/>
                <w:color w:val="auto"/>
                <w:w w:val="97"/>
              </w:rPr>
              <w:t>(2)</w:t>
            </w:r>
          </w:p>
        </w:tc>
        <w:tc>
          <w:tcPr>
            <w:tcW w:w="2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5,500</w:t>
            </w:r>
          </w:p>
        </w:tc>
        <w:tc>
          <w:tcPr>
            <w:tcW w:w="1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0"/>
                <w:szCs w:val="10"/>
                <w:color w:val="auto"/>
                <w:w w:val="81"/>
              </w:rPr>
              <w:t>(2)</w:t>
            </w:r>
          </w:p>
        </w:tc>
      </w:tr>
      <w:tr>
        <w:trPr>
          <w:trHeight w:val="169"/>
        </w:trPr>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373</w:t>
            </w:r>
          </w:p>
        </w:tc>
        <w:tc>
          <w:tcPr>
            <w:tcW w:w="480" w:type="dxa"/>
            <w:vAlign w:val="bottom"/>
            <w:gridSpan w:val="2"/>
          </w:tcPr>
          <w:p>
            <w:pPr>
              <w:ind w:left="120"/>
              <w:spacing w:after="0"/>
              <w:rPr>
                <w:sz w:val="20"/>
                <w:szCs w:val="20"/>
                <w:color w:val="auto"/>
              </w:rPr>
            </w:pPr>
            <w:r>
              <w:rPr>
                <w:rFonts w:ascii="Arial" w:cs="Arial" w:eastAsia="Arial" w:hAnsi="Arial"/>
                <w:sz w:val="10"/>
                <w:szCs w:val="10"/>
                <w:color w:val="auto"/>
              </w:rPr>
              <w:t>(3)</w:t>
            </w:r>
          </w:p>
        </w:tc>
        <w:tc>
          <w:tcPr>
            <w:tcW w:w="3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380" w:type="dxa"/>
            <w:vAlign w:val="bottom"/>
          </w:tcPr>
          <w:p>
            <w:pPr>
              <w:jc w:val="right"/>
              <w:ind w:right="192"/>
              <w:spacing w:after="0"/>
              <w:rPr>
                <w:sz w:val="20"/>
                <w:szCs w:val="20"/>
                <w:color w:val="auto"/>
              </w:rPr>
            </w:pPr>
            <w:r>
              <w:rPr>
                <w:rFonts w:ascii="Arial" w:cs="Arial" w:eastAsia="Arial" w:hAnsi="Arial"/>
                <w:sz w:val="10"/>
                <w:szCs w:val="10"/>
                <w:color w:val="auto"/>
                <w:w w:val="97"/>
              </w:rPr>
              <w:t>(3)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264,421</w:t>
            </w:r>
          </w:p>
        </w:tc>
        <w:tc>
          <w:tcPr>
            <w:tcW w:w="360" w:type="dxa"/>
            <w:vAlign w:val="bottom"/>
          </w:tcPr>
          <w:p>
            <w:pPr>
              <w:jc w:val="center"/>
              <w:ind w:right="192"/>
              <w:spacing w:after="0"/>
              <w:rPr>
                <w:sz w:val="20"/>
                <w:szCs w:val="20"/>
                <w:color w:val="auto"/>
              </w:rPr>
            </w:pPr>
            <w:r>
              <w:rPr>
                <w:rFonts w:ascii="Arial" w:cs="Arial" w:eastAsia="Arial" w:hAnsi="Arial"/>
                <w:sz w:val="10"/>
                <w:szCs w:val="10"/>
                <w:color w:val="auto"/>
                <w:w w:val="97"/>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27,597</w:t>
            </w:r>
          </w:p>
        </w:tc>
        <w:tc>
          <w:tcPr>
            <w:tcW w:w="340" w:type="dxa"/>
            <w:vAlign w:val="bottom"/>
          </w:tcPr>
          <w:p>
            <w:pPr>
              <w:jc w:val="right"/>
              <w:ind w:right="172"/>
              <w:spacing w:after="0"/>
              <w:rPr>
                <w:sz w:val="20"/>
                <w:szCs w:val="20"/>
                <w:color w:val="auto"/>
              </w:rPr>
            </w:pPr>
            <w:r>
              <w:rPr>
                <w:rFonts w:ascii="Arial" w:cs="Arial" w:eastAsia="Arial" w:hAnsi="Arial"/>
                <w:sz w:val="10"/>
                <w:szCs w:val="10"/>
                <w:color w:val="auto"/>
                <w:w w:val="81"/>
              </w:rPr>
              <w:t>(3)</w:t>
            </w:r>
          </w:p>
        </w:tc>
        <w:tc>
          <w:tcPr>
            <w:tcW w:w="50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290,088</w:t>
            </w:r>
          </w:p>
        </w:tc>
        <w:tc>
          <w:tcPr>
            <w:tcW w:w="3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24,492</w:t>
            </w:r>
          </w:p>
        </w:tc>
        <w:tc>
          <w:tcPr>
            <w:tcW w:w="18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-299085</wp:posOffset>
            </wp:positionV>
            <wp:extent cx="154305" cy="1454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-299085</wp:posOffset>
            </wp:positionV>
            <wp:extent cx="154305" cy="1454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-299085</wp:posOffset>
            </wp:positionV>
            <wp:extent cx="154305" cy="1454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-299085</wp:posOffset>
            </wp:positionV>
            <wp:extent cx="145415" cy="1454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-299085</wp:posOffset>
            </wp:positionV>
            <wp:extent cx="145415" cy="1454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-299085</wp:posOffset>
            </wp:positionV>
            <wp:extent cx="120015"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0015" cy="14541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-299085</wp:posOffset>
            </wp:positionV>
            <wp:extent cx="120015" cy="1454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0015" cy="1454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-299085</wp:posOffset>
            </wp:positionV>
            <wp:extent cx="120015" cy="1454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0015" cy="145415"/>
                    </a:xfrm>
                    <a:prstGeom prst="rect">
                      <a:avLst/>
                    </a:prstGeom>
                    <a:noFill/>
                  </pic:spPr>
                </pic:pic>
              </a:graphicData>
            </a:graphic>
          </wp:anchor>
        </w:drawing>
      </w:r>
    </w:p>
    <w:p>
      <w:pPr>
        <w:spacing w:after="0" w:line="141" w:lineRule="exact"/>
        <w:rPr>
          <w:sz w:val="20"/>
          <w:szCs w:val="20"/>
          <w:color w:val="auto"/>
        </w:rPr>
      </w:pPr>
    </w:p>
    <w:p>
      <w:pPr>
        <w:ind w:left="380" w:hanging="372"/>
        <w:spacing w:after="0" w:line="261"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41 IMAX Theater Systems (2021 — 44) where the customer has the option to convert from a joint revenue sharing arrangement to a sale arrangement.</w:t>
      </w:r>
    </w:p>
    <w:p>
      <w:pPr>
        <w:spacing w:after="0" w:line="143" w:lineRule="exact"/>
        <w:rPr>
          <w:rFonts w:ascii="Arial" w:cs="Arial" w:eastAsia="Arial" w:hAnsi="Arial"/>
          <w:sz w:val="18"/>
          <w:szCs w:val="18"/>
          <w:color w:val="auto"/>
        </w:rPr>
      </w:pPr>
    </w:p>
    <w:p>
      <w:pPr>
        <w:jc w:val="both"/>
        <w:ind w:left="380" w:hanging="372"/>
        <w:spacing w:after="0" w:line="269"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38" w:lineRule="exact"/>
        <w:rPr>
          <w:rFonts w:ascii="Arial" w:cs="Arial" w:eastAsia="Arial" w:hAnsi="Arial"/>
          <w:sz w:val="17"/>
          <w:szCs w:val="17"/>
          <w:color w:val="auto"/>
        </w:rPr>
      </w:pPr>
    </w:p>
    <w:p>
      <w:pPr>
        <w:ind w:left="380" w:right="20" w:hanging="372"/>
        <w:spacing w:after="0" w:line="261"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September 30, 2022, the Company's backlog includes 14 theaters in Russia, one theater in Ukraine, and five theaters in Belarus with a total fixed contracted value of $22.9 million.</w:t>
      </w:r>
    </w:p>
    <w:p>
      <w:pPr>
        <w:spacing w:after="0" w:line="143" w:lineRule="exact"/>
        <w:rPr>
          <w:sz w:val="20"/>
          <w:szCs w:val="20"/>
          <w:color w:val="auto"/>
        </w:rPr>
      </w:pPr>
    </w:p>
    <w:p>
      <w:pPr>
        <w:jc w:val="both"/>
        <w:ind w:firstLine="225"/>
        <w:spacing w:after="0" w:line="242" w:lineRule="auto"/>
        <w:rPr>
          <w:sz w:val="20"/>
          <w:szCs w:val="20"/>
          <w:color w:val="auto"/>
        </w:rPr>
      </w:pPr>
      <w:r>
        <w:rPr>
          <w:rFonts w:ascii="Arial" w:cs="Arial" w:eastAsia="Arial" w:hAnsi="Arial"/>
          <w:sz w:val="18"/>
          <w:szCs w:val="18"/>
          <w:color w:val="auto"/>
        </w:rPr>
        <w:t>The number of IMAX Theater Systems in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The dollar value of backlog typically represents the fixed contracted revenue under signed IMAX Theater System sale and lease agreements that the Company expects to recognize as revenue upon installation and acceptance of the associated system, as well as an estimate of variable consideration in sale arrangements. The value of backlog does not include amounts allocated to maintenance and extended warranty revenues or revenue from theaters in which the Company has an equity interest, operating leases, and long-term conditional theater commitments. The Company believes that the contractual obligations for IMAX Theater System installations that are listed in backlog are valid and binding commitments.</w:t>
      </w:r>
    </w:p>
    <w:p>
      <w:pPr>
        <w:spacing w:after="0" w:line="164" w:lineRule="exact"/>
        <w:rPr>
          <w:sz w:val="20"/>
          <w:szCs w:val="20"/>
          <w:color w:val="auto"/>
        </w:rPr>
      </w:pPr>
    </w:p>
    <w:p>
      <w:pPr>
        <w:jc w:val="both"/>
        <w:ind w:firstLine="223"/>
        <w:spacing w:after="0" w:line="245"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7" w:lineRule="exact"/>
        <w:rPr>
          <w:sz w:val="20"/>
          <w:szCs w:val="20"/>
          <w:color w:val="auto"/>
        </w:rPr>
      </w:pPr>
    </w:p>
    <w:p>
      <w:pPr>
        <w:jc w:val="both"/>
        <w:ind w:firstLine="223"/>
        <w:spacing w:after="0" w:line="32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0" w:name="page61"/>
    <w:bookmarkEnd w:id="60"/>
    <w:p>
      <w:pPr>
        <w:ind w:firstLine="223"/>
        <w:spacing w:after="0" w:line="261"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September 30,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IMAX Theater System Backlog</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Traditional</w:t>
            </w:r>
          </w:p>
        </w:tc>
        <w:tc>
          <w:tcPr>
            <w:tcW w:w="24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Hybrid</w:t>
            </w:r>
          </w:p>
        </w:tc>
        <w:tc>
          <w:tcPr>
            <w:tcW w:w="2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Sale / 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 Lease</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80" w:type="dxa"/>
            <w:vAlign w:val="bottom"/>
            <w:gridSpan w:val="2"/>
          </w:tcPr>
          <w:p>
            <w:pPr>
              <w:ind w:left="200"/>
              <w:spacing w:after="0" w:line="166" w:lineRule="exact"/>
              <w:rPr>
                <w:sz w:val="20"/>
                <w:szCs w:val="20"/>
                <w:color w:val="auto"/>
              </w:rPr>
            </w:pPr>
            <w:r>
              <w:rPr>
                <w:rFonts w:ascii="Arial" w:cs="Arial" w:eastAsia="Arial" w:hAnsi="Arial"/>
                <w:sz w:val="18"/>
                <w:szCs w:val="18"/>
                <w:color w:val="auto"/>
              </w:rPr>
              <w:t>Western Europe</w:t>
            </w:r>
          </w:p>
        </w:tc>
        <w:tc>
          <w:tcPr>
            <w:tcW w:w="1160" w:type="dxa"/>
            <w:vAlign w:val="bottom"/>
          </w:tcPr>
          <w:p>
            <w:pPr>
              <w:jc w:val="right"/>
              <w:spacing w:after="0" w:line="166" w:lineRule="exact"/>
              <w:rPr>
                <w:sz w:val="20"/>
                <w:szCs w:val="20"/>
                <w:color w:val="auto"/>
              </w:rPr>
            </w:pPr>
            <w:r>
              <w:rPr>
                <w:rFonts w:ascii="Arial" w:cs="Arial" w:eastAsia="Arial" w:hAnsi="Arial"/>
                <w:sz w:val="18"/>
                <w:szCs w:val="18"/>
                <w:color w:val="auto"/>
              </w:rPr>
              <w:t>18</w:t>
            </w:r>
          </w:p>
        </w:tc>
        <w:tc>
          <w:tcPr>
            <w:tcW w:w="136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13</w:t>
            </w:r>
          </w:p>
        </w:tc>
        <w:tc>
          <w:tcPr>
            <w:tcW w:w="130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4</w:t>
            </w:r>
          </w:p>
        </w:tc>
        <w:tc>
          <w:tcPr>
            <w:tcW w:w="138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35</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680" w:type="dxa"/>
            <w:vAlign w:val="bottom"/>
            <w:gridSpan w:val="2"/>
          </w:tcPr>
          <w:p>
            <w:pPr>
              <w:ind w:left="200"/>
              <w:spacing w:after="0" w:line="265" w:lineRule="exact"/>
              <w:rPr>
                <w:sz w:val="20"/>
                <w:szCs w:val="20"/>
                <w:color w:val="auto"/>
              </w:rPr>
            </w:pPr>
            <w:r>
              <w:rPr>
                <w:rFonts w:ascii="Arial" w:cs="Arial" w:eastAsia="Arial" w:hAnsi="Arial"/>
                <w:sz w:val="18"/>
                <w:szCs w:val="18"/>
                <w:color w:val="auto"/>
              </w:rPr>
              <w:t>Russia/the CIS &amp; Ukraine</w:t>
            </w:r>
            <w:r>
              <w:rPr>
                <w:rFonts w:ascii="Arial" w:cs="Arial" w:eastAsia="Arial" w:hAnsi="Arial"/>
                <w:sz w:val="24"/>
                <w:szCs w:val="24"/>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200"/>
              <w:spacing w:after="0"/>
              <w:rPr>
                <w:sz w:val="20"/>
                <w:szCs w:val="20"/>
                <w:color w:val="auto"/>
              </w:rPr>
            </w:pPr>
            <w:r>
              <w:rPr>
                <w:rFonts w:ascii="Arial" w:cs="Arial" w:eastAsia="Arial" w:hAnsi="Arial"/>
                <w:sz w:val="18"/>
                <w:szCs w:val="18"/>
                <w:color w:val="auto"/>
              </w:rPr>
              <w:t>Rest of the World</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International Total</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Worldwide 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IMAX Theater System Backlog</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Traditional</w:t>
            </w:r>
          </w:p>
        </w:tc>
        <w:tc>
          <w:tcPr>
            <w:tcW w:w="24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Hybrid</w:t>
            </w:r>
          </w:p>
        </w:tc>
        <w:tc>
          <w:tcPr>
            <w:tcW w:w="2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Sale / 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 Lease</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Western Europe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200"/>
              <w:spacing w:after="0"/>
              <w:rPr>
                <w:sz w:val="20"/>
                <w:szCs w:val="20"/>
                <w:color w:val="auto"/>
              </w:rPr>
            </w:pPr>
            <w:r>
              <w:rPr>
                <w:rFonts w:ascii="Arial" w:cs="Arial" w:eastAsia="Arial" w:hAnsi="Arial"/>
                <w:sz w:val="18"/>
                <w:szCs w:val="18"/>
                <w:color w:val="auto"/>
              </w:rPr>
              <w:t>Russia/the CIS &amp; Ukraine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200"/>
              <w:spacing w:after="0"/>
              <w:rPr>
                <w:sz w:val="20"/>
                <w:szCs w:val="20"/>
                <w:color w:val="auto"/>
              </w:rPr>
            </w:pPr>
            <w:r>
              <w:rPr>
                <w:rFonts w:ascii="Arial" w:cs="Arial" w:eastAsia="Arial" w:hAnsi="Arial"/>
                <w:sz w:val="18"/>
                <w:szCs w:val="18"/>
                <w:color w:val="auto"/>
              </w:rPr>
              <w:t>Rest of the World</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International Total</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Worldwide 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-3475990</wp:posOffset>
            </wp:positionV>
            <wp:extent cx="76835" cy="1454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-3475990</wp:posOffset>
            </wp:positionV>
            <wp:extent cx="68580" cy="1454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-3475990</wp:posOffset>
            </wp:positionV>
            <wp:extent cx="68580" cy="1454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-3475990</wp:posOffset>
            </wp:positionV>
            <wp:extent cx="68580" cy="1454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-3056255</wp:posOffset>
            </wp:positionV>
            <wp:extent cx="7132320" cy="137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-2362835</wp:posOffset>
            </wp:positionV>
            <wp:extent cx="76835" cy="3079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-2362835</wp:posOffset>
            </wp:positionV>
            <wp:extent cx="68580" cy="3079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-2362835</wp:posOffset>
            </wp:positionV>
            <wp:extent cx="68580" cy="3079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-2362835</wp:posOffset>
            </wp:positionV>
            <wp:extent cx="68580" cy="796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79629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-1429385</wp:posOffset>
            </wp:positionV>
            <wp:extent cx="76835" cy="1454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-1429385</wp:posOffset>
            </wp:positionV>
            <wp:extent cx="68580" cy="1454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-1429385</wp:posOffset>
            </wp:positionV>
            <wp:extent cx="68580" cy="1454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-1429385</wp:posOffset>
            </wp:positionV>
            <wp:extent cx="68580" cy="1454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-316230</wp:posOffset>
            </wp:positionV>
            <wp:extent cx="76835" cy="1714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-316230</wp:posOffset>
            </wp:positionV>
            <wp:extent cx="68580" cy="1714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-316230</wp:posOffset>
            </wp:positionV>
            <wp:extent cx="68580" cy="1714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-316230</wp:posOffset>
            </wp:positionV>
            <wp:extent cx="68580" cy="1714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jc w:val="both"/>
        <w:ind w:left="380" w:hanging="372"/>
        <w:spacing w:after="0" w:line="24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September 30, 2022, the Company's backlog includes 14 theaters in Russia, one theater in Ukraine, and five theaters in Belarus with a total fixed contracted value of $22.9 million.</w:t>
      </w:r>
    </w:p>
    <w:p>
      <w:pPr>
        <w:spacing w:after="0" w:line="159"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201 new IMAX Laser Theater Systems and 116 upgrades of existing locations to IMAX Laser Theater Systems.</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157 new IMAX Laser Theater Systems and 95 upgrades of existing locations to IMAX Laser Theater Systems.</w:t>
      </w:r>
    </w:p>
    <w:p>
      <w:pPr>
        <w:spacing w:after="0" w:line="17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Approximately 73% of IMAX Theater System arrangements in backlog as of September 30, 2022 are scheduled to be installed in international markets (2021 — 74%).</w:t>
      </w:r>
    </w:p>
    <w:p>
      <w:pPr>
        <w:spacing w:after="0" w:line="116" w:lineRule="exact"/>
        <w:rPr>
          <w:sz w:val="20"/>
          <w:szCs w:val="20"/>
          <w:color w:val="auto"/>
        </w:rPr>
      </w:pPr>
    </w:p>
    <w:p>
      <w:pPr>
        <w:jc w:val="both"/>
        <w:ind w:right="20" w:firstLine="255"/>
        <w:spacing w:after="0" w:line="302"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Signings and Installations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provide detailed information about IMAX Theater System signings and installations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20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For the Three Months Ended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6"/>
                <w:szCs w:val="16"/>
                <w:color w:val="auto"/>
              </w:rPr>
            </w:pPr>
          </w:p>
        </w:tc>
      </w:tr>
      <w:tr>
        <w:trPr>
          <w:trHeight w:val="201"/>
        </w:trPr>
        <w:tc>
          <w:tcPr>
            <w:tcW w:w="15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680" w:type="dxa"/>
            <w:vAlign w:val="bottom"/>
            <w:gridSpan w:val="3"/>
          </w:tcPr>
          <w:p>
            <w:pPr>
              <w:ind w:left="634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340" w:type="dxa"/>
            <w:vAlign w:val="bottom"/>
            <w:gridSpan w:val="3"/>
          </w:tcPr>
          <w:p>
            <w:pPr>
              <w:ind w:left="64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Theater System Signings:</w:t>
            </w: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gridSpan w:val="3"/>
          </w:tcPr>
          <w:p>
            <w:pPr>
              <w:ind w:left="20"/>
              <w:spacing w:after="0"/>
              <w:rPr>
                <w:sz w:val="20"/>
                <w:szCs w:val="20"/>
                <w:color w:val="auto"/>
              </w:rPr>
            </w:pPr>
            <w:r>
              <w:rPr>
                <w:rFonts w:ascii="Arial" w:cs="Arial" w:eastAsia="Arial" w:hAnsi="Arial"/>
                <w:sz w:val="18"/>
                <w:szCs w:val="18"/>
                <w:color w:val="auto"/>
              </w:rPr>
              <w:t>New IMAX Theater Systems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Sale and sales-type lease arrangements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gridSpan w:val="3"/>
          </w:tcPr>
          <w:p>
            <w:pPr>
              <w:ind w:left="120"/>
              <w:spacing w:after="0"/>
              <w:rPr>
                <w:sz w:val="20"/>
                <w:szCs w:val="20"/>
                <w:color w:val="auto"/>
              </w:rPr>
            </w:pPr>
            <w:r>
              <w:rPr>
                <w:rFonts w:ascii="Arial" w:cs="Arial" w:eastAsia="Arial" w:hAnsi="Arial"/>
                <w:sz w:val="18"/>
                <w:szCs w:val="18"/>
                <w:color w:val="auto"/>
              </w:rPr>
              <w:t>Hybrid JRSA</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Traditional JRSA</w:t>
            </w:r>
          </w:p>
        </w:tc>
        <w:tc>
          <w:tcPr>
            <w:tcW w:w="7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FF0FC"/>
            </w:tcBorders>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Total new IMAX Theater Systems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Upgrades of IMAX Theater Systems</w:t>
            </w:r>
          </w:p>
        </w:tc>
        <w:tc>
          <w:tcPr>
            <w:tcW w:w="7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FF0FC"/>
            </w:tcBorders>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Total IMAX Theater System signings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For the 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24"/>
                <w:szCs w:val="24"/>
                <w:color w:val="auto"/>
              </w:rPr>
            </w:pPr>
          </w:p>
        </w:tc>
      </w:tr>
      <w:tr>
        <w:trPr>
          <w:trHeight w:val="201"/>
        </w:trPr>
        <w:tc>
          <w:tcPr>
            <w:tcW w:w="15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680" w:type="dxa"/>
            <w:vAlign w:val="bottom"/>
            <w:gridSpan w:val="3"/>
          </w:tcPr>
          <w:p>
            <w:pPr>
              <w:ind w:left="6340"/>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340" w:type="dxa"/>
            <w:vAlign w:val="bottom"/>
            <w:gridSpan w:val="3"/>
          </w:tcPr>
          <w:p>
            <w:pPr>
              <w:ind w:left="64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Theater System Installations:</w:t>
            </w: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gridSpan w:val="3"/>
          </w:tcPr>
          <w:p>
            <w:pPr>
              <w:ind w:left="20"/>
              <w:spacing w:after="0" w:line="216" w:lineRule="exact"/>
              <w:rPr>
                <w:sz w:val="20"/>
                <w:szCs w:val="20"/>
                <w:color w:val="auto"/>
              </w:rPr>
            </w:pPr>
            <w:r>
              <w:rPr>
                <w:rFonts w:ascii="Arial" w:cs="Arial" w:eastAsia="Arial" w:hAnsi="Arial"/>
                <w:sz w:val="18"/>
                <w:szCs w:val="18"/>
                <w:color w:val="auto"/>
              </w:rPr>
              <w:t>New IMAX Theater Systems</w:t>
            </w:r>
            <w:r>
              <w:rPr>
                <w:rFonts w:ascii="Arial" w:cs="Arial" w:eastAsia="Arial" w:hAnsi="Arial"/>
                <w:sz w:val="24"/>
                <w:szCs w:val="24"/>
                <w:color w:val="auto"/>
                <w:vertAlign w:val="superscript"/>
              </w:rPr>
              <w:t>(1)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Sale and sales-type lease arrangements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gridSpan w:val="3"/>
          </w:tcPr>
          <w:p>
            <w:pPr>
              <w:ind w:left="120"/>
              <w:spacing w:after="0"/>
              <w:rPr>
                <w:sz w:val="20"/>
                <w:szCs w:val="20"/>
                <w:color w:val="auto"/>
              </w:rPr>
            </w:pPr>
            <w:r>
              <w:rPr>
                <w:rFonts w:ascii="Arial" w:cs="Arial" w:eastAsia="Arial" w:hAnsi="Arial"/>
                <w:sz w:val="18"/>
                <w:szCs w:val="18"/>
                <w:color w:val="auto"/>
              </w:rPr>
              <w:t>Hybrid JRSA</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Traditional JRSA</w:t>
            </w:r>
          </w:p>
        </w:tc>
        <w:tc>
          <w:tcPr>
            <w:tcW w:w="7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FF0FC"/>
            </w:tcBorders>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Total new IMAX Theater Systems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Upgrades of IMAX Theater Systems</w:t>
            </w:r>
          </w:p>
        </w:tc>
        <w:tc>
          <w:tcPr>
            <w:tcW w:w="7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Total IMAX Theater System installations</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-2294255</wp:posOffset>
            </wp:positionV>
            <wp:extent cx="76835" cy="1454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-2294255</wp:posOffset>
            </wp:positionV>
            <wp:extent cx="68580" cy="1454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-2294255</wp:posOffset>
            </wp:positionV>
            <wp:extent cx="68580" cy="1454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1454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-2011680</wp:posOffset>
            </wp:positionV>
            <wp:extent cx="76835" cy="3079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-2011680</wp:posOffset>
            </wp:positionV>
            <wp:extent cx="68580" cy="3079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-2011680</wp:posOffset>
            </wp:positionV>
            <wp:extent cx="68580" cy="7194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7194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7194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7194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-607060</wp:posOffset>
            </wp:positionV>
            <wp:extent cx="76835" cy="1454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-607060</wp:posOffset>
            </wp:positionV>
            <wp:extent cx="68580" cy="1454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-607060</wp:posOffset>
            </wp:positionV>
            <wp:extent cx="68580" cy="1454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1454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-324485</wp:posOffset>
            </wp:positionV>
            <wp:extent cx="76835" cy="171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-324485</wp:posOffset>
            </wp:positionV>
            <wp:extent cx="68580" cy="1714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-324485</wp:posOffset>
            </wp:positionV>
            <wp:extent cx="68580" cy="1714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45"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three months ended September 30, 2022, includes two IMAX Theater System that were relocated from their original locations (2021 ― nil). For the nine months ended September 30, 2022, includes eight IMAX Theater Systems that were relocated from their original location. (2021 ― nil). When a theater system under a sale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57" w:lineRule="exact"/>
        <w:rPr>
          <w:sz w:val="20"/>
          <w:szCs w:val="20"/>
          <w:color w:val="auto"/>
        </w:rPr>
      </w:pPr>
    </w:p>
    <w:p>
      <w:pPr>
        <w:jc w:val="both"/>
        <w:ind w:right="20" w:firstLine="255"/>
        <w:spacing w:after="0" w:line="302"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7"/>
          <w:szCs w:val="17"/>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DMR films and other events to be exhibited in IMAX theaters; (ii) the signing, installation, and financial performance of theater system arrangements, particularly those involving laser-based projection systems; (iii) the success of the Company's investments in business evolution and brand extensions, including the integration and performance of SSIMWAVE and the distribution of live events to the IMAX network and IMAX Enhanced, (iv) revenues and gross margins earned by the Company's segments, as discussed below; (v) consolidated earnings from operations, as adjusted for unusual items; (vi) the continuing ability to invest in and improve the Company's technology to enhance the differentiation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versus other out-of-home experiences; (vii) the overall execution, reliability, and consumer acceptance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and (viii) short- and long-term cash flow projections.</w:t>
      </w:r>
    </w:p>
    <w:p>
      <w:pPr>
        <w:spacing w:after="0" w:line="146"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The CEO is the Company's Chief Operating Decision Maker ("CODM"), as such term is defined under United States Generally Accepted Accounting Principles ("U.S. GAAP"). The CODM, along with other members of management,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reportable segments are organized into the following three categories: (i) IMAX Technology Network; (ii) IMAX Technology Sales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Maintenance; and (iii) Film Distribution and Post-Production. Within these categories are the Company's following reportable segments: (i) IMAX DMR;</w:t>
      </w:r>
    </w:p>
    <w:p>
      <w:pPr>
        <w:spacing w:after="0" w:line="30" w:lineRule="exact"/>
        <w:rPr>
          <w:sz w:val="20"/>
          <w:szCs w:val="20"/>
          <w:color w:val="auto"/>
        </w:rPr>
      </w:pPr>
    </w:p>
    <w:p>
      <w:pPr>
        <w:jc w:val="both"/>
        <w:ind w:firstLine="8"/>
        <w:spacing w:after="0" w:line="239" w:lineRule="auto"/>
        <w:tabs>
          <w:tab w:leader="none" w:pos="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JRSA; (iii) IMAX Systems; (iv) IMAX Maintenance; (v) Other Theater Business; (vi) Film Distribution; and (vii) Film Post-Production, each of which are described above under "Sources of Revenue." The Company's activities that do not meet the criteria to be considered a reportable segment are disclosed within All Other. This categorization is consistent with how the CODM reviews the financial performance of the Company and makes strategic decisions regarding resource allocation and investments to meet long-term business goals. Management believes that a discussion and analysis based on the three categories listed above is significantly more relevant and useful to readers, as the Company's Condensed Consolidated Statements of Operations captions combine results from several segments.</w:t>
      </w:r>
    </w:p>
    <w:p>
      <w:pPr>
        <w:spacing w:after="0" w:line="165"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 Prior period comparatives have been reclassified to conform with the current period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2022 and 2021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and Adjusted Net Loss Attributable to Common Shareholders</w:t>
      </w:r>
    </w:p>
    <w:p>
      <w:pPr>
        <w:spacing w:after="0" w:line="171"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The following table presents the Company's net loss attributable to common shareholders and the associated per share amounts, as well as adjusted net loss attributable to common shareholders* and adjusted net loss attributable to common shareholders per share* for the three months ended September 30,</w:t>
      </w:r>
    </w:p>
    <w:p>
      <w:pPr>
        <w:spacing w:after="0"/>
        <w:rPr>
          <w:sz w:val="20"/>
          <w:szCs w:val="20"/>
          <w:color w:val="auto"/>
        </w:rPr>
      </w:pPr>
      <w:r>
        <w:rPr>
          <w:rFonts w:ascii="Arial" w:cs="Arial" w:eastAsia="Arial" w:hAnsi="Arial"/>
          <w:sz w:val="18"/>
          <w:szCs w:val="18"/>
          <w:color w:val="auto"/>
        </w:rPr>
        <w:t>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w w:val="96"/>
              </w:rPr>
              <w:t>Three Months Ended September 30,</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40" w:type="dxa"/>
            <w:vAlign w:val="bottom"/>
          </w:tcPr>
          <w:p>
            <w:pPr>
              <w:spacing w:after="0"/>
              <w:rPr>
                <w:sz w:val="17"/>
                <w:szCs w:val="17"/>
                <w:color w:val="auto"/>
              </w:rPr>
            </w:pP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1"/>
              </w:rPr>
              <w:t>Net Loss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7"/>
                <w:szCs w:val="17"/>
                <w:color w:val="auto"/>
              </w:rPr>
            </w:pPr>
          </w:p>
        </w:tc>
        <w:tc>
          <w:tcPr>
            <w:tcW w:w="10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87"/>
              </w:rPr>
              <w:t>Net Loss</w:t>
            </w:r>
          </w:p>
        </w:tc>
        <w:tc>
          <w:tcPr>
            <w:tcW w:w="140" w:type="dxa"/>
            <w:vAlign w:val="bottom"/>
          </w:tcPr>
          <w:p>
            <w:pPr>
              <w:spacing w:after="0"/>
              <w:rPr>
                <w:sz w:val="17"/>
                <w:szCs w:val="17"/>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w w:val="91"/>
              </w:rPr>
              <w:t>Per Share</w:t>
            </w:r>
          </w:p>
        </w:tc>
      </w:tr>
      <w:tr>
        <w:trPr>
          <w:trHeight w:val="20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(8,378</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Adjusted 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(3,027 )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(0.05 )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(5,032 )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05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1" w:lineRule="exact"/>
        <w:rPr>
          <w:sz w:val="20"/>
          <w:szCs w:val="20"/>
          <w:color w:val="auto"/>
        </w:rPr>
      </w:pPr>
    </w:p>
    <w:p>
      <w:pPr>
        <w:ind w:left="180" w:hanging="172"/>
        <w:spacing w:after="0" w:line="261" w:lineRule="auto"/>
        <w:tabs>
          <w:tab w:leader="none" w:pos="1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b w:val="1"/>
          <w:bCs w:val="1"/>
          <w:i w:val="1"/>
          <w:iCs w:val="1"/>
          <w:color w:val="auto"/>
        </w:rPr>
        <w:t>Revenues and Gross Margin (Margin Loss)</w:t>
      </w:r>
    </w:p>
    <w:p>
      <w:pPr>
        <w:spacing w:after="0" w:line="17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 xml:space="preserve">During the three months ended September 30, 2022, the Company's revenues and gross margin increased by $12.2 million (22%) and $4.2 million (15%), respectively, when compared to same period in 2021 principally due to the strength of the GBO performance of the IMAX Technology Network through the distribution of films such as </w:t>
      </w:r>
      <w:r>
        <w:rPr>
          <w:rFonts w:ascii="Arial" w:cs="Arial" w:eastAsia="Arial" w:hAnsi="Arial"/>
          <w:sz w:val="17"/>
          <w:szCs w:val="17"/>
          <w:i w:val="1"/>
          <w:iCs w:val="1"/>
          <w:color w:val="auto"/>
        </w:rPr>
        <w:t>Thor: Love and Thunder</w:t>
      </w:r>
      <w:r>
        <w:rPr>
          <w:rFonts w:ascii="Arial" w:cs="Arial" w:eastAsia="Arial" w:hAnsi="Arial"/>
          <w:sz w:val="17"/>
          <w:szCs w:val="17"/>
          <w:color w:val="auto"/>
        </w:rPr>
        <w:t xml:space="preserve">, </w:t>
      </w:r>
      <w:r>
        <w:rPr>
          <w:rFonts w:ascii="Arial" w:cs="Arial" w:eastAsia="Arial" w:hAnsi="Arial"/>
          <w:sz w:val="17"/>
          <w:szCs w:val="17"/>
          <w:i w:val="1"/>
          <w:iCs w:val="1"/>
          <w:color w:val="auto"/>
        </w:rPr>
        <w:t>Top Gun: Maverick</w:t>
      </w:r>
      <w:r>
        <w:rPr>
          <w:rFonts w:ascii="Arial" w:cs="Arial" w:eastAsia="Arial" w:hAnsi="Arial"/>
          <w:sz w:val="17"/>
          <w:szCs w:val="17"/>
          <w:color w:val="auto"/>
        </w:rPr>
        <w:t xml:space="preserve">, </w:t>
      </w:r>
      <w:r>
        <w:rPr>
          <w:rFonts w:ascii="Arial" w:cs="Arial" w:eastAsia="Arial" w:hAnsi="Arial"/>
          <w:sz w:val="17"/>
          <w:szCs w:val="17"/>
          <w:i w:val="1"/>
          <w:iCs w:val="1"/>
          <w:color w:val="auto"/>
        </w:rPr>
        <w:t>Moon Man</w:t>
      </w:r>
      <w:r>
        <w:rPr>
          <w:rFonts w:ascii="Arial" w:cs="Arial" w:eastAsia="Arial" w:hAnsi="Arial"/>
          <w:sz w:val="17"/>
          <w:szCs w:val="17"/>
          <w:color w:val="auto"/>
        </w:rPr>
        <w:t xml:space="preserve">, </w:t>
      </w:r>
      <w:r>
        <w:rPr>
          <w:rFonts w:ascii="Arial" w:cs="Arial" w:eastAsia="Arial" w:hAnsi="Arial"/>
          <w:sz w:val="17"/>
          <w:szCs w:val="17"/>
          <w:i w:val="1"/>
          <w:iCs w:val="1"/>
          <w:color w:val="auto"/>
        </w:rPr>
        <w:t>Nope</w:t>
      </w:r>
      <w:r>
        <w:rPr>
          <w:rFonts w:ascii="Arial" w:cs="Arial" w:eastAsia="Arial" w:hAnsi="Arial"/>
          <w:sz w:val="17"/>
          <w:szCs w:val="17"/>
          <w:color w:val="auto"/>
        </w:rPr>
        <w:t xml:space="preserve">, and </w:t>
      </w:r>
      <w:r>
        <w:rPr>
          <w:rFonts w:ascii="Arial" w:cs="Arial" w:eastAsia="Arial" w:hAnsi="Arial"/>
          <w:sz w:val="17"/>
          <w:szCs w:val="17"/>
          <w:i w:val="1"/>
          <w:iCs w:val="1"/>
          <w:color w:val="auto"/>
        </w:rPr>
        <w:t>Minions: The Rise of Gru.</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Gross Margin (Margin 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19,919</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15,701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11,408</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JRSA, contingent rent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720" w:type="dxa"/>
            <w:vAlign w:val="bottom"/>
            <w:gridSpan w:val="2"/>
          </w:tcPr>
          <w:p>
            <w:pPr>
              <w:ind w:left="120"/>
              <w:spacing w:after="0" w:line="265"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15,957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13,236</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9,029</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JRSA, fixed fees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(154 )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20" w:type="dxa"/>
            <w:vAlign w:val="bottom"/>
            <w:gridSpan w:val="2"/>
          </w:tcPr>
          <w:p>
            <w:pPr>
              <w:ind w:left="120"/>
              <w:spacing w:after="0" w:line="166" w:lineRule="exact"/>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8"/>
                <w:szCs w:val="18"/>
                <w:color w:val="auto"/>
              </w:rPr>
              <w:t>13,939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8"/>
                <w:szCs w:val="18"/>
                <w:color w:val="auto"/>
              </w:rPr>
              <w:t>13,055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8"/>
                <w:szCs w:val="18"/>
                <w:color w:val="auto"/>
              </w:rPr>
              <w:t>6,406</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8"/>
                <w:szCs w:val="18"/>
                <w:color w:val="auto"/>
              </w:rPr>
              <w:t>6,462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720" w:type="dxa"/>
            <w:vAlign w:val="bottom"/>
            <w:gridSpan w:val="2"/>
          </w:tcPr>
          <w:p>
            <w:pPr>
              <w:ind w:left="120"/>
              <w:spacing w:after="0" w:line="265" w:lineRule="exact"/>
              <w:rPr>
                <w:sz w:val="20"/>
                <w:szCs w:val="20"/>
                <w:color w:val="auto"/>
              </w:rPr>
            </w:pPr>
            <w:r>
              <w:rPr>
                <w:rFonts w:ascii="Arial" w:cs="Arial" w:eastAsia="Arial" w:hAnsi="Arial"/>
                <w:sz w:val="18"/>
                <w:szCs w:val="18"/>
                <w:color w:val="auto"/>
              </w:rPr>
              <w:t>Other Theater Business</w:t>
            </w:r>
            <w:r>
              <w:rPr>
                <w:rFonts w:ascii="Arial" w:cs="Arial" w:eastAsia="Arial" w:hAnsi="Arial"/>
                <w:sz w:val="24"/>
                <w:szCs w:val="24"/>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15,449</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Sub-total for reportable segments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(3)</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68,755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56,602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31,701</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2908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132320" cy="2908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-598805</wp:posOffset>
            </wp:positionV>
            <wp:extent cx="76835" cy="1454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-598805</wp:posOffset>
            </wp:positionV>
            <wp:extent cx="68580" cy="1454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-598805</wp:posOffset>
            </wp:positionV>
            <wp:extent cx="68580" cy="1454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454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-316230</wp:posOffset>
            </wp:positionV>
            <wp:extent cx="76835"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-316230</wp:posOffset>
            </wp:positionV>
            <wp:extent cx="68580" cy="1714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-316230</wp:posOffset>
            </wp:positionV>
            <wp:extent cx="68580" cy="1714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714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77"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32" w:lineRule="exact"/>
        <w:rPr>
          <w:rFonts w:ascii="Arial" w:cs="Arial" w:eastAsia="Arial" w:hAnsi="Arial"/>
          <w:sz w:val="17"/>
          <w:szCs w:val="17"/>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Theater System parts and 3D glasses.</w:t>
      </w:r>
    </w:p>
    <w:p>
      <w:pPr>
        <w:spacing w:after="0" w:line="170" w:lineRule="exact"/>
        <w:rPr>
          <w:rFonts w:ascii="Arial" w:cs="Arial" w:eastAsia="Arial" w:hAnsi="Arial"/>
          <w:sz w:val="18"/>
          <w:szCs w:val="18"/>
          <w:color w:val="auto"/>
        </w:rPr>
      </w:pPr>
    </w:p>
    <w:p>
      <w:pPr>
        <w:jc w:val="both"/>
        <w:ind w:left="380" w:hanging="372"/>
        <w:spacing w:after="0" w:line="287"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Other includes the results from IMAX Enhanced, SSIMWAVE,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 The results of SSIMWAVE, which was acquired on September 22, 2022, were not material to the period. (See "SSIMWAVE" under "Sources of Revenue - All Other" and Note 4 of Notes to Condensed Consolidated Financial Statements for additional information related to the Company's acquisition of SSIMWAVE.)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4" w:name="page65"/>
    <w:bookmarkEnd w:id="64"/>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7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IMAX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8"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For the three months ended September 30, 2022, IMAX Technology Network revenues and gross margin increased by $6.9 million (27%) and $6.8 million (62%), respectively, when compared to the same period in 2021 principally due to the strength of the GBO performance of the IMAX Technology Network. See below for separate discussions of IMAX DMR and JRSA contingent rent segment results for the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7"/>
          <w:szCs w:val="17"/>
          <w:color w:val="auto"/>
        </w:rPr>
        <w:t xml:space="preserve">For the three months ended September 30, 2022, IMAX DMR revenues and gross margin increased by $4.2 million (27%) and $4.1 million (56%), respectively, when compared to the same period in 2021. These increases are primarily due to the strong performance of the films distributed through the IMAX network, which resulted in a $35.2 million (25%) increase in GBO in the third quarter of 2022 over the prior year comparative period, from $141.9 million to $177.1 million. This overall improvement in GBO for the period was partially offset by unfavorable foreign currency exchange rate movements. In the third quarter of 2022, GBO was generated by the exhibition of 36 films (27 new films, 4 carryovers, and 5 re-releases), including </w:t>
      </w:r>
      <w:r>
        <w:rPr>
          <w:rFonts w:ascii="Arial" w:cs="Arial" w:eastAsia="Arial" w:hAnsi="Arial"/>
          <w:sz w:val="17"/>
          <w:szCs w:val="17"/>
          <w:i w:val="1"/>
          <w:iCs w:val="1"/>
          <w:color w:val="auto"/>
        </w:rPr>
        <w:t>Thor: Love and</w:t>
      </w:r>
      <w:r>
        <w:rPr>
          <w:rFonts w:ascii="Arial" w:cs="Arial" w:eastAsia="Arial" w:hAnsi="Arial"/>
          <w:sz w:val="17"/>
          <w:szCs w:val="17"/>
          <w:color w:val="auto"/>
        </w:rPr>
        <w:t xml:space="preserve"> </w:t>
      </w:r>
      <w:r>
        <w:rPr>
          <w:rFonts w:ascii="Arial" w:cs="Arial" w:eastAsia="Arial" w:hAnsi="Arial"/>
          <w:sz w:val="17"/>
          <w:szCs w:val="17"/>
          <w:i w:val="1"/>
          <w:iCs w:val="1"/>
          <w:color w:val="auto"/>
        </w:rPr>
        <w:t>Thunder</w:t>
      </w:r>
      <w:r>
        <w:rPr>
          <w:rFonts w:ascii="Arial" w:cs="Arial" w:eastAsia="Arial" w:hAnsi="Arial"/>
          <w:sz w:val="17"/>
          <w:szCs w:val="17"/>
          <w:color w:val="auto"/>
        </w:rPr>
        <w:t>, which generated GBO of $39.8 million in the period, and</w:t>
      </w:r>
      <w:r>
        <w:rPr>
          <w:rFonts w:ascii="Arial" w:cs="Arial" w:eastAsia="Arial" w:hAnsi="Arial"/>
          <w:sz w:val="17"/>
          <w:szCs w:val="17"/>
          <w:i w:val="1"/>
          <w:iCs w:val="1"/>
          <w:color w:val="auto"/>
        </w:rPr>
        <w:t xml:space="preserve"> Top Gun: Maverick</w:t>
      </w:r>
      <w:r>
        <w:rPr>
          <w:rFonts w:ascii="Arial" w:cs="Arial" w:eastAsia="Arial" w:hAnsi="Arial"/>
          <w:sz w:val="17"/>
          <w:szCs w:val="17"/>
          <w:color w:val="auto"/>
        </w:rPr>
        <w:t>, which generated GBO of $20.4 million in the period. In addition,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third quarter of 2022, local language films released to the Company's global theater network generated $53.0 million in GBO representing 30% of the Company's total GBO as compared to $32.0 million representing 23% of the Company's total GBO during the same period in the prior year. In the third quarter of 2021, GBO was generated by the exhibition of 24 films (21 new films and 3 carryovers).</w:t>
      </w:r>
    </w:p>
    <w:p>
      <w:pPr>
        <w:spacing w:after="0" w:line="15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especially with respect to marketing expenses. For the three months ended September 30, 2022, marketing expenses were $2.5 million, as compared to $3.2 million during the same period in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4"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For the three months ended September 30, 2022, JRSA contingent rent revenue and gross margin increased by $2.7 million (27%) and $2.7 million (74%), respectively, when compared to the same period in 2021. These increases are largely due to a $19.8 million (28%) increase in GBO generated by theaters under joint revenue sharing arrangements in the third quarter of 2022 when compared to the same period in the prior year, from $71.2 million to $91.0 million.</w:t>
      </w:r>
    </w:p>
    <w:p>
      <w:pPr>
        <w:spacing w:after="0" w:line="142"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IMAX Xenon Theater Systems to IMAX Laser Theater Systems, as well as advertising, marketing, and commission costs primarily for the launch of new theaters. The level of depreciation expense in a period relative to the prior year is generally a function of the growth of the theater network and the mix of theater system configurations in the network. For the three months ended September 30, 2022, JRSA gross margin included depreciation expense of $5.6 million as compared to $5.5 million recorded in the same period of the prior year. For the three months ended September 30, 2022, JRSA gross margin includes advertising, marketing, and commission costs of $0.6 million, as compared to $0.7 million in the same period of the prior year.</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84" w:lineRule="exact"/>
        <w:rPr>
          <w:sz w:val="20"/>
          <w:szCs w:val="20"/>
          <w:color w:val="auto"/>
        </w:rPr>
      </w:pPr>
    </w:p>
    <w:p>
      <w:pPr>
        <w:jc w:val="both"/>
        <w:ind w:firstLine="225"/>
        <w:spacing w:after="0" w:line="262"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44" w:lineRule="exact"/>
        <w:rPr>
          <w:sz w:val="20"/>
          <w:szCs w:val="20"/>
          <w:color w:val="auto"/>
        </w:rPr>
      </w:pPr>
    </w:p>
    <w:p>
      <w:pPr>
        <w:jc w:val="both"/>
        <w:ind w:right="20" w:firstLine="225"/>
        <w:spacing w:after="0" w:line="255" w:lineRule="auto"/>
        <w:rPr>
          <w:sz w:val="20"/>
          <w:szCs w:val="20"/>
          <w:color w:val="auto"/>
        </w:rPr>
      </w:pPr>
      <w:r>
        <w:rPr>
          <w:rFonts w:ascii="Arial" w:cs="Arial" w:eastAsia="Arial" w:hAnsi="Arial"/>
          <w:sz w:val="18"/>
          <w:szCs w:val="18"/>
          <w:color w:val="auto"/>
        </w:rPr>
        <w:t>For the three months ended September 30, 2022, IMAX Technology Sales and Maintenance revenue and gross margin increased by $5.3 million (19%) and $0.6 million (4%), respectively, when compared to the same period in the prior year. See below for separate discussions of IMAX Systems and IMAX Maintenance segment results for the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5" w:name="page66"/>
    <w:bookmarkEnd w:id="65"/>
    <w:p>
      <w:pPr>
        <w:ind w:left="240"/>
        <w:spacing w:after="0"/>
        <w:rPr>
          <w:sz w:val="20"/>
          <w:szCs w:val="20"/>
          <w:color w:val="auto"/>
        </w:rPr>
      </w:pPr>
      <w:r>
        <w:rPr>
          <w:rFonts w:ascii="Arial" w:cs="Arial" w:eastAsia="Arial" w:hAnsi="Arial"/>
          <w:sz w:val="17"/>
          <w:szCs w:val="17"/>
          <w:color w:val="auto"/>
        </w:rPr>
        <w:t>The following table provides detailed information about the mix of IMAX Theater Systems installed and recognized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gridSpan w:val="3"/>
          </w:tcPr>
          <w:p>
            <w:pPr>
              <w:ind w:left="126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42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700" w:type="dxa"/>
            <w:vAlign w:val="bottom"/>
            <w:gridSpan w:val="2"/>
            <w:vMerge w:val="continue"/>
          </w:tcPr>
          <w:p>
            <w:pPr>
              <w:spacing w:after="0"/>
              <w:rPr>
                <w:sz w:val="10"/>
                <w:szCs w:val="10"/>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0"/>
                <w:szCs w:val="10"/>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66"/>
        </w:trPr>
        <w:tc>
          <w:tcPr>
            <w:tcW w:w="5700" w:type="dxa"/>
            <w:vAlign w:val="bottom"/>
            <w:gridSpan w:val="2"/>
            <w:vMerge w:val="restart"/>
          </w:tcPr>
          <w:p>
            <w:pPr>
              <w:ind w:left="20"/>
              <w:spacing w:after="0"/>
              <w:rPr>
                <w:sz w:val="20"/>
                <w:szCs w:val="20"/>
                <w:color w:val="auto"/>
              </w:rPr>
            </w:pPr>
            <w:r>
              <w:rPr>
                <w:rFonts w:ascii="Arial" w:cs="Arial" w:eastAsia="Arial" w:hAnsi="Arial"/>
                <w:sz w:val="18"/>
                <w:szCs w:val="18"/>
                <w:color w:val="auto"/>
              </w:rPr>
              <w:t>New IMAX Theater Systems:</w:t>
            </w:r>
          </w:p>
        </w:tc>
        <w:tc>
          <w:tcPr>
            <w:tcW w:w="1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700" w:type="dxa"/>
            <w:vAlign w:val="bottom"/>
            <w:gridSpan w:val="2"/>
            <w:vMerge w:val="continue"/>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700" w:type="dxa"/>
            <w:vAlign w:val="bottom"/>
            <w:gridSpan w:val="2"/>
          </w:tcPr>
          <w:p>
            <w:pPr>
              <w:ind w:left="200"/>
              <w:spacing w:after="0" w:line="265"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7,779</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5700" w:type="dxa"/>
            <w:vAlign w:val="bottom"/>
            <w:gridSpan w:val="2"/>
          </w:tcPr>
          <w:p>
            <w:pPr>
              <w:ind w:left="200"/>
              <w:spacing w:after="0" w:line="179" w:lineRule="exact"/>
              <w:rPr>
                <w:sz w:val="20"/>
                <w:szCs w:val="20"/>
                <w:color w:val="auto"/>
              </w:rPr>
            </w:pPr>
            <w:r>
              <w:rPr>
                <w:rFonts w:ascii="Arial" w:cs="Arial" w:eastAsia="Arial" w:hAnsi="Arial"/>
                <w:sz w:val="18"/>
                <w:szCs w:val="18"/>
                <w:color w:val="auto"/>
              </w:rPr>
              <w:t>JRSA — hybrid</w:t>
            </w:r>
          </w:p>
        </w:tc>
        <w:tc>
          <w:tcPr>
            <w:tcW w:w="1300" w:type="dxa"/>
            <w:vAlign w:val="bottom"/>
          </w:tcPr>
          <w:p>
            <w:pPr>
              <w:jc w:val="right"/>
              <w:ind w:right="36"/>
              <w:spacing w:after="0" w:line="179"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3"/>
              <w:spacing w:after="0" w:line="179" w:lineRule="exact"/>
              <w:rPr>
                <w:sz w:val="20"/>
                <w:szCs w:val="20"/>
                <w:color w:val="auto"/>
              </w:rPr>
            </w:pPr>
            <w:r>
              <w:rPr>
                <w:rFonts w:ascii="Arial" w:cs="Arial" w:eastAsia="Arial" w:hAnsi="Arial"/>
                <w:sz w:val="18"/>
                <w:szCs w:val="18"/>
                <w:color w:val="auto"/>
              </w:rPr>
              <w:t>998</w:t>
            </w:r>
          </w:p>
        </w:tc>
        <w:tc>
          <w:tcPr>
            <w:tcW w:w="1480" w:type="dxa"/>
            <w:vAlign w:val="bottom"/>
            <w:gridSpan w:val="2"/>
          </w:tcPr>
          <w:p>
            <w:pPr>
              <w:ind w:left="1260"/>
              <w:spacing w:after="0" w:line="179"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
              <w:spacing w:after="0" w:line="179" w:lineRule="exact"/>
              <w:rPr>
                <w:sz w:val="20"/>
                <w:szCs w:val="20"/>
                <w:color w:val="auto"/>
              </w:rPr>
            </w:pPr>
            <w:r>
              <w:rPr>
                <w:rFonts w:ascii="Arial" w:cs="Arial" w:eastAsia="Arial" w:hAnsi="Arial"/>
                <w:sz w:val="18"/>
                <w:szCs w:val="18"/>
                <w:color w:val="auto"/>
              </w:rPr>
              <w:t>1,031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00" w:type="dxa"/>
            <w:vAlign w:val="bottom"/>
            <w:gridSpan w:val="2"/>
            <w:vMerge w:val="restart"/>
          </w:tcPr>
          <w:p>
            <w:pPr>
              <w:ind w:left="200"/>
              <w:spacing w:after="0" w:line="265" w:lineRule="exact"/>
              <w:rPr>
                <w:sz w:val="20"/>
                <w:szCs w:val="20"/>
                <w:color w:val="auto"/>
              </w:rPr>
            </w:pPr>
            <w:r>
              <w:rPr>
                <w:rFonts w:ascii="Arial" w:cs="Arial" w:eastAsia="Arial" w:hAnsi="Arial"/>
                <w:sz w:val="18"/>
                <w:szCs w:val="18"/>
                <w:color w:val="auto"/>
              </w:rPr>
              <w:t>Total new IMAX Theater Systems</w:t>
            </w:r>
            <w:r>
              <w:rPr>
                <w:rFonts w:ascii="Arial" w:cs="Arial" w:eastAsia="Arial" w:hAnsi="Arial"/>
                <w:sz w:val="24"/>
                <w:szCs w:val="24"/>
                <w:color w:val="auto"/>
                <w:vertAlign w:val="superscript"/>
              </w:rPr>
              <w:t>(2)</w:t>
            </w: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8,777</w:t>
            </w:r>
          </w:p>
        </w:tc>
        <w:tc>
          <w:tcPr>
            <w:tcW w:w="100" w:type="dxa"/>
            <w:vAlign w:val="bottom"/>
            <w:vMerge w:val="continue"/>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FF0FC"/>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0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IMAX Theater System upgrades:</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700" w:type="dxa"/>
            <w:vAlign w:val="bottom"/>
            <w:gridSpan w:val="2"/>
          </w:tcPr>
          <w:p>
            <w:pPr>
              <w:ind w:left="200"/>
              <w:spacing w:after="0" w:line="265"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1,544</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Total upgraded IMAX Theater Systems</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10,321</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-1437640</wp:posOffset>
            </wp:positionV>
            <wp:extent cx="7063740" cy="1371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-1163955</wp:posOffset>
            </wp:positionV>
            <wp:extent cx="7063740" cy="2908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06374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45020" cy="45402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5020" cy="454025"/>
                    </a:xfrm>
                    <a:prstGeom prst="rect">
                      <a:avLst/>
                    </a:prstGeom>
                    <a:noFill/>
                  </pic:spPr>
                </pic:pic>
              </a:graphicData>
            </a:graphic>
          </wp:anchor>
        </w:drawing>
      </w:r>
    </w:p>
    <w:p>
      <w:pPr>
        <w:spacing w:after="0" w:line="154" w:lineRule="exact"/>
        <w:rPr>
          <w:sz w:val="20"/>
          <w:szCs w:val="20"/>
          <w:color w:val="auto"/>
        </w:rPr>
      </w:pPr>
    </w:p>
    <w:p>
      <w:pPr>
        <w:jc w:val="both"/>
        <w:ind w:left="380" w:right="20" w:hanging="372"/>
        <w:spacing w:after="0" w:line="24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56"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one IMAX Xenon Theater System that was relocated from its original location, which is subject to sales and sales-type lease arrangements (2021 — nil). When a theater system under a sales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4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average revenue per IMAX Theater System under sale and sales-type lease arrangements varies depending upon the number of IMAX Theater System commitments with a single respective exhibitor, an exhibitor's location and various other factors. The average revenue per full (i.e., excluding JRSA hybrid arrangements and relocations), new IMAX Theater System under sale and sales-type lease arrangements was $1.3 million for the three months ended September 30, 2022, as compared to $1.2 million during the same period of the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84" w:lineRule="exact"/>
        <w:rPr>
          <w:sz w:val="20"/>
          <w:szCs w:val="20"/>
          <w:color w:val="auto"/>
        </w:rPr>
      </w:pPr>
    </w:p>
    <w:p>
      <w:pPr>
        <w:jc w:val="both"/>
        <w:ind w:firstLine="225"/>
        <w:spacing w:after="0" w:line="245" w:lineRule="auto"/>
        <w:rPr>
          <w:sz w:val="20"/>
          <w:szCs w:val="20"/>
          <w:color w:val="auto"/>
        </w:rPr>
      </w:pPr>
      <w:r>
        <w:rPr>
          <w:rFonts w:ascii="Arial" w:cs="Arial" w:eastAsia="Arial" w:hAnsi="Arial"/>
          <w:sz w:val="18"/>
          <w:szCs w:val="18"/>
          <w:color w:val="auto"/>
        </w:rPr>
        <w:t>For the three months ended September 30, 2022, IMAX Systems revenue and gross margin increased by $2.7 million (21%) and $0.9 million (12%), respectively, when compared to the same period in the prior year. The higher level of revenue and gross margin is the result of one additional IMAX Theater System installation, including upgrades, in the current period and an increase of $2.6 million due to the impact of amendments to existing theater system arrangements, offset by a decrease of $0.3 million in Finance Income associated with theaters in Russia, Ukraine, and Belarus, which were placed on nonaccrual status due to the ongoing Russia-Ukraine conflict.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71"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For the three months ended September 30, 2022, IMAX Maintenance segment revenues increased by $0.9 million (7%) while the gross margin decreased by $0.1 million (1%), when compared to the same period in the prior year. The overall increase in IMAX Maintenance segment revenue is due to normalizing revenues as theaters reopen following the earlier stages of the COVID-19 pandemic, partially offset by a decrease of $0.4 million in revenue associated with theaters in Russia, Ukraine, and Belarus, which were placed on nonaccrual status due to the ongoing Russia-Ukraine conflict. The decrease in gross margin is primarily the result of increased costs incurred in preparation for the strong pipeline of blockbuster releases in the remainder of 2022.</w:t>
      </w:r>
    </w:p>
    <w:p>
      <w:pPr>
        <w:spacing w:after="0" w:line="129"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6" w:name="page67"/>
    <w:bookmarkEnd w:id="66"/>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71" w:lineRule="exact"/>
        <w:rPr>
          <w:sz w:val="20"/>
          <w:szCs w:val="20"/>
          <w:color w:val="auto"/>
        </w:rPr>
      </w:pPr>
    </w:p>
    <w:p>
      <w:pPr>
        <w:jc w:val="both"/>
        <w:ind w:right="100" w:firstLine="225"/>
        <w:spacing w:after="0" w:line="289" w:lineRule="auto"/>
        <w:rPr>
          <w:sz w:val="20"/>
          <w:szCs w:val="20"/>
          <w:color w:val="auto"/>
        </w:rPr>
      </w:pPr>
      <w:r>
        <w:rPr>
          <w:rFonts w:ascii="Arial" w:cs="Arial" w:eastAsia="Arial" w:hAnsi="Arial"/>
          <w:sz w:val="16"/>
          <w:szCs w:val="16"/>
          <w:color w:val="auto"/>
        </w:rPr>
        <w:t>For the three months ended September 30, 2022, Film Distribution and Post-Production revenues increased by $0.5 million (28%) while gross margin decreased by $2.5 million, when compared to the same period in the prior year. The margin loss in the third quarter of 2022 is primarily the result of costs incurred to produce, market and distribute live events and documentary content during the period. These costs include infrastructure costs, depreciation expense and network connection fees of $1.0 million to operate the IMAX connected network for the three months ended September 30, 2022.</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information about the Company's Selling, General and Administrative Expenses for the three months ended September 30,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260" w:type="dxa"/>
            <w:vAlign w:val="bottom"/>
          </w:tcPr>
          <w:p>
            <w:pPr>
              <w:ind w:left="20"/>
              <w:spacing w:after="0" w:line="173" w:lineRule="exact"/>
              <w:rPr>
                <w:sz w:val="20"/>
                <w:szCs w:val="20"/>
                <w:color w:val="auto"/>
              </w:rPr>
            </w:pPr>
            <w:r>
              <w:rPr>
                <w:rFonts w:ascii="Arial" w:cs="Arial" w:eastAsia="Arial" w:hAnsi="Arial"/>
                <w:sz w:val="18"/>
                <w:szCs w:val="18"/>
                <w:color w:val="auto"/>
              </w:rPr>
              <w:t>Total selling, general and administrative expenses</w:t>
            </w:r>
          </w:p>
        </w:tc>
        <w:tc>
          <w:tcPr>
            <w:tcW w:w="280" w:type="dxa"/>
            <w:vAlign w:val="bottom"/>
          </w:tcPr>
          <w:p>
            <w:pPr>
              <w:jc w:val="right"/>
              <w:ind w:right="90"/>
              <w:spacing w:after="0" w:line="17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73" w:lineRule="exact"/>
              <w:rPr>
                <w:sz w:val="20"/>
                <w:szCs w:val="20"/>
                <w:color w:val="auto"/>
              </w:rPr>
            </w:pPr>
            <w:r>
              <w:rPr>
                <w:rFonts w:ascii="Arial" w:cs="Arial" w:eastAsia="Arial" w:hAnsi="Arial"/>
                <w:sz w:val="18"/>
                <w:szCs w:val="18"/>
                <w:color w:val="auto"/>
              </w:rPr>
              <w:t>32,905</w:t>
            </w:r>
          </w:p>
        </w:tc>
        <w:tc>
          <w:tcPr>
            <w:tcW w:w="280" w:type="dxa"/>
            <w:vAlign w:val="bottom"/>
          </w:tcPr>
          <w:p>
            <w:pPr>
              <w:spacing w:after="0"/>
              <w:rPr>
                <w:sz w:val="15"/>
                <w:szCs w:val="15"/>
                <w:color w:val="auto"/>
              </w:rPr>
            </w:pPr>
          </w:p>
        </w:tc>
        <w:tc>
          <w:tcPr>
            <w:tcW w:w="420" w:type="dxa"/>
            <w:vAlign w:val="bottom"/>
          </w:tcPr>
          <w:p>
            <w:pPr>
              <w:jc w:val="right"/>
              <w:ind w:right="210"/>
              <w:spacing w:after="0" w:line="173"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28,377</w:t>
            </w:r>
          </w:p>
        </w:tc>
        <w:tc>
          <w:tcPr>
            <w:tcW w:w="260" w:type="dxa"/>
            <w:vAlign w:val="bottom"/>
          </w:tcPr>
          <w:p>
            <w:pPr>
              <w:spacing w:after="0"/>
              <w:rPr>
                <w:sz w:val="15"/>
                <w:szCs w:val="15"/>
                <w:color w:val="auto"/>
              </w:rPr>
            </w:pPr>
          </w:p>
        </w:tc>
        <w:tc>
          <w:tcPr>
            <w:tcW w:w="320" w:type="dxa"/>
            <w:vAlign w:val="bottom"/>
          </w:tcPr>
          <w:p>
            <w:pPr>
              <w:jc w:val="right"/>
              <w:ind w:right="130"/>
              <w:spacing w:after="0" w:line="17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3" w:lineRule="exact"/>
              <w:rPr>
                <w:sz w:val="20"/>
                <w:szCs w:val="20"/>
                <w:color w:val="auto"/>
              </w:rPr>
            </w:pPr>
            <w:r>
              <w:rPr>
                <w:rFonts w:ascii="Arial" w:cs="Arial" w:eastAsia="Arial" w:hAnsi="Arial"/>
                <w:sz w:val="18"/>
                <w:szCs w:val="18"/>
                <w:color w:val="auto"/>
              </w:rPr>
              <w:t>4,528</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16</w:t>
            </w:r>
          </w:p>
        </w:tc>
        <w:tc>
          <w:tcPr>
            <w:tcW w:w="200" w:type="dxa"/>
            <w:vAlign w:val="bottom"/>
          </w:tcPr>
          <w:p>
            <w:pPr>
              <w:jc w:val="right"/>
              <w:spacing w:after="0" w:line="17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2"/>
        </w:trPr>
        <w:tc>
          <w:tcPr>
            <w:tcW w:w="5260" w:type="dxa"/>
            <w:vAlign w:val="bottom"/>
          </w:tcPr>
          <w:p>
            <w:pPr>
              <w:ind w:left="20"/>
              <w:spacing w:after="0" w:line="252" w:lineRule="exact"/>
              <w:rPr>
                <w:sz w:val="20"/>
                <w:szCs w:val="20"/>
                <w:color w:val="auto"/>
              </w:rPr>
            </w:pPr>
            <w:r>
              <w:rPr>
                <w:rFonts w:ascii="Arial" w:cs="Arial" w:eastAsia="Arial" w:hAnsi="Arial"/>
                <w:sz w:val="18"/>
                <w:szCs w:val="18"/>
                <w:color w:val="auto"/>
              </w:rPr>
              <w:t>Less: Share-based compensation</w:t>
            </w:r>
            <w:r>
              <w:rPr>
                <w:rFonts w:ascii="Arial" w:cs="Arial" w:eastAsia="Arial" w:hAnsi="Arial"/>
                <w:sz w:val="24"/>
                <w:szCs w:val="24"/>
                <w:color w:val="auto"/>
                <w:vertAlign w:val="superscript"/>
              </w:rPr>
              <w:t>(1)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4,985</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(721 )</w:t>
            </w:r>
          </w:p>
        </w:tc>
        <w:tc>
          <w:tcPr>
            <w:tcW w:w="4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line="175" w:lineRule="exact"/>
              <w:rPr>
                <w:sz w:val="20"/>
                <w:szCs w:val="20"/>
                <w:color w:val="auto"/>
              </w:rPr>
            </w:pPr>
            <w:r>
              <w:rPr>
                <w:rFonts w:ascii="Arial" w:cs="Arial" w:eastAsia="Arial" w:hAnsi="Arial"/>
                <w:sz w:val="18"/>
                <w:szCs w:val="18"/>
                <w:color w:val="auto"/>
                <w:w w:val="96"/>
              </w:rPr>
              <w:t>Total selling, general and administrative expenses, excluding share-</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60" w:type="dxa"/>
            <w:vAlign w:val="bottom"/>
            <w:vMerge w:val="continue"/>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27,920</w:t>
            </w:r>
          </w:p>
        </w:tc>
        <w:tc>
          <w:tcPr>
            <w:tcW w:w="280" w:type="dxa"/>
            <w:vAlign w:val="bottom"/>
            <w:vMerge w:val="restart"/>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22,671</w:t>
            </w:r>
          </w:p>
        </w:tc>
        <w:tc>
          <w:tcPr>
            <w:tcW w:w="260" w:type="dxa"/>
            <w:vAlign w:val="bottom"/>
            <w:vMerge w:val="restart"/>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0"/>
        </w:trPr>
        <w:tc>
          <w:tcPr>
            <w:tcW w:w="5260" w:type="dxa"/>
            <w:vAlign w:val="bottom"/>
          </w:tcPr>
          <w:p>
            <w:pPr>
              <w:ind w:left="20"/>
              <w:spacing w:after="0" w:line="189" w:lineRule="exact"/>
              <w:rPr>
                <w:sz w:val="20"/>
                <w:szCs w:val="20"/>
                <w:color w:val="auto"/>
              </w:rPr>
            </w:pPr>
            <w:r>
              <w:rPr>
                <w:rFonts w:ascii="Arial" w:cs="Arial" w:eastAsia="Arial" w:hAnsi="Arial"/>
                <w:sz w:val="18"/>
                <w:szCs w:val="18"/>
                <w:color w:val="auto"/>
              </w:rPr>
              <w:t>based compensation</w:t>
            </w: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1371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16" w:lineRule="exact"/>
        <w:rPr>
          <w:sz w:val="20"/>
          <w:szCs w:val="20"/>
          <w:color w:val="auto"/>
        </w:rPr>
      </w:pPr>
    </w:p>
    <w:p>
      <w:pPr>
        <w:ind w:left="520" w:right="34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portion of share-based compensation expense is recognized within Costs and Expenses Applicable to Revenue and Research and Development. (See Note 13 of Notes to Condensed Consolidated Financial Statements.)</w:t>
      </w:r>
    </w:p>
    <w:p>
      <w:pPr>
        <w:spacing w:after="0" w:line="130" w:lineRule="exact"/>
        <w:rPr>
          <w:sz w:val="20"/>
          <w:szCs w:val="20"/>
          <w:color w:val="auto"/>
        </w:rPr>
      </w:pPr>
    </w:p>
    <w:p>
      <w:pPr>
        <w:jc w:val="both"/>
        <w:ind w:right="100" w:firstLine="225"/>
        <w:spacing w:after="0" w:line="278" w:lineRule="auto"/>
        <w:rPr>
          <w:sz w:val="20"/>
          <w:szCs w:val="20"/>
          <w:color w:val="auto"/>
        </w:rPr>
      </w:pPr>
      <w:r>
        <w:rPr>
          <w:rFonts w:ascii="Arial" w:cs="Arial" w:eastAsia="Arial" w:hAnsi="Arial"/>
          <w:sz w:val="16"/>
          <w:szCs w:val="16"/>
          <w:color w:val="auto"/>
        </w:rPr>
        <w:t>The increase in Selling, General and Administrative Expenses reflects the Company's higher level of business activity in the current period, as the effects of the COVID-19 pandemic continue to subside, resulting in higher staff costs, marketing expenses, and other expenses. Also influencing the comparison to the prior period are a $1.4 million decrease in COVID-19 government relief benefits, $1.0 million in professional fees incurred in the third quarter of 2022 in connection with the acquisition of SSIMWAVE, and $0.6 million resulting from unfavorable foreign currency exchange rate movements.</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100" w:firstLine="225"/>
        <w:spacing w:after="0" w:line="237"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IMAX theater network.</w:t>
      </w:r>
    </w:p>
    <w:p>
      <w:pPr>
        <w:spacing w:after="0" w:line="165" w:lineRule="exact"/>
        <w:rPr>
          <w:sz w:val="20"/>
          <w:szCs w:val="20"/>
          <w:color w:val="auto"/>
        </w:rPr>
      </w:pPr>
    </w:p>
    <w:p>
      <w:pPr>
        <w:jc w:val="both"/>
        <w:ind w:right="100" w:firstLine="225"/>
        <w:spacing w:after="0" w:line="261" w:lineRule="auto"/>
        <w:rPr>
          <w:sz w:val="20"/>
          <w:szCs w:val="20"/>
          <w:color w:val="auto"/>
        </w:rPr>
      </w:pPr>
      <w:r>
        <w:rPr>
          <w:rFonts w:ascii="Arial" w:cs="Arial" w:eastAsia="Arial" w:hAnsi="Arial"/>
          <w:sz w:val="18"/>
          <w:szCs w:val="18"/>
          <w:color w:val="auto"/>
        </w:rPr>
        <w:t>For the three months ended September 30, 2022, Research and Development expenses decreased by $0.9 million (45%), when compared to the same period in the prior year.</w:t>
      </w:r>
    </w:p>
    <w:p>
      <w:pPr>
        <w:spacing w:after="0" w:line="116" w:lineRule="exact"/>
        <w:rPr>
          <w:sz w:val="20"/>
          <w:szCs w:val="20"/>
          <w:color w:val="auto"/>
        </w:rPr>
      </w:pPr>
    </w:p>
    <w:p>
      <w:pPr>
        <w:jc w:val="both"/>
        <w:ind w:right="100" w:firstLine="225"/>
        <w:spacing w:after="0" w:line="237" w:lineRule="auto"/>
        <w:rPr>
          <w:sz w:val="20"/>
          <w:szCs w:val="20"/>
          <w:color w:val="auto"/>
        </w:rPr>
      </w:pPr>
      <w:r>
        <w:rPr>
          <w:rFonts w:ascii="Arial" w:cs="Arial" w:eastAsia="Arial" w:hAnsi="Arial"/>
          <w:sz w:val="18"/>
          <w:szCs w:val="18"/>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(including local language content) and home entertainment; and further improving the reliability of its projectors, as well as enhancing the Company's image and sound quality. In addition, teams from IMAX and SSIMWAVE are working to expand existing and/or develop new technologies which further enhance video quality, delivery, and creation across all devices.</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67" w:name="page68"/>
    <w:bookmarkEnd w:id="67"/>
    <w:p>
      <w:pPr>
        <w:ind w:left="100"/>
        <w:spacing w:after="0"/>
        <w:rPr>
          <w:sz w:val="20"/>
          <w:szCs w:val="20"/>
          <w:color w:val="auto"/>
        </w:rPr>
      </w:pPr>
      <w:r>
        <w:rPr>
          <w:rFonts w:ascii="Arial" w:cs="Arial" w:eastAsia="Arial" w:hAnsi="Arial"/>
          <w:sz w:val="18"/>
          <w:szCs w:val="18"/>
          <w:b w:val="1"/>
          <w:bCs w:val="1"/>
          <w:i w:val="1"/>
          <w:iCs w:val="1"/>
          <w:color w:val="auto"/>
        </w:rPr>
        <w:t>Credit Loss Expense, Net</w:t>
      </w:r>
    </w:p>
    <w:p>
      <w:pPr>
        <w:spacing w:after="0" w:line="17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2022, the Company recorded current expected credit losses of $0.8 million, as compared to a net reversal of current expected credit losses of $3.3 million recognized in the prior year due to an improvement in the outlook for theater operators as the theatrical exhibition industry began to recover from the COVID-19 global pandemic.</w:t>
      </w:r>
    </w:p>
    <w:p>
      <w:pPr>
        <w:spacing w:after="0" w:line="149"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Notes 1 and 5 of Notes to Condensed Consolidated Financial Statements.)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September 30, 2022, interest expense was $1.3 million, representing a decrease of $0.2 million (14%) when compared to interest expense of $1.5 million during the same period of the prior year. This decrease is principally due to repayments of revolving credit facility borrowings made in the prior year.</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18"/>
          <w:szCs w:val="18"/>
          <w:color w:val="auto"/>
        </w:rPr>
        <w:t>For the three months ended September 30, 2022, the Company recorded income tax expense of $2.3 million (2021 — $4.4 million). The Company's effective tax rate for the three months ended September 30, 2022 of (43.4)% differs from the Canadian statutory tax rate of 26.5% primarily due to the fact that the Company recorded an additional $4.3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12 of Notes to Condensed Consolidated Financial Statements.)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4"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or loss of IMAX China, as well as the impact of non-controlling interests in the activity of its Original Film Fund subsidiary. For the three months ended September 30, 2022, the net income attributable to non-controlling interests of the Company's subsidiaries was $1.2 million (2021 — $2.0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 for the Nine Months Ended September 30, 2022 and 2021</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and Adjusted Net Loss Attributable to Common Shareholders</w:t>
      </w:r>
    </w:p>
    <w:p>
      <w:pPr>
        <w:spacing w:after="0" w:line="184"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The following table presents the Company's net loss attributable to common shareholders and the associated per share amounts, as well as adjusted net loss attributable to common shareholders* and adjusted net loss attributable to common shareholders per share* for the nine months ended September 30,</w:t>
      </w:r>
    </w:p>
    <w:p>
      <w:pPr>
        <w:spacing w:after="0"/>
        <w:rPr>
          <w:sz w:val="20"/>
          <w:szCs w:val="20"/>
          <w:color w:val="auto"/>
        </w:rPr>
      </w:pPr>
      <w:r>
        <w:rPr>
          <w:rFonts w:ascii="Arial" w:cs="Arial" w:eastAsia="Arial" w:hAnsi="Arial"/>
          <w:sz w:val="18"/>
          <w:szCs w:val="18"/>
          <w:color w:val="auto"/>
        </w:rPr>
        <w:t>2022 and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w w:val="97"/>
              </w:rPr>
              <w:t>Nine Months Ended September 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91"/>
              </w:rPr>
              <w:t>Net Loss</w:t>
            </w:r>
          </w:p>
        </w:tc>
        <w:tc>
          <w:tcPr>
            <w:tcW w:w="200" w:type="dxa"/>
            <w:vAlign w:val="bottom"/>
          </w:tcPr>
          <w:p>
            <w:pPr>
              <w:spacing w:after="0"/>
              <w:rPr>
                <w:sz w:val="11"/>
                <w:szCs w:val="11"/>
                <w:color w:val="auto"/>
              </w:rPr>
            </w:pPr>
          </w:p>
        </w:tc>
        <w:tc>
          <w:tcPr>
            <w:tcW w:w="8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Per Diluted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w w:val="87"/>
              </w:rPr>
              <w:t>Net Loss</w:t>
            </w:r>
          </w:p>
        </w:tc>
        <w:tc>
          <w:tcPr>
            <w:tcW w:w="920" w:type="dxa"/>
            <w:vAlign w:val="bottom"/>
            <w:gridSpan w:val="2"/>
          </w:tcPr>
          <w:p>
            <w:pPr>
              <w:jc w:val="right"/>
              <w:ind w:right="36"/>
              <w:spacing w:after="0" w:line="133" w:lineRule="exact"/>
              <w:rPr>
                <w:sz w:val="20"/>
                <w:szCs w:val="20"/>
                <w:color w:val="auto"/>
              </w:rPr>
            </w:pPr>
            <w:r>
              <w:rPr>
                <w:rFonts w:ascii="Arial" w:cs="Arial" w:eastAsia="Arial" w:hAnsi="Arial"/>
                <w:sz w:val="14"/>
                <w:szCs w:val="14"/>
                <w:b w:val="1"/>
                <w:bCs w:val="1"/>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(25,413</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(32,429</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Adjusted 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(7,349 )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(0.13 )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(26,813 )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During the nine months ended September 30, 2022, the Company recorded a net non-cash provision of $6.9 million, or $0.12 per share, due to an increase in reserves given the uncertainty of collecting receivables in Russia. This provision was taken due to the ongoing conflict in Ukraine and covers substantially all of the Company's net receivable exposure in the Russian market. Excluding the impact of this provision, net loss attributable to common shareholders* was $(18.5) million, or $(0.32) per share, and adjusted net loss attributable to common shareholders* was $(0.5) million, or $(0.01) per share. Over the past five years, Russia has represented on average approximately 3% of the GBO generated by IMAX films.</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84"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During the nine months ended September 30, 2022, the Company's revenues and gross margin increased by $56.4 million (39%) and $37.1 million (53%), respectively, when compared to same period in 2021 principally due to the strength of the GBO performance of the IMAX Technology Network</w:t>
      </w:r>
    </w:p>
    <w:p>
      <w:pPr>
        <w:jc w:val="both"/>
        <w:spacing w:after="0" w:line="239" w:lineRule="auto"/>
        <w:rPr>
          <w:sz w:val="20"/>
          <w:szCs w:val="20"/>
          <w:color w:val="auto"/>
        </w:rPr>
      </w:pPr>
      <w:r>
        <w:rPr>
          <w:rFonts w:ascii="Arial" w:cs="Arial" w:eastAsia="Arial" w:hAnsi="Arial"/>
          <w:sz w:val="18"/>
          <w:szCs w:val="18"/>
          <w:color w:val="auto"/>
        </w:rPr>
        <w:t xml:space="preserve">through the distribution of films such as </w:t>
      </w:r>
      <w:r>
        <w:rPr>
          <w:rFonts w:ascii="Arial" w:cs="Arial" w:eastAsia="Arial" w:hAnsi="Arial"/>
          <w:sz w:val="18"/>
          <w:szCs w:val="18"/>
          <w:i w:val="1"/>
          <w:iCs w:val="1"/>
          <w:color w:val="auto"/>
        </w:rPr>
        <w:t>Top Gun: Maverick</w:t>
      </w:r>
      <w:r>
        <w:rPr>
          <w:rFonts w:ascii="Arial" w:cs="Arial" w:eastAsia="Arial" w:hAnsi="Arial"/>
          <w:sz w:val="18"/>
          <w:szCs w:val="18"/>
          <w:color w:val="auto"/>
        </w:rPr>
        <w:t xml:space="preserve">, </w:t>
      </w:r>
      <w:r>
        <w:rPr>
          <w:rFonts w:ascii="Arial" w:cs="Arial" w:eastAsia="Arial" w:hAnsi="Arial"/>
          <w:sz w:val="18"/>
          <w:szCs w:val="18"/>
          <w:i w:val="1"/>
          <w:iCs w:val="1"/>
          <w:color w:val="auto"/>
        </w:rPr>
        <w:t>Doctor Strange in the Multiverse of Madness</w:t>
      </w:r>
      <w:r>
        <w:rPr>
          <w:rFonts w:ascii="Arial" w:cs="Arial" w:eastAsia="Arial" w:hAnsi="Arial"/>
          <w:sz w:val="18"/>
          <w:szCs w:val="18"/>
          <w:color w:val="auto"/>
        </w:rPr>
        <w:t xml:space="preserve">, </w:t>
      </w:r>
      <w:r>
        <w:rPr>
          <w:rFonts w:ascii="Arial" w:cs="Arial" w:eastAsia="Arial" w:hAnsi="Arial"/>
          <w:sz w:val="18"/>
          <w:szCs w:val="18"/>
          <w:i w:val="1"/>
          <w:iCs w:val="1"/>
          <w:color w:val="auto"/>
        </w:rPr>
        <w:t>The Batman</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 World Dominion</w:t>
      </w:r>
      <w:r>
        <w:rPr>
          <w:rFonts w:ascii="Arial" w:cs="Arial" w:eastAsia="Arial" w:hAnsi="Arial"/>
          <w:sz w:val="18"/>
          <w:szCs w:val="18"/>
          <w:color w:val="auto"/>
        </w:rPr>
        <w:t xml:space="preserve">, </w:t>
      </w:r>
      <w:r>
        <w:rPr>
          <w:rFonts w:ascii="Arial" w:cs="Arial" w:eastAsia="Arial" w:hAnsi="Arial"/>
          <w:sz w:val="18"/>
          <w:szCs w:val="18"/>
          <w:i w:val="1"/>
          <w:iCs w:val="1"/>
          <w:color w:val="auto"/>
        </w:rPr>
        <w:t>Thor:</w:t>
      </w:r>
      <w:r>
        <w:rPr>
          <w:rFonts w:ascii="Arial" w:cs="Arial" w:eastAsia="Arial" w:hAnsi="Arial"/>
          <w:sz w:val="18"/>
          <w:szCs w:val="18"/>
          <w:color w:val="auto"/>
        </w:rPr>
        <w:t xml:space="preserve"> </w:t>
      </w:r>
      <w:r>
        <w:rPr>
          <w:rFonts w:ascii="Arial" w:cs="Arial" w:eastAsia="Arial" w:hAnsi="Arial"/>
          <w:sz w:val="18"/>
          <w:szCs w:val="18"/>
          <w:i w:val="1"/>
          <w:iCs w:val="1"/>
          <w:color w:val="auto"/>
        </w:rPr>
        <w:t>Love and Thunder, The Battle at Lake Changjin 2</w:t>
      </w:r>
      <w:r>
        <w:rPr>
          <w:rFonts w:ascii="Arial" w:cs="Arial" w:eastAsia="Arial" w:hAnsi="Arial"/>
          <w:sz w:val="18"/>
          <w:szCs w:val="18"/>
          <w:color w:val="auto"/>
        </w:rPr>
        <w:t>,</w:t>
      </w:r>
      <w:r>
        <w:rPr>
          <w:rFonts w:ascii="Arial" w:cs="Arial" w:eastAsia="Arial" w:hAnsi="Arial"/>
          <w:sz w:val="18"/>
          <w:szCs w:val="18"/>
          <w:i w:val="1"/>
          <w:iCs w:val="1"/>
          <w:color w:val="auto"/>
        </w:rPr>
        <w:t xml:space="preserve"> Spider-Man: No Way Home</w:t>
      </w:r>
      <w:r>
        <w:rPr>
          <w:rFonts w:ascii="Arial" w:cs="Arial" w:eastAsia="Arial" w:hAnsi="Arial"/>
          <w:sz w:val="18"/>
          <w:szCs w:val="18"/>
          <w:color w:val="auto"/>
        </w:rPr>
        <w:t>, and</w:t>
      </w:r>
      <w:r>
        <w:rPr>
          <w:rFonts w:ascii="Arial" w:cs="Arial" w:eastAsia="Arial" w:hAnsi="Arial"/>
          <w:sz w:val="18"/>
          <w:szCs w:val="18"/>
          <w:i w:val="1"/>
          <w:iCs w:val="1"/>
          <w:color w:val="auto"/>
        </w:rPr>
        <w:t xml:space="preserve"> Fantastic Beasts: The Secrets of Dumbledore</w:t>
      </w:r>
      <w:r>
        <w:rPr>
          <w:rFonts w:ascii="Arial" w:cs="Arial" w:eastAsia="Arial" w:hAnsi="Arial"/>
          <w:sz w:val="18"/>
          <w:szCs w:val="18"/>
          <w:color w:val="auto"/>
        </w:rPr>
        <w:t>. Also contributing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versus the prior year is a $6.3 million (41%) improvement in IMAX Maintenance gross margin due to the continued global reopening of the IMAX theater network amidst the ongoing recovery of the theatrical exhibition industry from earlier stages of the COVID-19 pandemic. However, these factors were partially offset by a lower level of IMAX Theater System installations in the period due, in part, to the impact of COVID-related restrictions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9505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39" w:lineRule="exact"/>
        <w:rPr>
          <w:sz w:val="20"/>
          <w:szCs w:val="20"/>
          <w:color w:val="auto"/>
        </w:rPr>
      </w:pPr>
    </w:p>
    <w:p>
      <w:pPr>
        <w:ind w:left="380" w:hanging="372"/>
        <w:spacing w:after="0" w:line="261" w:lineRule="auto"/>
        <w:tabs>
          <w:tab w:leader="none" w:pos="3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9" w:name="page70"/>
    <w:bookmarkEnd w:id="69"/>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Revenue</w:t>
            </w: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Gross Margin (Margin 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67,064</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39,438</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42,965</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JRSA, contingent rent</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25,389</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780" w:type="dxa"/>
            <w:vAlign w:val="bottom"/>
            <w:gridSpan w:val="2"/>
          </w:tcPr>
          <w:p>
            <w:pPr>
              <w:ind w:left="120"/>
              <w:spacing w:after="0" w:line="265" w:lineRule="exact"/>
              <w:rPr>
                <w:sz w:val="20"/>
                <w:szCs w:val="20"/>
                <w:color w:val="auto"/>
              </w:rPr>
            </w:pPr>
            <w:r>
              <w:rPr>
                <w:rFonts w:ascii="Arial" w:cs="Arial" w:eastAsia="Arial" w:hAnsi="Arial"/>
                <w:sz w:val="18"/>
                <w:szCs w:val="18"/>
                <w:color w:val="auto"/>
              </w:rPr>
              <w:t>IMAX Systems</w:t>
            </w:r>
            <w:r>
              <w:rPr>
                <w:rFonts w:ascii="Arial" w:cs="Arial" w:eastAsia="Arial" w:hAnsi="Arial"/>
                <w:sz w:val="24"/>
                <w:szCs w:val="24"/>
                <w:color w:val="auto"/>
                <w:vertAlign w:val="superscript"/>
              </w:rPr>
              <w:t>(1)</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32,806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35,117</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18,432</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JRSA, fixed fees</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43,564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gridSpan w:val="2"/>
            <w:shd w:val="clear" w:color="auto" w:fill="CFF0FC"/>
          </w:tcPr>
          <w:p>
            <w:pPr>
              <w:ind w:left="120"/>
              <w:spacing w:after="0" w:line="216" w:lineRule="exact"/>
              <w:rPr>
                <w:sz w:val="20"/>
                <w:szCs w:val="20"/>
                <w:color w:val="auto"/>
              </w:rPr>
            </w:pPr>
            <w:r>
              <w:rPr>
                <w:rFonts w:ascii="Arial" w:cs="Arial" w:eastAsia="Arial" w:hAnsi="Arial"/>
                <w:sz w:val="18"/>
                <w:szCs w:val="18"/>
                <w:color w:val="auto"/>
              </w:rPr>
              <w:t>Other Theater Business</w:t>
            </w:r>
            <w:r>
              <w:rPr>
                <w:rFonts w:ascii="Arial" w:cs="Arial" w:eastAsia="Arial" w:hAnsi="Arial"/>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73,372</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40,468</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80" w:type="dxa"/>
            <w:vAlign w:val="bottom"/>
            <w:gridSpan w:val="2"/>
          </w:tcPr>
          <w:p>
            <w:pPr>
              <w:ind w:left="20"/>
              <w:spacing w:after="0" w:line="159" w:lineRule="exact"/>
              <w:rPr>
                <w:sz w:val="20"/>
                <w:szCs w:val="20"/>
                <w:color w:val="auto"/>
              </w:rPr>
            </w:pPr>
            <w:r>
              <w:rPr>
                <w:rFonts w:ascii="Arial" w:cs="Arial" w:eastAsia="Arial" w:hAnsi="Arial"/>
                <w:sz w:val="18"/>
                <w:szCs w:val="18"/>
                <w:color w:val="auto"/>
              </w:rPr>
              <w:t>Sub-total for reportable segments</w:t>
            </w:r>
          </w:p>
        </w:tc>
        <w:tc>
          <w:tcPr>
            <w:tcW w:w="2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8"/>
                <w:szCs w:val="18"/>
                <w:color w:val="auto"/>
              </w:rPr>
              <w:t>198,743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8"/>
                <w:szCs w:val="18"/>
                <w:color w:val="auto"/>
              </w:rPr>
              <w:t>142,919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8"/>
                <w:szCs w:val="18"/>
                <w:color w:val="auto"/>
              </w:rPr>
              <w:t>105,352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8"/>
                <w:szCs w:val="18"/>
                <w:color w:val="auto"/>
              </w:rPr>
              <w:t>68,759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780" w:type="dxa"/>
            <w:vAlign w:val="bottom"/>
            <w:gridSpan w:val="2"/>
          </w:tcPr>
          <w:p>
            <w:pPr>
              <w:ind w:left="20"/>
              <w:spacing w:after="0" w:line="265"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202,759</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146,311</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107,508</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2908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-889635</wp:posOffset>
            </wp:positionV>
            <wp:extent cx="76835" cy="154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-889635</wp:posOffset>
            </wp:positionV>
            <wp:extent cx="68580" cy="154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-889635</wp:posOffset>
            </wp:positionV>
            <wp:extent cx="68580" cy="1543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154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2825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54" w:lineRule="exact"/>
        <w:rPr>
          <w:sz w:val="20"/>
          <w:szCs w:val="20"/>
          <w:color w:val="auto"/>
        </w:rPr>
      </w:pPr>
    </w:p>
    <w:p>
      <w:pPr>
        <w:jc w:val="both"/>
        <w:ind w:left="380" w:hanging="372"/>
        <w:spacing w:after="0" w:line="269"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revenue from this segment includes the initial upfront payments and the present value of fixed minimum payments from sale and sales-type lease arrangements of IMAX Theater Systems, as well as the present value of estimated variable consideration from sales of IMAX Theater Systems. To a lesser extent, the revenue from this segment also includes finance income associated with these revenue streams.</w:t>
      </w:r>
    </w:p>
    <w:p>
      <w:pPr>
        <w:spacing w:after="0" w:line="138" w:lineRule="exact"/>
        <w:rPr>
          <w:rFonts w:ascii="Arial" w:cs="Arial" w:eastAsia="Arial" w:hAnsi="Arial"/>
          <w:sz w:val="17"/>
          <w:szCs w:val="17"/>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revenue from this segment principally includes after-market sales of IMAX Theater System parts and 3D glasses.</w:t>
      </w:r>
    </w:p>
    <w:p>
      <w:pPr>
        <w:spacing w:after="0" w:line="170" w:lineRule="exact"/>
        <w:rPr>
          <w:rFonts w:ascii="Arial" w:cs="Arial" w:eastAsia="Arial" w:hAnsi="Arial"/>
          <w:sz w:val="18"/>
          <w:szCs w:val="18"/>
          <w:color w:val="auto"/>
        </w:rPr>
      </w:pPr>
    </w:p>
    <w:p>
      <w:pPr>
        <w:jc w:val="both"/>
        <w:ind w:left="380" w:hanging="372"/>
        <w:spacing w:after="0" w:line="287"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Other includes the results from IMAX Enhanced, SSIMWAVE,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 The results of SSIMWAVE, which was acquired on September 22, 2022, were not material to the period. (See "SSIMWAVE" under "Sources of Revenue - All Other" and Note 4 of Notes to Condensed Consolidated Financial Statements for additional information related to the Company's acquisition of SSIMWAVE.)</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IMAX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8" w:lineRule="exact"/>
        <w:rPr>
          <w:sz w:val="20"/>
          <w:szCs w:val="20"/>
          <w:color w:val="auto"/>
        </w:rPr>
      </w:pPr>
    </w:p>
    <w:p>
      <w:pPr>
        <w:jc w:val="both"/>
        <w:ind w:firstLine="225"/>
        <w:spacing w:after="0" w:line="247" w:lineRule="auto"/>
        <w:rPr>
          <w:sz w:val="20"/>
          <w:szCs w:val="20"/>
          <w:color w:val="auto"/>
        </w:rPr>
      </w:pPr>
      <w:r>
        <w:rPr>
          <w:rFonts w:ascii="Arial" w:cs="Arial" w:eastAsia="Arial" w:hAnsi="Arial"/>
          <w:sz w:val="18"/>
          <w:szCs w:val="18"/>
          <w:color w:val="auto"/>
        </w:rPr>
        <w:t>For the nine months ended September 30, 2022, IMAX Technology Network revenues and gross margin increased by $45.2 million (69%) and $38.7 million (130%), respectively, when compared to the same period in 2021. See below for separate discussions of IMAX DMR and JRSA contingent rent segment results for the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71" w:lineRule="exact"/>
        <w:rPr>
          <w:sz w:val="20"/>
          <w:szCs w:val="20"/>
          <w:color w:val="auto"/>
        </w:rPr>
      </w:pPr>
    </w:p>
    <w:p>
      <w:pPr>
        <w:jc w:val="both"/>
        <w:ind w:firstLine="225"/>
        <w:spacing w:after="0" w:line="244" w:lineRule="auto"/>
        <w:rPr>
          <w:sz w:val="20"/>
          <w:szCs w:val="20"/>
          <w:color w:val="auto"/>
        </w:rPr>
      </w:pPr>
      <w:r>
        <w:rPr>
          <w:rFonts w:ascii="Arial" w:cs="Arial" w:eastAsia="Arial" w:hAnsi="Arial"/>
          <w:sz w:val="18"/>
          <w:szCs w:val="18"/>
          <w:color w:val="auto"/>
        </w:rPr>
        <w:t xml:space="preserve">For the nine months ended September 30, 2022, IMAX DMR revenues and gross margin increased by $27.6 million (70%) and $20.6 million (92%), respectively, when compared to the same period in 2021. These increases are primarily due to the strong performance of the films distributed through the IMAX network, which resulted in a $237.4 million (66%) increase in GBO during the nine months ended September 30, 2022, from $360.7 million to $598.1 million. This overall improvement in GBO for the period was partially offset by unfavorable foreign currency exchange rate movements. During the nine months ended September 30, 2022, GBO was generated by the exhibition of 68 films (53 new, 10 carryovers, and 5 re-releases), including </w:t>
      </w:r>
      <w:r>
        <w:rPr>
          <w:rFonts w:ascii="Arial" w:cs="Arial" w:eastAsia="Arial" w:hAnsi="Arial"/>
          <w:sz w:val="18"/>
          <w:szCs w:val="18"/>
          <w:i w:val="1"/>
          <w:iCs w:val="1"/>
          <w:color w:val="auto"/>
        </w:rPr>
        <w:t>Top Gun:</w:t>
      </w:r>
      <w:r>
        <w:rPr>
          <w:rFonts w:ascii="Arial" w:cs="Arial" w:eastAsia="Arial" w:hAnsi="Arial"/>
          <w:sz w:val="18"/>
          <w:szCs w:val="18"/>
          <w:color w:val="auto"/>
        </w:rPr>
        <w:t xml:space="preserve"> </w:t>
      </w:r>
      <w:r>
        <w:rPr>
          <w:rFonts w:ascii="Arial" w:cs="Arial" w:eastAsia="Arial" w:hAnsi="Arial"/>
          <w:sz w:val="18"/>
          <w:szCs w:val="18"/>
          <w:i w:val="1"/>
          <w:iCs w:val="1"/>
          <w:color w:val="auto"/>
        </w:rPr>
        <w:t>Maverick</w:t>
      </w:r>
      <w:r>
        <w:rPr>
          <w:rFonts w:ascii="Arial" w:cs="Arial" w:eastAsia="Arial" w:hAnsi="Arial"/>
          <w:sz w:val="18"/>
          <w:szCs w:val="18"/>
          <w:color w:val="auto"/>
        </w:rPr>
        <w:t>, which generated GBO of $109.6 million in the period. During the nine months ended September 30, 2021, GBO was generated by the exhibition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57 films (47 new, 6 carryovers, and 4 re-releases).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0" w:name="page71"/>
    <w:bookmarkEnd w:id="70"/>
    <w:p>
      <w:pPr>
        <w:jc w:val="both"/>
        <w:ind w:firstLine="225"/>
        <w:spacing w:after="0" w:line="247"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especially with respect to marketing expenses. For the nine months ended September 30, 2022, marketing expenses were $9.1 million, as compared to $5.8 million during the same period in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4" w:lineRule="exact"/>
        <w:rPr>
          <w:sz w:val="20"/>
          <w:szCs w:val="20"/>
          <w:color w:val="auto"/>
        </w:rPr>
      </w:pPr>
    </w:p>
    <w:p>
      <w:pPr>
        <w:jc w:val="both"/>
        <w:ind w:firstLine="225"/>
        <w:spacing w:after="0" w:line="293" w:lineRule="auto"/>
        <w:rPr>
          <w:sz w:val="20"/>
          <w:szCs w:val="20"/>
          <w:color w:val="auto"/>
        </w:rPr>
      </w:pPr>
      <w:r>
        <w:rPr>
          <w:rFonts w:ascii="Arial" w:cs="Arial" w:eastAsia="Arial" w:hAnsi="Arial"/>
          <w:sz w:val="16"/>
          <w:szCs w:val="16"/>
          <w:color w:val="auto"/>
        </w:rPr>
        <w:t>For the nine months ended September 30, 2022, JRSA contingent rent revenue and gross margin increased by $17.6 million (67%) and $18.1 million (248%), respectively, when compared to the same period in 2021. These increases are largely due to a $112.6 million (57%) increase in GBO generated by theaters under joint revenue sharing arrangements during the nine months ended September 30, 2022, from $196.8 million to $309.4 million.</w:t>
      </w:r>
    </w:p>
    <w:p>
      <w:pPr>
        <w:spacing w:after="0" w:line="122"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6"/>
          <w:szCs w:val="16"/>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IMAX Xenon Theater Systems to IMAX Laser Theater Systems, as well as advertising, marketing and commission costs primarily for the launch of new theaters. The level of depreciation expense in a period relative to the prior year is generally a function of the growth of the theater network and the mix of theater system configurations in the network. For the nine months ended September 30, 2022, JRSA gross margin included depreciation expense of $16.6 million, which was consistent with the same period of the prior year. The lower level of depreciation expense in the current period is due, in part, to the effect of lease term extensions entered into with exhibitor customers as a result of the COVID-19 global pandemic, partially offset by incremental depreciation expense associated with a 2% increase in the number of theaters operating under joint revenue sharing arrangements. For the nine months ended September 30, 2022, JRSA gross margin includes advertising, marketing and commission costs of $1.0 million, as compared to $1.6 million in the same period in 2021.</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2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nine months ended September 30, 2022, IMAX Technology Sales and Maintenance revenue and gross margin increased by $9.2 million (13%) and $2.4 million (6%), respectively, when compared to the same period in the prior year. See below for separate discussions of IMAX Systems and IMAX Maintenance segment results for the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1" w:name="page72"/>
    <w:bookmarkEnd w:id="71"/>
    <w:p>
      <w:pPr>
        <w:ind w:left="240"/>
        <w:spacing w:after="0"/>
        <w:rPr>
          <w:sz w:val="20"/>
          <w:szCs w:val="20"/>
          <w:color w:val="auto"/>
        </w:rPr>
      </w:pPr>
      <w:r>
        <w:rPr>
          <w:rFonts w:ascii="Arial" w:cs="Arial" w:eastAsia="Arial" w:hAnsi="Arial"/>
          <w:sz w:val="17"/>
          <w:szCs w:val="17"/>
          <w:color w:val="auto"/>
        </w:rPr>
        <w:t>The following table provides detailed information about the mix of IMAX Theater Systems installed and recognized during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Nine Months Ended September 30,</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980" w:type="dxa"/>
            <w:vAlign w:val="bottom"/>
            <w:tcBorders>
              <w:top w:val="single" w:sz="8" w:color="auto"/>
            </w:tcBorders>
          </w:tcPr>
          <w:p>
            <w:pPr>
              <w:jc w:val="center"/>
              <w:ind w:left="168"/>
              <w:spacing w:after="0" w:line="133"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760" w:type="dxa"/>
            <w:vAlign w:val="bottom"/>
            <w:gridSpan w:val="2"/>
            <w:vMerge w:val="continue"/>
          </w:tcPr>
          <w:p>
            <w:pPr>
              <w:spacing w:after="0"/>
              <w:rPr>
                <w:sz w:val="10"/>
                <w:szCs w:val="10"/>
                <w:color w:val="auto"/>
              </w:rPr>
            </w:pPr>
          </w:p>
        </w:tc>
        <w:tc>
          <w:tcPr>
            <w:tcW w:w="9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6"/>
              </w:rPr>
              <w:t>Systems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0"/>
                <w:szCs w:val="10"/>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180" w:type="dxa"/>
            <w:vAlign w:val="bottom"/>
          </w:tcPr>
          <w:p>
            <w:pPr>
              <w:spacing w:after="0"/>
              <w:rPr>
                <w:sz w:val="10"/>
                <w:szCs w:val="10"/>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66"/>
        </w:trPr>
        <w:tc>
          <w:tcPr>
            <w:tcW w:w="5760" w:type="dxa"/>
            <w:vAlign w:val="bottom"/>
            <w:gridSpan w:val="2"/>
            <w:vMerge w:val="restart"/>
          </w:tcPr>
          <w:p>
            <w:pPr>
              <w:ind w:left="20"/>
              <w:spacing w:after="0"/>
              <w:rPr>
                <w:sz w:val="20"/>
                <w:szCs w:val="20"/>
                <w:color w:val="auto"/>
              </w:rPr>
            </w:pPr>
            <w:r>
              <w:rPr>
                <w:rFonts w:ascii="Arial" w:cs="Arial" w:eastAsia="Arial" w:hAnsi="Arial"/>
                <w:sz w:val="18"/>
                <w:szCs w:val="18"/>
                <w:color w:val="auto"/>
              </w:rPr>
              <w:t>New IMAX Theater Systems:</w:t>
            </w: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760" w:type="dxa"/>
            <w:vAlign w:val="bottom"/>
            <w:gridSpan w:val="2"/>
            <w:vMerge w:val="continue"/>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760" w:type="dxa"/>
            <w:vAlign w:val="bottom"/>
            <w:gridSpan w:val="2"/>
          </w:tcPr>
          <w:p>
            <w:pPr>
              <w:ind w:left="200"/>
              <w:spacing w:after="0" w:line="265"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9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5760" w:type="dxa"/>
            <w:vAlign w:val="bottom"/>
            <w:gridSpan w:val="2"/>
          </w:tcPr>
          <w:p>
            <w:pPr>
              <w:ind w:left="200"/>
              <w:spacing w:after="0" w:line="179" w:lineRule="exact"/>
              <w:rPr>
                <w:sz w:val="20"/>
                <w:szCs w:val="20"/>
                <w:color w:val="auto"/>
              </w:rPr>
            </w:pPr>
            <w:r>
              <w:rPr>
                <w:rFonts w:ascii="Arial" w:cs="Arial" w:eastAsia="Arial" w:hAnsi="Arial"/>
                <w:sz w:val="18"/>
                <w:szCs w:val="18"/>
                <w:color w:val="auto"/>
              </w:rPr>
              <w:t>JRSA — hybrid</w:t>
            </w:r>
          </w:p>
        </w:tc>
        <w:tc>
          <w:tcPr>
            <w:tcW w:w="980" w:type="dxa"/>
            <w:vAlign w:val="bottom"/>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Arial" w:cs="Arial" w:eastAsia="Arial" w:hAnsi="Arial"/>
                <w:sz w:val="18"/>
                <w:szCs w:val="18"/>
                <w:color w:val="auto"/>
              </w:rPr>
              <w:t>2,508</w:t>
            </w:r>
          </w:p>
        </w:tc>
        <w:tc>
          <w:tcPr>
            <w:tcW w:w="140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Arial" w:cs="Arial" w:eastAsia="Arial" w:hAnsi="Arial"/>
                <w:sz w:val="18"/>
                <w:szCs w:val="18"/>
                <w:color w:val="auto"/>
              </w:rPr>
              <w:t>3,561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60" w:type="dxa"/>
            <w:vAlign w:val="bottom"/>
            <w:gridSpan w:val="2"/>
            <w:vMerge w:val="restart"/>
          </w:tcPr>
          <w:p>
            <w:pPr>
              <w:ind w:left="200"/>
              <w:spacing w:after="0" w:line="265" w:lineRule="exact"/>
              <w:rPr>
                <w:sz w:val="20"/>
                <w:szCs w:val="20"/>
                <w:color w:val="auto"/>
              </w:rPr>
            </w:pPr>
            <w:r>
              <w:rPr>
                <w:rFonts w:ascii="Arial" w:cs="Arial" w:eastAsia="Arial" w:hAnsi="Arial"/>
                <w:sz w:val="18"/>
                <w:szCs w:val="18"/>
                <w:color w:val="auto"/>
              </w:rPr>
              <w:t>Total new IMAX Theater Systems</w:t>
            </w:r>
            <w:r>
              <w:rPr>
                <w:rFonts w:ascii="Arial" w:cs="Arial" w:eastAsia="Arial" w:hAnsi="Arial"/>
                <w:sz w:val="24"/>
                <w:szCs w:val="24"/>
                <w:color w:val="auto"/>
                <w:vertAlign w:val="superscript"/>
              </w:rPr>
              <w:t>(2)</w:t>
            </w: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22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60" w:type="dxa"/>
            <w:vAlign w:val="bottom"/>
            <w:gridSpan w:val="2"/>
          </w:tcPr>
          <w:p>
            <w:pPr>
              <w:ind w:left="20"/>
              <w:spacing w:after="0" w:line="166" w:lineRule="exact"/>
              <w:rPr>
                <w:sz w:val="20"/>
                <w:szCs w:val="20"/>
                <w:color w:val="auto"/>
              </w:rPr>
            </w:pPr>
            <w:r>
              <w:rPr>
                <w:rFonts w:ascii="Arial" w:cs="Arial" w:eastAsia="Arial" w:hAnsi="Arial"/>
                <w:sz w:val="18"/>
                <w:szCs w:val="18"/>
                <w:color w:val="auto"/>
              </w:rPr>
              <w:t>IMAX Theater System upgrades: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760" w:type="dxa"/>
            <w:vAlign w:val="bottom"/>
            <w:gridSpan w:val="2"/>
          </w:tcPr>
          <w:p>
            <w:pPr>
              <w:ind w:left="200"/>
              <w:spacing w:after="0" w:line="265"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9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JRSA — hybrid</w:t>
            </w:r>
          </w:p>
        </w:tc>
        <w:tc>
          <w:tcPr>
            <w:tcW w:w="9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 upgraded IMAX Theater Systems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29,353</w:t>
            </w:r>
          </w:p>
        </w:tc>
        <w:tc>
          <w:tcPr>
            <w:tcW w:w="12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CFF0FC"/>
              <w:bottom w:val="single" w:sz="8" w:color="auto"/>
            </w:tcBorders>
          </w:tcPr>
          <w:p>
            <w:pPr>
              <w:spacing w:after="0"/>
              <w:rPr>
                <w:sz w:val="17"/>
                <w:szCs w:val="17"/>
                <w:color w:val="auto"/>
              </w:rPr>
            </w:pPr>
          </w:p>
        </w:tc>
        <w:tc>
          <w:tcPr>
            <w:tcW w:w="426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-1711960</wp:posOffset>
            </wp:positionV>
            <wp:extent cx="7063740" cy="1371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063740" cy="290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06374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063740" cy="13716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-453390</wp:posOffset>
            </wp:positionV>
            <wp:extent cx="76835" cy="1454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-453390</wp:posOffset>
            </wp:positionV>
            <wp:extent cx="68580" cy="1454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-453390</wp:posOffset>
            </wp:positionV>
            <wp:extent cx="68580" cy="1454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-453390</wp:posOffset>
            </wp:positionV>
            <wp:extent cx="68580" cy="1454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-170815</wp:posOffset>
            </wp:positionV>
            <wp:extent cx="768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-153670</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-170815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-153670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-170815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-153670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both"/>
        <w:ind w:left="380" w:right="20" w:hanging="372"/>
        <w:spacing w:after="0" w:line="247"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56" w:lineRule="exact"/>
        <w:rPr>
          <w:rFonts w:ascii="Arial" w:cs="Arial" w:eastAsia="Arial" w:hAnsi="Arial"/>
          <w:sz w:val="18"/>
          <w:szCs w:val="18"/>
          <w:color w:val="auto"/>
        </w:rPr>
      </w:pPr>
    </w:p>
    <w:p>
      <w:pPr>
        <w:jc w:val="both"/>
        <w:ind w:left="380" w:hanging="372"/>
        <w:spacing w:after="0" w:line="248"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four IMAX Xenon Theater Systems that were relocated from their original location, which are subject to sales and sales-type lease arrangements (2021 — nil). When a theater system under a sales or sales-type lease arrangement is relocated, the amount of revenue earned by the Company may vary from transaction-to-transaction and is usually less than the amount earned for a new sale. In certain situations when a theater system is relocated, the original location is upgraded to an IMAX Laser Theater System.</w:t>
      </w:r>
    </w:p>
    <w:p>
      <w:pPr>
        <w:spacing w:after="0" w:line="142"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average revenue per IMAX Theater System under sale and sales-type lease arrangements varies depending upon the number of IMAX Theater System commitments with a single respective exhibitor, an exhibitor's location and various other factors. The average revenue per full (i.e., excluding JRSA hybrid arrangements and relocations), new IMAX Theater System under sale and sales-type lease arrangements was $1.2 million for the nine months ended September 30, 2022, as compared to $1.3 million during the same period of the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84"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For the nine months ended September 30, 2022, IMAX Systems revenue and gross margin decreased by $2.3 million (7%) and $3.2 million (15%), respectively, when compared to the same period of the prior year. The lower level of revenue and gross margin is the result of four fewer IMAX Theater System installations, including upgrades, in the current period and a decrease of $0.9 million in Finance Income associated with theaters in Russia, Ukraine, and Belarus, which were placed on nonaccrual status due to the ongoing Russia-Ukraine conflict. These factors are partially offset by an increase of $5.6 million due to the impact of amendments to existing theater system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71"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For the nine months ended September 30, 2022, IMAX Maintenance segment revenues and gross margin increased by $10.4 million (31%) and $6.3 million (41%), respectively, when compared to the same period in the prior year, due to the continued global reopening of the IMAX theater network amidst the ongoing recovery of the theatrical exhibition industry from earlier stages of the COVID-19 pandemic. The overall increase in IMAX Maintenance segment revenues and gross margin is partially offset by a decrease of $1.2 million in revenue associated with theaters in Russia, Ukraine, and Belarus, which were placed on nonaccrual status due to the ongoing Russia-Ukraine conflict.</w:t>
      </w:r>
    </w:p>
    <w:p>
      <w:pPr>
        <w:spacing w:after="0" w:line="143" w:lineRule="exact"/>
        <w:rPr>
          <w:sz w:val="20"/>
          <w:szCs w:val="20"/>
          <w:color w:val="auto"/>
        </w:rPr>
      </w:pPr>
    </w:p>
    <w:p>
      <w:pPr>
        <w:jc w:val="both"/>
        <w:ind w:right="20" w:firstLine="225"/>
        <w:spacing w:after="0" w:line="261"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2" w:name="page73"/>
    <w:bookmarkEnd w:id="72"/>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71" w:lineRule="exact"/>
        <w:rPr>
          <w:sz w:val="20"/>
          <w:szCs w:val="20"/>
          <w:color w:val="auto"/>
        </w:rPr>
      </w:pPr>
    </w:p>
    <w:p>
      <w:pPr>
        <w:jc w:val="both"/>
        <w:ind w:right="60" w:firstLine="225"/>
        <w:spacing w:after="0" w:line="289" w:lineRule="auto"/>
        <w:rPr>
          <w:sz w:val="20"/>
          <w:szCs w:val="20"/>
          <w:color w:val="auto"/>
        </w:rPr>
      </w:pPr>
      <w:r>
        <w:rPr>
          <w:rFonts w:ascii="Arial" w:cs="Arial" w:eastAsia="Arial" w:hAnsi="Arial"/>
          <w:sz w:val="16"/>
          <w:szCs w:val="16"/>
          <w:color w:val="auto"/>
        </w:rPr>
        <w:t>For the nine months ended September 30, 2022, Film Distribution and Post-Production revenues increased by $1.4 million (35%) while gross margin decreased by $4.5 million, respectively, when compared to the same period of the prior year. The margin loss is primarily the result of costs incurred to produce, market and distribute live events and documentary content during the period. These costs include infrastructure costs, depreciation expense and network connection fees of $1.6 million to operate the IMAX connected network for the nine months ended September 30, 2022.</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information about the Company's Selling, General and Administrative Expenses for the nine months ended September 30,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280" w:type="dxa"/>
            <w:vAlign w:val="bottom"/>
          </w:tcPr>
          <w:p>
            <w:pPr>
              <w:ind w:left="20"/>
              <w:spacing w:after="0" w:line="173" w:lineRule="exact"/>
              <w:rPr>
                <w:sz w:val="20"/>
                <w:szCs w:val="20"/>
                <w:color w:val="auto"/>
              </w:rPr>
            </w:pPr>
            <w:r>
              <w:rPr>
                <w:rFonts w:ascii="Arial" w:cs="Arial" w:eastAsia="Arial" w:hAnsi="Arial"/>
                <w:sz w:val="18"/>
                <w:szCs w:val="18"/>
                <w:color w:val="auto"/>
              </w:rPr>
              <w:t>Total selling, general and administrative expenses</w:t>
            </w:r>
          </w:p>
        </w:tc>
        <w:tc>
          <w:tcPr>
            <w:tcW w:w="300" w:type="dxa"/>
            <w:vAlign w:val="bottom"/>
          </w:tcPr>
          <w:p>
            <w:pPr>
              <w:jc w:val="right"/>
              <w:ind w:right="110"/>
              <w:spacing w:after="0" w:line="17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100,181</w:t>
            </w:r>
          </w:p>
        </w:tc>
        <w:tc>
          <w:tcPr>
            <w:tcW w:w="280" w:type="dxa"/>
            <w:vAlign w:val="bottom"/>
          </w:tcPr>
          <w:p>
            <w:pPr>
              <w:spacing w:after="0"/>
              <w:rPr>
                <w:sz w:val="15"/>
                <w:szCs w:val="15"/>
                <w:color w:val="auto"/>
              </w:rPr>
            </w:pPr>
          </w:p>
        </w:tc>
        <w:tc>
          <w:tcPr>
            <w:tcW w:w="480" w:type="dxa"/>
            <w:vAlign w:val="bottom"/>
          </w:tcPr>
          <w:p>
            <w:pPr>
              <w:jc w:val="right"/>
              <w:ind w:right="290"/>
              <w:spacing w:after="0" w:line="17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3" w:lineRule="exact"/>
              <w:rPr>
                <w:sz w:val="20"/>
                <w:szCs w:val="20"/>
                <w:color w:val="auto"/>
              </w:rPr>
            </w:pPr>
            <w:r>
              <w:rPr>
                <w:rFonts w:ascii="Arial" w:cs="Arial" w:eastAsia="Arial" w:hAnsi="Arial"/>
                <w:sz w:val="18"/>
                <w:szCs w:val="18"/>
                <w:color w:val="auto"/>
              </w:rPr>
              <w:t>82,393</w:t>
            </w:r>
          </w:p>
        </w:tc>
        <w:tc>
          <w:tcPr>
            <w:tcW w:w="260" w:type="dxa"/>
            <w:vAlign w:val="bottom"/>
          </w:tcPr>
          <w:p>
            <w:pPr>
              <w:spacing w:after="0"/>
              <w:rPr>
                <w:sz w:val="15"/>
                <w:szCs w:val="15"/>
                <w:color w:val="auto"/>
              </w:rPr>
            </w:pPr>
          </w:p>
        </w:tc>
        <w:tc>
          <w:tcPr>
            <w:tcW w:w="320" w:type="dxa"/>
            <w:vAlign w:val="bottom"/>
          </w:tcPr>
          <w:p>
            <w:pPr>
              <w:jc w:val="right"/>
              <w:ind w:right="130"/>
              <w:spacing w:after="0" w:line="17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3" w:lineRule="exact"/>
              <w:rPr>
                <w:sz w:val="20"/>
                <w:szCs w:val="20"/>
                <w:color w:val="auto"/>
              </w:rPr>
            </w:pPr>
            <w:r>
              <w:rPr>
                <w:rFonts w:ascii="Arial" w:cs="Arial" w:eastAsia="Arial" w:hAnsi="Arial"/>
                <w:sz w:val="18"/>
                <w:szCs w:val="18"/>
                <w:color w:val="auto"/>
              </w:rPr>
              <w:t>17,788</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22</w:t>
            </w:r>
          </w:p>
        </w:tc>
        <w:tc>
          <w:tcPr>
            <w:tcW w:w="160" w:type="dxa"/>
            <w:vAlign w:val="bottom"/>
          </w:tcPr>
          <w:p>
            <w:pPr>
              <w:jc w:val="right"/>
              <w:spacing w:after="0" w:line="17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2"/>
        </w:trPr>
        <w:tc>
          <w:tcPr>
            <w:tcW w:w="5280" w:type="dxa"/>
            <w:vAlign w:val="bottom"/>
          </w:tcPr>
          <w:p>
            <w:pPr>
              <w:ind w:left="20"/>
              <w:spacing w:after="0" w:line="252" w:lineRule="exact"/>
              <w:rPr>
                <w:sz w:val="20"/>
                <w:szCs w:val="20"/>
                <w:color w:val="auto"/>
              </w:rPr>
            </w:pPr>
            <w:r>
              <w:rPr>
                <w:rFonts w:ascii="Arial" w:cs="Arial" w:eastAsia="Arial" w:hAnsi="Arial"/>
                <w:sz w:val="18"/>
                <w:szCs w:val="18"/>
                <w:color w:val="auto"/>
              </w:rPr>
              <w:t>Less: Share-based compensation</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17,974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17,046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line="175" w:lineRule="exact"/>
              <w:rPr>
                <w:sz w:val="20"/>
                <w:szCs w:val="20"/>
                <w:color w:val="auto"/>
              </w:rPr>
            </w:pPr>
            <w:r>
              <w:rPr>
                <w:rFonts w:ascii="Arial" w:cs="Arial" w:eastAsia="Arial" w:hAnsi="Arial"/>
                <w:sz w:val="18"/>
                <w:szCs w:val="18"/>
                <w:color w:val="auto"/>
                <w:w w:val="96"/>
              </w:rPr>
              <w:t>Total selling, general and administrative expenses, excluding share-</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280" w:type="dxa"/>
            <w:vAlign w:val="bottom"/>
            <w:vMerge w:val="continue"/>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82,207</w:t>
            </w:r>
          </w:p>
        </w:tc>
        <w:tc>
          <w:tcPr>
            <w:tcW w:w="280" w:type="dxa"/>
            <w:vAlign w:val="bottom"/>
            <w:vMerge w:val="restart"/>
          </w:tcPr>
          <w:p>
            <w:pPr>
              <w:spacing w:after="0"/>
              <w:rPr>
                <w:sz w:val="13"/>
                <w:szCs w:val="13"/>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65,347</w:t>
            </w:r>
          </w:p>
        </w:tc>
        <w:tc>
          <w:tcPr>
            <w:tcW w:w="260" w:type="dxa"/>
            <w:vAlign w:val="bottom"/>
            <w:vMerge w:val="restart"/>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16,860</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90"/>
        </w:trPr>
        <w:tc>
          <w:tcPr>
            <w:tcW w:w="5280" w:type="dxa"/>
            <w:vAlign w:val="bottom"/>
          </w:tcPr>
          <w:p>
            <w:pPr>
              <w:ind w:left="20"/>
              <w:spacing w:after="0" w:line="189" w:lineRule="exact"/>
              <w:rPr>
                <w:sz w:val="20"/>
                <w:szCs w:val="20"/>
                <w:color w:val="auto"/>
              </w:rPr>
            </w:pPr>
            <w:r>
              <w:rPr>
                <w:rFonts w:ascii="Arial" w:cs="Arial" w:eastAsia="Arial" w:hAnsi="Arial"/>
                <w:sz w:val="18"/>
                <w:szCs w:val="18"/>
                <w:color w:val="auto"/>
              </w:rPr>
              <w:t>based compensation</w:t>
            </w: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13716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16" w:lineRule="exact"/>
        <w:rPr>
          <w:sz w:val="20"/>
          <w:szCs w:val="20"/>
          <w:color w:val="auto"/>
        </w:rPr>
      </w:pPr>
    </w:p>
    <w:p>
      <w:pPr>
        <w:ind w:left="520" w:right="36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portion of share-based compensation expense is recognized within Cost and Expenses Applicable to Revenue and Research and Development. (See Note 13 of Notes to Condensed Consolidated Financial Statements.)</w:t>
      </w:r>
    </w:p>
    <w:p>
      <w:pPr>
        <w:spacing w:after="0" w:line="143" w:lineRule="exact"/>
        <w:rPr>
          <w:sz w:val="20"/>
          <w:szCs w:val="20"/>
          <w:color w:val="auto"/>
        </w:rPr>
      </w:pPr>
    </w:p>
    <w:p>
      <w:pPr>
        <w:jc w:val="both"/>
        <w:ind w:right="60" w:firstLine="225"/>
        <w:spacing w:after="0" w:line="245" w:lineRule="auto"/>
        <w:rPr>
          <w:sz w:val="20"/>
          <w:szCs w:val="20"/>
          <w:color w:val="auto"/>
        </w:rPr>
      </w:pPr>
      <w:r>
        <w:rPr>
          <w:rFonts w:ascii="Arial" w:cs="Arial" w:eastAsia="Arial" w:hAnsi="Arial"/>
          <w:sz w:val="18"/>
          <w:szCs w:val="18"/>
          <w:color w:val="auto"/>
        </w:rPr>
        <w:t>The increase in Selling, General and Administrative Expenses reflects the Company's higher level of business activity in the current period, as the effects of the COVID-19 pandemic continue to subside, resulting in higher staff costs, marketing expenses, and other expenses. Also influencing the comparison to the prior period was $4.1 million resulting from unfavorable foreign currency exchange rate movements, a decrease of $3.9 million in COVID-19 government relief payments, and $1.0 million in professional fees incurred in the third quarter of 2022 in connection with the acquisition of SSIMWAVE.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4" w:lineRule="exact"/>
        <w:rPr>
          <w:sz w:val="20"/>
          <w:szCs w:val="20"/>
          <w:color w:val="auto"/>
        </w:rPr>
      </w:pPr>
    </w:p>
    <w:p>
      <w:pPr>
        <w:jc w:val="both"/>
        <w:ind w:right="60" w:firstLine="225"/>
        <w:spacing w:after="0" w:line="245"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IMAX theater network.</w:t>
      </w:r>
    </w:p>
    <w:p>
      <w:pPr>
        <w:spacing w:after="0" w:line="144" w:lineRule="exact"/>
        <w:rPr>
          <w:sz w:val="20"/>
          <w:szCs w:val="20"/>
          <w:color w:val="auto"/>
        </w:rPr>
      </w:pPr>
    </w:p>
    <w:p>
      <w:pPr>
        <w:jc w:val="both"/>
        <w:ind w:right="60" w:firstLine="225"/>
        <w:spacing w:after="0" w:line="277" w:lineRule="auto"/>
        <w:rPr>
          <w:sz w:val="20"/>
          <w:szCs w:val="20"/>
          <w:color w:val="auto"/>
        </w:rPr>
      </w:pPr>
      <w:r>
        <w:rPr>
          <w:rFonts w:ascii="Arial" w:cs="Arial" w:eastAsia="Arial" w:hAnsi="Arial"/>
          <w:sz w:val="18"/>
          <w:szCs w:val="18"/>
          <w:color w:val="auto"/>
        </w:rPr>
        <w:t>For the nine months ended September 30, 2022, Research and Development expenses decreased by $2.0 million (36%), when compared to the prior year.</w:t>
      </w:r>
    </w:p>
    <w:p>
      <w:pPr>
        <w:spacing w:after="0" w:line="116" w:lineRule="exact"/>
        <w:rPr>
          <w:sz w:val="20"/>
          <w:szCs w:val="20"/>
          <w:color w:val="auto"/>
        </w:rPr>
      </w:pPr>
    </w:p>
    <w:p>
      <w:pPr>
        <w:jc w:val="both"/>
        <w:ind w:right="60" w:firstLine="225"/>
        <w:spacing w:after="0" w:line="246" w:lineRule="auto"/>
        <w:rPr>
          <w:sz w:val="20"/>
          <w:szCs w:val="20"/>
          <w:color w:val="auto"/>
        </w:rPr>
      </w:pPr>
      <w:r>
        <w:rPr>
          <w:rFonts w:ascii="Arial" w:cs="Arial" w:eastAsia="Arial" w:hAnsi="Arial"/>
          <w:sz w:val="18"/>
          <w:szCs w:val="18"/>
          <w:color w:val="auto"/>
        </w:rPr>
        <w:t>The Company intends to continue research and development to further evolve its end-to-end technology. This includes bringing connectivity to the Company's global theater network and experimenting with live and interactive events worldwide; developing new IMAX film cameras and certifying additional digital cameras; further improving its proprietary DMR process for the delivery of content for both theatrical (including local language content) and home entertainment; and further improving the reliability of its projectors, as well as enhancing the Company's image and sound quality. In addition, teams from IMAX and SSIMWAVE are working to expand existing and/or develop new technologies which further enhance video quality, delivery, and creation across all devices.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 Net</w:t>
      </w:r>
    </w:p>
    <w:p>
      <w:pPr>
        <w:spacing w:after="0" w:line="171" w:lineRule="exact"/>
        <w:rPr>
          <w:sz w:val="20"/>
          <w:szCs w:val="20"/>
          <w:color w:val="auto"/>
        </w:rPr>
      </w:pPr>
    </w:p>
    <w:p>
      <w:pPr>
        <w:jc w:val="both"/>
        <w:ind w:right="60" w:firstLine="225"/>
        <w:spacing w:after="0" w:line="248" w:lineRule="auto"/>
        <w:rPr>
          <w:sz w:val="20"/>
          <w:szCs w:val="20"/>
          <w:color w:val="auto"/>
        </w:rPr>
      </w:pPr>
      <w:r>
        <w:rPr>
          <w:rFonts w:ascii="Arial" w:cs="Arial" w:eastAsia="Arial" w:hAnsi="Arial"/>
          <w:sz w:val="18"/>
          <w:szCs w:val="18"/>
          <w:color w:val="auto"/>
        </w:rPr>
        <w:t>For the nine months ended September 30, 2022, the Company recorded current expected credit losses of $8.1 million, principally due to reserves established against substantially all of its receivables in Russia due to uncertainties associated with the ongoing Russia-Ukraine conflict, partially offset by the reversal of provisions associated with the COVID-19 pandemic as the outlook for the theatrical exhibition industry in Domestic and Rest of World markets continues to improve.</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73" w:name="page74"/>
    <w:bookmarkEnd w:id="73"/>
    <w:p>
      <w:pPr>
        <w:jc w:val="both"/>
        <w:ind w:firstLine="225"/>
        <w:spacing w:after="0" w:line="248" w:lineRule="auto"/>
        <w:rPr>
          <w:sz w:val="20"/>
          <w:szCs w:val="20"/>
          <w:color w:val="auto"/>
        </w:rPr>
      </w:pPr>
      <w:r>
        <w:rPr>
          <w:rFonts w:ascii="Arial" w:cs="Arial" w:eastAsia="Arial" w:hAnsi="Arial"/>
          <w:sz w:val="18"/>
          <w:szCs w:val="18"/>
          <w:color w:val="auto"/>
        </w:rPr>
        <w:t>For the nine months ended September 30, 2021, the Company recorded a net reversal of current expected credit losses of $4.9 million,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global pandemic, as well as better than anticipated collection experience with respect to foreign studio receivable balances.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Asset Impairment</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6"/>
          <w:szCs w:val="16"/>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Arial" w:cs="Arial" w:eastAsia="Arial" w:hAnsi="Arial"/>
          <w:sz w:val="16"/>
          <w:szCs w:val="16"/>
          <w:i w:val="1"/>
          <w:iCs w:val="1"/>
          <w:color w:val="auto"/>
        </w:rPr>
        <w:t>Mozart from Space</w:t>
      </w:r>
      <w:r>
        <w:rPr>
          <w:rFonts w:ascii="Arial" w:cs="Arial" w:eastAsia="Arial" w:hAnsi="Arial"/>
          <w:sz w:val="16"/>
          <w:szCs w:val="16"/>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spacing w:after="0" w:line="124" w:lineRule="exact"/>
        <w:rPr>
          <w:sz w:val="20"/>
          <w:szCs w:val="20"/>
          <w:color w:val="auto"/>
        </w:rPr>
      </w:pPr>
    </w:p>
    <w:p>
      <w:pPr>
        <w:ind w:left="100" w:firstLine="225"/>
        <w:spacing w:after="0" w:line="277" w:lineRule="auto"/>
        <w:rPr>
          <w:sz w:val="20"/>
          <w:szCs w:val="20"/>
          <w:color w:val="auto"/>
        </w:rPr>
      </w:pPr>
      <w:r>
        <w:rPr>
          <w:rFonts w:ascii="Arial" w:cs="Arial" w:eastAsia="Arial" w:hAnsi="Arial"/>
          <w:sz w:val="18"/>
          <w:szCs w:val="18"/>
          <w:color w:val="auto"/>
        </w:rPr>
        <w:t xml:space="preserve">For the nine months ended September 30, 2022, the Company recorded a full impairment of its RMB 30.0 million ($4.5 million) investment in </w:t>
      </w:r>
      <w:r>
        <w:rPr>
          <w:rFonts w:ascii="Arial" w:cs="Arial" w:eastAsia="Arial" w:hAnsi="Arial"/>
          <w:sz w:val="18"/>
          <w:szCs w:val="18"/>
          <w:i w:val="1"/>
          <w:iCs w:val="1"/>
          <w:color w:val="auto"/>
        </w:rPr>
        <w:t>Mozart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Space </w:t>
      </w:r>
      <w:r>
        <w:rPr>
          <w:rFonts w:ascii="Arial" w:cs="Arial" w:eastAsia="Arial" w:hAnsi="Arial"/>
          <w:sz w:val="18"/>
          <w:szCs w:val="18"/>
          <w:color w:val="auto"/>
        </w:rPr>
        <w:t>based on projected box office results and distribution costs.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Legal Judgment and Arbitration Awards</w:t>
      </w:r>
    </w:p>
    <w:p>
      <w:pPr>
        <w:spacing w:after="0" w:line="21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the nine months ended September 30, 2021, the Company recorded a $1.8 million benefit within Legal Judgment and Arbitration Awards as a result of the settlement of the Giencourt matter, as discussed in Note 9(b)(ii) of Notes to Condensed Consolidated Financial Statements. There was no comparable amount recorded during 2022.</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Realized and Unrealized Investment Gains</w:t>
      </w:r>
    </w:p>
    <w:p>
      <w:pPr>
        <w:spacing w:after="0" w:line="21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shares of Maoyan and recognized a gain of $5.2 million.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For the nine months ended September 30, 2022, interest expense was $4.4 million, representing a decrease of $1.2 million (21%) as compared to $5.5 million during the same period of the prior year. This decrease is principally due to repayments of revolving credit facility borrowings made in the prior year, partially offset by the expensing of $0.4 million in unamortized deferred financing costs associated with lenders that are no longer parties to the Credit Agreement. (See Note 8 of Notes to Condensed Consolidated Financial Statements.)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18"/>
          <w:szCs w:val="18"/>
          <w:color w:val="auto"/>
        </w:rPr>
        <w:t>For the nine months ended September 30, 2022, the Company recorded income tax expense of $8.1 million (2021 — $9.4 million). The Company's effective tax rate for the nine months ended September 30, 2022 of (51.0)% differs from the Canadian statutory tax rate of 26.5% primarily due to the fact that the Company recorded an additional $14.7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period losses in these jurisdictions is not ultimately reflected in the Company's Condensed Consolidated Statements of Operations.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12 of Notes to Condensed Consolidated Financial Statements.)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1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or loss of IMAX China, as well as the impact of non-controlling interests in the activity of its Original Film Fund subsidiary. For the nine months ended September 30, 2022, the net income attributable to non-controlling interests of the Company's subsidiaries was $1.5 million (2021 — $9.5 million).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CASH FLOWS FOR THE NINE MONTHS ENDED SEPTEMBER 30, 2022 AND 2021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225"/>
        <w:spacing w:after="0" w:line="249"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40" w:lineRule="exact"/>
        <w:rPr>
          <w:sz w:val="20"/>
          <w:szCs w:val="20"/>
          <w:color w:val="auto"/>
        </w:rPr>
      </w:pPr>
    </w:p>
    <w:p>
      <w:pPr>
        <w:jc w:val="both"/>
        <w:ind w:firstLine="225"/>
        <w:spacing w:after="0" w:line="246" w:lineRule="auto"/>
        <w:rPr>
          <w:sz w:val="20"/>
          <w:szCs w:val="20"/>
          <w:color w:val="auto"/>
        </w:rPr>
      </w:pPr>
      <w:r>
        <w:rPr>
          <w:rFonts w:ascii="Arial" w:cs="Arial" w:eastAsia="Arial" w:hAnsi="Arial"/>
          <w:sz w:val="18"/>
          <w:szCs w:val="18"/>
          <w:color w:val="auto"/>
        </w:rPr>
        <w:t>For the nine months ended September 30, 2022, net cash provided by the Company's operating activities totaled $0.5 million, as compared to net cash used in operating activities of $19.6 million in the same period of the prior year. For the nine months ended September 30, 2022, the net cash provided by the Company's operating activities is principally due to cash collected from cash earnings in the period, as well as in respect of Financing and Variable Consideration Receivables, partially offset by an increase in Accounts Receivable of $18.1 million as a result of revenue growth attributable to the strength of the box office performance of the films distributed through the IMAX network, $10.1 million spent on inventory purchases, and $14.2 million spent in connection with the development of Film Assets.</w:t>
      </w:r>
    </w:p>
    <w:p>
      <w:pPr>
        <w:spacing w:after="0" w:line="143"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nine months ended September 30, 2021, the net cash used in the Company's operating activities was principally due to a significant increase in Accounts Receivable of $24.3 million as a result of theaters reopening amidst the early stages of recovery from the COVID-19 pandemic, $10.0 million spent in connection with the development of Film Assets, as well as a $9.5 million payment made in the second quarter of 2021 in connection with the settlement of the Giencourt matter, as discussed in Note 9(b)(ii) of Notes to Condensed Consolidated Financial Statements.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84" w:lineRule="exact"/>
        <w:rPr>
          <w:sz w:val="20"/>
          <w:szCs w:val="20"/>
          <w:color w:val="auto"/>
        </w:rPr>
      </w:pPr>
    </w:p>
    <w:p>
      <w:pPr>
        <w:jc w:val="both"/>
        <w:ind w:firstLine="225"/>
        <w:spacing w:after="0" w:line="241" w:lineRule="auto"/>
        <w:rPr>
          <w:sz w:val="20"/>
          <w:szCs w:val="20"/>
          <w:color w:val="auto"/>
        </w:rPr>
      </w:pPr>
      <w:r>
        <w:rPr>
          <w:rFonts w:ascii="Arial" w:cs="Arial" w:eastAsia="Arial" w:hAnsi="Arial"/>
          <w:sz w:val="18"/>
          <w:szCs w:val="18"/>
          <w:color w:val="auto"/>
        </w:rPr>
        <w:t xml:space="preserve">For the nine months ended September 30, 2022, net cash used in investing activities totaled $40.4 million, as compared to net cash provided by investing activities of $6.7 million in the same period of the prior year. For the nine months ended September 30, 2022, the net cash used in investing activities is primarily driven by $12.6 million paid for the acquisition of SSIMWAVE, net of cash and cash equivalents acquired, $14.5 million invested in equipment to be used in the Company's joint revenue sharing arrangements with exhibitors (2021 — $5.4 million), $4.7 million invested by IMAX (Shanghai) Culture and Technology Co., Ltd, a wholly-owned subsidiary of IMAX China, in the movie </w:t>
      </w:r>
      <w:r>
        <w:rPr>
          <w:rFonts w:ascii="Arial" w:cs="Arial" w:eastAsia="Arial" w:hAnsi="Arial"/>
          <w:sz w:val="18"/>
          <w:szCs w:val="18"/>
          <w:i w:val="1"/>
          <w:iCs w:val="1"/>
          <w:color w:val="auto"/>
        </w:rPr>
        <w:t>Mozart from Space</w:t>
      </w:r>
      <w:r>
        <w:rPr>
          <w:rFonts w:ascii="Arial" w:cs="Arial" w:eastAsia="Arial" w:hAnsi="Arial"/>
          <w:sz w:val="18"/>
          <w:szCs w:val="18"/>
          <w:color w:val="auto"/>
        </w:rPr>
        <w:t xml:space="preserve"> (see "Asset Impairment" above), $5.2 million in purchases of property, plant and equipment, and $3.2 million of intangible assets acquired, principally related to the purchase or development of software (2021 — $3.4 million).</w:t>
      </w:r>
    </w:p>
    <w:p>
      <w:pPr>
        <w:spacing w:after="0" w:line="163"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8"/>
          <w:szCs w:val="18"/>
          <w:color w:val="auto"/>
        </w:rPr>
        <w:t>For the nine months ended September 30, 2021, the net cash provided by investing activities was primarily driven by $17.8 million in cash proceeds received from the sale of the Company's investment in Maoyan in the first quarter of 2021 (see "Management's Discussion and Analysis of Financial Condition and Results of Operations – Realized and Unrealized Investment Gains").</w:t>
      </w:r>
    </w:p>
    <w:p>
      <w:pPr>
        <w:spacing w:after="0" w:line="136"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8"/>
          <w:szCs w:val="18"/>
          <w:color w:val="auto"/>
        </w:rPr>
        <w:t>Based on management's current operating plan for 2022, the Company expects to continue to use cash to deploy additional IMAX Theater Systems under joint revenue sharing arrangements.</w:t>
      </w:r>
    </w:p>
    <w:p>
      <w:pPr>
        <w:spacing w:after="0" w:line="116"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Capital expenditures, including the Company's investment in joint revenue sharing arrangements, the purchase of property, plant and equipment, the acquisition of other intangible assets, and investments in films</w:t>
      </w:r>
      <w:r>
        <w:rPr>
          <w:rFonts w:ascii="Arial" w:cs="Arial" w:eastAsia="Arial" w:hAnsi="Arial"/>
          <w:sz w:val="18"/>
          <w:szCs w:val="18"/>
          <w:i w:val="1"/>
          <w:iCs w:val="1"/>
          <w:color w:val="auto"/>
        </w:rPr>
        <w:t>,</w:t>
      </w:r>
      <w:r>
        <w:rPr>
          <w:rFonts w:ascii="Arial" w:cs="Arial" w:eastAsia="Arial" w:hAnsi="Arial"/>
          <w:sz w:val="18"/>
          <w:szCs w:val="18"/>
          <w:color w:val="auto"/>
        </w:rPr>
        <w:t xml:space="preserve"> were $41.9 million for the nine months ended September 30, 2022, as compared to $21.1 million for the nine months ended September 30, 2021.</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225"/>
        <w:spacing w:after="0" w:line="244" w:lineRule="auto"/>
        <w:rPr>
          <w:sz w:val="20"/>
          <w:szCs w:val="20"/>
          <w:color w:val="auto"/>
        </w:rPr>
      </w:pPr>
      <w:r>
        <w:rPr>
          <w:rFonts w:ascii="Arial" w:cs="Arial" w:eastAsia="Arial" w:hAnsi="Arial"/>
          <w:sz w:val="18"/>
          <w:szCs w:val="18"/>
          <w:color w:val="auto"/>
        </w:rPr>
        <w:t>For the nine months ended September 30, 2022, net cash used in financing activities totaled $64.6 million, as compared to $110.5 million used in financing activities in the same period of the prior year. For the nine months ended September 30, 2022, the net cash used in financing activities is principally due to $56.6 million used to repurchase common shares of the Company ($53.6 million) and IMAX China ($3.0 million), $3.4 million paid to purchase treasury stock for the settlement of restricted share units and related taxes, $2.7 million of dividends paid to the non-controlling interests of IMAX China, and $2.3 million in fees paid in relation to the Sixth Amended and Restated Credit Agreement entered into by the Company during the first quarter of 2022. (See Note 8 of Notes to Condensed Consolidated Financial Statements in Part I, Item 1 for additional information on the Sixth Amended and Restated Credit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jc w:val="both"/>
        <w:ind w:firstLine="225"/>
        <w:spacing w:after="0" w:line="268" w:lineRule="auto"/>
        <w:rPr>
          <w:sz w:val="20"/>
          <w:szCs w:val="20"/>
          <w:color w:val="auto"/>
        </w:rPr>
      </w:pPr>
      <w:r>
        <w:rPr>
          <w:rFonts w:ascii="Arial" w:cs="Arial" w:eastAsia="Arial" w:hAnsi="Arial"/>
          <w:sz w:val="17"/>
          <w:szCs w:val="17"/>
          <w:color w:val="auto"/>
        </w:rPr>
        <w:t>For the nine months ended September 30, 2021, net cash used in financing activities was principally due to the $296.6 million in repayments of revolving credit facility borrowings, which were funded in part with a portion of the $223.7 million in net proceeds received from the issuance of the Convertible Notes, and the $19.1 million purchase of capped calls related to the Convertible Notes. (See Note 8 of Notes to Condensed Consolidated Financial Statements in Part I, Item 1 for additional information on the issuance of the Convertible Notes and the related capped call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8" w:lineRule="exact"/>
        <w:rPr>
          <w:sz w:val="20"/>
          <w:szCs w:val="20"/>
          <w:color w:val="auto"/>
        </w:rPr>
      </w:pPr>
    </w:p>
    <w:p>
      <w:pPr>
        <w:jc w:val="both"/>
        <w:ind w:firstLine="223"/>
        <w:spacing w:after="0" w:line="243" w:lineRule="auto"/>
        <w:rPr>
          <w:sz w:val="20"/>
          <w:szCs w:val="20"/>
          <w:color w:val="auto"/>
        </w:rPr>
      </w:pPr>
      <w:r>
        <w:rPr>
          <w:rFonts w:ascii="Arial" w:cs="Arial" w:eastAsia="Arial" w:hAnsi="Arial"/>
          <w:sz w:val="18"/>
          <w:szCs w:val="18"/>
          <w:color w:val="auto"/>
        </w:rPr>
        <w:t>As of September 30, 2022, the Company's principal sources of liquidity included: (i) its balances of cash and cash equivalents ($87.2 million); (ii) the anticipated collection of trade accounts receivable, which includes amounts owed under joint revenue sharing arrangements and DMR agreements with movie studios; (iii) the anticipated collection of financing receivables due in the next 12 months under sale and sales-type lease arrangements for theaters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158"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7"/>
          <w:szCs w:val="17"/>
          <w:color w:val="auto"/>
        </w:rPr>
        <w:t>In addition, as of September 30, 2022, the Company had $300.0 million in available borrowing capacity under its Sixth Amended and Restated Credit Agreement with Wells Fargo Bank, National Association (the "Credit Agreement"), $26.4 million in available borrowing capacity under the IMAX (Shanghai) Multimedia Technology Co., Ltd. ("IMAX Shanghai") revolving credit facility with the Bank of China (the "Bank of China Facility"), and $23.8 million in available borrowing capacity under IMAX Shanghai's revolving credit facility with HSBC Bank (China) Company Limited, Shanghai Branch (the "HSBC China Facility"). (See Note 8 of Notes to Condensed Consolidated Financial Statements in Part I, Item 1 for a description of the material terms of the Credit Agreement, the Bank of China Facility, and the HSBC China Facility.)</w:t>
      </w:r>
    </w:p>
    <w:p>
      <w:pPr>
        <w:spacing w:after="0" w:line="131"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7"/>
          <w:szCs w:val="17"/>
          <w:color w:val="auto"/>
        </w:rPr>
        <w:t>The Company's $87.2 million balance of cash and cash equivalents as of September 30, 2022 (December 31, 2021 — $189.7 million) includes $65.5 million in cash held outside of Canada (December 31, 2021 — $102.1 million), of which $27.9 million was held in the People's Republic of China (the "PRC") (December 31, 2021 — $76.3 million). 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In 2021, $20.4 million of historical earnings from a subsidiary in China were distributed and, as a result, $2.0 million of foreign withholding taxes were paid to the relevant tax authorities. During the three months ended September 30, 2022, $27.7 million of historical earnings from a subsidiary in China were distributed and, as a result, $2.7 million of foreign withholding taxes were paid to the relevant tax authorities. As of September 30, 2022, the Company's Condensed Consolidated Balance Sheets include a deferred tax liability of $14.9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152" w:lineRule="exact"/>
        <w:rPr>
          <w:sz w:val="20"/>
          <w:szCs w:val="20"/>
          <w:color w:val="auto"/>
        </w:rPr>
      </w:pPr>
    </w:p>
    <w:p>
      <w:pPr>
        <w:jc w:val="both"/>
        <w:ind w:firstLine="225"/>
        <w:spacing w:after="0" w:line="246" w:lineRule="auto"/>
        <w:rPr>
          <w:sz w:val="20"/>
          <w:szCs w:val="20"/>
          <w:color w:val="auto"/>
        </w:rPr>
      </w:pPr>
      <w:r>
        <w:rPr>
          <w:rFonts w:ascii="Arial" w:cs="Arial" w:eastAsia="Arial" w:hAnsi="Arial"/>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Item 1A of the Company's 2021 Form 10-K, as supplemented by the risk factors in Part II, Item 1A of this report).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Theater Systems and box office performance of IMAX DMR content are not realized.</w:t>
      </w:r>
    </w:p>
    <w:p>
      <w:pPr>
        <w:spacing w:after="0" w:line="143"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6"/>
          <w:szCs w:val="16"/>
          <w:color w:val="auto"/>
        </w:rPr>
        <w:t>For the three and nine months ended September 30, 2022, GBO generated by films released to the IMAX network totaled $177.1 million and $598.1 million, respectively, surpassing the totals for the same periods in 2021 by $35.2 million (25%) and $237.4 million (66%), respectively. Although GBO results during the three and nine months ended September 30, 2022 were impacted by the COVID-related theater closures in China, management remains encouraged by the overall positive trend in box office results and believes it indicates that moviegoers are returning to theaters, and in particular IMAX theaters, where and when theaters are open and they feel safe. Despite accounting for 1% of all domestic screens, the IMAX network had a domestic market</w:t>
      </w:r>
    </w:p>
    <w:p>
      <w:pPr>
        <w:spacing w:after="0" w:line="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share of 5% for the nine months ended September 30, 2022. Management is further encouraged by the return of the prevalence of exclusive theatrical windows and the strong pipeline of Hollywood movies scheduled to be released for theatrical exhibition throughout the remainder of 2022 and into 2023.</w:t>
      </w:r>
    </w:p>
    <w:p>
      <w:pPr>
        <w:spacing w:after="0" w:line="71"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6" w:name="page77"/>
    <w:bookmarkEnd w:id="76"/>
    <w:p>
      <w:pPr>
        <w:jc w:val="both"/>
        <w:ind w:firstLine="225"/>
        <w:spacing w:after="0" w:line="269" w:lineRule="auto"/>
        <w:rPr>
          <w:sz w:val="20"/>
          <w:szCs w:val="20"/>
          <w:color w:val="auto"/>
        </w:rPr>
      </w:pPr>
      <w:r>
        <w:rPr>
          <w:rFonts w:ascii="Arial" w:cs="Arial" w:eastAsia="Arial" w:hAnsi="Arial"/>
          <w:sz w:val="17"/>
          <w:szCs w:val="17"/>
          <w:color w:val="auto"/>
        </w:rPr>
        <w:t>(See "Management's Discussion and Analysis of Financial Condition and Results of Operations – Impact of COVID-19 Pandemic" and "Risk Factors – The Company has experienced a significant decrease in its revenues, earnings and cash flows due to the COVID-19 pandemic and its business, financial condition and results of operations may continue to be significantly harmed in future reporting periods" in Part II, Item 1A.)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September 30,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3"/>
        </w:trPr>
        <w:tc>
          <w:tcPr>
            <w:tcW w:w="1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393"/>
              <w:spacing w:after="0" w:line="13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5"/>
        </w:trPr>
        <w:tc>
          <w:tcPr>
            <w:tcW w:w="5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Obligation</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0"/>
              </w:rPr>
              <w:t>1 to 3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0"/>
              </w:rPr>
              <w:t>3 to 5 years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Thereafter</w:t>
            </w:r>
          </w:p>
        </w:tc>
      </w:tr>
      <w:tr>
        <w:trPr>
          <w:trHeight w:val="209"/>
        </w:trPr>
        <w:tc>
          <w:tcPr>
            <w:tcW w:w="5220" w:type="dxa"/>
            <w:vAlign w:val="bottom"/>
            <w:gridSpan w:val="2"/>
            <w:shd w:val="clear" w:color="auto" w:fill="CFF0FC"/>
          </w:tcPr>
          <w:p>
            <w:pPr>
              <w:ind w:left="20"/>
              <w:spacing w:after="0" w:line="209"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42,684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256</w:t>
            </w:r>
          </w:p>
        </w:tc>
      </w:tr>
      <w:tr>
        <w:trPr>
          <w:trHeight w:val="216"/>
        </w:trPr>
        <w:tc>
          <w:tcPr>
            <w:tcW w:w="522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Pension obligations</w:t>
            </w:r>
            <w:r>
              <w:rPr>
                <w:rFonts w:ascii="Arial" w:cs="Arial" w:eastAsia="Arial" w:hAnsi="Arial"/>
                <w:sz w:val="24"/>
                <w:szCs w:val="24"/>
                <w:color w:val="auto"/>
                <w:vertAlign w:val="superscript"/>
              </w:rPr>
              <w:t>(2)</w:t>
            </w:r>
          </w:p>
        </w:tc>
        <w:tc>
          <w:tcPr>
            <w:tcW w:w="1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18,496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4,284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4,645</w:t>
            </w: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HSBC Facility</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Bank of China Facility</w:t>
            </w:r>
          </w:p>
        </w:tc>
        <w:tc>
          <w:tcPr>
            <w:tcW w:w="1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Federal Economic Development Loan</w:t>
            </w:r>
            <w:r>
              <w:rPr>
                <w:rFonts w:ascii="Arial" w:cs="Arial" w:eastAsia="Arial" w:hAnsi="Arial"/>
                <w:sz w:val="24"/>
                <w:szCs w:val="24"/>
                <w:color w:val="auto"/>
                <w:vertAlign w:val="superscript"/>
              </w:rPr>
              <w:t>(4)</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461</w:t>
            </w:r>
          </w:p>
        </w:tc>
      </w:tr>
      <w:tr>
        <w:trPr>
          <w:trHeight w:val="216"/>
        </w:trPr>
        <w:tc>
          <w:tcPr>
            <w:tcW w:w="522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Convertible Notes</w:t>
            </w:r>
            <w:r>
              <w:rPr>
                <w:rFonts w:ascii="Arial" w:cs="Arial" w:eastAsia="Arial" w:hAnsi="Arial"/>
                <w:sz w:val="24"/>
                <w:szCs w:val="24"/>
                <w:color w:val="auto"/>
                <w:vertAlign w:val="superscript"/>
              </w:rPr>
              <w:t>(5)</w:t>
            </w:r>
          </w:p>
        </w:tc>
        <w:tc>
          <w:tcPr>
            <w:tcW w:w="1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234,600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231,150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Postretirement benefits obligations</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2,255</w:t>
            </w:r>
          </w:p>
        </w:tc>
      </w:tr>
      <w:tr>
        <w:trPr>
          <w:trHeight w:val="209"/>
        </w:trPr>
        <w:tc>
          <w:tcPr>
            <w:tcW w:w="15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327,437</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50,189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12,408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257,223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7,617</w:t>
            </w: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Borders>
              <w:bottom w:val="single" w:sz="8" w:color="auto"/>
            </w:tcBorders>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-324485</wp:posOffset>
            </wp:positionV>
            <wp:extent cx="85725" cy="1714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-324485</wp:posOffset>
            </wp:positionV>
            <wp:extent cx="76835" cy="1714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-324485</wp:posOffset>
            </wp:positionV>
            <wp:extent cx="76835" cy="1714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-324485</wp:posOffset>
            </wp:positionV>
            <wp:extent cx="76835" cy="1714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41" w:lineRule="exact"/>
        <w:rPr>
          <w:sz w:val="20"/>
          <w:szCs w:val="20"/>
          <w:color w:val="auto"/>
        </w:rPr>
      </w:pPr>
    </w:p>
    <w:p>
      <w:pPr>
        <w:ind w:left="380" w:hanging="372"/>
        <w:spacing w:after="0" w:line="261"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43" w:lineRule="exact"/>
        <w:rPr>
          <w:rFonts w:ascii="Arial" w:cs="Arial" w:eastAsia="Arial" w:hAnsi="Arial"/>
          <w:sz w:val="18"/>
          <w:szCs w:val="18"/>
          <w:color w:val="auto"/>
        </w:rPr>
      </w:pPr>
    </w:p>
    <w:p>
      <w:pPr>
        <w:jc w:val="both"/>
        <w:ind w:left="380" w:hanging="372"/>
        <w:spacing w:after="0" w:line="245"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16 of Notes to Condensed Consolidated Financial Statements in Part I, Item 1.)</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w:t>
      </w:r>
    </w:p>
    <w:p>
      <w:pPr>
        <w:spacing w:after="0" w:line="184" w:lineRule="exact"/>
        <w:rPr>
          <w:rFonts w:ascii="Arial" w:cs="Arial" w:eastAsia="Arial" w:hAnsi="Arial"/>
          <w:sz w:val="18"/>
          <w:szCs w:val="18"/>
          <w:color w:val="auto"/>
        </w:rPr>
      </w:pPr>
    </w:p>
    <w:p>
      <w:pPr>
        <w:ind w:left="380" w:right="20" w:hanging="372"/>
        <w:spacing w:after="0" w:line="261"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Economic Development Loan will be repayable over 60 months, with repayments estimated to begin in January 2024,. (See Note 8(c) of Notes to Condensed Consolidated Financial Statements in Part I, Item 1.)</w:t>
      </w:r>
    </w:p>
    <w:p>
      <w:pPr>
        <w:spacing w:after="0" w:line="143"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8(b) of Notes to Condensed Consolidated Financial Statements in Part I, Item 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5"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5"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See Note 3 of Notes to Condensed Consolidated Financial Statements in Part I, Item 1 for a discussion of recently issued accounting standards and their impact on the Company's Condensed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NON-GAAP FINANCIAL MEASURES</w:t>
      </w:r>
    </w:p>
    <w:p>
      <w:pPr>
        <w:spacing w:after="0" w:line="18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63" w:lineRule="exact"/>
        <w:rPr>
          <w:sz w:val="20"/>
          <w:szCs w:val="20"/>
          <w:color w:val="auto"/>
        </w:rPr>
      </w:pPr>
    </w:p>
    <w:p>
      <w:pPr>
        <w:ind w:left="600" w:hanging="369"/>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w:t>
      </w:r>
    </w:p>
    <w:p>
      <w:pPr>
        <w:spacing w:after="0" w:line="211" w:lineRule="exact"/>
        <w:rPr>
          <w:rFonts w:ascii="Arial" w:cs="Arial" w:eastAsia="Arial" w:hAnsi="Arial"/>
          <w:sz w:val="18"/>
          <w:szCs w:val="18"/>
          <w:color w:val="auto"/>
        </w:rPr>
      </w:pPr>
    </w:p>
    <w:p>
      <w:pPr>
        <w:ind w:left="600" w:hanging="369"/>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 per basic and diluted share;</w:t>
      </w:r>
    </w:p>
    <w:p>
      <w:pPr>
        <w:spacing w:after="0" w:line="197" w:lineRule="exact"/>
        <w:rPr>
          <w:rFonts w:ascii="Arial" w:cs="Arial" w:eastAsia="Arial" w:hAnsi="Arial"/>
          <w:sz w:val="18"/>
          <w:szCs w:val="18"/>
          <w:color w:val="auto"/>
        </w:rPr>
      </w:pPr>
    </w:p>
    <w:p>
      <w:pPr>
        <w:ind w:left="600" w:hanging="369"/>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11" w:lineRule="exact"/>
        <w:rPr>
          <w:rFonts w:ascii="Arial" w:cs="Arial" w:eastAsia="Arial" w:hAnsi="Arial"/>
          <w:sz w:val="18"/>
          <w:szCs w:val="18"/>
          <w:color w:val="auto"/>
        </w:rPr>
      </w:pPr>
    </w:p>
    <w:p>
      <w:pPr>
        <w:ind w:left="600" w:hanging="369"/>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7"/>
          <w:szCs w:val="17"/>
          <w:color w:val="auto"/>
        </w:rPr>
        <w:t>Adjusted net loss attributable to common shareholders and adjusted net loss attributable to common shareholders per basic and diluted share exclude, where applicable: (i) share-based compensation; (ii) COVID-19 government relief benefits; (iii) legal judgment and arbitration awards; (iv) realized and unrealized investment gains or losses; (v) acquisition-related expenses, as well as the related tax impact of these adjustments; and (vi) income taxes resulting from management's decision to no longer indefinitely reinvest the historical earnings of certain foreign subsidiaries.</w:t>
      </w:r>
    </w:p>
    <w:p>
      <w:pPr>
        <w:spacing w:after="0" w:line="14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w:t>
      </w:r>
      <w:r>
        <w:rPr>
          <w:rFonts w:ascii="Arial" w:cs="Arial" w:eastAsia="Arial" w:hAnsi="Arial"/>
          <w:sz w:val="18"/>
          <w:szCs w:val="18"/>
          <w:color w:val="auto"/>
        </w:rPr>
        <w:t xml:space="preserve"> </w:t>
      </w:r>
      <w:r>
        <w:rPr>
          <w:rFonts w:ascii="Arial" w:cs="Arial" w:eastAsia="Arial" w:hAnsi="Arial"/>
          <w:sz w:val="18"/>
          <w:szCs w:val="18"/>
          <w:color w:val="212529"/>
        </w:rPr>
        <w:t xml:space="preserve">the after-tax impact of share-based compensation and </w:t>
      </w:r>
      <w:r>
        <w:rPr>
          <w:rFonts w:ascii="Arial" w:cs="Arial" w:eastAsia="Arial" w:hAnsi="Arial"/>
          <w:sz w:val="18"/>
          <w:szCs w:val="18"/>
          <w:color w:val="000000"/>
        </w:rPr>
        <w:t>certain unusual items included in net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8" w:name="page79"/>
    <w:bookmarkEnd w:id="78"/>
    <w:p>
      <w:pPr>
        <w:jc w:val="both"/>
        <w:ind w:firstLine="225"/>
        <w:spacing w:after="0" w:line="290" w:lineRule="auto"/>
        <w:rPr>
          <w:sz w:val="20"/>
          <w:szCs w:val="20"/>
          <w:color w:val="auto"/>
        </w:rPr>
      </w:pPr>
      <w:r>
        <w:rPr>
          <w:rFonts w:ascii="Arial" w:cs="Arial" w:eastAsia="Arial" w:hAnsi="Arial"/>
          <w:sz w:val="17"/>
          <w:szCs w:val="17"/>
          <w:color w:val="auto"/>
        </w:rPr>
        <w:t>Reconciliations of net loss attributable to common shareholders and the associated per share amounts to adjusted net loss attributable to common shareholders and adjusted net loss attributable to common shareholders per basic and diluted share are presented in the tables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75"/>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40" w:type="dxa"/>
            <w:vAlign w:val="bottom"/>
          </w:tcPr>
          <w:p>
            <w:pPr>
              <w:spacing w:after="0"/>
              <w:rPr>
                <w:sz w:val="17"/>
                <w:szCs w:val="17"/>
                <w:color w:val="auto"/>
              </w:rPr>
            </w:pPr>
          </w:p>
        </w:tc>
        <w:tc>
          <w:tcPr>
            <w:tcW w:w="106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w w:val="87"/>
              </w:rPr>
              <w:t>Net Loss</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7"/>
                <w:szCs w:val="17"/>
                <w:color w:val="auto"/>
              </w:rPr>
            </w:pPr>
          </w:p>
        </w:tc>
        <w:tc>
          <w:tcPr>
            <w:tcW w:w="100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w w:val="87"/>
              </w:rPr>
              <w:t>Net Loss</w:t>
            </w:r>
          </w:p>
        </w:tc>
        <w:tc>
          <w:tcPr>
            <w:tcW w:w="140" w:type="dxa"/>
            <w:vAlign w:val="bottom"/>
          </w:tcPr>
          <w:p>
            <w:pPr>
              <w:spacing w:after="0"/>
              <w:rPr>
                <w:sz w:val="17"/>
                <w:szCs w:val="17"/>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59"/>
        </w:trPr>
        <w:tc>
          <w:tcPr>
            <w:tcW w:w="6760" w:type="dxa"/>
            <w:vAlign w:val="bottom"/>
            <w:gridSpan w:val="3"/>
          </w:tcPr>
          <w:p>
            <w:pPr>
              <w:ind w:left="20"/>
              <w:spacing w:after="0" w:line="159" w:lineRule="exact"/>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(8,953</w:t>
            </w:r>
          </w:p>
        </w:tc>
        <w:tc>
          <w:tcPr>
            <w:tcW w:w="360" w:type="dxa"/>
            <w:vAlign w:val="bottom"/>
          </w:tcPr>
          <w:p>
            <w:pPr>
              <w:ind w:left="20"/>
              <w:spacing w:after="0" w:line="15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6"/>
              <w:spacing w:after="0" w:line="15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(0.16</w:t>
            </w:r>
          </w:p>
        </w:tc>
        <w:tc>
          <w:tcPr>
            <w:tcW w:w="200" w:type="dxa"/>
            <w:vAlign w:val="bottom"/>
          </w:tcPr>
          <w:p>
            <w:pPr>
              <w:jc w:val="right"/>
              <w:ind w:right="61"/>
              <w:spacing w:after="0" w:line="159"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(8,378</w:t>
            </w:r>
          </w:p>
        </w:tc>
        <w:tc>
          <w:tcPr>
            <w:tcW w:w="320" w:type="dxa"/>
            <w:vAlign w:val="bottom"/>
          </w:tcPr>
          <w:p>
            <w:pPr>
              <w:jc w:val="right"/>
              <w:ind w:right="155"/>
              <w:spacing w:after="0" w:line="159"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8"/>
                <w:szCs w:val="18"/>
                <w:color w:val="auto"/>
              </w:rPr>
              <w:t>(0.14</w:t>
            </w:r>
          </w:p>
        </w:tc>
        <w:tc>
          <w:tcPr>
            <w:tcW w:w="100" w:type="dxa"/>
            <w:vAlign w:val="bottom"/>
          </w:tcPr>
          <w:p>
            <w:pPr>
              <w:jc w:val="right"/>
              <w:spacing w:after="0" w:line="15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6"/>
        </w:trPr>
        <w:tc>
          <w:tcPr>
            <w:tcW w:w="6760" w:type="dxa"/>
            <w:vAlign w:val="bottom"/>
            <w:gridSpan w:val="3"/>
          </w:tcPr>
          <w:p>
            <w:pPr>
              <w:ind w:left="20"/>
              <w:spacing w:after="0" w:line="265" w:lineRule="exact"/>
              <w:rPr>
                <w:sz w:val="20"/>
                <w:szCs w:val="20"/>
                <w:color w:val="auto"/>
              </w:rPr>
            </w:pPr>
            <w:r>
              <w:rPr>
                <w:rFonts w:ascii="Arial" w:cs="Arial" w:eastAsia="Arial" w:hAnsi="Arial"/>
                <w:sz w:val="18"/>
                <w:szCs w:val="18"/>
                <w:color w:val="auto"/>
              </w:rPr>
              <w:t>Adjustments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0"/>
              <w:spacing w:after="0"/>
              <w:rPr>
                <w:sz w:val="20"/>
                <w:szCs w:val="20"/>
                <w:color w:val="auto"/>
              </w:rPr>
            </w:pPr>
            <w:r>
              <w:rPr>
                <w:rFonts w:ascii="Arial" w:cs="Arial" w:eastAsia="Arial" w:hAnsi="Arial"/>
                <w:sz w:val="18"/>
                <w:szCs w:val="18"/>
                <w:color w:val="auto"/>
              </w:rPr>
              <w:t>COVID-19 government relief benefits, net</w:t>
            </w:r>
          </w:p>
        </w:tc>
        <w:tc>
          <w:tcPr>
            <w:tcW w:w="140" w:type="dxa"/>
            <w:vAlign w:val="bottom"/>
          </w:tcPr>
          <w:p>
            <w:pPr>
              <w:spacing w:after="0"/>
              <w:rPr>
                <w:sz w:val="18"/>
                <w:szCs w:val="18"/>
                <w:color w:val="auto"/>
              </w:rPr>
            </w:pPr>
          </w:p>
        </w:tc>
        <w:tc>
          <w:tcPr>
            <w:tcW w:w="1060" w:type="dxa"/>
            <w:vAlign w:val="bottom"/>
            <w:gridSpan w:val="2"/>
          </w:tcPr>
          <w:p>
            <w:pPr>
              <w:jc w:val="right"/>
              <w:ind w:right="197"/>
              <w:spacing w:after="0"/>
              <w:rPr>
                <w:sz w:val="20"/>
                <w:szCs w:val="20"/>
                <w:color w:val="auto"/>
              </w:rPr>
            </w:pPr>
            <w:r>
              <w:rPr>
                <w:rFonts w:ascii="Arial" w:cs="Arial" w:eastAsia="Arial" w:hAnsi="Arial"/>
                <w:sz w:val="18"/>
                <w:szCs w:val="18"/>
                <w:color w:val="auto"/>
              </w:rPr>
              <w:t>(212 )</w:t>
            </w:r>
          </w:p>
        </w:tc>
        <w:tc>
          <w:tcPr>
            <w:tcW w:w="2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(2,048 )</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Realized and unrealized investment gains</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97"/>
              <w:spacing w:after="0"/>
              <w:rPr>
                <w:sz w:val="20"/>
                <w:szCs w:val="20"/>
                <w:color w:val="auto"/>
              </w:rPr>
            </w:pPr>
            <w:r>
              <w:rPr>
                <w:rFonts w:ascii="Arial" w:cs="Arial" w:eastAsia="Arial" w:hAnsi="Arial"/>
                <w:sz w:val="18"/>
                <w:szCs w:val="18"/>
                <w:color w:val="auto"/>
              </w:rPr>
              <w:t>(34 )</w:t>
            </w:r>
          </w:p>
        </w:tc>
        <w:tc>
          <w:tcPr>
            <w:tcW w:w="2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55"/>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3"/>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6760" w:type="dxa"/>
            <w:vAlign w:val="bottom"/>
            <w:gridSpan w:val="3"/>
          </w:tcPr>
          <w:p>
            <w:pPr>
              <w:ind w:left="200"/>
              <w:spacing w:after="0" w:line="166" w:lineRule="exact"/>
              <w:rPr>
                <w:sz w:val="20"/>
                <w:szCs w:val="20"/>
                <w:color w:val="auto"/>
              </w:rPr>
            </w:pPr>
            <w:r>
              <w:rPr>
                <w:rFonts w:ascii="Arial" w:cs="Arial" w:eastAsia="Arial" w:hAnsi="Arial"/>
                <w:sz w:val="18"/>
                <w:szCs w:val="18"/>
                <w:color w:val="auto"/>
              </w:rPr>
              <w:t>Tax impact on items listed above</w:t>
            </w:r>
          </w:p>
        </w:tc>
        <w:tc>
          <w:tcPr>
            <w:tcW w:w="140" w:type="dxa"/>
            <w:vAlign w:val="bottom"/>
          </w:tcPr>
          <w:p>
            <w:pPr>
              <w:spacing w:after="0"/>
              <w:rPr>
                <w:sz w:val="14"/>
                <w:szCs w:val="14"/>
                <w:color w:val="auto"/>
              </w:rPr>
            </w:pPr>
          </w:p>
        </w:tc>
        <w:tc>
          <w:tcPr>
            <w:tcW w:w="1060" w:type="dxa"/>
            <w:vAlign w:val="bottom"/>
            <w:gridSpan w:val="2"/>
          </w:tcPr>
          <w:p>
            <w:pPr>
              <w:jc w:val="right"/>
              <w:ind w:right="197"/>
              <w:spacing w:after="0" w:line="166" w:lineRule="exact"/>
              <w:rPr>
                <w:sz w:val="20"/>
                <w:szCs w:val="20"/>
                <w:color w:val="auto"/>
              </w:rPr>
            </w:pPr>
            <w:r>
              <w:rPr>
                <w:rFonts w:ascii="Arial" w:cs="Arial" w:eastAsia="Arial" w:hAnsi="Arial"/>
                <w:sz w:val="18"/>
                <w:szCs w:val="18"/>
                <w:color w:val="auto"/>
              </w:rPr>
              <w:t>(214 )</w:t>
            </w:r>
          </w:p>
        </w:tc>
        <w:tc>
          <w:tcPr>
            <w:tcW w:w="200" w:type="dxa"/>
            <w:vAlign w:val="bottom"/>
          </w:tcPr>
          <w:p>
            <w:pPr>
              <w:spacing w:after="0"/>
              <w:rPr>
                <w:sz w:val="14"/>
                <w:szCs w:val="14"/>
                <w:color w:val="auto"/>
              </w:rPr>
            </w:pPr>
          </w:p>
        </w:tc>
        <w:tc>
          <w:tcPr>
            <w:tcW w:w="940" w:type="dxa"/>
            <w:vAlign w:val="bottom"/>
            <w:gridSpan w:val="3"/>
          </w:tcPr>
          <w:p>
            <w:pPr>
              <w:jc w:val="right"/>
              <w:ind w:right="340"/>
              <w:spacing w:after="0" w:line="16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55"/>
              <w:spacing w:after="0" w:line="166" w:lineRule="exact"/>
              <w:rPr>
                <w:sz w:val="20"/>
                <w:szCs w:val="20"/>
                <w:color w:val="auto"/>
              </w:rPr>
            </w:pPr>
            <w:r>
              <w:rPr>
                <w:rFonts w:ascii="Arial" w:cs="Arial" w:eastAsia="Arial" w:hAnsi="Arial"/>
                <w:sz w:val="18"/>
                <w:szCs w:val="18"/>
                <w:color w:val="auto"/>
              </w:rPr>
              <w:t>(452 )</w:t>
            </w:r>
          </w:p>
        </w:tc>
        <w:tc>
          <w:tcPr>
            <w:tcW w:w="140" w:type="dxa"/>
            <w:vAlign w:val="bottom"/>
          </w:tcPr>
          <w:p>
            <w:pPr>
              <w:spacing w:after="0"/>
              <w:rPr>
                <w:sz w:val="14"/>
                <w:szCs w:val="14"/>
                <w:color w:val="auto"/>
              </w:rPr>
            </w:pPr>
          </w:p>
        </w:tc>
        <w:tc>
          <w:tcPr>
            <w:tcW w:w="88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50"/>
        </w:trPr>
        <w:tc>
          <w:tcPr>
            <w:tcW w:w="6760" w:type="dxa"/>
            <w:vAlign w:val="bottom"/>
            <w:gridSpan w:val="3"/>
            <w:vMerge w:val="restart"/>
          </w:tcPr>
          <w:p>
            <w:pPr>
              <w:ind w:left="20"/>
              <w:spacing w:after="0"/>
              <w:rPr>
                <w:sz w:val="20"/>
                <w:szCs w:val="20"/>
                <w:color w:val="auto"/>
              </w:rPr>
            </w:pPr>
            <w:r>
              <w:rPr>
                <w:rFonts w:ascii="Arial" w:cs="Arial" w:eastAsia="Arial" w:hAnsi="Arial"/>
                <w:sz w:val="18"/>
                <w:szCs w:val="18"/>
                <w:color w:val="auto"/>
              </w:rPr>
              <w:t>Adjusted net loss</w:t>
            </w:r>
            <w:r>
              <w:rPr>
                <w:rFonts w:ascii="Arial" w:cs="Arial" w:eastAsia="Arial" w:hAnsi="Arial"/>
                <w:sz w:val="24"/>
                <w:szCs w:val="24"/>
                <w:color w:val="auto"/>
                <w:vertAlign w:val="superscript"/>
              </w:rPr>
              <w:t>(1)</w:t>
            </w: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vMerge w:val="restart"/>
          </w:tcPr>
          <w:p>
            <w:pPr>
              <w:jc w:val="right"/>
              <w:ind w:right="155"/>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6760" w:type="dxa"/>
            <w:vAlign w:val="bottom"/>
            <w:gridSpan w:val="3"/>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3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32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shd w:val="clear" w:color="auto" w:fill="CFF0FC"/>
          </w:tcPr>
          <w:p>
            <w:pPr>
              <w:spacing w:after="0"/>
              <w:rPr>
                <w:sz w:val="17"/>
                <w:szCs w:val="17"/>
                <w:color w:val="auto"/>
              </w:rPr>
            </w:pPr>
          </w:p>
        </w:tc>
        <w:tc>
          <w:tcPr>
            <w:tcW w:w="5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20" w:type="dxa"/>
            <w:vAlign w:val="bottom"/>
            <w:gridSpan w:val="8"/>
            <w:vMerge w:val="restart"/>
          </w:tcPr>
          <w:p>
            <w:pPr>
              <w:jc w:val="right"/>
              <w:ind w:right="195"/>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8"/>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37"/>
              <w:spacing w:after="0"/>
              <w:rPr>
                <w:sz w:val="20"/>
                <w:szCs w:val="20"/>
                <w:color w:val="auto"/>
              </w:rPr>
            </w:pPr>
            <w:r>
              <w:rPr>
                <w:rFonts w:ascii="Arial" w:cs="Arial" w:eastAsia="Arial" w:hAnsi="Arial"/>
                <w:sz w:val="14"/>
                <w:szCs w:val="14"/>
                <w:b w:val="1"/>
                <w:bCs w:val="1"/>
                <w:color w:val="auto"/>
                <w:w w:val="87"/>
              </w:rPr>
              <w:t>Net Loss</w:t>
            </w:r>
          </w:p>
        </w:tc>
        <w:tc>
          <w:tcPr>
            <w:tcW w:w="10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Net Loss</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(25,413</w:t>
            </w: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(32,429</w:t>
            </w:r>
          </w:p>
        </w:tc>
        <w:tc>
          <w:tcPr>
            <w:tcW w:w="32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line="216" w:lineRule="exact"/>
              <w:rPr>
                <w:sz w:val="20"/>
                <w:szCs w:val="20"/>
                <w:color w:val="auto"/>
              </w:rPr>
            </w:pPr>
            <w:r>
              <w:rPr>
                <w:rFonts w:ascii="Arial" w:cs="Arial" w:eastAsia="Arial" w:hAnsi="Arial"/>
                <w:sz w:val="18"/>
                <w:szCs w:val="18"/>
                <w:color w:val="auto"/>
              </w:rPr>
              <w:t>Adjustments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18,651</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0"/>
              <w:spacing w:after="0"/>
              <w:rPr>
                <w:sz w:val="20"/>
                <w:szCs w:val="20"/>
                <w:color w:val="auto"/>
              </w:rPr>
            </w:pPr>
            <w:r>
              <w:rPr>
                <w:rFonts w:ascii="Arial" w:cs="Arial" w:eastAsia="Arial" w:hAnsi="Arial"/>
                <w:sz w:val="18"/>
                <w:szCs w:val="18"/>
                <w:color w:val="auto"/>
              </w:rPr>
              <w:t>COVID-19 government relief benefits, net</w:t>
            </w:r>
          </w:p>
        </w:tc>
        <w:tc>
          <w:tcPr>
            <w:tcW w:w="140" w:type="dxa"/>
            <w:vAlign w:val="bottom"/>
          </w:tcPr>
          <w:p>
            <w:pPr>
              <w:spacing w:after="0"/>
              <w:rPr>
                <w:sz w:val="18"/>
                <w:szCs w:val="18"/>
                <w:color w:val="auto"/>
              </w:rPr>
            </w:pPr>
          </w:p>
        </w:tc>
        <w:tc>
          <w:tcPr>
            <w:tcW w:w="1060" w:type="dxa"/>
            <w:vAlign w:val="bottom"/>
            <w:gridSpan w:val="2"/>
          </w:tcPr>
          <w:p>
            <w:pPr>
              <w:jc w:val="right"/>
              <w:ind w:right="197"/>
              <w:spacing w:after="0"/>
              <w:rPr>
                <w:sz w:val="20"/>
                <w:szCs w:val="20"/>
                <w:color w:val="auto"/>
              </w:rPr>
            </w:pPr>
            <w:r>
              <w:rPr>
                <w:rFonts w:ascii="Arial" w:cs="Arial" w:eastAsia="Arial" w:hAnsi="Arial"/>
                <w:sz w:val="18"/>
                <w:szCs w:val="18"/>
                <w:color w:val="auto"/>
              </w:rPr>
              <w:t>(373 )</w:t>
            </w:r>
          </w:p>
        </w:tc>
        <w:tc>
          <w:tcPr>
            <w:tcW w:w="2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(0.01 )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(5,513 )</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Legal judgment and arbitration awards</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55"/>
              <w:spacing w:after="0"/>
              <w:rPr>
                <w:sz w:val="20"/>
                <w:szCs w:val="20"/>
                <w:color w:val="auto"/>
              </w:rPr>
            </w:pPr>
            <w:r>
              <w:rPr>
                <w:rFonts w:ascii="Arial" w:cs="Arial" w:eastAsia="Arial" w:hAnsi="Arial"/>
                <w:sz w:val="18"/>
                <w:szCs w:val="18"/>
                <w:color w:val="auto"/>
              </w:rPr>
              <w:t>(1,770 )</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16"/>
        </w:trPr>
        <w:tc>
          <w:tcPr>
            <w:tcW w:w="6760" w:type="dxa"/>
            <w:vAlign w:val="bottom"/>
            <w:gridSpan w:val="3"/>
          </w:tcPr>
          <w:p>
            <w:pPr>
              <w:ind w:left="200"/>
              <w:spacing w:after="0"/>
              <w:rPr>
                <w:sz w:val="20"/>
                <w:szCs w:val="20"/>
                <w:color w:val="auto"/>
              </w:rPr>
            </w:pPr>
            <w:r>
              <w:rPr>
                <w:rFonts w:ascii="Arial" w:cs="Arial" w:eastAsia="Arial" w:hAnsi="Arial"/>
                <w:sz w:val="18"/>
                <w:szCs w:val="18"/>
                <w:color w:val="auto"/>
              </w:rPr>
              <w:t>Realized and unrealized investment gains</w:t>
            </w:r>
          </w:p>
        </w:tc>
        <w:tc>
          <w:tcPr>
            <w:tcW w:w="140" w:type="dxa"/>
            <w:vAlign w:val="bottom"/>
          </w:tcPr>
          <w:p>
            <w:pPr>
              <w:spacing w:after="0"/>
              <w:rPr>
                <w:sz w:val="18"/>
                <w:szCs w:val="18"/>
                <w:color w:val="auto"/>
              </w:rPr>
            </w:pPr>
          </w:p>
        </w:tc>
        <w:tc>
          <w:tcPr>
            <w:tcW w:w="1060" w:type="dxa"/>
            <w:vAlign w:val="bottom"/>
            <w:gridSpan w:val="2"/>
          </w:tcPr>
          <w:p>
            <w:pPr>
              <w:jc w:val="right"/>
              <w:ind w:right="197"/>
              <w:spacing w:after="0"/>
              <w:rPr>
                <w:sz w:val="20"/>
                <w:szCs w:val="20"/>
                <w:color w:val="auto"/>
              </w:rPr>
            </w:pPr>
            <w:r>
              <w:rPr>
                <w:rFonts w:ascii="Arial" w:cs="Arial" w:eastAsia="Arial" w:hAnsi="Arial"/>
                <w:sz w:val="18"/>
                <w:szCs w:val="18"/>
                <w:color w:val="auto"/>
              </w:rPr>
              <w:t>(98 )</w:t>
            </w:r>
          </w:p>
        </w:tc>
        <w:tc>
          <w:tcPr>
            <w:tcW w:w="2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(3,740 )</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3"/>
          </w:tcPr>
          <w:p>
            <w:pPr>
              <w:ind w:left="200"/>
              <w:spacing w:after="0"/>
              <w:rPr>
                <w:sz w:val="20"/>
                <w:szCs w:val="20"/>
                <w:color w:val="auto"/>
              </w:rPr>
            </w:pPr>
            <w:r>
              <w:rPr>
                <w:rFonts w:ascii="Arial" w:cs="Arial" w:eastAsia="Arial" w:hAnsi="Arial"/>
                <w:sz w:val="18"/>
                <w:szCs w:val="18"/>
                <w:color w:val="auto"/>
              </w:rPr>
              <w:t>Tax impact on items listed above</w:t>
            </w:r>
          </w:p>
        </w:tc>
        <w:tc>
          <w:tcPr>
            <w:tcW w:w="140" w:type="dxa"/>
            <w:vAlign w:val="bottom"/>
          </w:tcPr>
          <w:p>
            <w:pPr>
              <w:spacing w:after="0"/>
              <w:rPr>
                <w:sz w:val="18"/>
                <w:szCs w:val="18"/>
                <w:color w:val="auto"/>
              </w:rPr>
            </w:pPr>
          </w:p>
        </w:tc>
        <w:tc>
          <w:tcPr>
            <w:tcW w:w="1060" w:type="dxa"/>
            <w:vAlign w:val="bottom"/>
            <w:gridSpan w:val="2"/>
          </w:tcPr>
          <w:p>
            <w:pPr>
              <w:jc w:val="right"/>
              <w:ind w:right="197"/>
              <w:spacing w:after="0"/>
              <w:rPr>
                <w:sz w:val="20"/>
                <w:szCs w:val="20"/>
                <w:color w:val="auto"/>
              </w:rPr>
            </w:pPr>
            <w:r>
              <w:rPr>
                <w:rFonts w:ascii="Arial" w:cs="Arial" w:eastAsia="Arial" w:hAnsi="Arial"/>
                <w:sz w:val="18"/>
                <w:szCs w:val="18"/>
                <w:color w:val="auto"/>
              </w:rPr>
              <w:t>(1,071 )</w:t>
            </w:r>
          </w:p>
        </w:tc>
        <w:tc>
          <w:tcPr>
            <w:tcW w:w="2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(0.02 )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(1,417 )</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174"/>
        </w:trPr>
        <w:tc>
          <w:tcPr>
            <w:tcW w:w="6760" w:type="dxa"/>
            <w:vAlign w:val="bottom"/>
            <w:gridSpan w:val="3"/>
            <w:shd w:val="clear" w:color="auto" w:fill="CFF0FC"/>
          </w:tcPr>
          <w:p>
            <w:pPr>
              <w:ind w:left="200"/>
              <w:spacing w:after="0" w:line="175" w:lineRule="exact"/>
              <w:rPr>
                <w:sz w:val="20"/>
                <w:szCs w:val="20"/>
                <w:color w:val="auto"/>
              </w:rPr>
            </w:pPr>
            <w:r>
              <w:rPr>
                <w:rFonts w:ascii="Arial" w:cs="Arial" w:eastAsia="Arial" w:hAnsi="Arial"/>
                <w:sz w:val="18"/>
                <w:szCs w:val="18"/>
                <w:color w:val="auto"/>
                <w:w w:val="97"/>
              </w:rPr>
              <w:t>Income taxes resulting from management's decision to no longer indefinitely reinvest</w:t>
            </w:r>
          </w:p>
        </w:tc>
        <w:tc>
          <w:tcPr>
            <w:tcW w:w="1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8"/>
                <w:szCs w:val="18"/>
                <w:color w:val="auto"/>
              </w:rPr>
              <w:t>the historical earnings of certain foreign subsidiaries</w:t>
            </w: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360" w:type="dxa"/>
            <w:vAlign w:val="bottom"/>
            <w:tcBorders>
              <w:bottom w:val="single" w:sz="8" w:color="CFF0FC"/>
            </w:tcBorders>
            <w:vMerge w:val="continue"/>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gridSpan w:val="2"/>
            <w:vMerge w:val="continue"/>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gridSpan w:val="3"/>
          </w:tcPr>
          <w:p>
            <w:pPr>
              <w:ind w:left="20"/>
              <w:spacing w:after="0" w:line="209" w:lineRule="exact"/>
              <w:rPr>
                <w:sz w:val="20"/>
                <w:szCs w:val="20"/>
                <w:color w:val="auto"/>
              </w:rPr>
            </w:pPr>
            <w:r>
              <w:rPr>
                <w:rFonts w:ascii="Arial" w:cs="Arial" w:eastAsia="Arial" w:hAnsi="Arial"/>
                <w:sz w:val="18"/>
                <w:szCs w:val="18"/>
                <w:color w:val="auto"/>
              </w:rPr>
              <w:t>Adjusted net loss</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97"/>
              <w:spacing w:after="0"/>
              <w:rPr>
                <w:sz w:val="20"/>
                <w:szCs w:val="20"/>
                <w:color w:val="auto"/>
              </w:rPr>
            </w:pPr>
            <w:r>
              <w:rPr>
                <w:rFonts w:ascii="Arial" w:cs="Arial" w:eastAsia="Arial" w:hAnsi="Arial"/>
                <w:sz w:val="18"/>
                <w:szCs w:val="18"/>
                <w:color w:val="auto"/>
              </w:rPr>
              <w:t>(7,349 )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(0.13 )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(26,813 )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20"/>
        </w:trPr>
        <w:tc>
          <w:tcPr>
            <w:tcW w:w="676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gridSpan w:val="3"/>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-3801110</wp:posOffset>
            </wp:positionV>
            <wp:extent cx="7132320" cy="1371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-2978785</wp:posOffset>
            </wp:positionV>
            <wp:extent cx="7132320" cy="1371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6276975</wp:posOffset>
            </wp:positionH>
            <wp:positionV relativeFrom="paragraph">
              <wp:posOffset>-1964055</wp:posOffset>
            </wp:positionV>
            <wp:extent cx="873125" cy="1625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73125" cy="16256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-470535</wp:posOffset>
            </wp:positionV>
            <wp:extent cx="76835" cy="1714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-470535</wp:posOffset>
            </wp:positionV>
            <wp:extent cx="68580" cy="1714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-470535</wp:posOffset>
            </wp:positionV>
            <wp:extent cx="68580" cy="1714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1714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33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Reflects amounts attributable to common shareholders.</w:t>
      </w:r>
    </w:p>
    <w:p>
      <w:pPr>
        <w:spacing w:after="0" w:line="144" w:lineRule="exact"/>
        <w:rPr>
          <w:sz w:val="20"/>
          <w:szCs w:val="20"/>
          <w:color w:val="auto"/>
        </w:rPr>
      </w:pPr>
    </w:p>
    <w:p>
      <w:pPr>
        <w:jc w:val="both"/>
        <w:ind w:firstLine="225"/>
        <w:spacing w:after="0" w:line="241" w:lineRule="auto"/>
        <w:rPr>
          <w:sz w:val="20"/>
          <w:szCs w:val="20"/>
          <w:color w:val="auto"/>
        </w:rPr>
      </w:pPr>
      <w:r>
        <w:rPr>
          <w:rFonts w:ascii="Arial" w:cs="Arial" w:eastAsia="Arial" w:hAnsi="Arial"/>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63"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acquisition-related expenses and (iv) write-downs, net of recoveries, including asset impairments and credit loss expense.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9" w:name="page80"/>
    <w:bookmarkEnd w:id="79"/>
    <w:p>
      <w:pPr>
        <w:ind w:firstLine="225"/>
        <w:spacing w:after="0" w:line="277" w:lineRule="auto"/>
        <w:rPr>
          <w:sz w:val="20"/>
          <w:szCs w:val="20"/>
          <w:color w:val="auto"/>
        </w:rPr>
      </w:pPr>
      <w:r>
        <w:rPr>
          <w:rFonts w:ascii="Arial" w:cs="Arial" w:eastAsia="Arial" w:hAnsi="Arial"/>
          <w:sz w:val="18"/>
          <w:szCs w:val="18"/>
          <w:color w:val="auto"/>
        </w:rPr>
        <w:t>Reconciliations of net loss attributable to common shareholders, which is the most directly comparable GAAP measure, to EBITDA and Adjusted EBITDA per Credit Facility are presented in the tables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gridSpan w:val="13"/>
          </w:tcPr>
          <w:p>
            <w:pPr>
              <w:jc w:val="center"/>
              <w:ind w:right="230"/>
              <w:spacing w:after="0"/>
              <w:rPr>
                <w:sz w:val="20"/>
                <w:szCs w:val="20"/>
                <w:color w:val="auto"/>
              </w:rPr>
            </w:pPr>
            <w:r>
              <w:rPr>
                <w:rFonts w:ascii="Arial" w:cs="Arial" w:eastAsia="Arial" w:hAnsi="Arial"/>
                <w:sz w:val="14"/>
                <w:szCs w:val="14"/>
                <w:b w:val="1"/>
                <w:bCs w:val="1"/>
                <w:color w:val="auto"/>
                <w:w w:val="92"/>
              </w:rPr>
              <w:t xml:space="preserve">For the Three Months Ended September 30, 2022 </w:t>
            </w:r>
            <w:r>
              <w:rPr>
                <w:rFonts w:ascii="Arial" w:cs="Arial" w:eastAsia="Arial" w:hAnsi="Arial"/>
                <w:sz w:val="19"/>
                <w:szCs w:val="19"/>
                <w:b w:val="1"/>
                <w:bCs w:val="1"/>
                <w:color w:val="auto"/>
                <w:w w:val="92"/>
                <w:vertAlign w:val="superscript"/>
              </w:rPr>
              <w:t>(1)</w:t>
            </w:r>
          </w:p>
        </w:tc>
      </w:tr>
      <w:tr>
        <w:trPr>
          <w:trHeight w:val="211"/>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3"/>
          </w:tcPr>
          <w:p>
            <w:pPr>
              <w:jc w:val="center"/>
              <w:ind w:right="421"/>
              <w:spacing w:after="0"/>
              <w:rPr>
                <w:sz w:val="20"/>
                <w:szCs w:val="20"/>
                <w:color w:val="auto"/>
              </w:rPr>
            </w:pPr>
            <w:r>
              <w:rPr>
                <w:rFonts w:ascii="Arial" w:cs="Arial" w:eastAsia="Arial" w:hAnsi="Arial"/>
                <w:sz w:val="14"/>
                <w:szCs w:val="14"/>
                <w:b w:val="1"/>
                <w:bCs w:val="1"/>
                <w:color w:val="auto"/>
                <w:w w:val="96"/>
              </w:rPr>
              <w:t>Attributable to</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401"/>
              <w:spacing w:after="0"/>
              <w:rPr>
                <w:sz w:val="20"/>
                <w:szCs w:val="20"/>
                <w:color w:val="auto"/>
              </w:rPr>
            </w:pPr>
            <w:r>
              <w:rPr>
                <w:rFonts w:ascii="Arial" w:cs="Arial" w:eastAsia="Arial" w:hAnsi="Arial"/>
                <w:sz w:val="14"/>
                <w:szCs w:val="14"/>
                <w:b w:val="1"/>
                <w:bCs w:val="1"/>
                <w:color w:val="auto"/>
                <w:w w:val="93"/>
              </w:rPr>
              <w:t>Non-controlling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421"/>
              <w:spacing w:after="0"/>
              <w:rPr>
                <w:sz w:val="20"/>
                <w:szCs w:val="20"/>
                <w:color w:val="auto"/>
              </w:rPr>
            </w:pPr>
            <w:r>
              <w:rPr>
                <w:rFonts w:ascii="Arial" w:cs="Arial" w:eastAsia="Arial" w:hAnsi="Arial"/>
                <w:sz w:val="14"/>
                <w:szCs w:val="14"/>
                <w:b w:val="1"/>
                <w:bCs w:val="1"/>
                <w:color w:val="auto"/>
                <w:w w:val="91"/>
              </w:rPr>
              <w:t>Interests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Less: Attributable to</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6"/>
              </w:rPr>
              <w:t>Attributable to</w:t>
            </w:r>
          </w:p>
        </w:tc>
      </w:tr>
      <w:tr>
        <w:trPr>
          <w:trHeight w:val="201"/>
        </w:trPr>
        <w:tc>
          <w:tcPr>
            <w:tcW w:w="5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0" w:type="dxa"/>
            <w:vAlign w:val="bottom"/>
          </w:tcPr>
          <w:p>
            <w:pPr>
              <w:spacing w:after="0"/>
              <w:rPr>
                <w:sz w:val="17"/>
                <w:szCs w:val="17"/>
                <w:color w:val="auto"/>
              </w:rPr>
            </w:pPr>
          </w:p>
        </w:tc>
        <w:tc>
          <w:tcPr>
            <w:tcW w:w="1780" w:type="dxa"/>
            <w:vAlign w:val="bottom"/>
            <w:gridSpan w:val="4"/>
          </w:tcPr>
          <w:p>
            <w:pPr>
              <w:jc w:val="center"/>
              <w:ind w:right="241"/>
              <w:spacing w:after="0"/>
              <w:rPr>
                <w:sz w:val="20"/>
                <w:szCs w:val="20"/>
                <w:color w:val="auto"/>
              </w:rPr>
            </w:pPr>
            <w:r>
              <w:rPr>
                <w:rFonts w:ascii="Arial" w:cs="Arial" w:eastAsia="Arial" w:hAnsi="Arial"/>
                <w:sz w:val="14"/>
                <w:szCs w:val="14"/>
                <w:b w:val="1"/>
                <w:bCs w:val="1"/>
                <w:color w:val="auto"/>
                <w:w w:val="92"/>
              </w:rPr>
              <w:t>Common Shareholders</w:t>
            </w: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Non-controlling Interests</w:t>
            </w:r>
          </w:p>
        </w:tc>
        <w:tc>
          <w:tcPr>
            <w:tcW w:w="20" w:type="dxa"/>
            <w:vAlign w:val="bottom"/>
          </w:tcPr>
          <w:p>
            <w:pPr>
              <w:spacing w:after="0"/>
              <w:rPr>
                <w:sz w:val="17"/>
                <w:szCs w:val="17"/>
                <w:color w:val="auto"/>
              </w:rPr>
            </w:pPr>
          </w:p>
        </w:tc>
        <w:tc>
          <w:tcPr>
            <w:tcW w:w="166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2"/>
              </w:rPr>
              <w:t>Common Shareholders</w:t>
            </w:r>
          </w:p>
        </w:tc>
      </w:tr>
      <w:tr>
        <w:trPr>
          <w:trHeight w:val="209"/>
        </w:trPr>
        <w:tc>
          <w:tcPr>
            <w:tcW w:w="58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Reported net loss</w:t>
            </w:r>
          </w:p>
        </w:tc>
        <w:tc>
          <w:tcPr>
            <w:tcW w:w="200" w:type="dxa"/>
            <w:vAlign w:val="bottom"/>
            <w:tcBorders>
              <w:top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(7,757</w:t>
            </w:r>
          </w:p>
        </w:tc>
        <w:tc>
          <w:tcPr>
            <w:tcW w:w="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(8,953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Add (subtract):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(22 )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15,640</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120"/>
              <w:spacing w:after="0" w:line="216" w:lineRule="exact"/>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24"/>
                <w:szCs w:val="24"/>
                <w:color w:val="auto"/>
                <w:vertAlign w:val="superscript"/>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r>
      <w:tr>
        <w:trPr>
          <w:trHeight w:val="209"/>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8,948</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Unrealized investment gains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(35 )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Acquisition-related expenses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FF0FC"/>
          </w:tcPr>
          <w:p>
            <w:pPr>
              <w:spacing w:after="0"/>
              <w:rPr>
                <w:sz w:val="18"/>
                <w:szCs w:val="18"/>
                <w:color w:val="auto"/>
              </w:rPr>
            </w:pPr>
          </w:p>
        </w:tc>
      </w:tr>
      <w:tr>
        <w:trPr>
          <w:trHeight w:val="20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Adjusted EBITDA per Credit Facility</w:t>
            </w:r>
          </w:p>
        </w:tc>
        <w:tc>
          <w:tcPr>
            <w:tcW w:w="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16,456</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1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13"/>
          </w:tcPr>
          <w:p>
            <w:pPr>
              <w:jc w:val="center"/>
              <w:ind w:right="210"/>
              <w:spacing w:after="0"/>
              <w:rPr>
                <w:sz w:val="20"/>
                <w:szCs w:val="20"/>
                <w:color w:val="auto"/>
              </w:rPr>
            </w:pPr>
            <w:r>
              <w:rPr>
                <w:rFonts w:ascii="Arial" w:cs="Arial" w:eastAsia="Arial" w:hAnsi="Arial"/>
                <w:sz w:val="14"/>
                <w:szCs w:val="14"/>
                <w:b w:val="1"/>
                <w:bCs w:val="1"/>
                <w:color w:val="auto"/>
                <w:w w:val="91"/>
              </w:rPr>
              <w:t xml:space="preserve">For the Twelve Months Ended September 30, 2022 </w:t>
            </w:r>
            <w:r>
              <w:rPr>
                <w:rFonts w:ascii="Arial" w:cs="Arial" w:eastAsia="Arial" w:hAnsi="Arial"/>
                <w:sz w:val="19"/>
                <w:szCs w:val="19"/>
                <w:b w:val="1"/>
                <w:bCs w:val="1"/>
                <w:color w:val="auto"/>
                <w:w w:val="91"/>
                <w:vertAlign w:val="superscript"/>
              </w:rPr>
              <w:t>(1)</w:t>
            </w:r>
          </w:p>
        </w:tc>
      </w:tr>
      <w:tr>
        <w:trPr>
          <w:trHeight w:val="211"/>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3"/>
          </w:tcPr>
          <w:p>
            <w:pPr>
              <w:jc w:val="center"/>
              <w:ind w:right="341"/>
              <w:spacing w:after="0"/>
              <w:rPr>
                <w:sz w:val="20"/>
                <w:szCs w:val="20"/>
                <w:color w:val="auto"/>
              </w:rPr>
            </w:pPr>
            <w:r>
              <w:rPr>
                <w:rFonts w:ascii="Arial" w:cs="Arial" w:eastAsia="Arial" w:hAnsi="Arial"/>
                <w:sz w:val="14"/>
                <w:szCs w:val="14"/>
                <w:b w:val="1"/>
                <w:bCs w:val="1"/>
                <w:color w:val="auto"/>
                <w:w w:val="96"/>
              </w:rPr>
              <w:t>Attributable to</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15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1"/>
              </w:rPr>
              <w:t>Interests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Less: Attributable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6"/>
              </w:rPr>
              <w:t>Attributable to</w:t>
            </w:r>
          </w:p>
        </w:tc>
      </w:tr>
      <w:tr>
        <w:trPr>
          <w:trHeight w:val="148"/>
        </w:trPr>
        <w:tc>
          <w:tcPr>
            <w:tcW w:w="15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5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0" w:type="dxa"/>
            <w:vAlign w:val="bottom"/>
          </w:tcPr>
          <w:p>
            <w:pPr>
              <w:spacing w:after="0"/>
              <w:rPr>
                <w:sz w:val="16"/>
                <w:szCs w:val="16"/>
                <w:color w:val="auto"/>
              </w:rPr>
            </w:pPr>
          </w:p>
        </w:tc>
        <w:tc>
          <w:tcPr>
            <w:tcW w:w="1780" w:type="dxa"/>
            <w:vAlign w:val="bottom"/>
            <w:gridSpan w:val="4"/>
          </w:tcPr>
          <w:p>
            <w:pPr>
              <w:jc w:val="center"/>
              <w:ind w:right="181"/>
              <w:spacing w:after="0"/>
              <w:rPr>
                <w:sz w:val="20"/>
                <w:szCs w:val="20"/>
                <w:color w:val="auto"/>
              </w:rPr>
            </w:pPr>
            <w:r>
              <w:rPr>
                <w:rFonts w:ascii="Arial" w:cs="Arial" w:eastAsia="Arial" w:hAnsi="Arial"/>
                <w:sz w:val="14"/>
                <w:szCs w:val="14"/>
                <w:b w:val="1"/>
                <w:bCs w:val="1"/>
                <w:color w:val="auto"/>
                <w:w w:val="90"/>
              </w:rPr>
              <w:t>Common Shareholders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6"/>
                <w:szCs w:val="16"/>
                <w:color w:val="auto"/>
              </w:rPr>
            </w:pPr>
          </w:p>
        </w:tc>
        <w:tc>
          <w:tcPr>
            <w:tcW w:w="166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0"/>
              </w:rPr>
              <w:t>Common Shareholders</w:t>
            </w:r>
          </w:p>
        </w:tc>
      </w:tr>
      <w:tr>
        <w:trPr>
          <w:trHeight w:val="20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Reported net loss</w:t>
            </w: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(10,579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8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Add (subtract):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19,239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(327 )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58,175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24"/>
                <w:szCs w:val="24"/>
                <w:color w:val="auto"/>
                <w:vertAlign w:val="superscript"/>
              </w:rPr>
              <w:t>(2)</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800" w:type="dxa"/>
            <w:vAlign w:val="bottom"/>
            <w:tcBorders>
              <w:top w:val="single" w:sz="8" w:color="CFF0FC"/>
            </w:tcBorders>
            <w:gridSpan w:val="2"/>
          </w:tcPr>
          <w:p>
            <w:pPr>
              <w:ind w:left="120"/>
              <w:spacing w:after="0"/>
              <w:rPr>
                <w:sz w:val="20"/>
                <w:szCs w:val="20"/>
                <w:color w:val="auto"/>
              </w:rPr>
            </w:pPr>
            <w:r>
              <w:rPr>
                <w:rFonts w:ascii="Arial" w:cs="Arial" w:eastAsia="Arial" w:hAnsi="Arial"/>
                <w:sz w:val="18"/>
                <w:szCs w:val="18"/>
                <w:color w:val="auto"/>
              </w:rPr>
              <w:t>EBITDA</w:t>
            </w:r>
          </w:p>
        </w:tc>
        <w:tc>
          <w:tcPr>
            <w:tcW w:w="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71,034</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11,490</w:t>
            </w: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59,544</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27,031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Unrealized investment gains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101"/>
              <w:spacing w:after="0"/>
              <w:rPr>
                <w:sz w:val="20"/>
                <w:szCs w:val="20"/>
                <w:color w:val="auto"/>
              </w:rPr>
            </w:pPr>
            <w:r>
              <w:rPr>
                <w:rFonts w:ascii="Arial" w:cs="Arial" w:eastAsia="Arial" w:hAnsi="Arial"/>
                <w:sz w:val="18"/>
                <w:szCs w:val="18"/>
                <w:color w:val="auto"/>
              </w:rPr>
              <w:t>(128 )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(128 )</w:t>
            </w:r>
          </w:p>
        </w:tc>
      </w:tr>
      <w:tr>
        <w:trPr>
          <w:trHeight w:val="216"/>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Acquisition-related expenses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15,675</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14,137</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49"/>
        </w:trPr>
        <w:tc>
          <w:tcPr>
            <w:tcW w:w="58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 per Credit Facility</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114,567</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13,873</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100,694</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4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-1009650</wp:posOffset>
            </wp:positionV>
            <wp:extent cx="76835" cy="1454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-1009650</wp:posOffset>
            </wp:positionV>
            <wp:extent cx="68580" cy="1454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-1009650</wp:posOffset>
            </wp:positionV>
            <wp:extent cx="68580" cy="1454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-170815</wp:posOffset>
            </wp:positionV>
            <wp:extent cx="768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-153670</wp:posOffset>
            </wp:positionV>
            <wp:extent cx="768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-316230</wp:posOffset>
            </wp:positionV>
            <wp:extent cx="768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-170815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-153670</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-316230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-170815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-153670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-316230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380" w:hanging="372"/>
        <w:spacing w:after="0" w:line="261"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Senior Secured Net Leverage Ratio is calculated using Adjusted EBITDA per Credit Facility determined on a trailing twelve-month basis. (See Note 8 of Notes to Condensed Consolidated Financial Statements in Part I, Item 1.)</w:t>
      </w:r>
    </w:p>
    <w:p>
      <w:pPr>
        <w:spacing w:after="0" w:line="143" w:lineRule="exact"/>
        <w:rPr>
          <w:rFonts w:ascii="Arial" w:cs="Arial" w:eastAsia="Arial" w:hAnsi="Arial"/>
          <w:sz w:val="18"/>
          <w:szCs w:val="18"/>
          <w:color w:val="auto"/>
        </w:rPr>
      </w:pPr>
    </w:p>
    <w:p>
      <w:pPr>
        <w:ind w:left="380" w:hanging="372"/>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amortization of deferred financing costs is recorded within Interest Expense in the Condensed Consolidated Statements of Operations.</w:t>
      </w:r>
    </w:p>
    <w:p>
      <w:pPr>
        <w:spacing w:after="0" w:line="18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8" w:lineRule="exact"/>
        <w:rPr>
          <w:sz w:val="20"/>
          <w:szCs w:val="20"/>
          <w:color w:val="auto"/>
        </w:rPr>
      </w:pPr>
    </w:p>
    <w:p>
      <w:pPr>
        <w:jc w:val="both"/>
        <w:ind w:firstLine="225"/>
        <w:spacing w:after="0" w:line="242" w:lineRule="auto"/>
        <w:rPr>
          <w:sz w:val="20"/>
          <w:szCs w:val="20"/>
          <w:color w:val="auto"/>
        </w:rPr>
      </w:pPr>
      <w:r>
        <w:rPr>
          <w:rFonts w:ascii="Arial" w:cs="Arial" w:eastAsia="Arial" w:hAnsi="Arial"/>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films released to the IMAX theater network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theaters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5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9" w:lineRule="exact"/>
        <w:rPr>
          <w:sz w:val="20"/>
          <w:szCs w:val="20"/>
          <w:color w:val="auto"/>
        </w:rPr>
      </w:pPr>
    </w:p>
    <w:p>
      <w:pPr>
        <w:jc w:val="both"/>
        <w:ind w:firstLine="225"/>
        <w:spacing w:after="0" w:line="258" w:lineRule="auto"/>
        <w:rPr>
          <w:sz w:val="20"/>
          <w:szCs w:val="20"/>
          <w:color w:val="auto"/>
        </w:rPr>
      </w:pPr>
      <w:r>
        <w:rPr>
          <w:rFonts w:ascii="Arial" w:cs="Arial" w:eastAsia="Arial" w:hAnsi="Arial"/>
          <w:sz w:val="17"/>
          <w:szCs w:val="17"/>
          <w:color w:val="auto"/>
        </w:rPr>
        <w:t>Certain of the Company's PRC subsidiaries held approximately RMB 195.4 million ($27.5 million) in cash and cash equivalents as of September 30, 2022 (December 31, 2021 — RMB 484.7 million or $76.0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 of the Company's 2021 Form 10-K.)</w:t>
      </w:r>
    </w:p>
    <w:p>
      <w:pPr>
        <w:spacing w:after="0" w:line="14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and nine months ended September 30, 2022, the Company recorded foreign exchange net loss of $(1.2) million and $(3.0) million, respectively, as compared to a foreign exchange net loss of $(0.6) million and net gain of $1.1 million for the three and nine months ended September 30, 2021, respectively, associated with the translation of foreign currency denominated monetary assets and liabilities.</w:t>
      </w:r>
    </w:p>
    <w:p>
      <w:pPr>
        <w:spacing w:after="0" w:line="136" w:lineRule="exact"/>
        <w:rPr>
          <w:sz w:val="20"/>
          <w:szCs w:val="20"/>
          <w:color w:val="auto"/>
        </w:rPr>
      </w:pPr>
    </w:p>
    <w:p>
      <w:pPr>
        <w:jc w:val="both"/>
        <w:ind w:firstLine="225"/>
        <w:spacing w:after="0" w:line="276" w:lineRule="auto"/>
        <w:rPr>
          <w:sz w:val="20"/>
          <w:szCs w:val="20"/>
          <w:color w:val="auto"/>
        </w:rPr>
      </w:pPr>
      <w:r>
        <w:rPr>
          <w:rFonts w:ascii="Arial" w:cs="Arial" w:eastAsia="Arial" w:hAnsi="Arial"/>
          <w:sz w:val="16"/>
          <w:szCs w:val="16"/>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Financial Accounting Standards Board Accounting Standard Codification at inception, and continue to meet hedge effectiveness tests as of September 30, 2022, with settlement dates throughout 2022 and 2023.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Income and reclassified to the Condensed Consolidated Statements of Operations when the forecasted transaction occurs. Any ineffective portion is recognized immediately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1" w:name="page82"/>
    <w:bookmarkEnd w:id="81"/>
    <w:p>
      <w:pPr>
        <w:jc w:val="both"/>
        <w:ind w:firstLine="225"/>
        <w:spacing w:after="0" w:line="257" w:lineRule="auto"/>
        <w:rPr>
          <w:sz w:val="20"/>
          <w:szCs w:val="20"/>
          <w:color w:val="auto"/>
        </w:rPr>
      </w:pPr>
      <w:r>
        <w:rPr>
          <w:rFonts w:ascii="Arial" w:cs="Arial" w:eastAsia="Arial" w:hAnsi="Arial"/>
          <w:sz w:val="17"/>
          <w:szCs w:val="17"/>
          <w:color w:val="auto"/>
        </w:rPr>
        <w:t>The notional value of foreign currency cash flow hedging instruments that qualify for hedge accounting at September 30, 2022 was $30.8 million (December 31, 2021 — $26.7 million). Losses of $(1.6) million and $(1.9) million were recorded to Other Comprehensive Loss with respect to the change in fair value of these contracts for the three and nine months ended September 30, 2022, respectively, (2021 — losses of $(0.8) million and $(0.2) million, respectively). Losses of $(0.1) million and $(0.2) million were reclassified from Accumulated Other Comprehensive (Loss) Income to Selling, General and Administrative Expenses for the three and nine months ended September 30, 2022 (2021 — gains of $0.3 million, and $1.4 million, respectively). An unrealized loss of $(0.1) million and unrealized gain of $0.3 million resulting from a change in the classification of certain forward contracts no longer meeting the requirements for hedge accounting were reclassified from Accumulated Other Comprehensive (Loss) Income to Selling, General and Administrative Expenses for the three and nine months ended September 30, 2021 (2022 — nil). The Company currently does not hold any derivatives which are not designated as hedging instruments.</w:t>
      </w:r>
    </w:p>
    <w:p>
      <w:pPr>
        <w:spacing w:after="0" w:line="152"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43" w:lineRule="exact"/>
        <w:rPr>
          <w:sz w:val="20"/>
          <w:szCs w:val="20"/>
          <w:color w:val="auto"/>
        </w:rPr>
      </w:pPr>
    </w:p>
    <w:p>
      <w:pPr>
        <w:jc w:val="both"/>
        <w:ind w:firstLine="225"/>
        <w:spacing w:after="0" w:line="244" w:lineRule="auto"/>
        <w:rPr>
          <w:sz w:val="20"/>
          <w:szCs w:val="20"/>
          <w:color w:val="auto"/>
        </w:rPr>
      </w:pPr>
      <w:r>
        <w:rPr>
          <w:rFonts w:ascii="Arial" w:cs="Arial" w:eastAsia="Arial" w:hAnsi="Arial"/>
          <w:sz w:val="18"/>
          <w:szCs w:val="18"/>
          <w:color w:val="auto"/>
        </w:rPr>
        <w:t>As of September 30, 2022, the Company's Financing Receivables and working capital items denominated in Canadian Dollars, RMB, Japanese Yen, Euros and other foreign currencies translated into U.S. Dollars was $162.7 million, of which $165.9 million was denominated in RMB. Assuming a 10% appreciation or depreciation in foreign currency exchange rates from the quoted foreign currency exchange rates as of September 30, 2022, the potential change in the fair value of foreign currency-denominated financing receivables and working capital items would have been $16.3 million. A significant portion of the Company's Selling, General, and Administrative Expenses is denominated in Canadian Dollars. Assuming a 1% change appreciation or depreciation in foreign currency exchange rates as of September 30, 2022, the potential change in the amount of Selling, General, and Administrative Expenses would be $0.1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43"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color w:val="auto"/>
        </w:rPr>
        <w:t>As of September 30, 2022, the Company had drawn down $4.4 million on its HSBC China Facility (December 31, 2021 — nil) and $0.4 million on its Bank of China Facility (December 31, 2021 — $3.6 million) which are subject to variable effective interest rates.</w:t>
      </w:r>
    </w:p>
    <w:p>
      <w:pPr>
        <w:spacing w:after="0" w:line="143"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8"/>
          <w:szCs w:val="18"/>
          <w:color w:val="auto"/>
        </w:rPr>
        <w:t>The Company had variable rate debt instruments representing 1.0% and 0.8% of its total liabilities as of September 30, 2022 and December 31, 2021, respectively. If the interest rates available to the Company increased by 10%, the Company's interest expense would increase by less than $0.1 million and interest income from cash would increase by $0.1 million. These amounts are determined by considering the impact of the hypothetical interest rates on the Company's variable rate debt and cash balances at September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8" w:lineRule="exact"/>
        <w:rPr>
          <w:sz w:val="20"/>
          <w:szCs w:val="20"/>
          <w:color w:val="auto"/>
        </w:rPr>
      </w:pPr>
    </w:p>
    <w:p>
      <w:pPr>
        <w:jc w:val="both"/>
        <w:ind w:firstLine="225"/>
        <w:spacing w:after="0" w:line="243"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8"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September 30, 2022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225"/>
        <w:spacing w:after="0" w:line="266" w:lineRule="auto"/>
        <w:rPr>
          <w:sz w:val="20"/>
          <w:szCs w:val="20"/>
          <w:color w:val="auto"/>
        </w:rPr>
      </w:pPr>
      <w:r>
        <w:rPr>
          <w:rFonts w:ascii="Arial" w:cs="Arial" w:eastAsia="Arial" w:hAnsi="Arial"/>
          <w:sz w:val="17"/>
          <w:szCs w:val="17"/>
          <w:color w:val="auto"/>
        </w:rPr>
        <w:t>There were no changes in the Company's internal control over financial reporting which occurred during the three months ended September 30, 2022, that have materially affected, or are reasonably likely to materially affect, the Company's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color w:val="auto"/>
        </w:rPr>
        <w:t>See Note 9 of Notes to Condensed Consolidated Financial Statements to the accompanying Condensed Consolidated Financial Statements in Item 1 for information regarding legal proceedings involving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255"/>
        <w:spacing w:after="0" w:line="289" w:lineRule="auto"/>
        <w:rPr>
          <w:sz w:val="20"/>
          <w:szCs w:val="20"/>
          <w:color w:val="auto"/>
        </w:rPr>
      </w:pPr>
      <w:r>
        <w:rPr>
          <w:rFonts w:ascii="Arial" w:cs="Arial" w:eastAsia="Arial" w:hAnsi="Arial"/>
          <w:sz w:val="16"/>
          <w:szCs w:val="16"/>
          <w:color w:val="auto"/>
        </w:rPr>
        <w:t>This Form 10-Q and the risk factors below should be read together with, and supplement, the risk factors in Item 1A. Risk Factors in the Company's 2021 Form 10-K, which describes various risks and uncertainties to which the Company is or may become subject. The risks described below and in the Company's 2021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OPERATIONS</w:t>
      </w:r>
    </w:p>
    <w:p>
      <w:pPr>
        <w:spacing w:after="0" w:line="215" w:lineRule="exact"/>
        <w:rPr>
          <w:sz w:val="20"/>
          <w:szCs w:val="20"/>
          <w:color w:val="auto"/>
        </w:rPr>
      </w:pPr>
    </w:p>
    <w:p>
      <w:pPr>
        <w:jc w:val="both"/>
        <w:ind w:firstLine="289"/>
        <w:spacing w:after="0" w:line="261" w:lineRule="auto"/>
        <w:rPr>
          <w:sz w:val="20"/>
          <w:szCs w:val="20"/>
          <w:color w:val="auto"/>
        </w:rPr>
      </w:pPr>
      <w:r>
        <w:rPr>
          <w:rFonts w:ascii="Arial" w:cs="Arial" w:eastAsia="Arial" w:hAnsi="Arial"/>
          <w:sz w:val="18"/>
          <w:szCs w:val="18"/>
          <w:b w:val="1"/>
          <w:bCs w:val="1"/>
          <w:i w:val="1"/>
          <w:iCs w:val="1"/>
          <w:color w:val="212529"/>
        </w:rPr>
        <w:t>The Company has experienced a significant decrease in its revenues, earnings, and cash flows due to the COVID-19 pandemic and its business, financial condition and results of operations may continue to be significantly harmed in future reporting periods.</w:t>
      </w:r>
    </w:p>
    <w:p>
      <w:pPr>
        <w:spacing w:after="0" w:line="18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7"/>
          <w:szCs w:val="17"/>
          <w:color w:val="212529"/>
        </w:rPr>
        <w:t xml:space="preserve">The </w:t>
      </w:r>
      <w:r>
        <w:rPr>
          <w:rFonts w:ascii="Arial" w:cs="Arial" w:eastAsia="Arial" w:hAnsi="Arial"/>
          <w:sz w:val="17"/>
          <w:szCs w:val="17"/>
          <w:color w:val="000000"/>
        </w:rPr>
        <w:t>impact of the COVID-19 pandemic is complex and continuously evolving, resulting in significant disruption to the Company's business and the</w:t>
      </w:r>
      <w:r>
        <w:rPr>
          <w:rFonts w:ascii="Arial" w:cs="Arial" w:eastAsia="Arial" w:hAnsi="Arial"/>
          <w:sz w:val="17"/>
          <w:szCs w:val="17"/>
          <w:color w:val="212529"/>
        </w:rPr>
        <w:t xml:space="preserve"> </w:t>
      </w:r>
      <w:r>
        <w:rPr>
          <w:rFonts w:ascii="Arial" w:cs="Arial" w:eastAsia="Arial" w:hAnsi="Arial"/>
          <w:sz w:val="17"/>
          <w:szCs w:val="17"/>
          <w:color w:val="000000"/>
        </w:rPr>
        <w:t xml:space="preserve">global economy. At various points during the pandemic, authorities around the world imposed measures intended to control the spread of </w:t>
      </w:r>
      <w:r>
        <w:rPr>
          <w:rFonts w:ascii="Arial" w:cs="Arial" w:eastAsia="Arial" w:hAnsi="Arial"/>
          <w:sz w:val="17"/>
          <w:szCs w:val="17"/>
          <w:color w:val="212529"/>
        </w:rPr>
        <w:t>COVID-19,</w:t>
      </w:r>
      <w:r>
        <w:rPr>
          <w:rFonts w:ascii="Arial" w:cs="Arial" w:eastAsia="Arial" w:hAnsi="Arial"/>
          <w:sz w:val="17"/>
          <w:szCs w:val="17"/>
          <w:color w:val="000000"/>
        </w:rPr>
        <w:t xml:space="preserve"> </w:t>
      </w:r>
      <w:r>
        <w:rPr>
          <w:rFonts w:ascii="Arial" w:cs="Arial" w:eastAsia="Arial" w:hAnsi="Arial"/>
          <w:sz w:val="17"/>
          <w:szCs w:val="17"/>
          <w:color w:val="212529"/>
        </w:rPr>
        <w:t xml:space="preserve">including stay-at-home orders and restrictions on large public gatherings, which caused movie theaters in countries around the world to temporarily close, including the IMAX theaters in those countries. As a result of these theater closures, movie studios postponed the theatrical release of most films </w:t>
      </w:r>
      <w:r>
        <w:rPr>
          <w:rFonts w:ascii="Arial" w:cs="Arial" w:eastAsia="Arial" w:hAnsi="Arial"/>
          <w:sz w:val="17"/>
          <w:szCs w:val="17"/>
          <w:color w:val="000000"/>
        </w:rPr>
        <w:t>originally</w:t>
      </w:r>
      <w:r>
        <w:rPr>
          <w:rFonts w:ascii="Arial" w:cs="Arial" w:eastAsia="Arial" w:hAnsi="Arial"/>
          <w:sz w:val="17"/>
          <w:szCs w:val="17"/>
          <w:color w:val="212529"/>
        </w:rPr>
        <w:t xml:space="preserve"> </w:t>
      </w:r>
      <w:r>
        <w:rPr>
          <w:rFonts w:ascii="Arial" w:cs="Arial" w:eastAsia="Arial" w:hAnsi="Arial"/>
          <w:sz w:val="17"/>
          <w:szCs w:val="17"/>
          <w:color w:val="000000"/>
        </w:rPr>
        <w:t>scheduled for release in 2020 and early 2021</w:t>
      </w:r>
      <w:r>
        <w:rPr>
          <w:rFonts w:ascii="Arial" w:cs="Arial" w:eastAsia="Arial" w:hAnsi="Arial"/>
          <w:sz w:val="17"/>
          <w:szCs w:val="17"/>
          <w:color w:val="212529"/>
        </w:rPr>
        <w:t>, including many scheduled to be shown in IMAX theaters</w:t>
      </w:r>
      <w:r>
        <w:rPr>
          <w:rFonts w:ascii="Arial" w:cs="Arial" w:eastAsia="Arial" w:hAnsi="Arial"/>
          <w:sz w:val="17"/>
          <w:szCs w:val="17"/>
          <w:color w:val="000000"/>
        </w:rPr>
        <w:t>, while several other films were released directly or concurrently to streaming platforms</w:t>
      </w:r>
      <w:r>
        <w:rPr>
          <w:rFonts w:ascii="Arial" w:cs="Arial" w:eastAsia="Arial" w:hAnsi="Arial"/>
          <w:sz w:val="17"/>
          <w:szCs w:val="17"/>
          <w:color w:val="212529"/>
        </w:rPr>
        <w:t>.</w:t>
      </w:r>
      <w:r>
        <w:rPr>
          <w:rFonts w:ascii="Arial" w:cs="Arial" w:eastAsia="Arial" w:hAnsi="Arial"/>
          <w:sz w:val="17"/>
          <w:szCs w:val="17"/>
          <w:color w:val="000000"/>
        </w:rPr>
        <w:t xml:space="preserve"> Beginning in the third quarter of 2020, stay-at-home orders and capacity restrictions were lifted in many key markets, movie theaters throughout the IMAX network gradually reopened, and movie release schedules have begun to normalize. Note, however, that following the emergence of the Omicron variant and the rise of COVID-19 cases in China in the first quarter of 2022, the Chinese government reinstituted capacity restrictions and safety protocols on large public gatherings, which has led to the temporary closure of theaters in several cities. Beginning in the second quarter of 2022, IMAX theaters in China gradually reopened. As of September 30, 2022, approximately 92% of the IMAX theaters in Greater China were open at various capacities. On average, during the third quarter of 2022, approximately 82% of the IMAX theaters in Greater China were open at various capacities. There continues to be no assurance that movie theaters will remain open or continue to reopen if there is a continued rise of or resurgence in COVID-19 cases in certain jurisdictions.</w:t>
      </w:r>
    </w:p>
    <w:p>
      <w:pPr>
        <w:spacing w:after="0" w:line="16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212529"/>
        </w:rPr>
        <w:t>Despite the strong performance of numerous blockbuster films in recent quarters, and the outsized market share represented by the Company's theater network, there remains uncertainty around whether and when movie-going will return to historical levels on an annual basis. The timing and extent of a recovery of consumer behavior and willingness to spend discretionary income on movie-going may delay the Company's ability to generate significant revenue from GBO generated by its exhibitor customers until consumer behavior normalizes and consumer spending fully recovers.</w:t>
      </w:r>
    </w:p>
    <w:p>
      <w:pPr>
        <w:spacing w:after="0" w:line="152"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212529"/>
        </w:rPr>
        <w:t xml:space="preserve">As a result of the financial difficulties faced by certain of the Company's exhibition customers arising out of pandemic-related theater closures, the Company has experienced and may continue to experience delays in collecting payments due under existing theater sale or lease arrangements. </w:t>
      </w:r>
      <w:r>
        <w:rPr>
          <w:rFonts w:ascii="Arial" w:cs="Arial" w:eastAsia="Arial" w:hAnsi="Arial"/>
          <w:sz w:val="17"/>
          <w:szCs w:val="17"/>
          <w:color w:val="000000"/>
        </w:rPr>
        <w:t>The</w:t>
      </w:r>
      <w:r>
        <w:rPr>
          <w:rFonts w:ascii="Arial" w:cs="Arial" w:eastAsia="Arial" w:hAnsi="Arial"/>
          <w:sz w:val="17"/>
          <w:szCs w:val="17"/>
          <w:color w:val="212529"/>
        </w:rPr>
        <w:t xml:space="preserve"> </w:t>
      </w:r>
      <w:r>
        <w:rPr>
          <w:rFonts w:ascii="Arial" w:cs="Arial" w:eastAsia="Arial" w:hAnsi="Arial"/>
          <w:sz w:val="17"/>
          <w:szCs w:val="17"/>
          <w:color w:val="000000"/>
        </w:rPr>
        <w:t xml:space="preserve">Company's exhibitor partners may continue to experience operational and/or financial difficulties if the COVID-19 pandemic continues or consumers change their behavior and consumption patterns, which would further increase the risks associated with payments due under existing agreements with the Company. </w:t>
      </w:r>
      <w:r>
        <w:rPr>
          <w:rFonts w:ascii="Arial" w:cs="Arial" w:eastAsia="Arial" w:hAnsi="Arial"/>
          <w:sz w:val="17"/>
          <w:szCs w:val="17"/>
          <w:color w:val="212529"/>
        </w:rPr>
        <w:t>The ability of such partners to make payments cannot be guaranteed and is subject to changing economic circumstances. Further, the Company</w:t>
      </w:r>
      <w:r>
        <w:rPr>
          <w:rFonts w:ascii="Arial" w:cs="Arial" w:eastAsia="Arial" w:hAnsi="Arial"/>
          <w:sz w:val="17"/>
          <w:szCs w:val="17"/>
          <w:color w:val="000000"/>
        </w:rPr>
        <w:t xml:space="preserve"> </w:t>
      </w:r>
      <w:r>
        <w:rPr>
          <w:rFonts w:ascii="Arial" w:cs="Arial" w:eastAsia="Arial" w:hAnsi="Arial"/>
          <w:sz w:val="17"/>
          <w:szCs w:val="17"/>
          <w:color w:val="212529"/>
        </w:rPr>
        <w:t>has had to delay certain theater system installations from backlog and may be required to further delay or cancel such installations in the future. As a result, the Company's future revenues and cash flows may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3" w:name="page84"/>
    <w:bookmarkEnd w:id="83"/>
    <w:p>
      <w:pPr>
        <w:jc w:val="both"/>
        <w:ind w:firstLine="289"/>
        <w:spacing w:after="0" w:line="259" w:lineRule="auto"/>
        <w:rPr>
          <w:sz w:val="20"/>
          <w:szCs w:val="20"/>
          <w:color w:val="auto"/>
        </w:rPr>
      </w:pPr>
      <w:r>
        <w:rPr>
          <w:rFonts w:ascii="Arial" w:cs="Arial" w:eastAsia="Arial" w:hAnsi="Arial"/>
          <w:sz w:val="17"/>
          <w:szCs w:val="17"/>
          <w:color w:val="212529"/>
        </w:rPr>
        <w:t xml:space="preserve">Given the dynamic nature of the circumstances, while the Company has been negatively impacted as of the date of filing of this report, it is difficult to predict the full extent of the adverse impact of the COVID-19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spread and severity of variants of the virus, the progress made on administering vaccines and developing treatment and the effectiveness of such vaccines and treatments, the progress </w:t>
      </w:r>
      <w:r>
        <w:rPr>
          <w:rFonts w:ascii="Arial" w:cs="Arial" w:eastAsia="Arial" w:hAnsi="Arial"/>
          <w:sz w:val="17"/>
          <w:szCs w:val="17"/>
          <w:color w:val="000000"/>
        </w:rPr>
        <w:t>towards the resumption of normal operations</w:t>
      </w:r>
      <w:r>
        <w:rPr>
          <w:rFonts w:ascii="Arial" w:cs="Arial" w:eastAsia="Arial" w:hAnsi="Arial"/>
          <w:sz w:val="17"/>
          <w:szCs w:val="17"/>
          <w:color w:val="212529"/>
        </w:rPr>
        <w:t xml:space="preserve"> of movie theaters worldwide and their return to historical levels of attendance, the timing of when new films are released, consumer behavior, the solvency of the Company's exhibitor partners, their ability to make timely payments, any potential construction or installation delays involving the Company's exhibitor partners, the continuing impact of the pandemic on global economic conditions and ongoing government responses to the pandemic. Such events are highly uncertain and cannot be accurately forecasted.</w:t>
      </w:r>
    </w:p>
    <w:p>
      <w:pPr>
        <w:spacing w:after="0" w:line="138" w:lineRule="exact"/>
        <w:rPr>
          <w:sz w:val="20"/>
          <w:szCs w:val="20"/>
          <w:color w:val="auto"/>
        </w:rPr>
      </w:pPr>
    </w:p>
    <w:p>
      <w:pPr>
        <w:jc w:val="both"/>
        <w:ind w:right="20" w:firstLine="289"/>
        <w:spacing w:after="0" w:line="277" w:lineRule="auto"/>
        <w:rPr>
          <w:sz w:val="20"/>
          <w:szCs w:val="20"/>
          <w:color w:val="auto"/>
        </w:rPr>
      </w:pPr>
      <w:r>
        <w:rPr>
          <w:rFonts w:ascii="Arial" w:cs="Arial" w:eastAsia="Arial" w:hAnsi="Arial"/>
          <w:sz w:val="18"/>
          <w:szCs w:val="18"/>
          <w:color w:val="212529"/>
        </w:rPr>
        <w:t>The COVID-19 pandemic and public health measures implemented to contain it may also have the effect of heightening many of the other risks described in the Company's 2021 Form 10-K.</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is undertaking brand extensions and new business initiatives, and the Company's investments and efforts in such business evolution may not be successful.</w:t>
      </w:r>
    </w:p>
    <w:p>
      <w:pPr>
        <w:spacing w:after="0" w:line="142" w:lineRule="exact"/>
        <w:rPr>
          <w:sz w:val="20"/>
          <w:szCs w:val="20"/>
          <w:color w:val="auto"/>
        </w:rPr>
      </w:pPr>
    </w:p>
    <w:p>
      <w:pPr>
        <w:jc w:val="both"/>
        <w:ind w:firstLine="289"/>
        <w:spacing w:after="0" w:line="279" w:lineRule="auto"/>
        <w:rPr>
          <w:sz w:val="20"/>
          <w:szCs w:val="20"/>
          <w:color w:val="auto"/>
        </w:rPr>
      </w:pPr>
      <w:r>
        <w:rPr>
          <w:rFonts w:ascii="Arial" w:cs="Arial" w:eastAsia="Arial" w:hAnsi="Arial"/>
          <w:sz w:val="16"/>
          <w:szCs w:val="16"/>
          <w:color w:val="auto"/>
        </w:rPr>
        <w:t>The Company is undertaking brand extensions and new business initiatives. These initiatives represent potential new areas of growth for the Company and could include the offering of new products and services that may not be accepted by the market. The Company has recently explored initiatives in the field of in-home entertainment technology, which is an intensely competitive business and which is dependent on consumer demand, over which the Company has no control. The Company is also exploring new technologies to connect the IMAX network to facilitate bringing more unique content, including broadcasts of live events, to IMAX theater audiences. If any new brand extensions and business initiatives in which the Company invests or attempts to develop does not progress as planned, the Company may be adversely affected by investment expenses that have not led to the anticipated results, by write-downs of its assets, by the distraction of management from its core business or by damage to its brand or reputation.</w:t>
      </w:r>
    </w:p>
    <w:p>
      <w:pPr>
        <w:spacing w:after="0" w:line="161" w:lineRule="exact"/>
        <w:rPr>
          <w:sz w:val="20"/>
          <w:szCs w:val="20"/>
          <w:color w:val="auto"/>
        </w:rPr>
      </w:pPr>
    </w:p>
    <w:p>
      <w:pPr>
        <w:jc w:val="both"/>
        <w:ind w:firstLine="289"/>
        <w:spacing w:after="0" w:line="279" w:lineRule="auto"/>
        <w:rPr>
          <w:sz w:val="20"/>
          <w:szCs w:val="20"/>
          <w:color w:val="auto"/>
        </w:rPr>
      </w:pPr>
      <w:r>
        <w:rPr>
          <w:rFonts w:ascii="Arial" w:cs="Arial" w:eastAsia="Arial" w:hAnsi="Arial"/>
          <w:sz w:val="16"/>
          <w:szCs w:val="16"/>
          <w:color w:val="auto"/>
        </w:rPr>
        <w:t>New initiatives could involve acquisitions or the formation of joint ventures and business alliances. In September 2022, the Company acquired SSIMWAVE for $19.4 million in cash and 160,457 common shares of the Company with a fair value of $1.9 million with additional earnout consideration. Such transactions and arrangements involve significant challenges and risks, including; that they may not advance the Company's long-term business strategy, that the Company realizes an unsatisfactory return on its investments, that the Company has difficulty integrating or retaining new employees, systems, and technology, that the Company has disagreements with a relevant partner with respect to financing, management, and development, or that management gets distracted from the Company's core business. Also, it may take longer than expected to realize the full benefits from these transactions and arrangements such as increased revenue or enhanced efficiencies, or the benefits may ultimately be smaller than the Company expected.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RELATED TO THE COMPANY'S INTERNATIONAL OPERATIONS</w:t>
      </w:r>
    </w:p>
    <w:p>
      <w:pPr>
        <w:spacing w:after="0" w:line="188" w:lineRule="exact"/>
        <w:rPr>
          <w:sz w:val="20"/>
          <w:szCs w:val="20"/>
          <w:color w:val="auto"/>
        </w:rPr>
      </w:pPr>
    </w:p>
    <w:p>
      <w:pPr>
        <w:jc w:val="both"/>
        <w:ind w:firstLine="225"/>
        <w:spacing w:after="0" w:line="261" w:lineRule="auto"/>
        <w:rPr>
          <w:sz w:val="20"/>
          <w:szCs w:val="20"/>
          <w:color w:val="auto"/>
        </w:rPr>
      </w:pPr>
      <w:r>
        <w:rPr>
          <w:rFonts w:ascii="Arial" w:cs="Arial" w:eastAsia="Arial" w:hAnsi="Arial"/>
          <w:sz w:val="18"/>
          <w:szCs w:val="18"/>
          <w:b w:val="1"/>
          <w:bCs w:val="1"/>
          <w:i w:val="1"/>
          <w:iCs w:val="1"/>
          <w:color w:val="212529"/>
        </w:rPr>
        <w:t>The Company conducts business internationally, which exposes it to uncertainties and risks that could negatively affect its operations, sales, and future growth prospects.</w:t>
      </w:r>
    </w:p>
    <w:p>
      <w:pPr>
        <w:spacing w:after="0" w:line="143"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212529"/>
        </w:rPr>
        <w:t xml:space="preserve">A significant portion of the GBO generated by the Company's exhibitor customers and its revenues are generated by customers located outside the United States and Canada. Approximately 70%, 77%, and 66% of the Company's revenues were derived outside of the United States and Canada in 2021, 2020 and 2019, respectively. As of </w:t>
      </w:r>
      <w:r>
        <w:rPr>
          <w:rFonts w:ascii="Arial" w:cs="Arial" w:eastAsia="Arial" w:hAnsi="Arial"/>
          <w:sz w:val="17"/>
          <w:szCs w:val="17"/>
          <w:color w:val="000000"/>
        </w:rPr>
        <w:t>September 30, 2022</w:t>
      </w:r>
      <w:r>
        <w:rPr>
          <w:rFonts w:ascii="Arial" w:cs="Arial" w:eastAsia="Arial" w:hAnsi="Arial"/>
          <w:sz w:val="17"/>
          <w:szCs w:val="17"/>
          <w:color w:val="212529"/>
        </w:rPr>
        <w:t xml:space="preserve">, approximately </w:t>
      </w:r>
      <w:r>
        <w:rPr>
          <w:rFonts w:ascii="Arial" w:cs="Arial" w:eastAsia="Arial" w:hAnsi="Arial"/>
          <w:sz w:val="17"/>
          <w:szCs w:val="17"/>
          <w:color w:val="000000"/>
        </w:rPr>
        <w:t>73</w:t>
      </w:r>
      <w:r>
        <w:rPr>
          <w:rFonts w:ascii="Arial" w:cs="Arial" w:eastAsia="Arial" w:hAnsi="Arial"/>
          <w:sz w:val="17"/>
          <w:szCs w:val="17"/>
          <w:color w:val="212529"/>
        </w:rPr>
        <w:t xml:space="preserve">% of IMAX Theater Systems in backlog are scheduled to be installed in international markets. The Company's network spanned </w:t>
      </w:r>
      <w:r>
        <w:rPr>
          <w:rFonts w:ascii="Arial" w:cs="Arial" w:eastAsia="Arial" w:hAnsi="Arial"/>
          <w:sz w:val="17"/>
          <w:szCs w:val="17"/>
          <w:color w:val="000000"/>
        </w:rPr>
        <w:t>87</w:t>
      </w:r>
      <w:r>
        <w:rPr>
          <w:rFonts w:ascii="Arial" w:cs="Arial" w:eastAsia="Arial" w:hAnsi="Arial"/>
          <w:sz w:val="17"/>
          <w:szCs w:val="17"/>
          <w:color w:val="212529"/>
        </w:rPr>
        <w:t xml:space="preserve"> different countries as of </w:t>
      </w:r>
      <w:r>
        <w:rPr>
          <w:rFonts w:ascii="Arial" w:cs="Arial" w:eastAsia="Arial" w:hAnsi="Arial"/>
          <w:sz w:val="17"/>
          <w:szCs w:val="17"/>
          <w:color w:val="000000"/>
        </w:rPr>
        <w:t>September 30, 2022</w:t>
      </w:r>
      <w:r>
        <w:rPr>
          <w:rFonts w:ascii="Arial" w:cs="Arial" w:eastAsia="Arial" w:hAnsi="Arial"/>
          <w:sz w:val="17"/>
          <w:szCs w:val="17"/>
          <w:color w:val="212529"/>
        </w:rPr>
        <w:t>,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78" w:lineRule="exact"/>
        <w:rPr>
          <w:sz w:val="20"/>
          <w:szCs w:val="20"/>
          <w:color w:val="auto"/>
        </w:rPr>
      </w:pPr>
    </w:p>
    <w:p>
      <w:pPr>
        <w:ind w:left="1020" w:hanging="504"/>
        <w:spacing w:after="0"/>
        <w:tabs>
          <w:tab w:leader="none" w:pos="1020" w:val="left"/>
        </w:tabs>
        <w:numPr>
          <w:ilvl w:val="0"/>
          <w:numId w:val="53"/>
        </w:numPr>
        <w:rPr>
          <w:rFonts w:ascii="Arial" w:cs="Arial" w:eastAsia="Arial" w:hAnsi="Arial"/>
          <w:sz w:val="18"/>
          <w:szCs w:val="18"/>
          <w:color w:val="212529"/>
        </w:rPr>
      </w:pPr>
      <w:r>
        <w:rPr>
          <w:rFonts w:ascii="Arial" w:cs="Arial" w:eastAsia="Arial" w:hAnsi="Arial"/>
          <w:sz w:val="18"/>
          <w:szCs w:val="18"/>
          <w:color w:val="212529"/>
        </w:rPr>
        <w:t>new restrictions on access to markets, both for IMAX Theater Systems and films;</w:t>
      </w:r>
    </w:p>
    <w:p>
      <w:pPr>
        <w:spacing w:after="0" w:line="103" w:lineRule="exact"/>
        <w:rPr>
          <w:rFonts w:ascii="Arial" w:cs="Arial" w:eastAsia="Arial" w:hAnsi="Arial"/>
          <w:sz w:val="18"/>
          <w:szCs w:val="18"/>
          <w:color w:val="212529"/>
        </w:rPr>
      </w:pPr>
    </w:p>
    <w:p>
      <w:pPr>
        <w:ind w:left="1020" w:hanging="504"/>
        <w:spacing w:after="0" w:line="261" w:lineRule="auto"/>
        <w:tabs>
          <w:tab w:leader="none" w:pos="1020" w:val="left"/>
        </w:tabs>
        <w:numPr>
          <w:ilvl w:val="0"/>
          <w:numId w:val="53"/>
        </w:numPr>
        <w:rPr>
          <w:rFonts w:ascii="Arial" w:cs="Arial" w:eastAsia="Arial" w:hAnsi="Arial"/>
          <w:sz w:val="18"/>
          <w:szCs w:val="18"/>
          <w:color w:val="212529"/>
        </w:rPr>
      </w:pPr>
      <w:r>
        <w:rPr>
          <w:rFonts w:ascii="Arial" w:cs="Arial" w:eastAsia="Arial" w:hAnsi="Arial"/>
          <w:sz w:val="18"/>
          <w:szCs w:val="18"/>
          <w:color w:val="212529"/>
        </w:rPr>
        <w:t>unusual or burdensome foreign laws or regulatory requirements or unexpected changes to those laws or requirements, including censorship of content that may restrict what films the Company's theaters can present;</w:t>
      </w:r>
    </w:p>
    <w:p>
      <w:pPr>
        <w:spacing w:after="0" w:line="75" w:lineRule="exact"/>
        <w:rPr>
          <w:rFonts w:ascii="Arial" w:cs="Arial" w:eastAsia="Arial" w:hAnsi="Arial"/>
          <w:sz w:val="18"/>
          <w:szCs w:val="18"/>
          <w:color w:val="212529"/>
        </w:rPr>
      </w:pPr>
    </w:p>
    <w:p>
      <w:pPr>
        <w:ind w:left="1020" w:hanging="504"/>
        <w:spacing w:after="0"/>
        <w:tabs>
          <w:tab w:leader="none" w:pos="1020" w:val="left"/>
        </w:tabs>
        <w:numPr>
          <w:ilvl w:val="0"/>
          <w:numId w:val="53"/>
        </w:numPr>
        <w:rPr>
          <w:rFonts w:ascii="Arial" w:cs="Arial" w:eastAsia="Arial" w:hAnsi="Arial"/>
          <w:sz w:val="18"/>
          <w:szCs w:val="18"/>
          <w:color w:val="212529"/>
        </w:rPr>
      </w:pPr>
      <w:r>
        <w:rPr>
          <w:rFonts w:ascii="Arial" w:cs="Arial" w:eastAsia="Arial" w:hAnsi="Arial"/>
          <w:sz w:val="18"/>
          <w:szCs w:val="18"/>
          <w:color w:val="212529"/>
        </w:rPr>
        <w:t>fluctuations in the value of various foreign currencies versus the U.S. Dollar and potential currency devaluations;</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3"/>
        </w:numPr>
        <w:rPr>
          <w:rFonts w:ascii="Arial" w:cs="Arial" w:eastAsia="Arial" w:hAnsi="Arial"/>
          <w:sz w:val="17"/>
          <w:szCs w:val="17"/>
          <w:color w:val="212529"/>
        </w:rPr>
      </w:pPr>
      <w:r>
        <w:rPr>
          <w:rFonts w:ascii="Arial" w:cs="Arial" w:eastAsia="Arial" w:hAnsi="Arial"/>
          <w:sz w:val="17"/>
          <w:szCs w:val="17"/>
          <w:color w:val="212529"/>
        </w:rPr>
        <w:t>new tariffs, trade protection measures, import or export licensing requirements, trade embargoes, sanctions, and other trade barriers;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4" w:name="page85"/>
    <w:bookmarkEnd w:id="84"/>
    <w:p>
      <w:pPr>
        <w:ind w:left="1020" w:hanging="504"/>
        <w:spacing w:after="0" w:line="277" w:lineRule="auto"/>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difficulties in obtaining competitively priced key commodities, raw materials, and component parts from various international sources that are needed to manufacture quality products on a timely basis;</w:t>
      </w:r>
    </w:p>
    <w:p>
      <w:pPr>
        <w:spacing w:after="0" w:line="48"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imposition of foreign exchange controls in foreign jurisdictions;</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dependence on foreign distributors and their sales channels;</w:t>
      </w:r>
    </w:p>
    <w:p>
      <w:pPr>
        <w:spacing w:after="0" w:line="116"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reliance on local partners, including in connection with joint revenue sharing arrangements;</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difficulties in staffing and managing foreign operations;</w:t>
      </w:r>
    </w:p>
    <w:p>
      <w:pPr>
        <w:spacing w:after="0" w:line="103" w:lineRule="exact"/>
        <w:rPr>
          <w:rFonts w:ascii="Arial" w:cs="Arial" w:eastAsia="Arial" w:hAnsi="Arial"/>
          <w:sz w:val="18"/>
          <w:szCs w:val="18"/>
          <w:color w:val="212529"/>
        </w:rPr>
      </w:pPr>
    </w:p>
    <w:p>
      <w:pPr>
        <w:ind w:left="1020" w:right="20" w:hanging="504"/>
        <w:spacing w:after="0" w:line="277" w:lineRule="auto"/>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inability to complete installations of IMAX Theater Systems, including as a result of material disruptions or delays in the Company's supply chains, or collect full payment on installations thereof;</w:t>
      </w:r>
    </w:p>
    <w:p>
      <w:pPr>
        <w:spacing w:after="0" w:line="48"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local business practices that can present challenges to compliance with applicable anti-corruption and bribery laws;</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difficulties in establishing market-appropriate pricing;</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less accurate and/or less reliable box office reporting;</w:t>
      </w:r>
    </w:p>
    <w:p>
      <w:pPr>
        <w:spacing w:after="0" w:line="116" w:lineRule="exact"/>
        <w:rPr>
          <w:rFonts w:ascii="Arial" w:cs="Arial" w:eastAsia="Arial" w:hAnsi="Arial"/>
          <w:sz w:val="18"/>
          <w:szCs w:val="18"/>
          <w:color w:val="212529"/>
        </w:rPr>
      </w:pPr>
    </w:p>
    <w:p>
      <w:pPr>
        <w:ind w:left="1020" w:hanging="504"/>
        <w:spacing w:after="0" w:line="261" w:lineRule="auto"/>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62"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poor recognition of intellectual property rights;</w:t>
      </w:r>
    </w:p>
    <w:p>
      <w:pPr>
        <w:spacing w:after="0" w:line="116"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difficulties in enforcing contractual rights;</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inflation;</w:t>
      </w:r>
    </w:p>
    <w:p>
      <w:pPr>
        <w:spacing w:after="0" w:line="103" w:lineRule="exact"/>
        <w:rPr>
          <w:rFonts w:ascii="Arial" w:cs="Arial" w:eastAsia="Arial" w:hAnsi="Arial"/>
          <w:sz w:val="18"/>
          <w:szCs w:val="18"/>
          <w:color w:val="212529"/>
        </w:rPr>
      </w:pPr>
    </w:p>
    <w:p>
      <w:pPr>
        <w:ind w:left="1020" w:hanging="504"/>
        <w:spacing w:after="0"/>
        <w:tabs>
          <w:tab w:leader="none" w:pos="1020" w:val="left"/>
        </w:tabs>
        <w:numPr>
          <w:ilvl w:val="0"/>
          <w:numId w:val="54"/>
        </w:numPr>
        <w:rPr>
          <w:rFonts w:ascii="Arial" w:cs="Arial" w:eastAsia="Arial" w:hAnsi="Arial"/>
          <w:sz w:val="17"/>
          <w:szCs w:val="17"/>
          <w:color w:val="212529"/>
        </w:rPr>
      </w:pPr>
      <w:r>
        <w:rPr>
          <w:rFonts w:ascii="Arial" w:cs="Arial" w:eastAsia="Arial" w:hAnsi="Arial"/>
          <w:sz w:val="17"/>
          <w:szCs w:val="17"/>
          <w:color w:val="212529"/>
        </w:rPr>
        <w:t>requirements to provide performance bonds and letters of credit to international customers to secure system component deliveries;</w:t>
      </w:r>
    </w:p>
    <w:p>
      <w:pPr>
        <w:spacing w:after="0" w:line="128" w:lineRule="exact"/>
        <w:rPr>
          <w:rFonts w:ascii="Arial" w:cs="Arial" w:eastAsia="Arial" w:hAnsi="Arial"/>
          <w:sz w:val="17"/>
          <w:szCs w:val="17"/>
          <w:color w:val="212529"/>
        </w:rPr>
      </w:pPr>
    </w:p>
    <w:p>
      <w:pPr>
        <w:ind w:left="1020" w:hanging="504"/>
        <w:spacing w:after="0"/>
        <w:tabs>
          <w:tab w:leader="none" w:pos="1020" w:val="left"/>
        </w:tabs>
        <w:numPr>
          <w:ilvl w:val="0"/>
          <w:numId w:val="54"/>
        </w:numPr>
        <w:rPr>
          <w:rFonts w:ascii="Arial" w:cs="Arial" w:eastAsia="Arial" w:hAnsi="Arial"/>
          <w:sz w:val="16"/>
          <w:szCs w:val="16"/>
          <w:color w:val="212529"/>
        </w:rPr>
      </w:pPr>
      <w:r>
        <w:rPr>
          <w:rFonts w:ascii="Arial" w:cs="Arial" w:eastAsia="Arial" w:hAnsi="Arial"/>
          <w:sz w:val="16"/>
          <w:szCs w:val="16"/>
          <w:color w:val="212529"/>
        </w:rPr>
        <w:t>harm to the IMAX brand from operating in countries with records of controversial government action, including human rights abuses; and</w:t>
      </w:r>
    </w:p>
    <w:p>
      <w:pPr>
        <w:spacing w:after="0" w:line="126" w:lineRule="exact"/>
        <w:rPr>
          <w:rFonts w:ascii="Arial" w:cs="Arial" w:eastAsia="Arial" w:hAnsi="Arial"/>
          <w:sz w:val="16"/>
          <w:szCs w:val="16"/>
          <w:color w:val="212529"/>
        </w:rPr>
      </w:pPr>
    </w:p>
    <w:p>
      <w:pPr>
        <w:ind w:left="1020" w:right="20" w:hanging="504"/>
        <w:spacing w:after="0" w:line="261" w:lineRule="auto"/>
        <w:tabs>
          <w:tab w:leader="none" w:pos="1020" w:val="left"/>
        </w:tabs>
        <w:numPr>
          <w:ilvl w:val="0"/>
          <w:numId w:val="54"/>
        </w:numPr>
        <w:rPr>
          <w:rFonts w:ascii="Arial" w:cs="Arial" w:eastAsia="Arial" w:hAnsi="Arial"/>
          <w:sz w:val="18"/>
          <w:szCs w:val="18"/>
          <w:color w:val="212529"/>
        </w:rPr>
      </w:pPr>
      <w:r>
        <w:rPr>
          <w:rFonts w:ascii="Arial" w:cs="Arial" w:eastAsia="Arial" w:hAnsi="Arial"/>
          <w:sz w:val="18"/>
          <w:szCs w:val="18"/>
          <w:color w:val="212529"/>
        </w:rPr>
        <w:t>political, economic and social instability, which could result in adverse consequences for the Company's interests in different regions of the world.</w:t>
      </w:r>
    </w:p>
    <w:p>
      <w:pPr>
        <w:spacing w:after="0" w:line="143"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6"/>
          <w:szCs w:val="16"/>
          <w:color w:val="212529"/>
        </w:rPr>
        <w:t>Additionally, global geopolitical tensions and actions that governments take in response may adversely impact the Company. In response to the ongoing conflict between Russia and Ukraine, Canada, the United States, and other countries in which the Company operates have imposed broad sanctions and other restrictive actions against governmental and other entities in Russia, which in turn have and may continue to have an adverse impact on the Company's business and results of operations in affected regions. In addition, in the wake of the Russia-Ukraine conflict, major movie studios suspended the theatrical release of films in Russia and financial institutions halted transactions with Russian entities. The Company has notified its exhibitor clients in Russia and Belarus that such sanctions and actions constitute a force majeure event under their theater agreements, resulting in the suspension of the Company's obligations thereunder. The scope, intensity, duration and outcome of the conflict is uncertain. Additionally, given the global nature of the Company's operations, any protracted conflict or the broader macroeconomic impact of the Russia-Ukraine conflict and sanctions imposed on Russia and other countries could have an adverse impact on the Company's business, results of operations, financial condition, and future performance (the Company has 21 theater systems in its backlog from Russia and the CIS and Ukraine) and may also magnify the impact of other risks described herein and in the Company's 2021 Form 10-K, including the risk of cybersecurity attacks, which have increased in connection with the ongoing conflict and may impact information technology systems unrelated to the conflict, or jeopardize critical infrastructure in jurisdictions where the Company operates.</w:t>
      </w:r>
    </w:p>
    <w:p>
      <w:pPr>
        <w:spacing w:after="0" w:line="136"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7"/>
          <w:szCs w:val="17"/>
          <w:color w:val="212529"/>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theaters in such countries and have a negative impact on the Company's financial condition and future growth prospects.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223"/>
        <w:spacing w:after="0" w:line="260" w:lineRule="auto"/>
        <w:rPr>
          <w:sz w:val="20"/>
          <w:szCs w:val="20"/>
          <w:color w:val="auto"/>
        </w:rPr>
      </w:pPr>
      <w:r>
        <w:rPr>
          <w:rFonts w:ascii="Arial" w:cs="Arial" w:eastAsia="Arial" w:hAnsi="Arial"/>
          <w:sz w:val="17"/>
          <w:szCs w:val="17"/>
          <w:color w:val="auto"/>
        </w:rPr>
        <w:t>On April 28, 2022 and July 28, 2022, the Company's Board of Directors approved a 12-month extension to its share repurchase program through June 30, 2023, and an increase of $200.0 million in the share repurchase program, respectively. With the increase of $200.0 million, the Company's total share repurchase authority is $400.0 million under the current share repurchase program. As of September 30, 2022, the Company has $220.1 million available under its approved repurchased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36"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8"/>
          <w:szCs w:val="18"/>
          <w:color w:val="auto"/>
        </w:rPr>
        <w:t>During the three months ended September 30, 2022, the Company repurchased 418,496 common shares at an average price of $14.62 per share for a total of $6.1 million, excluding commissions.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common share repurchase program activity for the three months ended September 30, 2022 was as follows:</w:t>
      </w:r>
    </w:p>
    <w:p>
      <w:pPr>
        <w:sectPr>
          <w:pgSz w:w="11900" w:h="16838" w:orient="portrait"/>
          <w:cols w:equalWidth="0" w:num="1">
            <w:col w:w="11240"/>
          </w:cols>
          <w:pgMar w:left="320" w:top="499" w:right="339" w:bottom="1440" w:gutter="0" w:footer="0" w:header="0"/>
        </w:sectPr>
      </w:pPr>
    </w:p>
    <w:p>
      <w:pPr>
        <w:spacing w:after="0" w:line="244" w:lineRule="exact"/>
        <w:rPr>
          <w:sz w:val="20"/>
          <w:szCs w:val="20"/>
          <w:color w:val="auto"/>
        </w:rPr>
      </w:pPr>
    </w:p>
    <w:tbl>
      <w:tblPr>
        <w:tblLayout w:type="fixed"/>
        <w:tblInd w:w="37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Total value of shares</w:t>
            </w:r>
          </w:p>
        </w:tc>
        <w:tc>
          <w:tcPr>
            <w:tcW w:w="0" w:type="dxa"/>
            <w:vAlign w:val="bottom"/>
          </w:tcPr>
          <w:p>
            <w:pPr>
              <w:spacing w:after="0"/>
              <w:rPr>
                <w:sz w:val="1"/>
                <w:szCs w:val="1"/>
                <w:color w:val="auto"/>
              </w:rPr>
            </w:pPr>
          </w:p>
        </w:tc>
      </w:tr>
      <w:tr>
        <w:trPr>
          <w:trHeight w:val="148"/>
        </w:trPr>
        <w:tc>
          <w:tcPr>
            <w:tcW w:w="16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1"/>
              </w:rPr>
              <w:t>Total number of shares</w:t>
            </w:r>
          </w:p>
        </w:tc>
        <w:tc>
          <w:tcPr>
            <w:tcW w:w="18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Average price paid per</w:t>
            </w:r>
          </w:p>
        </w:tc>
        <w:tc>
          <w:tcPr>
            <w:tcW w:w="19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0" w:type="dxa"/>
            <w:vAlign w:val="bottom"/>
          </w:tcPr>
          <w:p>
            <w:pPr>
              <w:spacing w:after="0"/>
              <w:rPr>
                <w:sz w:val="1"/>
                <w:szCs w:val="1"/>
                <w:color w:val="auto"/>
              </w:rPr>
            </w:pPr>
          </w:p>
        </w:tc>
      </w:tr>
      <w:tr>
        <w:trPr>
          <w:trHeight w:val="94"/>
        </w:trPr>
        <w:tc>
          <w:tcPr>
            <w:tcW w:w="16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announced program</w:t>
            </w:r>
          </w:p>
        </w:tc>
        <w:tc>
          <w:tcPr>
            <w:tcW w:w="0" w:type="dxa"/>
            <w:vAlign w:val="bottom"/>
          </w:tcPr>
          <w:p>
            <w:pPr>
              <w:spacing w:after="0"/>
              <w:rPr>
                <w:sz w:val="1"/>
                <w:szCs w:val="1"/>
                <w:color w:val="auto"/>
              </w:rPr>
            </w:pPr>
          </w:p>
        </w:tc>
      </w:tr>
      <w:tr>
        <w:trPr>
          <w:trHeight w:val="92"/>
        </w:trPr>
        <w:tc>
          <w:tcPr>
            <w:tcW w:w="16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0"/>
              </w:rPr>
              <w:t>purchased</w:t>
            </w:r>
          </w:p>
        </w:tc>
        <w:tc>
          <w:tcPr>
            <w:tcW w:w="18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5"/>
              </w:rPr>
              <w:t>share</w:t>
            </w: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Maximum value of</w:t>
      </w:r>
    </w:p>
    <w:p>
      <w:pPr>
        <w:spacing w:after="0" w:line="3"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shares that may yet be</w:t>
      </w:r>
    </w:p>
    <w:p>
      <w:pPr>
        <w:spacing w:after="0" w:line="10"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color w:val="auto"/>
        </w:rPr>
        <w:t>purchased under the</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program</w:t>
      </w:r>
    </w:p>
    <w:p>
      <w:pPr>
        <w:spacing w:after="0" w:line="8" w:lineRule="exact"/>
        <w:rPr>
          <w:sz w:val="20"/>
          <w:szCs w:val="20"/>
          <w:color w:val="auto"/>
        </w:rPr>
      </w:pPr>
    </w:p>
    <w:p>
      <w:pPr>
        <w:sectPr>
          <w:pgSz w:w="11900" w:h="16838" w:orient="portrait"/>
          <w:cols w:equalWidth="0" w:num="2">
            <w:col w:w="9240" w:space="400"/>
            <w:col w:w="1600"/>
          </w:cols>
          <w:pgMar w:left="320" w:top="49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through July 31, 2022</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71,467</w:t>
            </w:r>
          </w:p>
        </w:tc>
        <w:tc>
          <w:tcPr>
            <w:tcW w:w="2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2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1,138,259</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25,042,844</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August 1 through August 31, 2022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25,042,844</w:t>
            </w:r>
          </w:p>
        </w:tc>
        <w:tc>
          <w:tcPr>
            <w:tcW w:w="100" w:type="dxa"/>
            <w:vAlign w:val="bottom"/>
          </w:tcPr>
          <w:p>
            <w:pPr>
              <w:spacing w:after="0"/>
              <w:rPr>
                <w:sz w:val="18"/>
                <w:szCs w:val="18"/>
                <w:color w:val="auto"/>
              </w:rPr>
            </w:pPr>
          </w:p>
        </w:tc>
      </w:tr>
      <w:tr>
        <w:trPr>
          <w:trHeight w:val="216"/>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through September 30, 2022</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347,029</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4,982,066</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220,060,778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600" w:type="dxa"/>
            <w:vAlign w:val="bottom"/>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spacing w:after="0"/>
              <w:rPr>
                <w:sz w:val="20"/>
                <w:szCs w:val="20"/>
                <w:color w:val="auto"/>
              </w:rPr>
            </w:pPr>
            <w:r>
              <w:rPr>
                <w:rFonts w:ascii="Arial" w:cs="Arial" w:eastAsia="Arial" w:hAnsi="Arial"/>
                <w:sz w:val="18"/>
                <w:szCs w:val="18"/>
                <w:color w:val="auto"/>
              </w:rPr>
              <w:t>418,496</w:t>
            </w:r>
          </w:p>
        </w:tc>
        <w:tc>
          <w:tcPr>
            <w:tcW w:w="9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6,120,325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-170815</wp:posOffset>
            </wp:positionV>
            <wp:extent cx="76835" cy="1714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-170815</wp:posOffset>
            </wp:positionV>
            <wp:extent cx="68580" cy="1714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color w:val="auto"/>
        </w:rPr>
        <w:t>Subsequent to September 30, 2022 and through October 28, 2022, the Company completed repurchases through a 10b5-1 program of 1,129,774 shares at an average price of $13.96 per share, for a total cost of $15.8 million, excluding commissions.</w:t>
      </w:r>
    </w:p>
    <w:p>
      <w:pPr>
        <w:spacing w:after="0" w:line="116" w:lineRule="exact"/>
        <w:rPr>
          <w:sz w:val="20"/>
          <w:szCs w:val="20"/>
          <w:color w:val="auto"/>
        </w:rPr>
      </w:pPr>
    </w:p>
    <w:p>
      <w:pPr>
        <w:jc w:val="both"/>
        <w:ind w:firstLine="223"/>
        <w:spacing w:after="0" w:line="259" w:lineRule="auto"/>
        <w:rPr>
          <w:sz w:val="20"/>
          <w:szCs w:val="20"/>
          <w:color w:val="auto"/>
        </w:rPr>
      </w:pPr>
      <w:r>
        <w:rPr>
          <w:rFonts w:ascii="Arial" w:cs="Arial" w:eastAsia="Arial" w:hAnsi="Arial"/>
          <w:sz w:val="17"/>
          <w:szCs w:val="17"/>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expired on the date of the 2022 Annual General Meeting of IMAX China on June 23, 2022. During the 2022 Annual General Meeting, shareholders approved the repurchase of shares of IMAX China not to exceed 10% of the total number of issued shares as of June 23, 2022 (34,063,480 shares). This program will be valid until the 2023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2022, IMAX China repurchased 1,513,800 common shares at an average price of HKD 6.20 per share ($0.79 per share), for a total cost of HKD 9.4 million ($1.2 million), excluding commissions.</w:t>
      </w:r>
    </w:p>
    <w:p>
      <w:pPr>
        <w:spacing w:after="0" w:line="146"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The total number of shares purchased during the nine months ended September 30, 2022, under both the Company and IMAX China's repurchase plans, does not include any shares purchased in the administration of employee share-based compensation plans.</w:t>
      </w:r>
    </w:p>
    <w:p>
      <w:pPr>
        <w:spacing w:after="0" w:line="143" w:lineRule="exact"/>
        <w:rPr>
          <w:sz w:val="20"/>
          <w:szCs w:val="20"/>
          <w:color w:val="auto"/>
        </w:rPr>
      </w:pPr>
    </w:p>
    <w:p>
      <w:pPr>
        <w:jc w:val="both"/>
        <w:ind w:firstLine="223"/>
        <w:spacing w:after="0" w:line="261" w:lineRule="auto"/>
        <w:rPr>
          <w:sz w:val="20"/>
          <w:szCs w:val="20"/>
          <w:color w:val="auto"/>
        </w:rPr>
      </w:pPr>
      <w:r>
        <w:rPr>
          <w:rFonts w:ascii="Arial" w:cs="Arial" w:eastAsia="Arial" w:hAnsi="Arial"/>
          <w:sz w:val="18"/>
          <w:szCs w:val="18"/>
          <w:color w:val="auto"/>
        </w:rPr>
        <w:t>(See Note 8 of Notes to Condensed Consolidated Financial Statements in Part I, Item 1 for a summary of the material terms and conditions of the Company's revolving credit facility, which include a limitation of the amount of permitted share repurchases.)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6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1"/>
              </w:rPr>
              <w:t>Employment Agreement, dated September 19, 2022, between IMAX Corporation and Richard L. Gelfond.</w:t>
            </w:r>
          </w:p>
        </w:tc>
        <w:tc>
          <w:tcPr>
            <w:tcW w:w="20" w:type="dxa"/>
            <w:vAlign w:val="bottom"/>
            <w:tcBorders>
              <w:bottom w:val="single" w:sz="8" w:color="0000EE"/>
            </w:tcBorders>
          </w:tcPr>
          <w:p>
            <w:pPr>
              <w:spacing w:after="0"/>
              <w:rPr>
                <w:sz w:val="14"/>
                <w:szCs w:val="14"/>
                <w:color w:val="auto"/>
              </w:rPr>
            </w:pPr>
          </w:p>
        </w:tc>
        <w:tc>
          <w:tcPr>
            <w:tcW w:w="2400" w:type="dxa"/>
            <w:vAlign w:val="bottom"/>
            <w:gridSpan w:val="4"/>
          </w:tcPr>
          <w:p>
            <w:pPr>
              <w:spacing w:after="0"/>
              <w:rPr>
                <w:sz w:val="14"/>
                <w:szCs w:val="14"/>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Pursuant to Section 302 of the Sarbanes-Oxley Act of 2002, dated October 31, 2022, by Richard L. Gelfond.</w:t>
            </w:r>
          </w:p>
        </w:tc>
        <w:tc>
          <w:tcPr>
            <w:tcW w:w="1320" w:type="dxa"/>
            <w:vAlign w:val="bottom"/>
          </w:tcPr>
          <w:p>
            <w:pPr>
              <w:spacing w:after="0"/>
              <w:rPr>
                <w:sz w:val="24"/>
                <w:szCs w:val="24"/>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Certification Pursuant to Section 302 of the Sarbanes-Oxley Act of 2002, dated October 31, 2022, by Natasha Fernandes.</w:t>
            </w:r>
          </w:p>
        </w:tc>
        <w:tc>
          <w:tcPr>
            <w:tcW w:w="20" w:type="dxa"/>
            <w:vAlign w:val="bottom"/>
            <w:tcBorders>
              <w:bottom w:val="single" w:sz="8" w:color="0000EE"/>
            </w:tcBorders>
          </w:tcPr>
          <w:p>
            <w:pPr>
              <w:spacing w:after="0"/>
              <w:rPr>
                <w:sz w:val="24"/>
                <w:szCs w:val="24"/>
                <w:color w:val="auto"/>
              </w:rPr>
            </w:pPr>
          </w:p>
        </w:tc>
        <w:tc>
          <w:tcPr>
            <w:tcW w:w="1340" w:type="dxa"/>
            <w:vAlign w:val="bottom"/>
            <w:gridSpan w:val="2"/>
          </w:tcPr>
          <w:p>
            <w:pPr>
              <w:spacing w:after="0"/>
              <w:rPr>
                <w:sz w:val="24"/>
                <w:szCs w:val="24"/>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Pursuant to Section 906 of the Sarbanes-Oxley Act of 2002, dated October 31, 2022, by Richard L. Gelfond.</w:t>
            </w:r>
          </w:p>
        </w:tc>
        <w:tc>
          <w:tcPr>
            <w:tcW w:w="1320" w:type="dxa"/>
            <w:vAlign w:val="bottom"/>
          </w:tcPr>
          <w:p>
            <w:pPr>
              <w:spacing w:after="0"/>
              <w:rPr>
                <w:sz w:val="24"/>
                <w:szCs w:val="24"/>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Certification Pursuant to Section 906 of the Sarbanes-Oxley Act of 2002, dated October 31, 2022, by Natasha Fernandes.</w:t>
            </w:r>
          </w:p>
        </w:tc>
        <w:tc>
          <w:tcPr>
            <w:tcW w:w="20" w:type="dxa"/>
            <w:vAlign w:val="bottom"/>
            <w:tcBorders>
              <w:bottom w:val="single" w:sz="8" w:color="0000EE"/>
            </w:tcBorders>
          </w:tcPr>
          <w:p>
            <w:pPr>
              <w:spacing w:after="0"/>
              <w:rPr>
                <w:sz w:val="24"/>
                <w:szCs w:val="24"/>
                <w:color w:val="auto"/>
              </w:rPr>
            </w:pPr>
          </w:p>
        </w:tc>
        <w:tc>
          <w:tcPr>
            <w:tcW w:w="1340" w:type="dxa"/>
            <w:vAlign w:val="bottom"/>
            <w:gridSpan w:val="2"/>
          </w:tcPr>
          <w:p>
            <w:pPr>
              <w:spacing w:after="0"/>
              <w:rPr>
                <w:sz w:val="24"/>
                <w:szCs w:val="24"/>
                <w:color w:val="auto"/>
              </w:rPr>
            </w:pPr>
          </w:p>
        </w:tc>
      </w:tr>
      <w:tr>
        <w:trPr>
          <w:trHeight w:val="330"/>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51"/>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51"/>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51"/>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51"/>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contract or arrangement.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15"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00"/>
              <w:spacing w:after="0"/>
              <w:rPr>
                <w:sz w:val="20"/>
                <w:szCs w:val="20"/>
                <w:color w:val="auto"/>
              </w:rPr>
            </w:pPr>
            <w:r>
              <w:rPr>
                <w:rFonts w:ascii="Arial" w:cs="Arial" w:eastAsia="Arial" w:hAnsi="Arial"/>
                <w:sz w:val="18"/>
                <w:szCs w:val="18"/>
                <w:color w:val="auto"/>
              </w:rPr>
              <w:t>IMAX CORPORATION</w:t>
            </w:r>
          </w:p>
        </w:tc>
      </w:tr>
      <w:tr>
        <w:trPr>
          <w:trHeight w:val="431"/>
        </w:trPr>
        <w:tc>
          <w:tcPr>
            <w:tcW w:w="3620" w:type="dxa"/>
            <w:vAlign w:val="bottom"/>
          </w:tcPr>
          <w:p>
            <w:pPr>
              <w:ind w:left="20"/>
              <w:spacing w:after="0"/>
              <w:rPr>
                <w:sz w:val="20"/>
                <w:szCs w:val="20"/>
                <w:color w:val="auto"/>
              </w:rPr>
            </w:pPr>
            <w:r>
              <w:rPr>
                <w:rFonts w:ascii="Arial" w:cs="Arial" w:eastAsia="Arial" w:hAnsi="Arial"/>
                <w:sz w:val="18"/>
                <w:szCs w:val="18"/>
                <w:color w:val="auto"/>
              </w:rPr>
              <w:t>Date: October 31, 2022</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195"/>
        </w:trPr>
        <w:tc>
          <w:tcPr>
            <w:tcW w:w="3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Pr>
          <w:p>
            <w:pPr>
              <w:ind w:left="20"/>
              <w:spacing w:after="0" w:line="195" w:lineRule="exact"/>
              <w:rPr>
                <w:sz w:val="20"/>
                <w:szCs w:val="20"/>
                <w:color w:val="auto"/>
              </w:rPr>
            </w:pPr>
            <w:r>
              <w:rPr>
                <w:rFonts w:ascii="Arial" w:cs="Arial" w:eastAsia="Arial" w:hAnsi="Arial"/>
                <w:sz w:val="18"/>
                <w:szCs w:val="18"/>
                <w:color w:val="auto"/>
              </w:rPr>
              <w:t>Natasha Fernandes</w:t>
            </w:r>
          </w:p>
        </w:tc>
      </w:tr>
      <w:tr>
        <w:trPr>
          <w:trHeight w:val="216"/>
        </w:trPr>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3620" w:type="dxa"/>
            <w:vAlign w:val="bottom"/>
          </w:tcPr>
          <w:p>
            <w:pPr>
              <w:ind w:left="20"/>
              <w:spacing w:after="0"/>
              <w:rPr>
                <w:sz w:val="20"/>
                <w:szCs w:val="20"/>
                <w:color w:val="auto"/>
              </w:rPr>
            </w:pPr>
            <w:r>
              <w:rPr>
                <w:rFonts w:ascii="Arial" w:cs="Arial" w:eastAsia="Arial" w:hAnsi="Arial"/>
                <w:sz w:val="18"/>
                <w:szCs w:val="18"/>
                <w:color w:val="auto"/>
              </w:rPr>
              <w:t>Date: October 31, 2022</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M. DELANEY</w:t>
            </w:r>
          </w:p>
        </w:tc>
      </w:tr>
      <w:tr>
        <w:trPr>
          <w:trHeight w:val="195"/>
        </w:trPr>
        <w:tc>
          <w:tcPr>
            <w:tcW w:w="3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Pr>
          <w:p>
            <w:pPr>
              <w:ind w:left="20"/>
              <w:spacing w:after="0" w:line="195" w:lineRule="exact"/>
              <w:rPr>
                <w:sz w:val="20"/>
                <w:szCs w:val="20"/>
                <w:color w:val="auto"/>
              </w:rPr>
            </w:pPr>
            <w:r>
              <w:rPr>
                <w:rFonts w:ascii="Arial" w:cs="Arial" w:eastAsia="Arial" w:hAnsi="Arial"/>
                <w:sz w:val="18"/>
                <w:szCs w:val="18"/>
                <w:color w:val="auto"/>
              </w:rPr>
              <w:t>Kevin M. Delaney</w:t>
            </w:r>
          </w:p>
        </w:tc>
      </w:tr>
      <w:tr>
        <w:trPr>
          <w:trHeight w:val="216"/>
        </w:trPr>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Vice-President, Finance &amp; Controller</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634"/>
        </w:trPr>
        <w:tc>
          <w:tcPr>
            <w:tcW w:w="3620" w:type="dxa"/>
            <w:vAlign w:val="bottom"/>
          </w:tcPr>
          <w:p>
            <w:pPr>
              <w:spacing w:after="0"/>
              <w:rPr>
                <w:sz w:val="24"/>
                <w:szCs w:val="24"/>
                <w:color w:val="auto"/>
              </w:rPr>
            </w:pPr>
          </w:p>
        </w:tc>
        <w:tc>
          <w:tcPr>
            <w:tcW w:w="238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524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IMAX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10.1</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SECOND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-34925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This agreement (this "</w:t>
      </w:r>
      <w:r>
        <w:rPr>
          <w:rFonts w:ascii="Arial" w:cs="Arial" w:eastAsia="Arial" w:hAnsi="Arial"/>
          <w:sz w:val="20"/>
          <w:szCs w:val="20"/>
          <w:u w:val="single" w:color="auto"/>
          <w:color w:val="auto"/>
        </w:rPr>
        <w:t>Second Amendment</w:t>
      </w:r>
      <w:r>
        <w:rPr>
          <w:rFonts w:ascii="Arial" w:cs="Arial" w:eastAsia="Arial" w:hAnsi="Arial"/>
          <w:sz w:val="20"/>
          <w:szCs w:val="20"/>
          <w:color w:val="auto"/>
        </w:rPr>
        <w:t xml:space="preserve">") amends, effective as of January 1, 2023 (the </w:t>
      </w:r>
      <w:r>
        <w:rPr>
          <w:rFonts w:ascii="Arial" w:cs="Arial" w:eastAsia="Arial" w:hAnsi="Arial"/>
          <w:sz w:val="20"/>
          <w:szCs w:val="20"/>
          <w:u w:val="single" w:color="auto"/>
          <w:color w:val="auto"/>
        </w:rPr>
        <w:t>Effective Date</w:t>
      </w:r>
      <w:r>
        <w:rPr>
          <w:rFonts w:ascii="Arial" w:cs="Arial" w:eastAsia="Arial" w:hAnsi="Arial"/>
          <w:sz w:val="20"/>
          <w:szCs w:val="20"/>
          <w:color w:val="auto"/>
        </w:rPr>
        <w:t>"), the employment agreement between Richard L. Gelfond (the "</w:t>
      </w:r>
      <w:r>
        <w:rPr>
          <w:rFonts w:ascii="Arial" w:cs="Arial" w:eastAsia="Arial" w:hAnsi="Arial"/>
          <w:sz w:val="20"/>
          <w:szCs w:val="20"/>
          <w:u w:val="single" w:color="auto"/>
          <w:color w:val="auto"/>
        </w:rPr>
        <w:t>Executive</w:t>
      </w:r>
      <w:r>
        <w:rPr>
          <w:rFonts w:ascii="Arial" w:cs="Arial" w:eastAsia="Arial" w:hAnsi="Arial"/>
          <w:sz w:val="20"/>
          <w:szCs w:val="20"/>
          <w:color w:val="auto"/>
        </w:rPr>
        <w:t>") and IMAX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dated November 8, 2016, as amended effective January 1, 2020 (the “First Amendment”), (together, the "</w:t>
      </w:r>
      <w:r>
        <w:rPr>
          <w:rFonts w:ascii="Arial" w:cs="Arial" w:eastAsia="Arial" w:hAnsi="Arial"/>
          <w:sz w:val="20"/>
          <w:szCs w:val="20"/>
          <w:u w:val="single" w:color="auto"/>
          <w:color w:val="auto"/>
        </w:rPr>
        <w:t>Agreement</w:t>
      </w:r>
      <w:r>
        <w:rPr>
          <w:rFonts w:ascii="Arial" w:cs="Arial" w:eastAsia="Arial" w:hAnsi="Arial"/>
          <w:sz w:val="20"/>
          <w:szCs w:val="20"/>
          <w:color w:val="auto"/>
        </w:rPr>
        <w:t>"), in accordance with the provisions of Section 15 of the Agreement. Except as otherwise expressly set forth below in this Second Amendment from and after the Effective Date, the Agreement shall continue in full force and effect on the same terms and conditions. Capitalized terms used but not otherwise defined herein shall have the meanings ascribed to such terms in the Agreement.</w:t>
      </w:r>
    </w:p>
    <w:p>
      <w:pPr>
        <w:spacing w:after="0" w:line="184" w:lineRule="exact"/>
        <w:rPr>
          <w:sz w:val="20"/>
          <w:szCs w:val="20"/>
          <w:color w:val="auto"/>
        </w:rPr>
      </w:pPr>
    </w:p>
    <w:p>
      <w:pPr>
        <w:ind w:left="440" w:right="340" w:hanging="688"/>
        <w:spacing w:after="0" w:line="260" w:lineRule="auto"/>
        <w:tabs>
          <w:tab w:leader="none" w:pos="420" w:val="left"/>
        </w:tabs>
        <w:rPr>
          <w:sz w:val="20"/>
          <w:szCs w:val="20"/>
          <w:color w:val="auto"/>
        </w:rPr>
      </w:pPr>
      <w:r>
        <w:rPr>
          <w:rFonts w:ascii="Arial" w:cs="Arial" w:eastAsia="Arial" w:hAnsi="Arial"/>
          <w:sz w:val="20"/>
          <w:szCs w:val="20"/>
          <w:color w:val="auto"/>
        </w:rPr>
        <w:t>l .</w:t>
      </w:r>
      <w:r>
        <w:rPr>
          <w:sz w:val="20"/>
          <w:szCs w:val="20"/>
          <w:color w:val="auto"/>
        </w:rPr>
        <w:tab/>
      </w:r>
      <w:r>
        <w:rPr>
          <w:rFonts w:ascii="Arial" w:cs="Arial" w:eastAsia="Arial" w:hAnsi="Arial"/>
          <w:sz w:val="20"/>
          <w:szCs w:val="20"/>
          <w:u w:val="single" w:color="auto"/>
          <w:color w:val="auto"/>
        </w:rPr>
        <w:t>Term</w:t>
      </w:r>
      <w:r>
        <w:rPr>
          <w:rFonts w:ascii="Arial" w:cs="Arial" w:eastAsia="Arial" w:hAnsi="Arial"/>
          <w:sz w:val="20"/>
          <w:szCs w:val="20"/>
          <w:color w:val="auto"/>
        </w:rPr>
        <w:t>. Section 2 of the Agreement shall be amended to replace references to "December 31, 2022" with references to "December 31,</w:t>
      </w:r>
      <w:r>
        <w:rPr>
          <w:rFonts w:ascii="Arial" w:cs="Arial" w:eastAsia="Arial" w:hAnsi="Arial"/>
          <w:sz w:val="20"/>
          <w:szCs w:val="20"/>
          <w:u w:val="single" w:color="auto"/>
          <w:color w:val="auto"/>
        </w:rPr>
        <w:t xml:space="preserve"> </w:t>
      </w:r>
      <w:r>
        <w:rPr>
          <w:rFonts w:ascii="Arial" w:cs="Arial" w:eastAsia="Arial" w:hAnsi="Arial"/>
          <w:sz w:val="20"/>
          <w:szCs w:val="20"/>
          <w:color w:val="auto"/>
        </w:rPr>
        <w:t>2025".</w:t>
      </w:r>
    </w:p>
    <w:p>
      <w:pPr>
        <w:spacing w:after="0" w:line="187" w:lineRule="exact"/>
        <w:rPr>
          <w:sz w:val="20"/>
          <w:szCs w:val="20"/>
          <w:color w:val="auto"/>
        </w:rPr>
      </w:pPr>
    </w:p>
    <w:p>
      <w:pPr>
        <w:ind w:left="740" w:hanging="718"/>
        <w:spacing w:after="0"/>
        <w:tabs>
          <w:tab w:leader="none" w:pos="740" w:val="left"/>
        </w:tabs>
        <w:numPr>
          <w:ilvl w:val="0"/>
          <w:numId w:val="55"/>
        </w:numPr>
        <w:rPr>
          <w:rFonts w:ascii="Arial" w:cs="Arial" w:eastAsia="Arial" w:hAnsi="Arial"/>
          <w:sz w:val="22"/>
          <w:szCs w:val="22"/>
          <w:color w:val="auto"/>
        </w:rPr>
      </w:pPr>
      <w:r>
        <w:rPr>
          <w:rFonts w:ascii="Arial" w:cs="Arial" w:eastAsia="Arial" w:hAnsi="Arial"/>
          <w:sz w:val="20"/>
          <w:szCs w:val="20"/>
          <w:u w:val="single" w:color="auto"/>
          <w:color w:val="auto"/>
        </w:rPr>
        <w:t>Annual Bonus</w:t>
      </w:r>
      <w:r>
        <w:rPr>
          <w:rFonts w:ascii="Arial" w:cs="Arial" w:eastAsia="Arial" w:hAnsi="Arial"/>
          <w:sz w:val="20"/>
          <w:szCs w:val="20"/>
          <w:color w:val="auto"/>
        </w:rPr>
        <w:t>. Section 3(b) of the Agreement shall be deleted in its entirety and replaced with the following:</w:t>
      </w:r>
    </w:p>
    <w:p>
      <w:pPr>
        <w:spacing w:after="0" w:line="221" w:lineRule="exact"/>
        <w:rPr>
          <w:rFonts w:ascii="Arial" w:cs="Arial" w:eastAsia="Arial" w:hAnsi="Arial"/>
          <w:sz w:val="22"/>
          <w:szCs w:val="22"/>
          <w:color w:val="auto"/>
        </w:rPr>
      </w:pPr>
    </w:p>
    <w:p>
      <w:pPr>
        <w:ind w:left="740"/>
        <w:spacing w:after="0" w:line="262" w:lineRule="auto"/>
        <w:rPr>
          <w:rFonts w:ascii="Arial" w:cs="Arial" w:eastAsia="Arial" w:hAnsi="Arial"/>
          <w:sz w:val="22"/>
          <w:szCs w:val="22"/>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Bonus</w:t>
      </w:r>
      <w:r>
        <w:rPr>
          <w:rFonts w:ascii="Arial" w:cs="Arial" w:eastAsia="Arial" w:hAnsi="Arial"/>
          <w:sz w:val="18"/>
          <w:szCs w:val="18"/>
          <w:color w:val="auto"/>
        </w:rPr>
        <w:t>. The Executive shall be eligible to receive an incentive bonus of up to 200% of his Base Salary for each calendar year during the Term (the "</w:t>
      </w:r>
      <w:r>
        <w:rPr>
          <w:rFonts w:ascii="Arial" w:cs="Arial" w:eastAsia="Arial" w:hAnsi="Arial"/>
          <w:sz w:val="18"/>
          <w:szCs w:val="18"/>
          <w:u w:val="single" w:color="auto"/>
          <w:color w:val="auto"/>
        </w:rPr>
        <w:t>Bonus</w:t>
      </w:r>
      <w:r>
        <w:rPr>
          <w:rFonts w:ascii="Arial" w:cs="Arial" w:eastAsia="Arial" w:hAnsi="Arial"/>
          <w:sz w:val="18"/>
          <w:szCs w:val="18"/>
          <w:color w:val="auto"/>
        </w:rPr>
        <w:t>"). The Executive's target bonus shall be 100% of his Base Salary ("</w:t>
      </w:r>
      <w:r>
        <w:rPr>
          <w:rFonts w:ascii="Arial" w:cs="Arial" w:eastAsia="Arial" w:hAnsi="Arial"/>
          <w:sz w:val="18"/>
          <w:szCs w:val="18"/>
          <w:u w:val="single" w:color="auto"/>
          <w:color w:val="auto"/>
        </w:rPr>
        <w:t>Target Bonus</w:t>
      </w:r>
      <w:r>
        <w:rPr>
          <w:rFonts w:ascii="Arial" w:cs="Arial" w:eastAsia="Arial" w:hAnsi="Arial"/>
          <w:sz w:val="18"/>
          <w:szCs w:val="18"/>
          <w:color w:val="auto"/>
        </w:rPr>
        <w:t>"). For each year of the Term, 80% of Executive's Bonus shall be calculated based on achievement of non-discretionary criteria (the "</w:t>
      </w:r>
      <w:r>
        <w:rPr>
          <w:rFonts w:ascii="Arial" w:cs="Arial" w:eastAsia="Arial" w:hAnsi="Arial"/>
          <w:sz w:val="18"/>
          <w:szCs w:val="18"/>
          <w:u w:val="single" w:color="auto"/>
          <w:color w:val="auto"/>
        </w:rPr>
        <w:t>Formula Bonus</w:t>
      </w:r>
      <w:r>
        <w:rPr>
          <w:rFonts w:ascii="Arial" w:cs="Arial" w:eastAsia="Arial" w:hAnsi="Arial"/>
          <w:sz w:val="18"/>
          <w:szCs w:val="18"/>
          <w:color w:val="auto"/>
        </w:rPr>
        <w:t>") established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for the applicable year and 20% shall be determined at the end of the applicable year in the discretion of the Compensation Committee. The discretionary component of the Bonus will be a judgment-based assessment by the Compensation Committee looking at performance in non-quantifiable areas of performance that are clearly connected to the business strategy and strategic drivers of Company performance. The Formula Bonus shall be comprised of goals in quantifiable areas that are either financial metrics or drivers of financial performance, and shall be established and developed reasonably and in good faith by the Compensation Committee after meaningful consultation with Executive and communicated to Executive, optimally within the first quarter of each calendar year. The Executive's performance against each such goal shall be measured on a sliding scale basis using linear interpolation, with performance ranges developed for each such measure;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0% of the applicable portion of the Formula Bonus will be paid for performance below threshold; (ii) 50% of the applicable portion of the Formula Bonus will be paid for performance at threshold; (iii) 100% of the applicable portion of the Formula Bonus will be paid for performance at target; and (iv) a maximum of 200% of the applicable portion of the Formula Bonus will be paid for performance at or above maximum.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Second Amendment contains the performance criteria that the Compensation Committee has developed for Executive for 2022. The Bonus (if any) shall be paid on the date on which the Company pays out bonuses to Company management (but not later than March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the year following the year in respect of which the Bonus is earned), subject to the Executive's continued employment through such date except otherwise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Bonus, if any is earned, for calendar year 2025 shall be subject to the Executive's continued employment only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48" w:lineRule="exact"/>
        <w:rPr>
          <w:sz w:val="20"/>
          <w:szCs w:val="20"/>
          <w:color w:val="auto"/>
        </w:rPr>
      </w:pPr>
    </w:p>
    <w:p>
      <w:pPr>
        <w:ind w:left="740" w:right="200" w:hanging="732"/>
        <w:spacing w:after="0" w:line="251" w:lineRule="auto"/>
        <w:tabs>
          <w:tab w:leader="none" w:pos="740" w:val="left"/>
        </w:tabs>
        <w:numPr>
          <w:ilvl w:val="0"/>
          <w:numId w:val="56"/>
        </w:numPr>
        <w:rPr>
          <w:rFonts w:ascii="Arial" w:cs="Arial" w:eastAsia="Arial" w:hAnsi="Arial"/>
          <w:sz w:val="22"/>
          <w:szCs w:val="22"/>
          <w:color w:val="auto"/>
        </w:rPr>
      </w:pPr>
      <w:r>
        <w:rPr>
          <w:rFonts w:ascii="Arial" w:cs="Arial" w:eastAsia="Arial" w:hAnsi="Arial"/>
          <w:sz w:val="20"/>
          <w:szCs w:val="20"/>
          <w:u w:val="single" w:color="auto"/>
          <w:color w:val="auto"/>
        </w:rPr>
        <w:t>Annual Long-Term Incentive Compensation</w:t>
      </w:r>
      <w:r>
        <w:rPr>
          <w:rFonts w:ascii="Arial" w:cs="Arial" w:eastAsia="Arial" w:hAnsi="Arial"/>
          <w:sz w:val="20"/>
          <w:szCs w:val="20"/>
          <w:color w:val="auto"/>
        </w:rPr>
        <w:t xml:space="preserve">. Section 3(l) of the Agreement shall be amended to replace “January 1, 2020, January 1, 2021, and January 1, 2022” with “January 1, 2023, January 1, 2024, and January 1, 2025.” Furthermore,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of the Agreement shall be deleted in its entirety and replaced with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hereto.</w:t>
      </w:r>
    </w:p>
    <w:p>
      <w:pPr>
        <w:spacing w:after="0" w:line="225" w:lineRule="exact"/>
        <w:rPr>
          <w:rFonts w:ascii="Arial" w:cs="Arial" w:eastAsia="Arial" w:hAnsi="Arial"/>
          <w:sz w:val="22"/>
          <w:szCs w:val="22"/>
          <w:color w:val="auto"/>
        </w:rPr>
      </w:pPr>
    </w:p>
    <w:p>
      <w:pPr>
        <w:ind w:left="740" w:right="20" w:hanging="732"/>
        <w:spacing w:after="0" w:line="250" w:lineRule="auto"/>
        <w:tabs>
          <w:tab w:leader="none" w:pos="740" w:val="left"/>
        </w:tabs>
        <w:numPr>
          <w:ilvl w:val="0"/>
          <w:numId w:val="56"/>
        </w:numPr>
        <w:rPr>
          <w:rFonts w:ascii="Arial" w:cs="Arial" w:eastAsia="Arial" w:hAnsi="Arial"/>
          <w:sz w:val="22"/>
          <w:szCs w:val="22"/>
          <w:color w:val="auto"/>
        </w:rPr>
      </w:pPr>
      <w:r>
        <w:rPr>
          <w:rFonts w:ascii="Arial" w:cs="Arial" w:eastAsia="Arial" w:hAnsi="Arial"/>
          <w:sz w:val="20"/>
          <w:szCs w:val="20"/>
          <w:u w:val="single" w:color="auto"/>
          <w:color w:val="auto"/>
        </w:rPr>
        <w:t>Severance Upon Termination Without Cause; Resignation for Good Reason</w:t>
      </w:r>
      <w:r>
        <w:rPr>
          <w:rFonts w:ascii="Arial" w:cs="Arial" w:eastAsia="Arial" w:hAnsi="Arial"/>
          <w:sz w:val="20"/>
          <w:szCs w:val="20"/>
          <w:color w:val="auto"/>
        </w:rPr>
        <w:t>. Section 4(c)(iv) of the Agreement shall be deleted in its entirety and replaced with the following:</w:t>
      </w:r>
    </w:p>
    <w:p>
      <w:pPr>
        <w:spacing w:after="0" w:line="238" w:lineRule="exact"/>
        <w:rPr>
          <w:rFonts w:ascii="Arial" w:cs="Arial" w:eastAsia="Arial" w:hAnsi="Arial"/>
          <w:sz w:val="22"/>
          <w:szCs w:val="22"/>
          <w:color w:val="auto"/>
        </w:rPr>
      </w:pPr>
    </w:p>
    <w:p>
      <w:pPr>
        <w:ind w:left="1140" w:right="40" w:hanging="758"/>
        <w:spacing w:after="0" w:line="256" w:lineRule="auto"/>
        <w:tabs>
          <w:tab w:leader="none" w:pos="11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Company shall pay the Executive an amount equal to 200% of the Base Salary for each remaining year or partial year of the Term, if any, but not to exceed two years (the "</w:t>
      </w:r>
      <w:r>
        <w:rPr>
          <w:rFonts w:ascii="Arial" w:cs="Arial" w:eastAsia="Arial" w:hAnsi="Arial"/>
          <w:sz w:val="19"/>
          <w:szCs w:val="19"/>
          <w:u w:val="single" w:color="auto"/>
          <w:color w:val="auto"/>
        </w:rPr>
        <w:t>Severance Amount</w:t>
      </w:r>
      <w:r>
        <w:rPr>
          <w:rFonts w:ascii="Arial" w:cs="Arial" w:eastAsia="Arial" w:hAnsi="Arial"/>
          <w:sz w:val="19"/>
          <w:szCs w:val="19"/>
          <w:color w:val="auto"/>
        </w:rPr>
        <w:t>") for the period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beginning on the day following the Executive's Separation from Service and continuing until the later of (x) December 31, 2025 and (y) the first anniversary of the Executive's Separation from Service, payable on the following schedule: (l) 50% of the Severance Amount shall be paid in equal installments over the Severance Period, in accordance with the Company's ordinary payroll practices in effect from time to time, and (2) the remaining 50% of the Severance Amount will be payable as follows: (A) if the Executive's Separation from Service occurs in the 2023 calendar year, one-sixth (1/6</w:t>
      </w:r>
      <w:r>
        <w:rPr>
          <w:rFonts w:ascii="Arial" w:cs="Arial" w:eastAsia="Arial" w:hAnsi="Arial"/>
          <w:sz w:val="25"/>
          <w:szCs w:val="25"/>
          <w:color w:val="auto"/>
          <w:vertAlign w:val="superscript"/>
        </w:rPr>
        <w:t>th</w:t>
      </w:r>
      <w:r>
        <w:rPr>
          <w:rFonts w:ascii="Arial" w:cs="Arial" w:eastAsia="Arial" w:hAnsi="Arial"/>
          <w:sz w:val="19"/>
          <w:szCs w:val="19"/>
          <w:color w:val="auto"/>
        </w:rPr>
        <w:t>) of the Severance Amount will be payable on each of March l, 2024, March 1, 2025 and March l, 2026; (B) if the Executive's Separation from Service occurs in the 2024 calendar year, one-fourth (1/4</w:t>
      </w:r>
      <w:r>
        <w:rPr>
          <w:rFonts w:ascii="Arial" w:cs="Arial" w:eastAsia="Arial" w:hAnsi="Arial"/>
          <w:sz w:val="25"/>
          <w:szCs w:val="25"/>
          <w:color w:val="auto"/>
          <w:vertAlign w:val="superscript"/>
        </w:rPr>
        <w:t>th</w:t>
      </w:r>
      <w:r>
        <w:rPr>
          <w:rFonts w:ascii="Arial" w:cs="Arial" w:eastAsia="Arial" w:hAnsi="Arial"/>
          <w:sz w:val="19"/>
          <w:szCs w:val="19"/>
          <w:color w:val="auto"/>
        </w:rPr>
        <w:t>) of the Severance Amount will be payable on each of March l, 2025 and March l, 2026; or (C) if the Executive's Separation from Service occurs in the 2025 calendar year, one-half (1/2) of the Severance Amount will be payable on March l, 2026.</w:t>
      </w:r>
    </w:p>
    <w:p>
      <w:pPr>
        <w:spacing w:after="0" w:line="390" w:lineRule="exact"/>
        <w:rPr>
          <w:rFonts w:ascii="Arial" w:cs="Arial" w:eastAsia="Arial" w:hAnsi="Arial"/>
          <w:sz w:val="19"/>
          <w:szCs w:val="19"/>
          <w:color w:val="auto"/>
        </w:rPr>
      </w:pPr>
    </w:p>
    <w:p>
      <w:pPr>
        <w:ind w:left="740" w:right="100" w:hanging="732"/>
        <w:spacing w:after="0" w:line="250" w:lineRule="auto"/>
        <w:tabs>
          <w:tab w:leader="none" w:pos="740" w:val="left"/>
        </w:tabs>
        <w:numPr>
          <w:ilvl w:val="0"/>
          <w:numId w:val="56"/>
        </w:numPr>
        <w:rPr>
          <w:rFonts w:ascii="Arial" w:cs="Arial" w:eastAsia="Arial" w:hAnsi="Arial"/>
          <w:sz w:val="22"/>
          <w:szCs w:val="22"/>
          <w:color w:val="auto"/>
        </w:rPr>
      </w:pPr>
      <w:r>
        <w:rPr>
          <w:rFonts w:ascii="Arial" w:cs="Arial" w:eastAsia="Arial" w:hAnsi="Arial"/>
          <w:sz w:val="20"/>
          <w:szCs w:val="20"/>
          <w:color w:val="auto"/>
        </w:rPr>
        <w:t>The entering into this Second Amendment shall not prejudice any rights or waive any obligations under the Agreement or any other agreement between the Executive and the Company.</w:t>
      </w:r>
    </w:p>
    <w:p>
      <w:pPr>
        <w:spacing w:after="0" w:line="211" w:lineRule="exact"/>
        <w:rPr>
          <w:rFonts w:ascii="Arial" w:cs="Arial" w:eastAsia="Arial" w:hAnsi="Arial"/>
          <w:sz w:val="22"/>
          <w:szCs w:val="22"/>
          <w:color w:val="auto"/>
        </w:rPr>
      </w:pPr>
    </w:p>
    <w:p>
      <w:pPr>
        <w:ind w:left="720"/>
        <w:spacing w:after="0"/>
        <w:rPr>
          <w:rFonts w:ascii="Arial" w:cs="Arial" w:eastAsia="Arial" w:hAnsi="Arial"/>
          <w:sz w:val="22"/>
          <w:szCs w:val="22"/>
          <w:color w:val="auto"/>
        </w:rPr>
      </w:pPr>
      <w:r>
        <w:rPr>
          <w:rFonts w:ascii="Arial" w:cs="Arial" w:eastAsia="Arial" w:hAnsi="Arial"/>
          <w:sz w:val="20"/>
          <w:szCs w:val="20"/>
          <w:color w:val="auto"/>
        </w:rPr>
        <w:t>DATED as of September 19, 2022</w:t>
      </w:r>
    </w:p>
    <w:p>
      <w:pPr>
        <w:spacing w:after="0" w:line="26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EXECUTIVE</w:t>
      </w:r>
    </w:p>
    <w:p>
      <w:pPr>
        <w:spacing w:after="0" w:line="232" w:lineRule="exact"/>
        <w:rPr>
          <w:sz w:val="20"/>
          <w:szCs w:val="20"/>
          <w:color w:val="auto"/>
        </w:rPr>
      </w:pPr>
    </w:p>
    <w:p>
      <w:pPr>
        <w:ind w:left="6000"/>
        <w:spacing w:after="0"/>
        <w:tabs>
          <w:tab w:leader="none" w:pos="8560" w:val="left"/>
        </w:tabs>
        <w:rPr>
          <w:sz w:val="20"/>
          <w:szCs w:val="20"/>
          <w:color w:val="auto"/>
        </w:rPr>
      </w:pPr>
      <w:r>
        <w:rPr>
          <w:rFonts w:ascii="Arial" w:cs="Arial" w:eastAsia="Arial" w:hAnsi="Arial"/>
          <w:sz w:val="22"/>
          <w:szCs w:val="22"/>
          <w:color w:val="auto"/>
        </w:rPr>
        <w:t>/s/ Richard L. Gelfond</w:t>
      </w:r>
      <w:r>
        <w:rPr>
          <w:sz w:val="20"/>
          <w:szCs w:val="20"/>
          <w:color w:val="auto"/>
        </w:rPr>
        <w:tab/>
      </w:r>
      <w:r>
        <w:rPr>
          <w:rFonts w:ascii="Arial" w:cs="Arial" w:eastAsia="Arial" w:hAnsi="Arial"/>
          <w:sz w:val="20"/>
          <w:szCs w:val="20"/>
          <w:color w:val="auto"/>
        </w:rPr>
        <w:t>Richard L. Gelfond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-17780</wp:posOffset>
            </wp:positionV>
            <wp:extent cx="136969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36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IMAX CORPORATION</w:t>
      </w: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Darren Throop</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60" w:type="dxa"/>
            <w:vAlign w:val="bottom"/>
          </w:tcPr>
          <w:p>
            <w:pPr>
              <w:ind w:left="5240"/>
              <w:spacing w:after="0"/>
              <w:rPr>
                <w:sz w:val="20"/>
                <w:szCs w:val="20"/>
                <w:color w:val="auto"/>
              </w:rPr>
            </w:pPr>
            <w:r>
              <w:rPr>
                <w:rFonts w:ascii="Arial" w:cs="Arial" w:eastAsia="Arial" w:hAnsi="Arial"/>
                <w:sz w:val="22"/>
                <w:szCs w:val="22"/>
                <w:color w:val="auto"/>
              </w:rPr>
              <w:t>Name:</w:t>
            </w:r>
          </w:p>
        </w:tc>
        <w:tc>
          <w:tcPr>
            <w:tcW w:w="5280" w:type="dxa"/>
            <w:vAlign w:val="bottom"/>
          </w:tcPr>
          <w:p>
            <w:pPr>
              <w:ind w:left="160"/>
              <w:spacing w:after="0"/>
              <w:rPr>
                <w:sz w:val="20"/>
                <w:szCs w:val="20"/>
                <w:color w:val="auto"/>
              </w:rPr>
            </w:pPr>
            <w:r>
              <w:rPr>
                <w:rFonts w:ascii="Arial" w:cs="Arial" w:eastAsia="Arial" w:hAnsi="Arial"/>
                <w:sz w:val="22"/>
                <w:szCs w:val="22"/>
                <w:color w:val="auto"/>
              </w:rPr>
              <w:t>Darren Throop</w:t>
            </w:r>
          </w:p>
        </w:tc>
      </w:tr>
      <w:tr>
        <w:trPr>
          <w:trHeight w:val="274"/>
        </w:trPr>
        <w:tc>
          <w:tcPr>
            <w:tcW w:w="5960" w:type="dxa"/>
            <w:vAlign w:val="bottom"/>
          </w:tcPr>
          <w:p>
            <w:pPr>
              <w:ind w:left="5240"/>
              <w:spacing w:after="0"/>
              <w:rPr>
                <w:sz w:val="20"/>
                <w:szCs w:val="20"/>
                <w:color w:val="auto"/>
              </w:rPr>
            </w:pPr>
            <w:r>
              <w:rPr>
                <w:rFonts w:ascii="Arial" w:cs="Arial" w:eastAsia="Arial" w:hAnsi="Arial"/>
                <w:sz w:val="22"/>
                <w:szCs w:val="22"/>
                <w:color w:val="auto"/>
              </w:rPr>
              <w:t>Title:</w:t>
            </w:r>
          </w:p>
        </w:tc>
        <w:tc>
          <w:tcPr>
            <w:tcW w:w="5280" w:type="dxa"/>
            <w:vAlign w:val="bottom"/>
          </w:tcPr>
          <w:p>
            <w:pPr>
              <w:ind w:left="160"/>
              <w:spacing w:after="0"/>
              <w:rPr>
                <w:sz w:val="20"/>
                <w:szCs w:val="20"/>
                <w:color w:val="auto"/>
              </w:rPr>
            </w:pPr>
            <w:r>
              <w:rPr>
                <w:rFonts w:ascii="Arial" w:cs="Arial" w:eastAsia="Arial" w:hAnsi="Arial"/>
                <w:sz w:val="22"/>
                <w:szCs w:val="22"/>
                <w:color w:val="auto"/>
              </w:rPr>
              <w:t>Chair, Board of Directors</w:t>
            </w:r>
          </w:p>
        </w:tc>
      </w:tr>
      <w:tr>
        <w:trPr>
          <w:trHeight w:val="941"/>
        </w:trPr>
        <w:tc>
          <w:tcPr>
            <w:tcW w:w="59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tbl>
      <w:tblPr>
        <w:tblLayout w:type="fixed"/>
        <w:tblInd w:w="502" w:type="dxa"/>
        <w:tblCellMar>
          <w:top w:w="0" w:type="dxa"/>
          <w:left w:w="0" w:type="dxa"/>
          <w:bottom w:w="0" w:type="dxa"/>
          <w:right w:w="0" w:type="dxa"/>
        </w:tblCellMar>
      </w:tblPr>
      <w:tr>
        <w:trPr>
          <w:trHeight w:val="285"/>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gridSpan w:val="2"/>
          </w:tcPr>
          <w:p>
            <w:pPr>
              <w:ind w:left="180"/>
              <w:spacing w:after="0"/>
              <w:rPr>
                <w:sz w:val="20"/>
                <w:szCs w:val="20"/>
                <w:color w:val="auto"/>
              </w:rPr>
            </w:pPr>
            <w:r>
              <w:rPr>
                <w:rFonts w:ascii="Arial" w:cs="Arial" w:eastAsia="Arial" w:hAnsi="Arial"/>
                <w:sz w:val="22"/>
                <w:szCs w:val="22"/>
                <w:b w:val="1"/>
                <w:bCs w:val="1"/>
                <w:i w:val="1"/>
                <w:iCs w:val="1"/>
                <w:color w:val="auto"/>
                <w:w w:val="96"/>
              </w:rPr>
              <w:t>Execution Version</w:t>
            </w:r>
          </w:p>
        </w:tc>
        <w:tc>
          <w:tcPr>
            <w:tcW w:w="0" w:type="dxa"/>
            <w:vAlign w:val="bottom"/>
          </w:tcPr>
          <w:p>
            <w:pPr>
              <w:spacing w:after="0"/>
              <w:rPr>
                <w:sz w:val="1"/>
                <w:szCs w:val="1"/>
                <w:color w:val="auto"/>
              </w:rPr>
            </w:pPr>
          </w:p>
        </w:tc>
      </w:tr>
      <w:tr>
        <w:trPr>
          <w:trHeight w:val="624"/>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8"/>
              </w:rPr>
              <w:t>Schedule A</w:t>
            </w: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60" w:type="dxa"/>
            <w:vAlign w:val="bottom"/>
            <w:gridSpan w:val="5"/>
          </w:tcPr>
          <w:p>
            <w:pPr>
              <w:jc w:val="center"/>
              <w:ind w:right="501"/>
              <w:spacing w:after="0"/>
              <w:rPr>
                <w:sz w:val="20"/>
                <w:szCs w:val="20"/>
                <w:color w:val="auto"/>
              </w:rPr>
            </w:pPr>
            <w:r>
              <w:rPr>
                <w:rFonts w:ascii="Arial" w:cs="Arial" w:eastAsia="Arial" w:hAnsi="Arial"/>
                <w:sz w:val="22"/>
                <w:szCs w:val="22"/>
                <w:b w:val="1"/>
                <w:bCs w:val="1"/>
                <w:color w:val="auto"/>
                <w:w w:val="98"/>
              </w:rPr>
              <w:t>2022 Formula Bonus Criteria</w:t>
            </w: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1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140" w:type="dxa"/>
            <w:vAlign w:val="bottom"/>
            <w:tcBorders>
              <w:top w:val="single" w:sz="8" w:color="4472C4"/>
              <w:right w:val="single" w:sz="8" w:color="auto"/>
            </w:tcBorders>
            <w:shd w:val="clear" w:color="auto" w:fill="4472C4"/>
          </w:tcPr>
          <w:p>
            <w:pPr>
              <w:ind w:left="220"/>
              <w:spacing w:after="0"/>
              <w:rPr>
                <w:sz w:val="20"/>
                <w:szCs w:val="20"/>
                <w:color w:val="auto"/>
              </w:rPr>
            </w:pPr>
            <w:r>
              <w:rPr>
                <w:rFonts w:ascii="Arial" w:cs="Arial" w:eastAsia="Arial" w:hAnsi="Arial"/>
                <w:sz w:val="20"/>
                <w:szCs w:val="20"/>
                <w:b w:val="1"/>
                <w:bCs w:val="1"/>
                <w:color w:val="FFFFFF"/>
              </w:rPr>
              <w:t>Weight</w:t>
            </w:r>
          </w:p>
        </w:tc>
        <w:tc>
          <w:tcPr>
            <w:tcW w:w="1700" w:type="dxa"/>
            <w:vAlign w:val="bottom"/>
            <w:tcBorders>
              <w:top w:val="single" w:sz="8" w:color="4472C4"/>
              <w:right w:val="single" w:sz="8" w:color="auto"/>
            </w:tcBorders>
            <w:gridSpan w:val="2"/>
            <w:shd w:val="clear" w:color="auto" w:fill="4472C4"/>
          </w:tcPr>
          <w:p>
            <w:pPr>
              <w:jc w:val="right"/>
              <w:ind w:right="452"/>
              <w:spacing w:after="0"/>
              <w:rPr>
                <w:sz w:val="20"/>
                <w:szCs w:val="20"/>
                <w:color w:val="auto"/>
              </w:rPr>
            </w:pPr>
            <w:r>
              <w:rPr>
                <w:rFonts w:ascii="Arial" w:cs="Arial" w:eastAsia="Arial" w:hAnsi="Arial"/>
                <w:sz w:val="20"/>
                <w:szCs w:val="20"/>
                <w:b w:val="1"/>
                <w:bCs w:val="1"/>
                <w:color w:val="FFFFFF"/>
              </w:rPr>
              <w:t>Target</w:t>
            </w:r>
          </w:p>
        </w:tc>
        <w:tc>
          <w:tcPr>
            <w:tcW w:w="1460" w:type="dxa"/>
            <w:vAlign w:val="bottom"/>
            <w:tcBorders>
              <w:top w:val="single" w:sz="8" w:color="4472C4"/>
              <w:right w:val="single" w:sz="8" w:color="auto"/>
            </w:tcBorders>
            <w:gridSpan w:val="2"/>
            <w:shd w:val="clear" w:color="auto" w:fill="4472C4"/>
          </w:tcPr>
          <w:p>
            <w:pPr>
              <w:jc w:val="right"/>
              <w:ind w:right="260"/>
              <w:spacing w:after="0"/>
              <w:rPr>
                <w:sz w:val="20"/>
                <w:szCs w:val="20"/>
                <w:color w:val="auto"/>
              </w:rPr>
            </w:pPr>
            <w:r>
              <w:rPr>
                <w:rFonts w:ascii="Arial" w:cs="Arial" w:eastAsia="Arial" w:hAnsi="Arial"/>
                <w:sz w:val="20"/>
                <w:szCs w:val="20"/>
                <w:b w:val="1"/>
                <w:bCs w:val="1"/>
                <w:color w:val="FFFFFF"/>
              </w:rPr>
              <w:t>Threshold</w:t>
            </w:r>
          </w:p>
        </w:tc>
        <w:tc>
          <w:tcPr>
            <w:tcW w:w="1700" w:type="dxa"/>
            <w:vAlign w:val="bottom"/>
            <w:tcBorders>
              <w:top w:val="single" w:sz="8" w:color="4472C4"/>
              <w:right w:val="single" w:sz="8" w:color="auto"/>
            </w:tcBorders>
            <w:shd w:val="clear" w:color="auto" w:fill="4472C4"/>
          </w:tcPr>
          <w:p>
            <w:pPr>
              <w:jc w:val="right"/>
              <w:ind w:right="201"/>
              <w:spacing w:after="0"/>
              <w:rPr>
                <w:sz w:val="20"/>
                <w:szCs w:val="20"/>
                <w:color w:val="auto"/>
              </w:rPr>
            </w:pPr>
            <w:r>
              <w:rPr>
                <w:rFonts w:ascii="Arial" w:cs="Arial" w:eastAsia="Arial" w:hAnsi="Arial"/>
                <w:sz w:val="20"/>
                <w:szCs w:val="20"/>
                <w:b w:val="1"/>
                <w:bCs w:val="1"/>
                <w:color w:val="FFFFFF"/>
              </w:rPr>
              <w:t>Threshold #</w:t>
            </w:r>
          </w:p>
        </w:tc>
        <w:tc>
          <w:tcPr>
            <w:tcW w:w="820" w:type="dxa"/>
            <w:vAlign w:val="bottom"/>
            <w:tcBorders>
              <w:top w:val="single" w:sz="8" w:color="4472C4"/>
              <w:right w:val="single" w:sz="8" w:color="auto"/>
            </w:tcBorders>
            <w:shd w:val="clear" w:color="auto" w:fill="4472C4"/>
          </w:tcPr>
          <w:p>
            <w:pPr>
              <w:jc w:val="right"/>
              <w:ind w:right="141"/>
              <w:spacing w:after="0"/>
              <w:rPr>
                <w:sz w:val="20"/>
                <w:szCs w:val="20"/>
                <w:color w:val="auto"/>
              </w:rPr>
            </w:pPr>
            <w:r>
              <w:rPr>
                <w:rFonts w:ascii="Arial" w:cs="Arial" w:eastAsia="Arial" w:hAnsi="Arial"/>
                <w:sz w:val="20"/>
                <w:szCs w:val="20"/>
                <w:b w:val="1"/>
                <w:bCs w:val="1"/>
                <w:color w:val="FFFFFF"/>
              </w:rPr>
              <w:t>Max</w:t>
            </w:r>
          </w:p>
        </w:tc>
        <w:tc>
          <w:tcPr>
            <w:tcW w:w="1900" w:type="dxa"/>
            <w:vAlign w:val="bottom"/>
            <w:tcBorders>
              <w:top w:val="single" w:sz="8" w:color="4472C4"/>
              <w:right w:val="single" w:sz="8" w:color="auto"/>
            </w:tcBorders>
            <w:shd w:val="clear" w:color="auto" w:fill="4472C4"/>
          </w:tcPr>
          <w:p>
            <w:pPr>
              <w:jc w:val="right"/>
              <w:ind w:right="680"/>
              <w:spacing w:after="0"/>
              <w:rPr>
                <w:sz w:val="20"/>
                <w:szCs w:val="20"/>
                <w:color w:val="auto"/>
              </w:rPr>
            </w:pPr>
            <w:r>
              <w:rPr>
                <w:rFonts w:ascii="Arial" w:cs="Arial" w:eastAsia="Arial" w:hAnsi="Arial"/>
                <w:sz w:val="20"/>
                <w:szCs w:val="20"/>
                <w:b w:val="1"/>
                <w:bCs w:val="1"/>
                <w:color w:val="FFFFFF"/>
              </w:rPr>
              <w:t>Max</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shd w:val="clear" w:color="auto" w:fill="4472C4"/>
          </w:tcPr>
          <w:p>
            <w:pPr>
              <w:spacing w:after="0"/>
              <w:rPr>
                <w:sz w:val="15"/>
                <w:szCs w:val="15"/>
                <w:color w:val="auto"/>
              </w:rPr>
            </w:pPr>
          </w:p>
        </w:tc>
        <w:tc>
          <w:tcPr>
            <w:tcW w:w="1540" w:type="dxa"/>
            <w:vAlign w:val="bottom"/>
            <w:tcBorders>
              <w:bottom w:val="single" w:sz="8" w:color="auto"/>
            </w:tcBorders>
            <w:shd w:val="clear" w:color="auto" w:fill="4472C4"/>
          </w:tcPr>
          <w:p>
            <w:pPr>
              <w:spacing w:after="0"/>
              <w:rPr>
                <w:sz w:val="15"/>
                <w:szCs w:val="15"/>
                <w:color w:val="auto"/>
              </w:rPr>
            </w:pPr>
          </w:p>
        </w:tc>
        <w:tc>
          <w:tcPr>
            <w:tcW w:w="160" w:type="dxa"/>
            <w:vAlign w:val="bottom"/>
            <w:tcBorders>
              <w:bottom w:val="single" w:sz="8" w:color="auto"/>
              <w:right w:val="single" w:sz="8" w:color="auto"/>
            </w:tcBorders>
            <w:shd w:val="clear" w:color="auto" w:fill="4472C4"/>
          </w:tcPr>
          <w:p>
            <w:pPr>
              <w:spacing w:after="0"/>
              <w:rPr>
                <w:sz w:val="15"/>
                <w:szCs w:val="15"/>
                <w:color w:val="auto"/>
              </w:rPr>
            </w:pPr>
          </w:p>
        </w:tc>
        <w:tc>
          <w:tcPr>
            <w:tcW w:w="1020" w:type="dxa"/>
            <w:vAlign w:val="bottom"/>
            <w:tcBorders>
              <w:bottom w:val="single" w:sz="8" w:color="auto"/>
            </w:tcBorders>
            <w:shd w:val="clear" w:color="auto" w:fill="4472C4"/>
          </w:tcPr>
          <w:p>
            <w:pPr>
              <w:spacing w:after="0"/>
              <w:rPr>
                <w:sz w:val="15"/>
                <w:szCs w:val="15"/>
                <w:color w:val="auto"/>
              </w:rPr>
            </w:pPr>
          </w:p>
        </w:tc>
        <w:tc>
          <w:tcPr>
            <w:tcW w:w="440" w:type="dxa"/>
            <w:vAlign w:val="bottom"/>
            <w:tcBorders>
              <w:bottom w:val="single" w:sz="8" w:color="auto"/>
              <w:right w:val="single" w:sz="8" w:color="auto"/>
            </w:tcBorders>
            <w:shd w:val="clear" w:color="auto" w:fill="4472C4"/>
          </w:tcPr>
          <w:p>
            <w:pPr>
              <w:spacing w:after="0"/>
              <w:rPr>
                <w:sz w:val="15"/>
                <w:szCs w:val="15"/>
                <w:color w:val="auto"/>
              </w:rPr>
            </w:pPr>
          </w:p>
        </w:tc>
        <w:tc>
          <w:tcPr>
            <w:tcW w:w="1700" w:type="dxa"/>
            <w:vAlign w:val="bottom"/>
            <w:tcBorders>
              <w:bottom w:val="single" w:sz="8" w:color="auto"/>
              <w:right w:val="single" w:sz="8" w:color="auto"/>
            </w:tcBorders>
            <w:shd w:val="clear" w:color="auto" w:fill="4472C4"/>
          </w:tcPr>
          <w:p>
            <w:pPr>
              <w:spacing w:after="0"/>
              <w:rPr>
                <w:sz w:val="15"/>
                <w:szCs w:val="15"/>
                <w:color w:val="auto"/>
              </w:rPr>
            </w:pPr>
          </w:p>
        </w:tc>
        <w:tc>
          <w:tcPr>
            <w:tcW w:w="820" w:type="dxa"/>
            <w:vAlign w:val="bottom"/>
            <w:tcBorders>
              <w:bottom w:val="single" w:sz="8" w:color="auto"/>
              <w:right w:val="single" w:sz="8" w:color="auto"/>
            </w:tcBorders>
            <w:shd w:val="clear" w:color="auto" w:fill="4472C4"/>
          </w:tcPr>
          <w:p>
            <w:pPr>
              <w:spacing w:after="0"/>
              <w:rPr>
                <w:sz w:val="15"/>
                <w:szCs w:val="15"/>
                <w:color w:val="auto"/>
              </w:rPr>
            </w:pPr>
          </w:p>
        </w:tc>
        <w:tc>
          <w:tcPr>
            <w:tcW w:w="1900" w:type="dxa"/>
            <w:vAlign w:val="bottom"/>
            <w:tcBorders>
              <w:bottom w:val="single" w:sz="8" w:color="auto"/>
              <w:right w:val="single" w:sz="8" w:color="auto"/>
            </w:tcBorders>
            <w:shd w:val="clear" w:color="auto" w:fill="4472C4"/>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8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140" w:type="dxa"/>
            <w:vAlign w:val="bottom"/>
            <w:tcBorders>
              <w:top w:val="single" w:sz="8" w:color="E7E6E6"/>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20"/>
                <w:szCs w:val="20"/>
                <w:b w:val="1"/>
                <w:bCs w:val="1"/>
                <w:color w:val="auto"/>
              </w:rPr>
              <w:t>%</w:t>
            </w:r>
          </w:p>
        </w:tc>
        <w:tc>
          <w:tcPr>
            <w:tcW w:w="1540" w:type="dxa"/>
            <w:vAlign w:val="bottom"/>
            <w:tcBorders>
              <w:top w:val="single" w:sz="8" w:color="E7E6E6"/>
              <w:bottom w:val="single" w:sz="8" w:color="auto"/>
            </w:tcBorders>
            <w:shd w:val="clear" w:color="auto" w:fill="E7E6E6"/>
          </w:tcPr>
          <w:p>
            <w:pPr>
              <w:spacing w:after="0"/>
              <w:rPr>
                <w:sz w:val="21"/>
                <w:szCs w:val="21"/>
                <w:color w:val="auto"/>
              </w:rPr>
            </w:pPr>
          </w:p>
        </w:tc>
        <w:tc>
          <w:tcPr>
            <w:tcW w:w="160" w:type="dxa"/>
            <w:vAlign w:val="bottom"/>
            <w:tcBorders>
              <w:top w:val="single" w:sz="8" w:color="E7E6E6"/>
              <w:bottom w:val="single" w:sz="8" w:color="auto"/>
              <w:right w:val="single" w:sz="8" w:color="auto"/>
            </w:tcBorders>
            <w:shd w:val="clear" w:color="auto" w:fill="E7E6E6"/>
          </w:tcPr>
          <w:p>
            <w:pPr>
              <w:spacing w:after="0"/>
              <w:rPr>
                <w:sz w:val="21"/>
                <w:szCs w:val="21"/>
                <w:color w:val="auto"/>
              </w:rPr>
            </w:pPr>
          </w:p>
        </w:tc>
        <w:tc>
          <w:tcPr>
            <w:tcW w:w="1460" w:type="dxa"/>
            <w:vAlign w:val="bottom"/>
            <w:tcBorders>
              <w:top w:val="single" w:sz="8" w:color="E7E6E6"/>
              <w:bottom w:val="single" w:sz="8" w:color="auto"/>
              <w:right w:val="single" w:sz="8" w:color="auto"/>
            </w:tcBorders>
            <w:gridSpan w:val="2"/>
            <w:shd w:val="clear" w:color="auto" w:fill="E7E6E6"/>
          </w:tcPr>
          <w:p>
            <w:pPr>
              <w:jc w:val="right"/>
              <w:ind w:right="360"/>
              <w:spacing w:after="0"/>
              <w:rPr>
                <w:sz w:val="20"/>
                <w:szCs w:val="20"/>
                <w:color w:val="auto"/>
              </w:rPr>
            </w:pPr>
            <w:r>
              <w:rPr>
                <w:rFonts w:ascii="Arial" w:cs="Arial" w:eastAsia="Arial" w:hAnsi="Arial"/>
                <w:sz w:val="20"/>
                <w:szCs w:val="20"/>
                <w:b w:val="1"/>
                <w:bCs w:val="1"/>
                <w:color w:val="auto"/>
              </w:rPr>
              <w:t>% down</w:t>
            </w:r>
          </w:p>
        </w:tc>
        <w:tc>
          <w:tcPr>
            <w:tcW w:w="1700" w:type="dxa"/>
            <w:vAlign w:val="bottom"/>
            <w:tcBorders>
              <w:top w:val="single" w:sz="8" w:color="E7E6E6"/>
              <w:bottom w:val="single" w:sz="8" w:color="auto"/>
              <w:right w:val="single" w:sz="8" w:color="auto"/>
            </w:tcBorders>
            <w:shd w:val="clear" w:color="auto" w:fill="E7E6E6"/>
          </w:tcPr>
          <w:p>
            <w:pPr>
              <w:jc w:val="right"/>
              <w:ind w:right="701"/>
              <w:spacing w:after="0"/>
              <w:rPr>
                <w:sz w:val="20"/>
                <w:szCs w:val="20"/>
                <w:color w:val="auto"/>
              </w:rPr>
            </w:pPr>
            <w:r>
              <w:rPr>
                <w:rFonts w:ascii="Arial" w:cs="Arial" w:eastAsia="Arial" w:hAnsi="Arial"/>
                <w:sz w:val="20"/>
                <w:szCs w:val="20"/>
                <w:b w:val="1"/>
                <w:bCs w:val="1"/>
                <w:color w:val="auto"/>
              </w:rPr>
              <w:t>#</w:t>
            </w:r>
          </w:p>
        </w:tc>
        <w:tc>
          <w:tcPr>
            <w:tcW w:w="820" w:type="dxa"/>
            <w:vAlign w:val="bottom"/>
            <w:tcBorders>
              <w:top w:val="single" w:sz="8" w:color="E7E6E6"/>
              <w:bottom w:val="single" w:sz="8" w:color="auto"/>
              <w:right w:val="single" w:sz="8" w:color="auto"/>
            </w:tcBorders>
            <w:shd w:val="clear" w:color="auto" w:fill="E7E6E6"/>
          </w:tcPr>
          <w:p>
            <w:pPr>
              <w:jc w:val="right"/>
              <w:ind w:right="81"/>
              <w:spacing w:after="0"/>
              <w:rPr>
                <w:sz w:val="20"/>
                <w:szCs w:val="20"/>
                <w:color w:val="auto"/>
              </w:rPr>
            </w:pPr>
            <w:r>
              <w:rPr>
                <w:rFonts w:ascii="Arial" w:cs="Arial" w:eastAsia="Arial" w:hAnsi="Arial"/>
                <w:sz w:val="20"/>
                <w:szCs w:val="20"/>
                <w:b w:val="1"/>
                <w:bCs w:val="1"/>
                <w:color w:val="auto"/>
              </w:rPr>
              <w:t>% up</w:t>
            </w:r>
          </w:p>
        </w:tc>
        <w:tc>
          <w:tcPr>
            <w:tcW w:w="1900" w:type="dxa"/>
            <w:vAlign w:val="bottom"/>
            <w:tcBorders>
              <w:top w:val="single" w:sz="8" w:color="E7E6E6"/>
              <w:bottom w:val="single" w:sz="8" w:color="auto"/>
              <w:right w:val="single" w:sz="8" w:color="auto"/>
            </w:tcBorders>
            <w:shd w:val="clear" w:color="auto" w:fill="E7E6E6"/>
          </w:tcPr>
          <w:p>
            <w:pPr>
              <w:jc w:val="right"/>
              <w:ind w:right="820"/>
              <w:spacing w:after="0"/>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EBITDA (in</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25%</w:t>
            </w:r>
          </w:p>
        </w:tc>
        <w:tc>
          <w:tcPr>
            <w:tcW w:w="17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20"/>
                <w:szCs w:val="20"/>
                <w:color w:val="auto"/>
              </w:rPr>
              <w:t>93,187,000</w:t>
            </w:r>
          </w:p>
        </w:tc>
        <w:tc>
          <w:tcPr>
            <w:tcW w:w="14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20"/>
                <w:szCs w:val="20"/>
                <w:color w:val="auto"/>
              </w:rPr>
              <w:t>15%</w:t>
            </w:r>
          </w:p>
        </w:tc>
        <w:tc>
          <w:tcPr>
            <w:tcW w:w="170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79,208,950</w:t>
            </w:r>
          </w:p>
        </w:tc>
        <w:tc>
          <w:tcPr>
            <w:tcW w:w="8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20%</w:t>
            </w:r>
          </w:p>
        </w:tc>
        <w:tc>
          <w:tcPr>
            <w:tcW w:w="190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20"/>
                <w:szCs w:val="20"/>
                <w:color w:val="auto"/>
              </w:rPr>
              <w:t>111,824,400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thousands)</w:t>
            </w: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gridSpan w:val="2"/>
            <w:vMerge w:val="continue"/>
          </w:tcPr>
          <w:p>
            <w:pPr>
              <w:spacing w:after="0"/>
              <w:rPr>
                <w:sz w:val="10"/>
                <w:szCs w:val="10"/>
                <w:color w:val="auto"/>
              </w:rPr>
            </w:pPr>
          </w:p>
        </w:tc>
        <w:tc>
          <w:tcPr>
            <w:tcW w:w="1460" w:type="dxa"/>
            <w:vAlign w:val="bottom"/>
            <w:tcBorders>
              <w:right w:val="single" w:sz="8" w:color="auto"/>
            </w:tcBorders>
            <w:gridSpan w:val="2"/>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vMerge w:val="continue"/>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1"/>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GBO (in</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25%</w:t>
            </w:r>
          </w:p>
        </w:tc>
        <w:tc>
          <w:tcPr>
            <w:tcW w:w="17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20"/>
                <w:szCs w:val="20"/>
                <w:color w:val="auto"/>
              </w:rPr>
              <w:t>928,779,000</w:t>
            </w:r>
          </w:p>
        </w:tc>
        <w:tc>
          <w:tcPr>
            <w:tcW w:w="14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20"/>
                <w:szCs w:val="20"/>
                <w:color w:val="auto"/>
              </w:rPr>
              <w:t>15%</w:t>
            </w:r>
          </w:p>
        </w:tc>
        <w:tc>
          <w:tcPr>
            <w:tcW w:w="170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789,462,150</w:t>
            </w:r>
          </w:p>
        </w:tc>
        <w:tc>
          <w:tcPr>
            <w:tcW w:w="8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25%</w:t>
            </w:r>
          </w:p>
        </w:tc>
        <w:tc>
          <w:tcPr>
            <w:tcW w:w="190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20"/>
                <w:szCs w:val="20"/>
                <w:color w:val="auto"/>
              </w:rPr>
              <w:t>1,160,973,750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thousands)</w:t>
            </w:r>
          </w:p>
        </w:tc>
        <w:tc>
          <w:tcPr>
            <w:tcW w:w="114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gridSpan w:val="2"/>
            <w:vMerge w:val="continue"/>
          </w:tcPr>
          <w:p>
            <w:pPr>
              <w:spacing w:after="0"/>
              <w:rPr>
                <w:sz w:val="11"/>
                <w:szCs w:val="11"/>
                <w:color w:val="auto"/>
              </w:rPr>
            </w:pPr>
          </w:p>
        </w:tc>
        <w:tc>
          <w:tcPr>
            <w:tcW w:w="1460" w:type="dxa"/>
            <w:vAlign w:val="bottom"/>
            <w:tcBorders>
              <w:right w:val="single" w:sz="8" w:color="auto"/>
            </w:tcBorders>
            <w:gridSpan w:val="2"/>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60" w:type="dxa"/>
            <w:vAlign w:val="bottom"/>
            <w:tcBorders>
              <w:left w:val="single" w:sz="8" w:color="auto"/>
              <w:right w:val="single" w:sz="8" w:color="auto"/>
            </w:tcBorders>
          </w:tcPr>
          <w:p>
            <w:pPr>
              <w:ind w:left="120"/>
              <w:spacing w:after="0" w:line="219" w:lineRule="exact"/>
              <w:rPr>
                <w:sz w:val="20"/>
                <w:szCs w:val="20"/>
                <w:color w:val="auto"/>
              </w:rPr>
            </w:pPr>
            <w:r>
              <w:rPr>
                <w:rFonts w:ascii="Arial" w:cs="Arial" w:eastAsia="Arial" w:hAnsi="Arial"/>
                <w:sz w:val="20"/>
                <w:szCs w:val="20"/>
                <w:color w:val="auto"/>
              </w:rPr>
              <w:t>2022 New</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10%</w:t>
            </w:r>
          </w:p>
        </w:tc>
        <w:tc>
          <w:tcPr>
            <w:tcW w:w="17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20"/>
                <w:szCs w:val="20"/>
                <w:color w:val="auto"/>
              </w:rPr>
              <w:t>185</w:t>
            </w:r>
          </w:p>
        </w:tc>
        <w:tc>
          <w:tcPr>
            <w:tcW w:w="14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20"/>
                <w:szCs w:val="20"/>
                <w:color w:val="auto"/>
              </w:rPr>
              <w:t>50%</w:t>
            </w:r>
          </w:p>
        </w:tc>
        <w:tc>
          <w:tcPr>
            <w:tcW w:w="170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93</w:t>
            </w:r>
          </w:p>
        </w:tc>
        <w:tc>
          <w:tcPr>
            <w:tcW w:w="8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20%</w:t>
            </w:r>
          </w:p>
        </w:tc>
        <w:tc>
          <w:tcPr>
            <w:tcW w:w="190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20"/>
                <w:szCs w:val="20"/>
                <w:color w:val="auto"/>
              </w:rPr>
              <w:t>222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color w:val="auto"/>
              </w:rPr>
              <w:t>Connected</w:t>
            </w:r>
          </w:p>
        </w:tc>
        <w:tc>
          <w:tcPr>
            <w:tcW w:w="1140" w:type="dxa"/>
            <w:vAlign w:val="bottom"/>
            <w:tcBorders>
              <w:right w:val="single" w:sz="8" w:color="auto"/>
            </w:tcBorders>
            <w:vMerge w:val="continue"/>
          </w:tcPr>
          <w:p>
            <w:pPr>
              <w:spacing w:after="0"/>
              <w:rPr>
                <w:sz w:val="17"/>
                <w:szCs w:val="17"/>
                <w:color w:val="auto"/>
              </w:rPr>
            </w:pPr>
          </w:p>
        </w:tc>
        <w:tc>
          <w:tcPr>
            <w:tcW w:w="1700" w:type="dxa"/>
            <w:vAlign w:val="bottom"/>
            <w:tcBorders>
              <w:right w:val="single" w:sz="8" w:color="auto"/>
            </w:tcBorders>
            <w:gridSpan w:val="2"/>
            <w:vMerge w:val="continue"/>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82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Theaters</w:t>
            </w:r>
          </w:p>
        </w:tc>
        <w:tc>
          <w:tcPr>
            <w:tcW w:w="1140" w:type="dxa"/>
            <w:vAlign w:val="bottom"/>
            <w:tcBorders>
              <w:right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EPS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5%</w:t>
            </w:r>
          </w:p>
        </w:tc>
        <w:tc>
          <w:tcPr>
            <w:tcW w:w="1540" w:type="dxa"/>
            <w:vAlign w:val="bottom"/>
          </w:tcPr>
          <w:p>
            <w:pPr>
              <w:jc w:val="right"/>
              <w:spacing w:after="0"/>
              <w:rPr>
                <w:sz w:val="20"/>
                <w:szCs w:val="20"/>
                <w:color w:val="auto"/>
              </w:rPr>
            </w:pPr>
            <w:r>
              <w:rPr>
                <w:rFonts w:ascii="Arial" w:cs="Arial" w:eastAsia="Arial" w:hAnsi="Arial"/>
                <w:sz w:val="20"/>
                <w:szCs w:val="20"/>
                <w:color w:val="auto"/>
              </w:rPr>
              <w:t>$0.36</w:t>
            </w:r>
          </w:p>
        </w:tc>
        <w:tc>
          <w:tcPr>
            <w:tcW w:w="1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15%</w:t>
            </w:r>
          </w:p>
        </w:tc>
        <w:tc>
          <w:tcPr>
            <w:tcW w:w="170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$0.31</w:t>
            </w:r>
          </w:p>
        </w:tc>
        <w:tc>
          <w:tcPr>
            <w:tcW w:w="820" w:type="dxa"/>
            <w:vAlign w:val="bottom"/>
            <w:tcBorders>
              <w:right w:val="single" w:sz="8" w:color="auto"/>
            </w:tcBorders>
          </w:tcPr>
          <w:p>
            <w:pPr>
              <w:jc w:val="right"/>
              <w:ind w:right="181"/>
              <w:spacing w:after="0"/>
              <w:rPr>
                <w:sz w:val="20"/>
                <w:szCs w:val="20"/>
                <w:color w:val="auto"/>
              </w:rPr>
            </w:pPr>
            <w:r>
              <w:rPr>
                <w:rFonts w:ascii="Arial" w:cs="Arial" w:eastAsia="Arial" w:hAnsi="Arial"/>
                <w:sz w:val="20"/>
                <w:szCs w:val="20"/>
                <w:color w:val="auto"/>
              </w:rPr>
              <w:t>25%</w:t>
            </w:r>
          </w:p>
        </w:tc>
        <w:tc>
          <w:tcPr>
            <w:tcW w:w="1900" w:type="dxa"/>
            <w:vAlign w:val="bottom"/>
            <w:tcBorders>
              <w:right w:val="single" w:sz="8" w:color="auto"/>
            </w:tcBorders>
          </w:tcPr>
          <w:p>
            <w:pPr>
              <w:jc w:val="right"/>
              <w:ind w:right="20"/>
              <w:spacing w:after="0"/>
              <w:rPr>
                <w:sz w:val="20"/>
                <w:szCs w:val="20"/>
                <w:color w:val="auto"/>
              </w:rPr>
            </w:pPr>
            <w:r>
              <w:rPr>
                <w:rFonts w:ascii="Arial" w:cs="Arial" w:eastAsia="Arial" w:hAnsi="Arial"/>
                <w:sz w:val="20"/>
                <w:szCs w:val="20"/>
                <w:color w:val="auto"/>
              </w:rPr>
              <w:t>$0.45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Liquidity (in</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15%</w:t>
            </w:r>
          </w:p>
        </w:tc>
        <w:tc>
          <w:tcPr>
            <w:tcW w:w="170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20"/>
                <w:szCs w:val="20"/>
                <w:color w:val="auto"/>
              </w:rPr>
              <w:t>489,323,000</w:t>
            </w:r>
          </w:p>
        </w:tc>
        <w:tc>
          <w:tcPr>
            <w:tcW w:w="14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20"/>
                <w:szCs w:val="20"/>
                <w:color w:val="auto"/>
              </w:rPr>
              <w:t>15%</w:t>
            </w:r>
          </w:p>
        </w:tc>
        <w:tc>
          <w:tcPr>
            <w:tcW w:w="170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415,924,550</w:t>
            </w:r>
          </w:p>
        </w:tc>
        <w:tc>
          <w:tcPr>
            <w:tcW w:w="82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20"/>
                <w:szCs w:val="20"/>
                <w:color w:val="auto"/>
              </w:rPr>
              <w:t>20%</w:t>
            </w:r>
          </w:p>
        </w:tc>
        <w:tc>
          <w:tcPr>
            <w:tcW w:w="1900" w:type="dxa"/>
            <w:vAlign w:val="bottom"/>
            <w:tcBorders>
              <w:right w:val="single" w:sz="8" w:color="auto"/>
            </w:tcBorders>
            <w:vMerge w:val="restart"/>
          </w:tcPr>
          <w:p>
            <w:pPr>
              <w:jc w:val="right"/>
              <w:ind w:right="20"/>
              <w:spacing w:after="0"/>
              <w:rPr>
                <w:sz w:val="20"/>
                <w:szCs w:val="20"/>
                <w:color w:val="auto"/>
              </w:rPr>
            </w:pPr>
            <w:r>
              <w:rPr>
                <w:rFonts w:ascii="Arial" w:cs="Arial" w:eastAsia="Arial" w:hAnsi="Arial"/>
                <w:sz w:val="20"/>
                <w:szCs w:val="20"/>
                <w:color w:val="auto"/>
              </w:rPr>
              <w:t>587,187,600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thousands)**</w:t>
            </w:r>
          </w:p>
        </w:tc>
        <w:tc>
          <w:tcPr>
            <w:tcW w:w="114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gridSpan w:val="2"/>
            <w:vMerge w:val="continue"/>
          </w:tcPr>
          <w:p>
            <w:pPr>
              <w:spacing w:after="0"/>
              <w:rPr>
                <w:sz w:val="11"/>
                <w:szCs w:val="11"/>
                <w:color w:val="auto"/>
              </w:rPr>
            </w:pPr>
          </w:p>
        </w:tc>
        <w:tc>
          <w:tcPr>
            <w:tcW w:w="1460" w:type="dxa"/>
            <w:vAlign w:val="bottom"/>
            <w:tcBorders>
              <w:right w:val="single" w:sz="8" w:color="auto"/>
            </w:tcBorders>
            <w:gridSpan w:val="2"/>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72" w:hanging="272"/>
        <w:spacing w:after="0"/>
        <w:tabs>
          <w:tab w:leader="none" w:pos="272" w:val="left"/>
        </w:tabs>
        <w:numPr>
          <w:ilvl w:val="0"/>
          <w:numId w:val="57"/>
        </w:numPr>
        <w:rPr>
          <w:rFonts w:ascii="Arial" w:cs="Arial" w:eastAsia="Arial" w:hAnsi="Arial"/>
          <w:sz w:val="22"/>
          <w:szCs w:val="22"/>
          <w:color w:val="auto"/>
        </w:rPr>
      </w:pPr>
      <w:r>
        <w:rPr>
          <w:rFonts w:ascii="Arial" w:cs="Arial" w:eastAsia="Arial" w:hAnsi="Arial"/>
          <w:sz w:val="22"/>
          <w:szCs w:val="22"/>
          <w:color w:val="212121"/>
        </w:rPr>
        <w:t>Liquidity shall be calculated excluding the impact of share repurchases and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447040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B</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EBITDA and TSR Performance Conditions</w:t>
      </w:r>
    </w:p>
    <w:p>
      <w:pPr>
        <w:spacing w:after="0" w:line="200" w:lineRule="exact"/>
        <w:rPr>
          <w:sz w:val="20"/>
          <w:szCs w:val="20"/>
          <w:color w:val="auto"/>
        </w:rPr>
      </w:pPr>
    </w:p>
    <w:p>
      <w:pPr>
        <w:spacing w:after="0" w:line="288" w:lineRule="exact"/>
        <w:rPr>
          <w:sz w:val="20"/>
          <w:szCs w:val="20"/>
          <w:color w:val="auto"/>
        </w:rPr>
      </w:pPr>
    </w:p>
    <w:p>
      <w:pPr>
        <w:ind w:left="760" w:hanging="378"/>
        <w:spacing w:after="0"/>
        <w:tabs>
          <w:tab w:leader="none" w:pos="7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EBITDA (Applies to 60%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4015740" cy="15798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015740" cy="157988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600" w:type="dxa"/>
            <w:vAlign w:val="bottom"/>
            <w:shd w:val="clear" w:color="auto" w:fill="162442"/>
          </w:tcPr>
          <w:p>
            <w:pPr>
              <w:jc w:val="center"/>
              <w:spacing w:after="0"/>
              <w:rPr>
                <w:sz w:val="20"/>
                <w:szCs w:val="20"/>
                <w:color w:val="auto"/>
              </w:rPr>
            </w:pPr>
            <w:r>
              <w:rPr>
                <w:rFonts w:ascii="Arial" w:cs="Arial" w:eastAsia="Arial" w:hAnsi="Arial"/>
                <w:sz w:val="14"/>
                <w:szCs w:val="14"/>
                <w:b w:val="1"/>
                <w:bCs w:val="1"/>
                <w:color w:val="FFFFFF"/>
              </w:rPr>
              <w:t>Average Annual EBITDA Growth</w:t>
            </w:r>
          </w:p>
        </w:tc>
        <w:tc>
          <w:tcPr>
            <w:tcW w:w="3640" w:type="dxa"/>
            <w:vAlign w:val="bottom"/>
            <w:shd w:val="clear" w:color="auto" w:fill="162442"/>
          </w:tcPr>
          <w:p>
            <w:pPr>
              <w:jc w:val="center"/>
              <w:spacing w:after="0"/>
              <w:rPr>
                <w:sz w:val="20"/>
                <w:szCs w:val="20"/>
                <w:color w:val="auto"/>
              </w:rPr>
            </w:pPr>
            <w:r>
              <w:rPr>
                <w:rFonts w:ascii="Arial" w:cs="Arial" w:eastAsia="Arial" w:hAnsi="Arial"/>
                <w:sz w:val="14"/>
                <w:szCs w:val="14"/>
                <w:b w:val="1"/>
                <w:bCs w:val="1"/>
                <w:color w:val="FFFFFF"/>
              </w:rPr>
              <w:t># PSUs Earned as % of Target at end of</w:t>
            </w:r>
          </w:p>
        </w:tc>
      </w:tr>
      <w:tr>
        <w:trPr>
          <w:trHeight w:val="209"/>
        </w:trPr>
        <w:tc>
          <w:tcPr>
            <w:tcW w:w="2600" w:type="dxa"/>
            <w:vAlign w:val="bottom"/>
            <w:tcBorders>
              <w:bottom w:val="single" w:sz="8" w:color="162442"/>
            </w:tcBorders>
            <w:shd w:val="clear" w:color="auto" w:fill="162442"/>
          </w:tcPr>
          <w:p>
            <w:pPr>
              <w:jc w:val="center"/>
              <w:spacing w:after="0"/>
              <w:rPr>
                <w:sz w:val="20"/>
                <w:szCs w:val="20"/>
                <w:color w:val="auto"/>
              </w:rPr>
            </w:pPr>
            <w:r>
              <w:rPr>
                <w:rFonts w:ascii="Arial" w:cs="Arial" w:eastAsia="Arial" w:hAnsi="Arial"/>
                <w:sz w:val="14"/>
                <w:szCs w:val="14"/>
                <w:b w:val="1"/>
                <w:bCs w:val="1"/>
                <w:color w:val="FFFFFF"/>
              </w:rPr>
              <w:t>Over Performance Period</w:t>
            </w:r>
          </w:p>
        </w:tc>
        <w:tc>
          <w:tcPr>
            <w:tcW w:w="3640" w:type="dxa"/>
            <w:vAlign w:val="bottom"/>
            <w:tcBorders>
              <w:bottom w:val="single" w:sz="8" w:color="162442"/>
            </w:tcBorders>
            <w:shd w:val="clear" w:color="auto" w:fill="162442"/>
          </w:tcPr>
          <w:p>
            <w:pPr>
              <w:jc w:val="center"/>
              <w:spacing w:after="0"/>
              <w:rPr>
                <w:sz w:val="20"/>
                <w:szCs w:val="20"/>
                <w:color w:val="auto"/>
              </w:rPr>
            </w:pPr>
            <w:r>
              <w:rPr>
                <w:rFonts w:ascii="Arial" w:cs="Arial" w:eastAsia="Arial" w:hAnsi="Arial"/>
                <w:sz w:val="14"/>
                <w:szCs w:val="14"/>
                <w:b w:val="1"/>
                <w:bCs w:val="1"/>
                <w:color w:val="FFFFFF"/>
              </w:rPr>
              <w:t>Performance Cycle</w:t>
            </w:r>
          </w:p>
        </w:tc>
      </w:tr>
      <w:tr>
        <w:trPr>
          <w:trHeight w:val="250"/>
        </w:trPr>
        <w:tc>
          <w:tcPr>
            <w:tcW w:w="2600" w:type="dxa"/>
            <w:vAlign w:val="bottom"/>
            <w:tcBorders>
              <w:bottom w:val="single" w:sz="8" w:color="A5AB81"/>
            </w:tcBorders>
            <w:shd w:val="clear" w:color="auto" w:fill="A5AB81"/>
          </w:tcPr>
          <w:p>
            <w:pPr>
              <w:jc w:val="center"/>
              <w:spacing w:after="0"/>
              <w:rPr>
                <w:sz w:val="20"/>
                <w:szCs w:val="20"/>
                <w:color w:val="auto"/>
              </w:rPr>
            </w:pPr>
            <w:r>
              <w:rPr>
                <w:rFonts w:ascii="Arial" w:cs="Arial" w:eastAsia="Arial" w:hAnsi="Arial"/>
                <w:sz w:val="18"/>
                <w:szCs w:val="18"/>
                <w:color w:val="auto"/>
                <w:w w:val="97"/>
              </w:rPr>
              <w:t>&lt;</w:t>
            </w:r>
            <w:r>
              <w:rPr>
                <w:rFonts w:ascii="Arial" w:cs="Arial" w:eastAsia="Arial" w:hAnsi="Arial"/>
                <w:sz w:val="14"/>
                <w:szCs w:val="14"/>
                <w:b w:val="1"/>
                <w:bCs w:val="1"/>
                <w:color w:val="162442"/>
                <w:w w:val="97"/>
              </w:rPr>
              <w:t>5%</w:t>
            </w:r>
          </w:p>
        </w:tc>
        <w:tc>
          <w:tcPr>
            <w:tcW w:w="3640" w:type="dxa"/>
            <w:vAlign w:val="bottom"/>
            <w:tcBorders>
              <w:bottom w:val="single" w:sz="8" w:color="A5AB81"/>
            </w:tcBorders>
            <w:shd w:val="clear" w:color="auto" w:fill="A5AB81"/>
          </w:tcPr>
          <w:p>
            <w:pPr>
              <w:jc w:val="center"/>
              <w:spacing w:after="0"/>
              <w:rPr>
                <w:sz w:val="20"/>
                <w:szCs w:val="20"/>
                <w:color w:val="auto"/>
              </w:rPr>
            </w:pPr>
            <w:r>
              <w:rPr>
                <w:rFonts w:ascii="Arial" w:cs="Arial" w:eastAsia="Arial" w:hAnsi="Arial"/>
                <w:sz w:val="14"/>
                <w:szCs w:val="14"/>
                <w:b w:val="1"/>
                <w:bCs w:val="1"/>
                <w:color w:val="162442"/>
              </w:rPr>
              <w:t>0%</w:t>
            </w:r>
          </w:p>
        </w:tc>
      </w:tr>
      <w:tr>
        <w:trPr>
          <w:trHeight w:val="204"/>
        </w:trPr>
        <w:tc>
          <w:tcPr>
            <w:tcW w:w="2600" w:type="dxa"/>
            <w:vAlign w:val="bottom"/>
            <w:shd w:val="clear" w:color="auto" w:fill="C8CCB3"/>
          </w:tcPr>
          <w:p>
            <w:pPr>
              <w:jc w:val="center"/>
              <w:spacing w:after="0"/>
              <w:rPr>
                <w:sz w:val="20"/>
                <w:szCs w:val="20"/>
                <w:color w:val="auto"/>
              </w:rPr>
            </w:pPr>
            <w:r>
              <w:rPr>
                <w:rFonts w:ascii="Arial" w:cs="Arial" w:eastAsia="Arial" w:hAnsi="Arial"/>
                <w:sz w:val="14"/>
                <w:szCs w:val="14"/>
                <w:b w:val="1"/>
                <w:bCs w:val="1"/>
                <w:color w:val="162442"/>
              </w:rPr>
              <w:t>5%</w:t>
            </w:r>
          </w:p>
        </w:tc>
        <w:tc>
          <w:tcPr>
            <w:tcW w:w="3640" w:type="dxa"/>
            <w:vAlign w:val="bottom"/>
            <w:shd w:val="clear" w:color="auto" w:fill="C8CCB3"/>
          </w:tcPr>
          <w:p>
            <w:pPr>
              <w:jc w:val="center"/>
              <w:spacing w:after="0"/>
              <w:rPr>
                <w:sz w:val="20"/>
                <w:szCs w:val="20"/>
                <w:color w:val="auto"/>
              </w:rPr>
            </w:pPr>
            <w:r>
              <w:rPr>
                <w:rFonts w:ascii="Arial" w:cs="Arial" w:eastAsia="Arial" w:hAnsi="Arial"/>
                <w:sz w:val="14"/>
                <w:szCs w:val="14"/>
                <w:b w:val="1"/>
                <w:bCs w:val="1"/>
                <w:color w:val="162442"/>
              </w:rPr>
              <w:t>50%</w:t>
            </w:r>
          </w:p>
        </w:tc>
      </w:tr>
      <w:tr>
        <w:trPr>
          <w:trHeight w:val="66"/>
        </w:trPr>
        <w:tc>
          <w:tcPr>
            <w:tcW w:w="2600" w:type="dxa"/>
            <w:vAlign w:val="bottom"/>
            <w:shd w:val="clear" w:color="auto" w:fill="C8CCB3"/>
          </w:tcPr>
          <w:p>
            <w:pPr>
              <w:spacing w:after="0"/>
              <w:rPr>
                <w:sz w:val="5"/>
                <w:szCs w:val="5"/>
                <w:color w:val="auto"/>
              </w:rPr>
            </w:pPr>
          </w:p>
        </w:tc>
        <w:tc>
          <w:tcPr>
            <w:tcW w:w="3640" w:type="dxa"/>
            <w:vAlign w:val="bottom"/>
            <w:shd w:val="clear" w:color="auto" w:fill="C8CCB3"/>
          </w:tcPr>
          <w:p>
            <w:pPr>
              <w:spacing w:after="0"/>
              <w:rPr>
                <w:sz w:val="5"/>
                <w:szCs w:val="5"/>
                <w:color w:val="auto"/>
              </w:rPr>
            </w:pPr>
          </w:p>
        </w:tc>
      </w:tr>
      <w:tr>
        <w:trPr>
          <w:trHeight w:val="204"/>
        </w:trPr>
        <w:tc>
          <w:tcPr>
            <w:tcW w:w="260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162442"/>
              </w:rPr>
              <w:t>10%</w:t>
            </w:r>
          </w:p>
        </w:tc>
        <w:tc>
          <w:tcPr>
            <w:tcW w:w="364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162442"/>
              </w:rPr>
              <w:t>75%</w:t>
            </w:r>
          </w:p>
        </w:tc>
      </w:tr>
      <w:tr>
        <w:trPr>
          <w:trHeight w:val="66"/>
        </w:trPr>
        <w:tc>
          <w:tcPr>
            <w:tcW w:w="2600" w:type="dxa"/>
            <w:vAlign w:val="bottom"/>
            <w:shd w:val="clear" w:color="auto" w:fill="A5AB81"/>
          </w:tcPr>
          <w:p>
            <w:pPr>
              <w:spacing w:after="0"/>
              <w:rPr>
                <w:sz w:val="5"/>
                <w:szCs w:val="5"/>
                <w:color w:val="auto"/>
              </w:rPr>
            </w:pPr>
          </w:p>
        </w:tc>
        <w:tc>
          <w:tcPr>
            <w:tcW w:w="3640" w:type="dxa"/>
            <w:vAlign w:val="bottom"/>
            <w:shd w:val="clear" w:color="auto" w:fill="A5AB81"/>
          </w:tcPr>
          <w:p>
            <w:pPr>
              <w:spacing w:after="0"/>
              <w:rPr>
                <w:sz w:val="5"/>
                <w:szCs w:val="5"/>
                <w:color w:val="auto"/>
              </w:rPr>
            </w:pPr>
          </w:p>
        </w:tc>
      </w:tr>
      <w:tr>
        <w:trPr>
          <w:trHeight w:val="204"/>
        </w:trPr>
        <w:tc>
          <w:tcPr>
            <w:tcW w:w="2600" w:type="dxa"/>
            <w:vAlign w:val="bottom"/>
            <w:shd w:val="clear" w:color="auto" w:fill="C8CCB3"/>
          </w:tcPr>
          <w:p>
            <w:pPr>
              <w:jc w:val="center"/>
              <w:spacing w:after="0"/>
              <w:rPr>
                <w:sz w:val="20"/>
                <w:szCs w:val="20"/>
                <w:color w:val="auto"/>
              </w:rPr>
            </w:pPr>
            <w:r>
              <w:rPr>
                <w:rFonts w:ascii="Arial" w:cs="Arial" w:eastAsia="Arial" w:hAnsi="Arial"/>
                <w:sz w:val="14"/>
                <w:szCs w:val="14"/>
                <w:b w:val="1"/>
                <w:bCs w:val="1"/>
                <w:color w:val="162442"/>
              </w:rPr>
              <w:t>12.5%</w:t>
            </w:r>
          </w:p>
        </w:tc>
        <w:tc>
          <w:tcPr>
            <w:tcW w:w="3640" w:type="dxa"/>
            <w:vAlign w:val="bottom"/>
            <w:shd w:val="clear" w:color="auto" w:fill="C8CCB3"/>
          </w:tcPr>
          <w:p>
            <w:pPr>
              <w:jc w:val="center"/>
              <w:spacing w:after="0"/>
              <w:rPr>
                <w:sz w:val="20"/>
                <w:szCs w:val="20"/>
                <w:color w:val="auto"/>
              </w:rPr>
            </w:pPr>
            <w:r>
              <w:rPr>
                <w:rFonts w:ascii="Arial" w:cs="Arial" w:eastAsia="Arial" w:hAnsi="Arial"/>
                <w:sz w:val="14"/>
                <w:szCs w:val="14"/>
                <w:b w:val="1"/>
                <w:bCs w:val="1"/>
                <w:color w:val="162442"/>
              </w:rPr>
              <w:t>100%</w:t>
            </w:r>
          </w:p>
        </w:tc>
      </w:tr>
      <w:tr>
        <w:trPr>
          <w:trHeight w:val="66"/>
        </w:trPr>
        <w:tc>
          <w:tcPr>
            <w:tcW w:w="2600" w:type="dxa"/>
            <w:vAlign w:val="bottom"/>
            <w:shd w:val="clear" w:color="auto" w:fill="C8CCB3"/>
          </w:tcPr>
          <w:p>
            <w:pPr>
              <w:spacing w:after="0"/>
              <w:rPr>
                <w:sz w:val="5"/>
                <w:szCs w:val="5"/>
                <w:color w:val="auto"/>
              </w:rPr>
            </w:pPr>
          </w:p>
        </w:tc>
        <w:tc>
          <w:tcPr>
            <w:tcW w:w="3640" w:type="dxa"/>
            <w:vAlign w:val="bottom"/>
            <w:shd w:val="clear" w:color="auto" w:fill="C8CCB3"/>
          </w:tcPr>
          <w:p>
            <w:pPr>
              <w:spacing w:after="0"/>
              <w:rPr>
                <w:sz w:val="5"/>
                <w:szCs w:val="5"/>
                <w:color w:val="auto"/>
              </w:rPr>
            </w:pPr>
          </w:p>
        </w:tc>
      </w:tr>
      <w:tr>
        <w:trPr>
          <w:trHeight w:val="204"/>
        </w:trPr>
        <w:tc>
          <w:tcPr>
            <w:tcW w:w="260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162442"/>
              </w:rPr>
              <w:t>15%</w:t>
            </w:r>
          </w:p>
        </w:tc>
        <w:tc>
          <w:tcPr>
            <w:tcW w:w="364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162442"/>
              </w:rPr>
              <w:t>125%</w:t>
            </w:r>
          </w:p>
        </w:tc>
      </w:tr>
      <w:tr>
        <w:trPr>
          <w:trHeight w:val="66"/>
        </w:trPr>
        <w:tc>
          <w:tcPr>
            <w:tcW w:w="2600" w:type="dxa"/>
            <w:vAlign w:val="bottom"/>
            <w:shd w:val="clear" w:color="auto" w:fill="A5AB81"/>
          </w:tcPr>
          <w:p>
            <w:pPr>
              <w:spacing w:after="0"/>
              <w:rPr>
                <w:sz w:val="5"/>
                <w:szCs w:val="5"/>
                <w:color w:val="auto"/>
              </w:rPr>
            </w:pPr>
          </w:p>
        </w:tc>
        <w:tc>
          <w:tcPr>
            <w:tcW w:w="3640" w:type="dxa"/>
            <w:vAlign w:val="bottom"/>
            <w:shd w:val="clear" w:color="auto" w:fill="A5AB81"/>
          </w:tcPr>
          <w:p>
            <w:pPr>
              <w:spacing w:after="0"/>
              <w:rPr>
                <w:sz w:val="5"/>
                <w:szCs w:val="5"/>
                <w:color w:val="auto"/>
              </w:rPr>
            </w:pPr>
          </w:p>
        </w:tc>
      </w:tr>
      <w:tr>
        <w:trPr>
          <w:trHeight w:val="204"/>
        </w:trPr>
        <w:tc>
          <w:tcPr>
            <w:tcW w:w="2600" w:type="dxa"/>
            <w:vAlign w:val="bottom"/>
            <w:shd w:val="clear" w:color="auto" w:fill="C8CCB3"/>
          </w:tcPr>
          <w:p>
            <w:pPr>
              <w:jc w:val="center"/>
              <w:spacing w:after="0"/>
              <w:rPr>
                <w:sz w:val="20"/>
                <w:szCs w:val="20"/>
                <w:color w:val="auto"/>
              </w:rPr>
            </w:pPr>
            <w:r>
              <w:rPr>
                <w:rFonts w:ascii="Arial" w:cs="Arial" w:eastAsia="Arial" w:hAnsi="Arial"/>
                <w:sz w:val="14"/>
                <w:szCs w:val="14"/>
                <w:b w:val="1"/>
                <w:bCs w:val="1"/>
                <w:color w:val="162442"/>
              </w:rPr>
              <w:t>17.5%</w:t>
            </w:r>
          </w:p>
        </w:tc>
        <w:tc>
          <w:tcPr>
            <w:tcW w:w="3640" w:type="dxa"/>
            <w:vAlign w:val="bottom"/>
            <w:shd w:val="clear" w:color="auto" w:fill="C8CCB3"/>
          </w:tcPr>
          <w:p>
            <w:pPr>
              <w:jc w:val="center"/>
              <w:spacing w:after="0"/>
              <w:rPr>
                <w:sz w:val="20"/>
                <w:szCs w:val="20"/>
                <w:color w:val="auto"/>
              </w:rPr>
            </w:pPr>
            <w:r>
              <w:rPr>
                <w:rFonts w:ascii="Arial" w:cs="Arial" w:eastAsia="Arial" w:hAnsi="Arial"/>
                <w:sz w:val="14"/>
                <w:szCs w:val="14"/>
                <w:b w:val="1"/>
                <w:bCs w:val="1"/>
                <w:color w:val="162442"/>
              </w:rPr>
              <w:t>150%</w:t>
            </w:r>
          </w:p>
        </w:tc>
      </w:tr>
      <w:tr>
        <w:trPr>
          <w:trHeight w:val="66"/>
        </w:trPr>
        <w:tc>
          <w:tcPr>
            <w:tcW w:w="2600" w:type="dxa"/>
            <w:vAlign w:val="bottom"/>
            <w:shd w:val="clear" w:color="auto" w:fill="C8CCB3"/>
          </w:tcPr>
          <w:p>
            <w:pPr>
              <w:spacing w:after="0"/>
              <w:rPr>
                <w:sz w:val="5"/>
                <w:szCs w:val="5"/>
                <w:color w:val="auto"/>
              </w:rPr>
            </w:pPr>
          </w:p>
        </w:tc>
        <w:tc>
          <w:tcPr>
            <w:tcW w:w="3640" w:type="dxa"/>
            <w:vAlign w:val="bottom"/>
            <w:shd w:val="clear" w:color="auto" w:fill="C8CCB3"/>
          </w:tcPr>
          <w:p>
            <w:pPr>
              <w:spacing w:after="0"/>
              <w:rPr>
                <w:sz w:val="5"/>
                <w:szCs w:val="5"/>
                <w:color w:val="auto"/>
              </w:rPr>
            </w:pPr>
          </w:p>
        </w:tc>
      </w:tr>
      <w:tr>
        <w:trPr>
          <w:trHeight w:val="204"/>
        </w:trPr>
        <w:tc>
          <w:tcPr>
            <w:tcW w:w="260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162442"/>
              </w:rPr>
              <w:t>≥ 20%</w:t>
            </w:r>
          </w:p>
        </w:tc>
        <w:tc>
          <w:tcPr>
            <w:tcW w:w="364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162442"/>
              </w:rPr>
              <w:t>175%</w:t>
            </w:r>
          </w:p>
        </w:tc>
      </w:tr>
      <w:tr>
        <w:trPr>
          <w:trHeight w:val="66"/>
        </w:trPr>
        <w:tc>
          <w:tcPr>
            <w:tcW w:w="2600" w:type="dxa"/>
            <w:vAlign w:val="bottom"/>
            <w:shd w:val="clear" w:color="auto" w:fill="A5AB81"/>
          </w:tcPr>
          <w:p>
            <w:pPr>
              <w:spacing w:after="0"/>
              <w:rPr>
                <w:sz w:val="5"/>
                <w:szCs w:val="5"/>
                <w:color w:val="auto"/>
              </w:rPr>
            </w:pPr>
          </w:p>
        </w:tc>
        <w:tc>
          <w:tcPr>
            <w:tcW w:w="3640" w:type="dxa"/>
            <w:vAlign w:val="bottom"/>
            <w:shd w:val="clear" w:color="auto" w:fill="A5AB81"/>
          </w:tcPr>
          <w:p>
            <w:pPr>
              <w:spacing w:after="0"/>
              <w:rPr>
                <w:sz w:val="5"/>
                <w:szCs w:val="5"/>
                <w:color w:val="auto"/>
              </w:rPr>
            </w:pPr>
          </w:p>
        </w:tc>
      </w:tr>
    </w:tbl>
    <w:p>
      <w:pPr>
        <w:spacing w:after="0" w:line="200" w:lineRule="exact"/>
        <w:rPr>
          <w:sz w:val="20"/>
          <w:szCs w:val="20"/>
          <w:color w:val="auto"/>
        </w:rPr>
      </w:pPr>
    </w:p>
    <w:p>
      <w:pPr>
        <w:spacing w:after="0" w:line="225" w:lineRule="exact"/>
        <w:rPr>
          <w:sz w:val="20"/>
          <w:szCs w:val="20"/>
          <w:color w:val="auto"/>
        </w:rPr>
      </w:pPr>
    </w:p>
    <w:p>
      <w:pPr>
        <w:ind w:left="760" w:hanging="378"/>
        <w:spacing w:after="0"/>
        <w:tabs>
          <w:tab w:leader="none" w:pos="760" w:val="left"/>
        </w:tabs>
        <w:numPr>
          <w:ilvl w:val="0"/>
          <w:numId w:val="59"/>
        </w:numPr>
        <w:rPr>
          <w:rFonts w:ascii="Arial" w:cs="Arial" w:eastAsia="Arial" w:hAnsi="Arial"/>
          <w:sz w:val="22"/>
          <w:szCs w:val="22"/>
          <w:color w:val="auto"/>
        </w:rPr>
      </w:pPr>
      <w:r>
        <w:rPr>
          <w:rFonts w:ascii="Arial" w:cs="Arial" w:eastAsia="Arial" w:hAnsi="Arial"/>
          <w:sz w:val="20"/>
          <w:szCs w:val="20"/>
          <w:color w:val="auto"/>
        </w:rPr>
        <w:t>Relative TSR vs. IMAX Peer Group (Applies to 40%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5569585" cy="14084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569585" cy="140843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560"/>
        </w:trPr>
        <w:tc>
          <w:tcPr>
            <w:tcW w:w="2560" w:type="dxa"/>
            <w:vAlign w:val="bottom"/>
          </w:tcPr>
          <w:p>
            <w:pPr>
              <w:spacing w:after="0"/>
              <w:rPr>
                <w:sz w:val="24"/>
                <w:szCs w:val="24"/>
                <w:color w:val="auto"/>
              </w:rPr>
            </w:pPr>
          </w:p>
        </w:tc>
        <w:tc>
          <w:tcPr>
            <w:tcW w:w="2880" w:type="dxa"/>
            <w:vAlign w:val="bottom"/>
            <w:tcBorders>
              <w:bottom w:val="single" w:sz="8" w:color="162442"/>
            </w:tcBorders>
            <w:shd w:val="clear" w:color="auto" w:fill="162442"/>
          </w:tcPr>
          <w:p>
            <w:pPr>
              <w:ind w:left="480"/>
              <w:spacing w:after="0"/>
              <w:rPr>
                <w:sz w:val="20"/>
                <w:szCs w:val="20"/>
                <w:color w:val="auto"/>
              </w:rPr>
            </w:pPr>
            <w:r>
              <w:rPr>
                <w:rFonts w:ascii="Arial" w:cs="Arial" w:eastAsia="Arial" w:hAnsi="Arial"/>
                <w:sz w:val="14"/>
                <w:szCs w:val="14"/>
                <w:b w:val="1"/>
                <w:bCs w:val="1"/>
                <w:color w:val="FFFFFF"/>
              </w:rPr>
              <w:t>Performance Percentile</w:t>
            </w:r>
          </w:p>
        </w:tc>
        <w:tc>
          <w:tcPr>
            <w:tcW w:w="3240" w:type="dxa"/>
            <w:vAlign w:val="bottom"/>
            <w:tcBorders>
              <w:bottom w:val="single" w:sz="8" w:color="162442"/>
            </w:tcBorders>
            <w:shd w:val="clear" w:color="auto" w:fill="162442"/>
          </w:tcPr>
          <w:p>
            <w:pPr>
              <w:ind w:left="820"/>
              <w:spacing w:after="0"/>
              <w:rPr>
                <w:sz w:val="20"/>
                <w:szCs w:val="20"/>
                <w:color w:val="auto"/>
              </w:rPr>
            </w:pPr>
            <w:r>
              <w:rPr>
                <w:rFonts w:ascii="Arial" w:cs="Arial" w:eastAsia="Arial" w:hAnsi="Arial"/>
                <w:sz w:val="14"/>
                <w:szCs w:val="14"/>
                <w:b w:val="1"/>
                <w:bCs w:val="1"/>
                <w:color w:val="FFFFFF"/>
              </w:rPr>
              <w:t>Payout % of Target</w:t>
            </w:r>
          </w:p>
        </w:tc>
      </w:tr>
      <w:tr>
        <w:trPr>
          <w:trHeight w:val="229"/>
        </w:trPr>
        <w:tc>
          <w:tcPr>
            <w:tcW w:w="2560" w:type="dxa"/>
            <w:vAlign w:val="bottom"/>
            <w:shd w:val="clear" w:color="auto" w:fill="A5AB81"/>
          </w:tcPr>
          <w:p>
            <w:pPr>
              <w:spacing w:after="0"/>
              <w:rPr>
                <w:sz w:val="19"/>
                <w:szCs w:val="19"/>
                <w:color w:val="auto"/>
              </w:rPr>
            </w:pPr>
          </w:p>
        </w:tc>
        <w:tc>
          <w:tcPr>
            <w:tcW w:w="2880" w:type="dxa"/>
            <w:vAlign w:val="bottom"/>
            <w:shd w:val="clear" w:color="auto" w:fill="A5AB81"/>
          </w:tcPr>
          <w:p>
            <w:pPr>
              <w:jc w:val="center"/>
              <w:ind w:right="245"/>
              <w:spacing w:after="0"/>
              <w:rPr>
                <w:sz w:val="20"/>
                <w:szCs w:val="20"/>
                <w:color w:val="auto"/>
              </w:rPr>
            </w:pPr>
            <w:r>
              <w:rPr>
                <w:rFonts w:ascii="Arial" w:cs="Arial" w:eastAsia="Arial" w:hAnsi="Arial"/>
                <w:sz w:val="18"/>
                <w:szCs w:val="18"/>
                <w:color w:val="auto"/>
              </w:rPr>
              <w:t>&lt;</w:t>
            </w:r>
            <w:r>
              <w:rPr>
                <w:rFonts w:ascii="Arial" w:cs="Arial" w:eastAsia="Arial" w:hAnsi="Arial"/>
                <w:sz w:val="14"/>
                <w:szCs w:val="14"/>
                <w:b w:val="1"/>
                <w:bCs w:val="1"/>
                <w:color w:val="162442"/>
              </w:rPr>
              <w:t>25%</w:t>
            </w:r>
          </w:p>
        </w:tc>
        <w:tc>
          <w:tcPr>
            <w:tcW w:w="3240" w:type="dxa"/>
            <w:vAlign w:val="bottom"/>
            <w:shd w:val="clear" w:color="auto" w:fill="A5AB81"/>
          </w:tcPr>
          <w:p>
            <w:pPr>
              <w:jc w:val="center"/>
              <w:ind w:right="248"/>
              <w:spacing w:after="0"/>
              <w:rPr>
                <w:sz w:val="20"/>
                <w:szCs w:val="20"/>
                <w:color w:val="auto"/>
              </w:rPr>
            </w:pPr>
            <w:r>
              <w:rPr>
                <w:rFonts w:ascii="Arial" w:cs="Arial" w:eastAsia="Arial" w:hAnsi="Arial"/>
                <w:sz w:val="14"/>
                <w:szCs w:val="14"/>
                <w:b w:val="1"/>
                <w:bCs w:val="1"/>
                <w:color w:val="162442"/>
                <w:w w:val="98"/>
              </w:rPr>
              <w:t>0%</w:t>
            </w:r>
          </w:p>
        </w:tc>
      </w:tr>
      <w:tr>
        <w:trPr>
          <w:trHeight w:val="244"/>
        </w:trPr>
        <w:tc>
          <w:tcPr>
            <w:tcW w:w="256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FF0000"/>
              </w:rPr>
              <w:t>Threshold</w:t>
            </w:r>
          </w:p>
        </w:tc>
        <w:tc>
          <w:tcPr>
            <w:tcW w:w="2880" w:type="dxa"/>
            <w:vAlign w:val="bottom"/>
            <w:shd w:val="clear" w:color="auto" w:fill="A5AB81"/>
          </w:tcPr>
          <w:p>
            <w:pPr>
              <w:jc w:val="center"/>
              <w:ind w:right="245"/>
              <w:spacing w:after="0"/>
              <w:rPr>
                <w:sz w:val="20"/>
                <w:szCs w:val="20"/>
                <w:color w:val="auto"/>
              </w:rPr>
            </w:pPr>
            <w:r>
              <w:rPr>
                <w:rFonts w:ascii="Arial" w:cs="Arial" w:eastAsia="Arial" w:hAnsi="Arial"/>
                <w:sz w:val="14"/>
                <w:szCs w:val="14"/>
                <w:b w:val="1"/>
                <w:bCs w:val="1"/>
                <w:color w:val="162442"/>
                <w:w w:val="99"/>
              </w:rPr>
              <w:t>25%</w:t>
            </w:r>
          </w:p>
        </w:tc>
        <w:tc>
          <w:tcPr>
            <w:tcW w:w="3240" w:type="dxa"/>
            <w:vAlign w:val="bottom"/>
            <w:shd w:val="clear" w:color="auto" w:fill="A5AB81"/>
          </w:tcPr>
          <w:p>
            <w:pPr>
              <w:jc w:val="center"/>
              <w:ind w:right="248"/>
              <w:spacing w:after="0"/>
              <w:rPr>
                <w:sz w:val="20"/>
                <w:szCs w:val="20"/>
                <w:color w:val="auto"/>
              </w:rPr>
            </w:pPr>
            <w:r>
              <w:rPr>
                <w:rFonts w:ascii="Arial" w:cs="Arial" w:eastAsia="Arial" w:hAnsi="Arial"/>
                <w:sz w:val="14"/>
                <w:szCs w:val="14"/>
                <w:b w:val="1"/>
                <w:bCs w:val="1"/>
                <w:color w:val="162442"/>
                <w:w w:val="99"/>
              </w:rPr>
              <w:t>30%</w:t>
            </w:r>
          </w:p>
        </w:tc>
      </w:tr>
      <w:tr>
        <w:trPr>
          <w:trHeight w:val="66"/>
        </w:trPr>
        <w:tc>
          <w:tcPr>
            <w:tcW w:w="2560" w:type="dxa"/>
            <w:vAlign w:val="bottom"/>
            <w:shd w:val="clear" w:color="auto" w:fill="A5AB81"/>
          </w:tcPr>
          <w:p>
            <w:pPr>
              <w:spacing w:after="0"/>
              <w:rPr>
                <w:sz w:val="5"/>
                <w:szCs w:val="5"/>
                <w:color w:val="auto"/>
              </w:rPr>
            </w:pPr>
          </w:p>
        </w:tc>
        <w:tc>
          <w:tcPr>
            <w:tcW w:w="2880" w:type="dxa"/>
            <w:vAlign w:val="bottom"/>
            <w:shd w:val="clear" w:color="auto" w:fill="A5AB81"/>
          </w:tcPr>
          <w:p>
            <w:pPr>
              <w:spacing w:after="0"/>
              <w:rPr>
                <w:sz w:val="5"/>
                <w:szCs w:val="5"/>
                <w:color w:val="auto"/>
              </w:rPr>
            </w:pPr>
          </w:p>
        </w:tc>
        <w:tc>
          <w:tcPr>
            <w:tcW w:w="3240" w:type="dxa"/>
            <w:vAlign w:val="bottom"/>
            <w:shd w:val="clear" w:color="auto" w:fill="A5AB81"/>
          </w:tcPr>
          <w:p>
            <w:pPr>
              <w:spacing w:after="0"/>
              <w:rPr>
                <w:sz w:val="5"/>
                <w:szCs w:val="5"/>
                <w:color w:val="auto"/>
              </w:rPr>
            </w:pPr>
          </w:p>
        </w:tc>
      </w:tr>
      <w:tr>
        <w:trPr>
          <w:trHeight w:val="270"/>
        </w:trPr>
        <w:tc>
          <w:tcPr>
            <w:tcW w:w="2560" w:type="dxa"/>
            <w:vAlign w:val="bottom"/>
            <w:shd w:val="clear" w:color="auto" w:fill="C8CCB3"/>
          </w:tcPr>
          <w:p>
            <w:pPr>
              <w:spacing w:after="0"/>
              <w:rPr>
                <w:sz w:val="23"/>
                <w:szCs w:val="23"/>
                <w:color w:val="auto"/>
              </w:rPr>
            </w:pPr>
          </w:p>
        </w:tc>
        <w:tc>
          <w:tcPr>
            <w:tcW w:w="2880" w:type="dxa"/>
            <w:vAlign w:val="bottom"/>
            <w:shd w:val="clear" w:color="auto" w:fill="C8CCB3"/>
          </w:tcPr>
          <w:p>
            <w:pPr>
              <w:spacing w:after="0"/>
              <w:rPr>
                <w:sz w:val="23"/>
                <w:szCs w:val="23"/>
                <w:color w:val="auto"/>
              </w:rPr>
            </w:pPr>
          </w:p>
        </w:tc>
        <w:tc>
          <w:tcPr>
            <w:tcW w:w="3240" w:type="dxa"/>
            <w:vAlign w:val="bottom"/>
            <w:shd w:val="clear" w:color="auto" w:fill="C8CCB3"/>
          </w:tcPr>
          <w:p>
            <w:pPr>
              <w:spacing w:after="0"/>
              <w:rPr>
                <w:sz w:val="23"/>
                <w:szCs w:val="23"/>
                <w:color w:val="auto"/>
              </w:rPr>
            </w:pPr>
          </w:p>
        </w:tc>
      </w:tr>
      <w:tr>
        <w:trPr>
          <w:trHeight w:val="204"/>
        </w:trPr>
        <w:tc>
          <w:tcPr>
            <w:tcW w:w="256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FF0000"/>
              </w:rPr>
              <w:t>Target</w:t>
            </w:r>
          </w:p>
        </w:tc>
        <w:tc>
          <w:tcPr>
            <w:tcW w:w="2880" w:type="dxa"/>
            <w:vAlign w:val="bottom"/>
            <w:shd w:val="clear" w:color="auto" w:fill="A5AB81"/>
          </w:tcPr>
          <w:p>
            <w:pPr>
              <w:jc w:val="center"/>
              <w:ind w:right="245"/>
              <w:spacing w:after="0"/>
              <w:rPr>
                <w:sz w:val="20"/>
                <w:szCs w:val="20"/>
                <w:color w:val="auto"/>
              </w:rPr>
            </w:pPr>
            <w:r>
              <w:rPr>
                <w:rFonts w:ascii="Arial" w:cs="Arial" w:eastAsia="Arial" w:hAnsi="Arial"/>
                <w:sz w:val="14"/>
                <w:szCs w:val="14"/>
                <w:b w:val="1"/>
                <w:bCs w:val="1"/>
                <w:color w:val="162442"/>
                <w:w w:val="99"/>
              </w:rPr>
              <w:t>50%</w:t>
            </w:r>
          </w:p>
        </w:tc>
        <w:tc>
          <w:tcPr>
            <w:tcW w:w="3240" w:type="dxa"/>
            <w:vAlign w:val="bottom"/>
            <w:shd w:val="clear" w:color="auto" w:fill="A5AB81"/>
          </w:tcPr>
          <w:p>
            <w:pPr>
              <w:jc w:val="center"/>
              <w:ind w:right="248"/>
              <w:spacing w:after="0"/>
              <w:rPr>
                <w:sz w:val="20"/>
                <w:szCs w:val="20"/>
                <w:color w:val="auto"/>
              </w:rPr>
            </w:pPr>
            <w:r>
              <w:rPr>
                <w:rFonts w:ascii="Arial" w:cs="Arial" w:eastAsia="Arial" w:hAnsi="Arial"/>
                <w:sz w:val="14"/>
                <w:szCs w:val="14"/>
                <w:b w:val="1"/>
                <w:bCs w:val="1"/>
                <w:color w:val="162442"/>
              </w:rPr>
              <w:t>100%</w:t>
            </w:r>
          </w:p>
        </w:tc>
      </w:tr>
      <w:tr>
        <w:trPr>
          <w:trHeight w:val="66"/>
        </w:trPr>
        <w:tc>
          <w:tcPr>
            <w:tcW w:w="2560" w:type="dxa"/>
            <w:vAlign w:val="bottom"/>
            <w:shd w:val="clear" w:color="auto" w:fill="A5AB81"/>
          </w:tcPr>
          <w:p>
            <w:pPr>
              <w:spacing w:after="0"/>
              <w:rPr>
                <w:sz w:val="5"/>
                <w:szCs w:val="5"/>
                <w:color w:val="auto"/>
              </w:rPr>
            </w:pPr>
          </w:p>
        </w:tc>
        <w:tc>
          <w:tcPr>
            <w:tcW w:w="2880" w:type="dxa"/>
            <w:vAlign w:val="bottom"/>
            <w:shd w:val="clear" w:color="auto" w:fill="A5AB81"/>
          </w:tcPr>
          <w:p>
            <w:pPr>
              <w:spacing w:after="0"/>
              <w:rPr>
                <w:sz w:val="5"/>
                <w:szCs w:val="5"/>
                <w:color w:val="auto"/>
              </w:rPr>
            </w:pPr>
          </w:p>
        </w:tc>
        <w:tc>
          <w:tcPr>
            <w:tcW w:w="3240" w:type="dxa"/>
            <w:vAlign w:val="bottom"/>
            <w:shd w:val="clear" w:color="auto" w:fill="A5AB81"/>
          </w:tcPr>
          <w:p>
            <w:pPr>
              <w:spacing w:after="0"/>
              <w:rPr>
                <w:sz w:val="5"/>
                <w:szCs w:val="5"/>
                <w:color w:val="auto"/>
              </w:rPr>
            </w:pPr>
          </w:p>
        </w:tc>
      </w:tr>
      <w:tr>
        <w:trPr>
          <w:trHeight w:val="270"/>
        </w:trPr>
        <w:tc>
          <w:tcPr>
            <w:tcW w:w="2560" w:type="dxa"/>
            <w:vAlign w:val="bottom"/>
            <w:shd w:val="clear" w:color="auto" w:fill="C8CCB3"/>
          </w:tcPr>
          <w:p>
            <w:pPr>
              <w:spacing w:after="0"/>
              <w:rPr>
                <w:sz w:val="23"/>
                <w:szCs w:val="23"/>
                <w:color w:val="auto"/>
              </w:rPr>
            </w:pPr>
          </w:p>
        </w:tc>
        <w:tc>
          <w:tcPr>
            <w:tcW w:w="2880" w:type="dxa"/>
            <w:vAlign w:val="bottom"/>
            <w:shd w:val="clear" w:color="auto" w:fill="C8CCB3"/>
          </w:tcPr>
          <w:p>
            <w:pPr>
              <w:spacing w:after="0"/>
              <w:rPr>
                <w:sz w:val="23"/>
                <w:szCs w:val="23"/>
                <w:color w:val="auto"/>
              </w:rPr>
            </w:pPr>
          </w:p>
        </w:tc>
        <w:tc>
          <w:tcPr>
            <w:tcW w:w="3240" w:type="dxa"/>
            <w:vAlign w:val="bottom"/>
            <w:shd w:val="clear" w:color="auto" w:fill="C8CCB3"/>
          </w:tcPr>
          <w:p>
            <w:pPr>
              <w:spacing w:after="0"/>
              <w:rPr>
                <w:sz w:val="23"/>
                <w:szCs w:val="23"/>
                <w:color w:val="auto"/>
              </w:rPr>
            </w:pPr>
          </w:p>
        </w:tc>
      </w:tr>
      <w:tr>
        <w:trPr>
          <w:trHeight w:val="204"/>
        </w:trPr>
        <w:tc>
          <w:tcPr>
            <w:tcW w:w="256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FF0000"/>
              </w:rPr>
              <w:t>Maximum</w:t>
            </w:r>
          </w:p>
        </w:tc>
        <w:tc>
          <w:tcPr>
            <w:tcW w:w="2880" w:type="dxa"/>
            <w:vAlign w:val="bottom"/>
            <w:shd w:val="clear" w:color="auto" w:fill="A5AB81"/>
          </w:tcPr>
          <w:p>
            <w:pPr>
              <w:jc w:val="center"/>
              <w:ind w:right="245"/>
              <w:spacing w:after="0"/>
              <w:rPr>
                <w:sz w:val="20"/>
                <w:szCs w:val="20"/>
                <w:color w:val="auto"/>
              </w:rPr>
            </w:pPr>
            <w:r>
              <w:rPr>
                <w:rFonts w:ascii="Arial" w:cs="Arial" w:eastAsia="Arial" w:hAnsi="Arial"/>
                <w:sz w:val="14"/>
                <w:szCs w:val="14"/>
                <w:b w:val="1"/>
                <w:bCs w:val="1"/>
                <w:color w:val="162442"/>
              </w:rPr>
              <w:t>≥ 90%</w:t>
            </w:r>
          </w:p>
        </w:tc>
        <w:tc>
          <w:tcPr>
            <w:tcW w:w="3240" w:type="dxa"/>
            <w:vAlign w:val="bottom"/>
            <w:shd w:val="clear" w:color="auto" w:fill="A5AB81"/>
          </w:tcPr>
          <w:p>
            <w:pPr>
              <w:jc w:val="center"/>
              <w:ind w:right="248"/>
              <w:spacing w:after="0"/>
              <w:rPr>
                <w:sz w:val="20"/>
                <w:szCs w:val="20"/>
                <w:color w:val="auto"/>
              </w:rPr>
            </w:pPr>
            <w:r>
              <w:rPr>
                <w:rFonts w:ascii="Arial" w:cs="Arial" w:eastAsia="Arial" w:hAnsi="Arial"/>
                <w:sz w:val="14"/>
                <w:szCs w:val="14"/>
                <w:b w:val="1"/>
                <w:bCs w:val="1"/>
                <w:color w:val="162442"/>
              </w:rPr>
              <w:t>150%</w:t>
            </w:r>
          </w:p>
        </w:tc>
      </w:tr>
      <w:tr>
        <w:trPr>
          <w:trHeight w:val="66"/>
        </w:trPr>
        <w:tc>
          <w:tcPr>
            <w:tcW w:w="2560" w:type="dxa"/>
            <w:vAlign w:val="bottom"/>
            <w:shd w:val="clear" w:color="auto" w:fill="A5AB81"/>
          </w:tcPr>
          <w:p>
            <w:pPr>
              <w:spacing w:after="0"/>
              <w:rPr>
                <w:sz w:val="5"/>
                <w:szCs w:val="5"/>
                <w:color w:val="auto"/>
              </w:rPr>
            </w:pPr>
          </w:p>
        </w:tc>
        <w:tc>
          <w:tcPr>
            <w:tcW w:w="2880" w:type="dxa"/>
            <w:vAlign w:val="bottom"/>
            <w:shd w:val="clear" w:color="auto" w:fill="A5AB81"/>
          </w:tcPr>
          <w:p>
            <w:pPr>
              <w:spacing w:after="0"/>
              <w:rPr>
                <w:sz w:val="5"/>
                <w:szCs w:val="5"/>
                <w:color w:val="auto"/>
              </w:rPr>
            </w:pPr>
          </w:p>
        </w:tc>
        <w:tc>
          <w:tcPr>
            <w:tcW w:w="3240" w:type="dxa"/>
            <w:vAlign w:val="bottom"/>
            <w:shd w:val="clear" w:color="auto" w:fill="A5AB81"/>
          </w:tcPr>
          <w:p>
            <w:pPr>
              <w:spacing w:after="0"/>
              <w:rPr>
                <w:sz w:val="5"/>
                <w:szCs w:val="5"/>
                <w:color w:val="auto"/>
              </w:rPr>
            </w:pPr>
          </w:p>
        </w:tc>
      </w:tr>
    </w:tbl>
    <w:p>
      <w:pPr>
        <w:spacing w:after="0" w:line="200" w:lineRule="exact"/>
        <w:rPr>
          <w:sz w:val="20"/>
          <w:szCs w:val="20"/>
          <w:color w:val="auto"/>
        </w:rPr>
      </w:pPr>
    </w:p>
    <w:p>
      <w:pPr>
        <w:spacing w:after="0" w:line="265" w:lineRule="exact"/>
        <w:rPr>
          <w:sz w:val="20"/>
          <w:szCs w:val="20"/>
          <w:color w:val="auto"/>
        </w:rPr>
      </w:pPr>
    </w:p>
    <w:p>
      <w:pPr>
        <w:ind w:left="760" w:right="300" w:hanging="378"/>
        <w:spacing w:after="0" w:line="249" w:lineRule="auto"/>
        <w:tabs>
          <w:tab w:leader="none" w:pos="7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IMAX Peer Group = the Compensation Committee approved compensation peer group (as disclosed in the Company’s proxy statement) at the time of the annual PSU grant.</w:t>
      </w:r>
    </w:p>
    <w:p>
      <w:pPr>
        <w:spacing w:after="0" w:line="230" w:lineRule="exact"/>
        <w:rPr>
          <w:rFonts w:ascii="Arial" w:cs="Arial" w:eastAsia="Arial" w:hAnsi="Arial"/>
          <w:sz w:val="22"/>
          <w:szCs w:val="22"/>
          <w:color w:val="auto"/>
        </w:rPr>
      </w:pPr>
    </w:p>
    <w:p>
      <w:pPr>
        <w:ind w:left="760" w:hanging="378"/>
        <w:spacing w:after="0" w:line="261" w:lineRule="auto"/>
        <w:tabs>
          <w:tab w:leader="none" w:pos="7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Payout calculated by determining the threshold, target, and maximum percentiles for the peer companies, and interpolating the Company’s TSR relative to those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198" w:lineRule="exact"/>
        <w:rPr>
          <w:sz w:val="20"/>
          <w:szCs w:val="20"/>
          <w:color w:val="auto"/>
        </w:rPr>
      </w:pPr>
    </w:p>
    <w:p>
      <w:pPr>
        <w:ind w:left="440" w:hanging="371"/>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the registrant, IMAX Corporation;</w:t>
      </w:r>
    </w:p>
    <w:p>
      <w:pPr>
        <w:spacing w:after="0" w:line="211" w:lineRule="exact"/>
        <w:rPr>
          <w:rFonts w:ascii="Arial" w:cs="Arial" w:eastAsia="Arial" w:hAnsi="Arial"/>
          <w:sz w:val="18"/>
          <w:szCs w:val="18"/>
          <w:color w:val="auto"/>
        </w:rPr>
      </w:pPr>
    </w:p>
    <w:p>
      <w:pPr>
        <w:jc w:val="both"/>
        <w:ind w:left="440" w:hanging="371"/>
        <w:spacing w:after="0" w:line="255"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440" w:hanging="371"/>
        <w:spacing w:after="0" w:line="277"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left="440" w:hanging="371"/>
        <w:spacing w:after="0" w:line="255"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1200" w:hanging="382"/>
        <w:spacing w:after="0" w:line="247"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00" w:hanging="382"/>
        <w:spacing w:after="0" w:line="247"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00" w:right="20" w:hanging="382"/>
        <w:spacing w:after="0" w:line="324" w:lineRule="auto"/>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00" w:hanging="382"/>
        <w:spacing w:after="0" w:line="255"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440" w:hanging="371"/>
        <w:spacing w:after="0" w:line="307" w:lineRule="auto"/>
        <w:tabs>
          <w:tab w:leader="none" w:pos="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200" w:hanging="382"/>
        <w:spacing w:after="0" w:line="290" w:lineRule="auto"/>
        <w:tabs>
          <w:tab w:leader="none" w:pos="12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200" w:hanging="382"/>
        <w:spacing w:after="0" w:line="261" w:lineRule="auto"/>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31,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L. Gelfond</w:t>
            </w:r>
          </w:p>
        </w:tc>
      </w:tr>
      <w:tr>
        <w:trPr>
          <w:trHeight w:val="195"/>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95" w:lineRule="exact"/>
              <w:rPr>
                <w:sz w:val="20"/>
                <w:szCs w:val="20"/>
                <w:color w:val="auto"/>
              </w:rPr>
            </w:pPr>
            <w:r>
              <w:rPr>
                <w:rFonts w:ascii="Arial" w:cs="Arial" w:eastAsia="Arial" w:hAnsi="Arial"/>
                <w:sz w:val="18"/>
                <w:szCs w:val="18"/>
                <w:color w:val="auto"/>
              </w:rPr>
              <w:t>Richard L. Gelfond</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Natasha Fernandes, certify that:</w:t>
      </w:r>
    </w:p>
    <w:p>
      <w:pPr>
        <w:spacing w:after="0" w:line="198" w:lineRule="exact"/>
        <w:rPr>
          <w:sz w:val="20"/>
          <w:szCs w:val="20"/>
          <w:color w:val="auto"/>
        </w:rPr>
      </w:pPr>
    </w:p>
    <w:p>
      <w:pPr>
        <w:ind w:left="440" w:hanging="371"/>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the registrant, IMAX Corporation;</w:t>
      </w:r>
    </w:p>
    <w:p>
      <w:pPr>
        <w:spacing w:after="0" w:line="211" w:lineRule="exact"/>
        <w:rPr>
          <w:rFonts w:ascii="Arial" w:cs="Arial" w:eastAsia="Arial" w:hAnsi="Arial"/>
          <w:sz w:val="18"/>
          <w:szCs w:val="18"/>
          <w:color w:val="auto"/>
        </w:rPr>
      </w:pPr>
    </w:p>
    <w:p>
      <w:pPr>
        <w:jc w:val="both"/>
        <w:ind w:left="440" w:hanging="371"/>
        <w:spacing w:after="0" w:line="255"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440" w:hanging="371"/>
        <w:spacing w:after="0" w:line="277"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left="440" w:hanging="371"/>
        <w:spacing w:after="0" w:line="255"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1200" w:hanging="382"/>
        <w:spacing w:after="0" w:line="247"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00" w:hanging="382"/>
        <w:spacing w:after="0" w:line="247"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00" w:right="20" w:hanging="382"/>
        <w:spacing w:after="0" w:line="324" w:lineRule="auto"/>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00" w:hanging="382"/>
        <w:spacing w:after="0" w:line="255"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440" w:hanging="371"/>
        <w:spacing w:after="0" w:line="307" w:lineRule="auto"/>
        <w:tabs>
          <w:tab w:leader="none" w:pos="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200" w:hanging="382"/>
        <w:spacing w:after="0" w:line="290" w:lineRule="auto"/>
        <w:tabs>
          <w:tab w:leader="none" w:pos="12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200" w:hanging="382"/>
        <w:spacing w:after="0" w:line="261"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31,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195"/>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95" w:lineRule="exact"/>
              <w:rPr>
                <w:sz w:val="20"/>
                <w:szCs w:val="20"/>
                <w:color w:val="auto"/>
              </w:rPr>
            </w:pPr>
            <w:r>
              <w:rPr>
                <w:rFonts w:ascii="Arial" w:cs="Arial" w:eastAsia="Arial" w:hAnsi="Arial"/>
                <w:sz w:val="18"/>
                <w:szCs w:val="18"/>
                <w:color w:val="auto"/>
              </w:rPr>
              <w:t>Natasha Fernandes</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32.1</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390" w:lineRule="exact"/>
        <w:rPr>
          <w:sz w:val="20"/>
          <w:szCs w:val="20"/>
          <w:color w:val="auto"/>
        </w:rPr>
      </w:pPr>
    </w:p>
    <w:p>
      <w:pPr>
        <w:jc w:val="both"/>
        <w:ind w:right="20" w:firstLine="749"/>
        <w:spacing w:after="0" w:line="255"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Quarterly Report on Form 10-Q for the quarter ended September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31,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L. Gelfond</w:t>
            </w:r>
          </w:p>
        </w:tc>
      </w:tr>
      <w:tr>
        <w:trPr>
          <w:trHeight w:val="195"/>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95" w:lineRule="exact"/>
              <w:rPr>
                <w:sz w:val="20"/>
                <w:szCs w:val="20"/>
                <w:color w:val="auto"/>
              </w:rPr>
            </w:pPr>
            <w:r>
              <w:rPr>
                <w:rFonts w:ascii="Arial" w:cs="Arial" w:eastAsia="Arial" w:hAnsi="Arial"/>
                <w:sz w:val="18"/>
                <w:szCs w:val="18"/>
                <w:color w:val="auto"/>
              </w:rPr>
              <w:t>Richard L. Gelfond</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32.2</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390" w:lineRule="exact"/>
        <w:rPr>
          <w:sz w:val="20"/>
          <w:szCs w:val="20"/>
          <w:color w:val="auto"/>
        </w:rPr>
      </w:pPr>
    </w:p>
    <w:p>
      <w:pPr>
        <w:jc w:val="both"/>
        <w:ind w:right="20" w:firstLine="749"/>
        <w:spacing w:after="0" w:line="341"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9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Quarterly Report on Form 10-Q for the quarter ended September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31, 2022</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195"/>
        </w:trPr>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Pr>
          <w:p>
            <w:pPr>
              <w:ind w:left="20"/>
              <w:spacing w:after="0" w:line="195" w:lineRule="exact"/>
              <w:rPr>
                <w:sz w:val="20"/>
                <w:szCs w:val="20"/>
                <w:color w:val="auto"/>
              </w:rPr>
            </w:pPr>
            <w:r>
              <w:rPr>
                <w:rFonts w:ascii="Arial" w:cs="Arial" w:eastAsia="Arial" w:hAnsi="Arial"/>
                <w:sz w:val="18"/>
                <w:szCs w:val="18"/>
                <w:color w:val="auto"/>
              </w:rPr>
              <w:t>Natasha Fernandes</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33"/>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lowerRoman"/>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6"/>
    </w:lvl>
    <w:lvl w:ilvl="1">
      <w:lvlJc w:val="left"/>
      <w:lvlText w:val="(%2)"/>
      <w:numFmt w:val="lowerLetter"/>
      <w:start w:val="1"/>
    </w:lvl>
  </w:abstractNum>
  <w:abstractNum w:abstractNumId="6">
    <w:nsid w:val="419AC241"/>
    <w:multiLevelType w:val="hybridMultilevel"/>
    <w:lvl w:ilvl="0">
      <w:lvlJc w:val="left"/>
      <w:lvlText w:val="%1."/>
      <w:numFmt w:val="decimal"/>
      <w:start w:val="7"/>
    </w:lvl>
  </w:abstractNum>
  <w:abstractNum w:abstractNumId="7">
    <w:nsid w:val="5577F8E1"/>
    <w:multiLevelType w:val="hybridMultilevel"/>
    <w:lvl w:ilvl="0">
      <w:lvlJc w:val="left"/>
      <w:lvlText w:val="%1."/>
      <w:numFmt w:val="decimal"/>
      <w:start w:val="8"/>
    </w:lvl>
    <w:lvl w:ilvl="1">
      <w:lvlJc w:val="left"/>
      <w:lvlText w:val="(%2)"/>
      <w:numFmt w:val="lowerLetter"/>
      <w:start w:val="1"/>
    </w:lvl>
  </w:abstractNum>
  <w:abstractNum w:abstractNumId="8">
    <w:nsid w:val="440BADFC"/>
    <w:multiLevelType w:val="hybridMultilevel"/>
    <w:lvl w:ilvl="0">
      <w:lvlJc w:val="left"/>
      <w:lvlText w:val="%1."/>
      <w:numFmt w:val="decimal"/>
      <w:start w:val="9"/>
    </w:lvl>
    <w:lvl w:ilvl="1">
      <w:lvlJc w:val="left"/>
      <w:lvlText w:val="(%2)"/>
      <w:numFmt w:val="lowerLetter"/>
      <w:start w:val="1"/>
    </w:lvl>
  </w:abstractNum>
  <w:abstractNum w:abstractNumId="9">
    <w:nsid w:val="5072367"/>
    <w:multiLevelType w:val="hybridMultilevel"/>
    <w:lvl w:ilvl="0">
      <w:lvlJc w:val="left"/>
      <w:lvlText w:val="(%1)"/>
      <w:numFmt w:val="lowerRoman"/>
      <w:start w:val="1"/>
    </w:lvl>
  </w:abstractNum>
  <w:abstractNum w:abstractNumId="10">
    <w:nsid w:val="3804823E"/>
    <w:multiLevelType w:val="hybridMultilevel"/>
    <w:lvl w:ilvl="0">
      <w:lvlJc w:val="left"/>
      <w:lvlText w:val="(%1)"/>
      <w:numFmt w:val="lowerLetter"/>
      <w:start w:val="6"/>
    </w:lvl>
  </w:abstractNum>
  <w:abstractNum w:abstractNumId="11">
    <w:nsid w:val="77465F01"/>
    <w:multiLevelType w:val="hybridMultilevel"/>
    <w:lvl w:ilvl="0">
      <w:lvlJc w:val="left"/>
      <w:lvlText w:val="%1."/>
      <w:numFmt w:val="decimal"/>
      <w:start w:val="10"/>
    </w:lvl>
    <w:lvl w:ilvl="1">
      <w:lvlJc w:val="left"/>
      <w:lvlText w:val="(%2)"/>
      <w:numFmt w:val="lowerLetter"/>
      <w:start w:val="1"/>
    </w:lvl>
  </w:abstractNum>
  <w:abstractNum w:abstractNumId="12">
    <w:nsid w:val="7724C67E"/>
    <w:multiLevelType w:val="hybridMultilevel"/>
    <w:lvl w:ilvl="0">
      <w:lvlJc w:val="left"/>
      <w:lvlText w:val="(%1)"/>
      <w:numFmt w:val="decimal"/>
      <w:start w:val="1"/>
    </w:lvl>
    <w:lvl w:ilvl="1">
      <w:lvlJc w:val="left"/>
      <w:lvlText w:val="(%2)"/>
      <w:numFmt w:val="lowerLetter"/>
      <w:start w:val="2"/>
    </w:lvl>
  </w:abstractNum>
  <w:abstractNum w:abstractNumId="13">
    <w:nsid w:val="5C482A97"/>
    <w:multiLevelType w:val="hybridMultilevel"/>
    <w:lvl w:ilvl="0">
      <w:lvlJc w:val="left"/>
      <w:lvlText w:val="(%1)"/>
      <w:numFmt w:val="lowerLetter"/>
      <w:start w:val="3"/>
    </w:lvl>
  </w:abstractNum>
  <w:abstractNum w:abstractNumId="14">
    <w:nsid w:val="2463B9EA"/>
    <w:multiLevelType w:val="hybridMultilevel"/>
    <w:lvl w:ilvl="0">
      <w:lvlJc w:val="left"/>
      <w:lvlText w:val="%1."/>
      <w:numFmt w:val="decimal"/>
      <w:start w:val="11"/>
    </w:lvl>
    <w:lvl w:ilvl="1">
      <w:lvlJc w:val="left"/>
      <w:lvlText w:val="(%2)"/>
      <w:numFmt w:val="lowerLetter"/>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lvl w:ilvl="1">
      <w:lvlJc w:val="left"/>
      <w:lvlText w:val="(%2)"/>
      <w:numFmt w:val="lowerLetter"/>
      <w:start w:val="4"/>
    </w:lvl>
  </w:abstractNum>
  <w:abstractNum w:abstractNumId="17">
    <w:nsid w:val="2D517796"/>
    <w:multiLevelType w:val="hybridMultilevel"/>
    <w:lvl w:ilvl="0">
      <w:lvlJc w:val="left"/>
      <w:lvlText w:val="(%1)"/>
      <w:numFmt w:val="decimal"/>
      <w:start w:val="1"/>
    </w:lvl>
    <w:lvl w:ilvl="1">
      <w:lvlJc w:val="left"/>
      <w:lvlText w:val="(%2)"/>
      <w:numFmt w:val="lowerLetter"/>
      <w:start w:val="5"/>
    </w:lvl>
  </w:abstractNum>
  <w:abstractNum w:abstractNumId="18">
    <w:nsid w:val="580BD78F"/>
    <w:multiLevelType w:val="hybridMultilevel"/>
    <w:lvl w:ilvl="0">
      <w:lvlJc w:val="left"/>
      <w:lvlText w:val="%1."/>
      <w:numFmt w:val="decimal"/>
      <w:start w:val="12"/>
    </w:lvl>
    <w:lvl w:ilvl="1">
      <w:lvlJc w:val="left"/>
      <w:lvlText w:val="(%2)"/>
      <w:numFmt w:val="lowerLetter"/>
      <w:start w:val="1"/>
    </w:lvl>
  </w:abstractNum>
  <w:abstractNum w:abstractNumId="19">
    <w:nsid w:val="153EA438"/>
    <w:multiLevelType w:val="hybridMultilevel"/>
    <w:lvl w:ilvl="0">
      <w:lvlJc w:val="left"/>
      <w:lvlText w:val="%1."/>
      <w:numFmt w:val="decimal"/>
      <w:start w:val="13"/>
    </w:lvl>
    <w:lvl w:ilvl="1">
      <w:lvlJc w:val="left"/>
      <w:lvlText w:val="(%2)"/>
      <w:numFmt w:val="lowerLetter"/>
      <w:start w:val="1"/>
    </w:lvl>
  </w:abstractNum>
  <w:abstractNum w:abstractNumId="20">
    <w:nsid w:val="3855585C"/>
    <w:multiLevelType w:val="hybridMultilevel"/>
    <w:lvl w:ilvl="0">
      <w:lvlJc w:val="left"/>
      <w:lvlText w:val="%1."/>
      <w:numFmt w:val="decimal"/>
      <w:start w:val="14"/>
    </w:lvl>
    <w:lvl w:ilvl="1">
      <w:lvlJc w:val="left"/>
      <w:lvlText w:val="(%2)"/>
      <w:numFmt w:val="lowerLetter"/>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6"/>
    </w:lvl>
    <w:lvl w:ilvl="1">
      <w:lvlJc w:val="left"/>
      <w:lvlText w:val="(%2)"/>
      <w:numFmt w:val="lowerLetter"/>
      <w:start w:val="1"/>
    </w:lvl>
  </w:abstractNum>
  <w:abstractNum w:abstractNumId="26">
    <w:nsid w:val="2CD89A32"/>
    <w:multiLevelType w:val="hybridMultilevel"/>
    <w:lvl w:ilvl="0">
      <w:lvlJc w:val="left"/>
      <w:lvlText w:val="%1."/>
      <w:numFmt w:val="decimal"/>
      <w:start w:val="17"/>
    </w:lvl>
    <w:lvl w:ilvl="1">
      <w:lvlJc w:val="left"/>
      <w:lvlText w:val="(%2)"/>
      <w:numFmt w:val="lowerLetter"/>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8"/>
    </w:lvl>
    <w:lvl w:ilvl="1">
      <w:lvlJc w:val="left"/>
      <w:lvlText w:val="(%2)"/>
      <w:numFmt w:val="lowerLetter"/>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Roman"/>
      <w:start w:val="2"/>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lowerRoman"/>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lowerRoman"/>
      <w:start w:val="2"/>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2"/>
    </w:lvl>
  </w:abstractNum>
  <w:abstractNum w:abstractNumId="55">
    <w:nsid w:val="354FE9F9"/>
    <w:multiLevelType w:val="hybridMultilevel"/>
    <w:lvl w:ilvl="0">
      <w:lvlJc w:val="left"/>
      <w:lvlText w:val="%1."/>
      <w:numFmt w:val="decimal"/>
      <w:start w:val="3"/>
    </w:lvl>
    <w:lvl w:ilvl="1">
      <w:lvlJc w:val="left"/>
      <w:lvlText w:val="(%2)"/>
      <w:numFmt w:val="lowerRoman"/>
      <w:start w:val="4"/>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2022-10-31T16:59:58Z</dcterms:created>
  <dcterms:modified xsi:type="dcterms:W3CDTF">2022-10-31T16:59:58Z</dcterms:modified>
</cp:coreProperties>
</file>