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215900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233045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7" w:lineRule="exact"/>
        <w:rPr>
          <w:sz w:val="24"/>
          <w:szCs w:val="24"/>
          <w:color w:val="auto"/>
        </w:rPr>
      </w:pPr>
    </w:p>
    <w:p>
      <w:pPr>
        <w:ind w:left="3840" w:right="1720" w:hanging="3833"/>
        <w:spacing w:after="0" w:line="286" w:lineRule="auto"/>
        <w:tabs>
          <w:tab w:leader="none" w:pos="57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-286385</wp:posOffset>
            </wp:positionV>
            <wp:extent cx="85725" cy="86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47" w:lineRule="exact"/>
        <w:rPr>
          <w:sz w:val="24"/>
          <w:szCs w:val="24"/>
          <w:color w:val="auto"/>
        </w:rPr>
      </w:pPr>
    </w:p>
    <w:p>
      <w:pPr>
        <w:ind w:left="4240" w:right="1720" w:hanging="4233"/>
        <w:spacing w:after="0" w:line="295" w:lineRule="auto"/>
        <w:tabs>
          <w:tab w:leader="none" w:pos="5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001-35066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-295910</wp:posOffset>
            </wp:positionV>
            <wp:extent cx="85725" cy="8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43"/>
          <w:szCs w:val="43"/>
          <w:b w:val="1"/>
          <w:bCs w:val="1"/>
          <w:color w:val="auto"/>
        </w:rPr>
        <w:t>IMAX Corporation</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20" w:type="dxa"/>
            <w:vAlign w:val="bottom"/>
            <w:gridSpan w:val="3"/>
          </w:tcPr>
          <w:p>
            <w:pPr>
              <w:jc w:val="center"/>
              <w:ind w:left="836"/>
              <w:spacing w:after="0"/>
              <w:rPr>
                <w:sz w:val="20"/>
                <w:szCs w:val="20"/>
                <w:color w:val="auto"/>
              </w:rPr>
            </w:pPr>
            <w:r>
              <w:rPr>
                <w:rFonts w:ascii="Arial" w:cs="Arial" w:eastAsia="Arial" w:hAnsi="Arial"/>
                <w:sz w:val="18"/>
                <w:szCs w:val="18"/>
                <w:b w:val="1"/>
                <w:bCs w:val="1"/>
                <w:color w:val="auto"/>
                <w:w w:val="92"/>
              </w:rPr>
              <w:t>Canada</w:t>
            </w:r>
          </w:p>
        </w:tc>
        <w:tc>
          <w:tcPr>
            <w:tcW w:w="1980" w:type="dxa"/>
            <w:vAlign w:val="bottom"/>
          </w:tcPr>
          <w:p>
            <w:pPr>
              <w:spacing w:after="0"/>
              <w:rPr>
                <w:sz w:val="18"/>
                <w:szCs w:val="18"/>
                <w:color w:val="auto"/>
              </w:rPr>
            </w:pPr>
          </w:p>
        </w:tc>
        <w:tc>
          <w:tcPr>
            <w:tcW w:w="4640" w:type="dxa"/>
            <w:vAlign w:val="bottom"/>
            <w:gridSpan w:val="3"/>
          </w:tcPr>
          <w:p>
            <w:pPr>
              <w:jc w:val="right"/>
              <w:ind w:right="2402"/>
              <w:spacing w:after="0"/>
              <w:rPr>
                <w:sz w:val="20"/>
                <w:szCs w:val="20"/>
                <w:color w:val="auto"/>
              </w:rPr>
            </w:pPr>
            <w:r>
              <w:rPr>
                <w:rFonts w:ascii="Arial" w:cs="Arial" w:eastAsia="Arial" w:hAnsi="Arial"/>
                <w:sz w:val="18"/>
                <w:szCs w:val="18"/>
                <w:b w:val="1"/>
                <w:bCs w:val="1"/>
                <w:color w:val="auto"/>
              </w:rPr>
              <w:t>98-0140269</w:t>
            </w:r>
          </w:p>
        </w:tc>
      </w:tr>
      <w:tr>
        <w:trPr>
          <w:trHeight w:val="147"/>
        </w:trPr>
        <w:tc>
          <w:tcPr>
            <w:tcW w:w="4720" w:type="dxa"/>
            <w:vAlign w:val="bottom"/>
            <w:gridSpan w:val="3"/>
          </w:tcPr>
          <w:p>
            <w:pPr>
              <w:jc w:val="center"/>
              <w:ind w:left="836"/>
              <w:spacing w:after="0" w:line="147" w:lineRule="exact"/>
              <w:rPr>
                <w:sz w:val="20"/>
                <w:szCs w:val="20"/>
                <w:color w:val="auto"/>
              </w:rPr>
            </w:pPr>
            <w:r>
              <w:rPr>
                <w:rFonts w:ascii="Arial" w:cs="Arial" w:eastAsia="Arial" w:hAnsi="Arial"/>
                <w:sz w:val="14"/>
                <w:szCs w:val="14"/>
                <w:i w:val="1"/>
                <w:iCs w:val="1"/>
                <w:color w:val="auto"/>
                <w:w w:val="95"/>
              </w:rPr>
              <w:t>(State or other jurisdiction of</w:t>
            </w:r>
          </w:p>
        </w:tc>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jc w:val="center"/>
              <w:ind w:right="1882"/>
              <w:spacing w:after="0" w:line="147" w:lineRule="exact"/>
              <w:rPr>
                <w:sz w:val="20"/>
                <w:szCs w:val="20"/>
                <w:color w:val="auto"/>
              </w:rPr>
            </w:pPr>
            <w:r>
              <w:rPr>
                <w:rFonts w:ascii="Arial" w:cs="Arial" w:eastAsia="Arial" w:hAnsi="Arial"/>
                <w:sz w:val="14"/>
                <w:szCs w:val="14"/>
                <w:i w:val="1"/>
                <w:iCs w:val="1"/>
                <w:color w:val="auto"/>
                <w:w w:val="93"/>
              </w:rPr>
              <w:t>(I.R.S. Employer</w:t>
            </w:r>
          </w:p>
        </w:tc>
      </w:tr>
      <w:tr>
        <w:trPr>
          <w:trHeight w:val="181"/>
        </w:trPr>
        <w:tc>
          <w:tcPr>
            <w:tcW w:w="4720" w:type="dxa"/>
            <w:vAlign w:val="bottom"/>
            <w:gridSpan w:val="3"/>
          </w:tcPr>
          <w:p>
            <w:pPr>
              <w:jc w:val="center"/>
              <w:ind w:left="836"/>
              <w:spacing w:after="0"/>
              <w:rPr>
                <w:sz w:val="20"/>
                <w:szCs w:val="20"/>
                <w:color w:val="auto"/>
              </w:rPr>
            </w:pPr>
            <w:r>
              <w:rPr>
                <w:rFonts w:ascii="Arial" w:cs="Arial" w:eastAsia="Arial" w:hAnsi="Arial"/>
                <w:sz w:val="14"/>
                <w:szCs w:val="14"/>
                <w:i w:val="1"/>
                <w:iCs w:val="1"/>
                <w:color w:val="auto"/>
                <w:w w:val="96"/>
              </w:rPr>
              <w:t>incorporation or organization)</w:t>
            </w:r>
          </w:p>
        </w:tc>
        <w:tc>
          <w:tcPr>
            <w:tcW w:w="1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40" w:type="dxa"/>
            <w:vAlign w:val="bottom"/>
          </w:tcPr>
          <w:p>
            <w:pPr>
              <w:jc w:val="center"/>
              <w:ind w:right="1882"/>
              <w:spacing w:after="0"/>
              <w:rPr>
                <w:sz w:val="20"/>
                <w:szCs w:val="20"/>
                <w:color w:val="auto"/>
              </w:rPr>
            </w:pPr>
            <w:r>
              <w:rPr>
                <w:rFonts w:ascii="Arial" w:cs="Arial" w:eastAsia="Arial" w:hAnsi="Arial"/>
                <w:sz w:val="14"/>
                <w:szCs w:val="14"/>
                <w:i w:val="1"/>
                <w:iCs w:val="1"/>
                <w:color w:val="auto"/>
                <w:w w:val="96"/>
              </w:rPr>
              <w:t>Identification Number)</w:t>
            </w:r>
          </w:p>
        </w:tc>
      </w:tr>
      <w:tr>
        <w:trPr>
          <w:trHeight w:val="274"/>
        </w:trPr>
        <w:tc>
          <w:tcPr>
            <w:tcW w:w="4720" w:type="dxa"/>
            <w:vAlign w:val="bottom"/>
            <w:gridSpan w:val="3"/>
          </w:tcPr>
          <w:p>
            <w:pPr>
              <w:jc w:val="center"/>
              <w:ind w:left="836"/>
              <w:spacing w:after="0"/>
              <w:rPr>
                <w:sz w:val="20"/>
                <w:szCs w:val="20"/>
                <w:color w:val="auto"/>
              </w:rPr>
            </w:pPr>
            <w:r>
              <w:rPr>
                <w:rFonts w:ascii="Arial" w:cs="Arial" w:eastAsia="Arial" w:hAnsi="Arial"/>
                <w:sz w:val="18"/>
                <w:szCs w:val="18"/>
                <w:b w:val="1"/>
                <w:bCs w:val="1"/>
                <w:color w:val="auto"/>
                <w:w w:val="90"/>
              </w:rPr>
              <w:t>2525 Speakman Drive,</w:t>
            </w:r>
          </w:p>
        </w:tc>
        <w:tc>
          <w:tcPr>
            <w:tcW w:w="1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89"/>
              </w:rPr>
              <w:t>902 Broadway, Floor 20</w:t>
            </w:r>
          </w:p>
        </w:tc>
      </w:tr>
      <w:tr>
        <w:trPr>
          <w:trHeight w:val="214"/>
        </w:trPr>
        <w:tc>
          <w:tcPr>
            <w:tcW w:w="4720" w:type="dxa"/>
            <w:vAlign w:val="bottom"/>
            <w:gridSpan w:val="3"/>
          </w:tcPr>
          <w:p>
            <w:pPr>
              <w:jc w:val="center"/>
              <w:ind w:left="836"/>
              <w:spacing w:after="0"/>
              <w:rPr>
                <w:sz w:val="20"/>
                <w:szCs w:val="20"/>
                <w:color w:val="auto"/>
              </w:rPr>
            </w:pPr>
            <w:r>
              <w:rPr>
                <w:rFonts w:ascii="Arial" w:cs="Arial" w:eastAsia="Arial" w:hAnsi="Arial"/>
                <w:sz w:val="18"/>
                <w:szCs w:val="18"/>
                <w:b w:val="1"/>
                <w:bCs w:val="1"/>
                <w:color w:val="auto"/>
                <w:w w:val="90"/>
              </w:rPr>
              <w:t>Mississauga, Ontario, Canada L5K 1B1</w:t>
            </w:r>
          </w:p>
        </w:tc>
        <w:tc>
          <w:tcPr>
            <w:tcW w:w="1980" w:type="dxa"/>
            <w:vAlign w:val="bottom"/>
          </w:tcPr>
          <w:p>
            <w:pPr>
              <w:spacing w:after="0"/>
              <w:rPr>
                <w:sz w:val="18"/>
                <w:szCs w:val="18"/>
                <w:color w:val="auto"/>
              </w:rPr>
            </w:pPr>
          </w:p>
        </w:tc>
        <w:tc>
          <w:tcPr>
            <w:tcW w:w="4640" w:type="dxa"/>
            <w:vAlign w:val="bottom"/>
            <w:gridSpan w:val="3"/>
          </w:tcPr>
          <w:p>
            <w:pPr>
              <w:jc w:val="center"/>
              <w:ind w:right="1102"/>
              <w:spacing w:after="0"/>
              <w:rPr>
                <w:sz w:val="20"/>
                <w:szCs w:val="20"/>
                <w:color w:val="auto"/>
              </w:rPr>
            </w:pPr>
            <w:r>
              <w:rPr>
                <w:rFonts w:ascii="Arial" w:cs="Arial" w:eastAsia="Arial" w:hAnsi="Arial"/>
                <w:sz w:val="18"/>
                <w:szCs w:val="18"/>
                <w:b w:val="1"/>
                <w:bCs w:val="1"/>
                <w:color w:val="auto"/>
                <w:w w:val="91"/>
              </w:rPr>
              <w:t>New York, New York, USA 10010</w:t>
            </w:r>
          </w:p>
        </w:tc>
      </w:tr>
      <w:tr>
        <w:trPr>
          <w:trHeight w:val="231"/>
        </w:trPr>
        <w:tc>
          <w:tcPr>
            <w:tcW w:w="4040" w:type="dxa"/>
            <w:vAlign w:val="bottom"/>
          </w:tcPr>
          <w:p>
            <w:pPr>
              <w:jc w:val="center"/>
              <w:ind w:left="1516"/>
              <w:spacing w:after="0"/>
              <w:rPr>
                <w:sz w:val="20"/>
                <w:szCs w:val="20"/>
                <w:color w:val="auto"/>
              </w:rPr>
            </w:pPr>
            <w:r>
              <w:rPr>
                <w:rFonts w:ascii="Arial" w:cs="Arial" w:eastAsia="Arial" w:hAnsi="Arial"/>
                <w:sz w:val="18"/>
                <w:szCs w:val="18"/>
                <w:b w:val="1"/>
                <w:bCs w:val="1"/>
                <w:color w:val="auto"/>
                <w:w w:val="90"/>
              </w:rPr>
              <w:t>(905) 403-6500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gridSpan w:val="3"/>
          </w:tcPr>
          <w:p>
            <w:pPr>
              <w:jc w:val="right"/>
              <w:ind w:right="2262"/>
              <w:spacing w:after="0"/>
              <w:rPr>
                <w:sz w:val="20"/>
                <w:szCs w:val="20"/>
                <w:color w:val="auto"/>
              </w:rPr>
            </w:pPr>
            <w:r>
              <w:rPr>
                <w:rFonts w:ascii="Arial" w:cs="Arial" w:eastAsia="Arial" w:hAnsi="Arial"/>
                <w:sz w:val="18"/>
                <w:szCs w:val="18"/>
                <w:b w:val="1"/>
                <w:bCs w:val="1"/>
                <w:color w:val="auto"/>
              </w:rPr>
              <w:t>(212) 821-0100</w:t>
            </w:r>
          </w:p>
        </w:tc>
      </w:tr>
      <w:tr>
        <w:trPr>
          <w:trHeight w:val="294"/>
        </w:trPr>
        <w:tc>
          <w:tcPr>
            <w:tcW w:w="11340" w:type="dxa"/>
            <w:vAlign w:val="bottom"/>
            <w:gridSpan w:val="7"/>
          </w:tcPr>
          <w:p>
            <w:pPr>
              <w:jc w:val="center"/>
              <w:ind w:right="2"/>
              <w:spacing w:after="0"/>
              <w:rPr>
                <w:sz w:val="20"/>
                <w:szCs w:val="20"/>
                <w:color w:val="auto"/>
              </w:rPr>
            </w:pPr>
            <w:r>
              <w:rPr>
                <w:rFonts w:ascii="Arial" w:cs="Arial" w:eastAsia="Arial" w:hAnsi="Arial"/>
                <w:sz w:val="18"/>
                <w:szCs w:val="18"/>
                <w:i w:val="1"/>
                <w:iCs w:val="1"/>
                <w:color w:val="auto"/>
                <w:w w:val="89"/>
              </w:rPr>
              <w:t>(Address of principal executive offices, zip code, telephone numbers)</w:t>
            </w:r>
          </w:p>
        </w:tc>
      </w:tr>
      <w:tr>
        <w:trPr>
          <w:trHeight w:val="294"/>
        </w:trPr>
        <w:tc>
          <w:tcPr>
            <w:tcW w:w="11340" w:type="dxa"/>
            <w:vAlign w:val="bottom"/>
            <w:gridSpan w:val="7"/>
          </w:tcPr>
          <w:p>
            <w:pPr>
              <w:jc w:val="center"/>
              <w:ind w:right="22"/>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r>
      <w:tr>
        <w:trPr>
          <w:trHeight w:val="229"/>
        </w:trPr>
        <w:tc>
          <w:tcPr>
            <w:tcW w:w="47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Title of each class</w:t>
            </w:r>
          </w:p>
        </w:tc>
        <w:tc>
          <w:tcPr>
            <w:tcW w:w="1980" w:type="dxa"/>
            <w:vAlign w:val="bottom"/>
          </w:tcPr>
          <w:p>
            <w:pPr>
              <w:ind w:left="380"/>
              <w:spacing w:after="0"/>
              <w:rPr>
                <w:sz w:val="20"/>
                <w:szCs w:val="20"/>
                <w:color w:val="auto"/>
              </w:rPr>
            </w:pPr>
            <w:r>
              <w:rPr>
                <w:rFonts w:ascii="Arial" w:cs="Arial" w:eastAsia="Arial" w:hAnsi="Arial"/>
                <w:sz w:val="14"/>
                <w:szCs w:val="14"/>
                <w:b w:val="1"/>
                <w:bCs w:val="1"/>
                <w:color w:val="auto"/>
              </w:rPr>
              <w:t>Trading Symbol(s)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Common Shares, no par value</w:t>
            </w: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ind w:left="840"/>
              <w:spacing w:after="0"/>
              <w:rPr>
                <w:sz w:val="20"/>
                <w:szCs w:val="20"/>
                <w:color w:val="auto"/>
              </w:rPr>
            </w:pPr>
            <w:r>
              <w:rPr>
                <w:rFonts w:ascii="Arial" w:cs="Arial" w:eastAsia="Arial" w:hAnsi="Arial"/>
                <w:sz w:val="18"/>
                <w:szCs w:val="18"/>
                <w:b w:val="1"/>
                <w:bCs w:val="1"/>
                <w:color w:val="auto"/>
              </w:rPr>
              <w:t>IMAX</w:t>
            </w: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Borders>
              <w:top w:val="single" w:sz="8" w:color="auto"/>
            </w:tcBorders>
          </w:tcPr>
          <w:p>
            <w:pPr>
              <w:jc w:val="center"/>
              <w:ind w:left="42"/>
              <w:spacing w:after="0"/>
              <w:rPr>
                <w:sz w:val="20"/>
                <w:szCs w:val="20"/>
                <w:color w:val="auto"/>
              </w:rPr>
            </w:pPr>
            <w:r>
              <w:rPr>
                <w:rFonts w:ascii="Arial" w:cs="Arial" w:eastAsia="Arial" w:hAnsi="Arial"/>
                <w:sz w:val="18"/>
                <w:szCs w:val="18"/>
                <w:b w:val="1"/>
                <w:bCs w:val="1"/>
                <w:color w:val="auto"/>
                <w:w w:val="89"/>
              </w:rPr>
              <w:t>The New York Stock Exchange</w:t>
            </w:r>
          </w:p>
        </w:tc>
      </w:tr>
    </w:tbl>
    <w:p>
      <w:pPr>
        <w:spacing w:after="0" w:line="8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None</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(Title of class)</w:t>
      </w:r>
    </w:p>
    <w:p>
      <w:pPr>
        <w:spacing w:after="0" w:line="74" w:lineRule="exact"/>
        <w:rPr>
          <w:sz w:val="24"/>
          <w:szCs w:val="24"/>
          <w:color w:val="auto"/>
        </w:rPr>
      </w:pPr>
    </w:p>
    <w:p>
      <w:pPr>
        <w:jc w:val="both"/>
        <w:ind w:right="10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2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00" w:firstLine="225"/>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40"/>
        <w:spacing w:after="0" w:line="196" w:lineRule="exact"/>
        <w:tabs>
          <w:tab w:leader="none" w:pos="91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as of March 31, 2020</w:t>
            </w:r>
          </w:p>
        </w:tc>
      </w:tr>
      <w:tr>
        <w:trPr>
          <w:trHeight w:val="22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40" w:type="dxa"/>
            <w:vAlign w:val="bottom"/>
          </w:tcPr>
          <w:p>
            <w:pPr>
              <w:spacing w:after="0"/>
              <w:rPr>
                <w:sz w:val="19"/>
                <w:szCs w:val="19"/>
                <w:color w:val="auto"/>
              </w:rPr>
            </w:pPr>
          </w:p>
        </w:tc>
        <w:tc>
          <w:tcPr>
            <w:tcW w:w="5480" w:type="dxa"/>
            <w:vAlign w:val="bottom"/>
            <w:tcBorders>
              <w:top w:val="single" w:sz="8" w:color="auto"/>
            </w:tcBorders>
          </w:tcPr>
          <w:p>
            <w:pPr>
              <w:jc w:val="right"/>
              <w:ind w:right="2260"/>
              <w:spacing w:after="0"/>
              <w:rPr>
                <w:sz w:val="20"/>
                <w:szCs w:val="20"/>
                <w:color w:val="auto"/>
              </w:rPr>
            </w:pPr>
            <w:r>
              <w:rPr>
                <w:rFonts w:ascii="Arial" w:cs="Arial" w:eastAsia="Arial" w:hAnsi="Arial"/>
                <w:sz w:val="18"/>
                <w:szCs w:val="18"/>
                <w:color w:val="auto"/>
              </w:rPr>
              <w:t>58,786,792</w:t>
            </w:r>
          </w:p>
        </w:tc>
      </w:tr>
      <w:tr>
        <w:trPr>
          <w:trHeight w:val="241"/>
        </w:trPr>
        <w:tc>
          <w:tcPr>
            <w:tcW w:w="5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7"/>
        </w:trPr>
        <w:tc>
          <w:tcPr>
            <w:tcW w:w="55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43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9480" w:type="dxa"/>
            <w:vAlign w:val="bottom"/>
            <w:vMerge w:val="restart"/>
          </w:tcPr>
          <w:p>
            <w:pPr>
              <w:jc w:val="center"/>
              <w:ind w:left="31"/>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9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tcPr>
          <w:p>
            <w:pPr>
              <w:ind w:left="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9480" w:type="dxa"/>
            <w:vAlign w:val="bottom"/>
          </w:tcPr>
          <w:p>
            <w:pPr>
              <w:jc w:val="center"/>
              <w:ind w:left="51"/>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tcPr>
          <w:p>
            <w:pPr>
              <w:ind w:left="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820" w:type="dxa"/>
            <w:vAlign w:val="bottom"/>
          </w:tcPr>
          <w:p>
            <w:pPr>
              <w:spacing w:after="0"/>
              <w:rPr>
                <w:rFonts w:ascii="Arial" w:cs="Arial" w:eastAsia="Arial" w:hAnsi="Arial"/>
                <w:sz w:val="18"/>
                <w:szCs w:val="18"/>
                <w:u w:val="single" w:color="auto"/>
                <w:color w:val="0000EE"/>
                <w:w w:val="92"/>
              </w:rPr>
            </w:pPr>
            <w:hyperlink w:anchor="page69">
              <w:r>
                <w:rPr>
                  <w:rFonts w:ascii="Arial" w:cs="Arial" w:eastAsia="Arial" w:hAnsi="Arial"/>
                  <w:sz w:val="18"/>
                  <w:szCs w:val="18"/>
                  <w:u w:val="single" w:color="auto"/>
                  <w:color w:val="0000EE"/>
                  <w:w w:val="92"/>
                </w:rPr>
                <w:t>Signatures</w:t>
              </w:r>
            </w:hyperlink>
          </w:p>
        </w:tc>
        <w:tc>
          <w:tcPr>
            <w:tcW w:w="9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41"/>
        </w:trPr>
        <w:tc>
          <w:tcPr>
            <w:tcW w:w="820" w:type="dxa"/>
            <w:vAlign w:val="bottom"/>
          </w:tcPr>
          <w:p>
            <w:pPr>
              <w:spacing w:after="0"/>
              <w:rPr>
                <w:sz w:val="24"/>
                <w:szCs w:val="24"/>
                <w:color w:val="auto"/>
              </w:rPr>
            </w:pPr>
          </w:p>
        </w:tc>
        <w:tc>
          <w:tcPr>
            <w:tcW w:w="9480" w:type="dxa"/>
            <w:vAlign w:val="bottom"/>
          </w:tcPr>
          <w:p>
            <w:pPr>
              <w:jc w:val="center"/>
              <w:ind w:left="31"/>
              <w:spacing w:after="0"/>
              <w:rPr>
                <w:sz w:val="20"/>
                <w:szCs w:val="20"/>
                <w:color w:val="auto"/>
              </w:rPr>
            </w:pPr>
            <w:r>
              <w:rPr>
                <w:rFonts w:ascii="Arial" w:cs="Arial" w:eastAsia="Arial" w:hAnsi="Arial"/>
                <w:sz w:val="18"/>
                <w:szCs w:val="18"/>
                <w:color w:val="auto"/>
                <w:w w:val="79"/>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580" w:type="dxa"/>
            <w:vAlign w:val="bottom"/>
            <w:vMerge w:val="restart"/>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05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05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at March 31, 2020 and December 31,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months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(Loss) Income for the three months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Shareholders’ Equity for the three months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105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41"/>
        </w:trPr>
        <w:tc>
          <w:tcPr>
            <w:tcW w:w="10580" w:type="dxa"/>
            <w:vAlign w:val="bottom"/>
          </w:tcPr>
          <w:p>
            <w:pPr>
              <w:ind w:left="558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352,277</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109,484</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of allowance for credit losses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64,818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99,513</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Financing receivables, net of allowance for credit losses</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121,112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128,038</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receivable, net of allowance for credit losses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38,694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40,040</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61,635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42,989</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11,558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Film assets</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15,645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17,921</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294,361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306,849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11,131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24,559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25,034</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37,967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23,905</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29,542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30,347</w:t>
            </w:r>
          </w:p>
        </w:tc>
        <w:tc>
          <w:tcPr>
            <w:tcW w:w="0" w:type="dxa"/>
            <w:vAlign w:val="bottom"/>
          </w:tcPr>
          <w:p>
            <w:pPr>
              <w:spacing w:after="0"/>
              <w:rPr>
                <w:sz w:val="1"/>
                <w:szCs w:val="1"/>
                <w:color w:val="auto"/>
              </w:rPr>
            </w:pPr>
          </w:p>
        </w:tc>
      </w:tr>
      <w:tr>
        <w:trPr>
          <w:trHeight w:val="227"/>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39,027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39,027</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1,102,326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Bank indebtedness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298,355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18,229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25,296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20,414</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111,850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112,779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103,267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94,552</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19,681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558,449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245,974</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Non-controlling interests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5,500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5,908</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58,878,749 issued and 58,786,792 outstanding (December 31, 2019 — 61,362,872 issued and</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61,175,852 outstanding)</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405,583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423,386</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Less: Treasury stock, 91,957 shares at cost (December 31, 2019 — 187,020)</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168,892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171,789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(108,428)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(40,253)</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20"/>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28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b w:val="1"/>
                <w:bCs w:val="1"/>
                <w:color w:val="auto"/>
              </w:rPr>
              <w:t>458,869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b w:val="1"/>
                <w:bCs w:val="1"/>
                <w:color w:val="auto"/>
              </w:rPr>
              <w:t>547,694</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79,508</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89,493</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538,377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637,187</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1,102,326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48"/>
        </w:trPr>
        <w:tc>
          <w:tcPr>
            <w:tcW w:w="20" w:type="dxa"/>
            <w:vAlign w:val="bottom"/>
            <w:vMerge w:val="restart"/>
          </w:tcPr>
          <w:p>
            <w:pPr>
              <w:spacing w:after="0"/>
              <w:rPr>
                <w:sz w:val="24"/>
                <w:szCs w:val="24"/>
                <w:color w:val="auto"/>
              </w:rPr>
            </w:pPr>
          </w:p>
        </w:tc>
        <w:tc>
          <w:tcPr>
            <w:tcW w:w="7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Technology sales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5,662</w:t>
            </w:r>
          </w:p>
        </w:tc>
        <w:tc>
          <w:tcPr>
            <w:tcW w:w="180" w:type="dxa"/>
            <w:vAlign w:val="bottom"/>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20,721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44,147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Technology rentals</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5,971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18,170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Finance income</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2,548</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34,902</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80,198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 applicable to revenues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Technology sales</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3,869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17,816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19,243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Technology rentals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8,131</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29,816</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35,058</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5,086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45,140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28,636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27,649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Credit loss expense</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10,217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Exit costs, restructuring charges and associated impairments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income from operations</w:t>
            </w:r>
          </w:p>
        </w:tc>
        <w:tc>
          <w:tcPr>
            <w:tcW w:w="3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(38,439)</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13,999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 in fair value of equity securities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Retirement benefits non-service expense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taxes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(43,377)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16,219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(15,505)</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losses of investees, net of tax</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(59,411)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12,487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10,057</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(49,354)</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8,265</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 per share attributable to common shareholders -</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7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b w:val="1"/>
                <w:bCs w:val="1"/>
                <w:color w:val="auto"/>
              </w:rPr>
              <w:t>basic and diluted:</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per share — basic and diluted</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120" w:type="dxa"/>
            <w:vAlign w:val="bottom"/>
          </w:tcPr>
          <w:p>
            <w:pPr>
              <w:spacing w:after="0"/>
              <w:rPr>
                <w:sz w:val="16"/>
                <w:szCs w:val="16"/>
                <w:color w:val="auto"/>
              </w:rPr>
            </w:pPr>
          </w:p>
        </w:tc>
      </w:tr>
      <w:tr>
        <w:trPr>
          <w:trHeight w:val="212"/>
        </w:trPr>
        <w:tc>
          <w:tcPr>
            <w:tcW w:w="7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20"/>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(59,411)</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12,487</w:t>
            </w:r>
          </w:p>
        </w:tc>
      </w:tr>
      <w:tr>
        <w:trPr>
          <w:trHeight w:val="220"/>
        </w:trPr>
        <w:tc>
          <w:tcPr>
            <w:tcW w:w="7720" w:type="dxa"/>
            <w:vAlign w:val="bottom"/>
          </w:tcPr>
          <w:p>
            <w:pPr>
              <w:ind w:left="260"/>
              <w:spacing w:after="0"/>
              <w:rPr>
                <w:sz w:val="20"/>
                <w:szCs w:val="20"/>
                <w:color w:val="auto"/>
              </w:rPr>
            </w:pPr>
            <w:r>
              <w:rPr>
                <w:rFonts w:ascii="Arial" w:cs="Arial" w:eastAsia="Arial" w:hAnsi="Arial"/>
                <w:sz w:val="18"/>
                <w:szCs w:val="18"/>
                <w:color w:val="auto"/>
              </w:rPr>
              <w:t>Unrealized net (loss) gain from cash flow hedging instruments</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68</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net loss from cash flow hedging instruments</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319</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1,085</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and postretirement benefit plans</w:t>
            </w: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0"/>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comprehensive (loss) income, before tax</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(3,600)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1,472</w:t>
            </w: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 related to other comprehensive (loss) income</w:t>
            </w: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1,371</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(loss) income</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(62,316)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13,858</w:t>
            </w:r>
          </w:p>
        </w:tc>
      </w:tr>
      <w:tr>
        <w:trPr>
          <w:trHeight w:val="227"/>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10,393</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r>
      <w:tr>
        <w:trPr>
          <w:trHeight w:val="221"/>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 income attributable to common shareholders</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(51,923)</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9,291</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8"/>
                <w:szCs w:val="18"/>
                <w:color w:val="auto"/>
              </w:rPr>
            </w:pPr>
          </w:p>
        </w:tc>
      </w:tr>
      <w:tr>
        <w:trPr>
          <w:trHeight w:val="220"/>
        </w:trPr>
        <w:tc>
          <w:tcPr>
            <w:tcW w:w="65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712"/>
              <w:spacing w:after="0"/>
              <w:rPr>
                <w:sz w:val="20"/>
                <w:szCs w:val="20"/>
                <w:color w:val="auto"/>
              </w:rPr>
            </w:pPr>
            <w:r>
              <w:rPr>
                <w:rFonts w:ascii="Arial" w:cs="Arial" w:eastAsia="Arial" w:hAnsi="Arial"/>
                <w:sz w:val="14"/>
                <w:szCs w:val="14"/>
                <w:b w:val="1"/>
                <w:bCs w:val="1"/>
                <w:color w:val="auto"/>
              </w:rPr>
              <w:t>2019</w:t>
            </w:r>
          </w:p>
        </w:tc>
      </w:tr>
      <w:tr>
        <w:trPr>
          <w:trHeight w:val="220"/>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10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7"/>
        </w:trPr>
        <w:tc>
          <w:tcPr>
            <w:tcW w:w="65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60" w:type="dxa"/>
            <w:vAlign w:val="bottom"/>
            <w:gridSpan w:val="2"/>
            <w:shd w:val="clear" w:color="auto" w:fill="CFF0FC"/>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(59,411)</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12,487</w:t>
            </w: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Adjustments to reconcile net (loss) income to cash from operating activities: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15,252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14,211</w:t>
            </w:r>
          </w:p>
        </w:tc>
      </w:tr>
      <w:tr>
        <w:trPr>
          <w:trHeight w:val="227"/>
        </w:trPr>
        <w:tc>
          <w:tcPr>
            <w:tcW w:w="6520" w:type="dxa"/>
            <w:vAlign w:val="bottom"/>
          </w:tcPr>
          <w:p>
            <w:pPr>
              <w:ind w:left="260"/>
              <w:spacing w:after="0"/>
              <w:rPr>
                <w:sz w:val="20"/>
                <w:szCs w:val="20"/>
                <w:color w:val="auto"/>
              </w:rPr>
            </w:pPr>
            <w:r>
              <w:rPr>
                <w:rFonts w:ascii="Arial" w:cs="Arial" w:eastAsia="Arial" w:hAnsi="Arial"/>
                <w:sz w:val="18"/>
                <w:szCs w:val="18"/>
                <w:color w:val="auto"/>
              </w:rPr>
              <w:t>Credit loss expense</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10,217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431</w:t>
            </w:r>
          </w:p>
        </w:tc>
      </w:tr>
      <w:tr>
        <w:trPr>
          <w:trHeight w:val="227"/>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Write-downs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4,403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266</w:t>
            </w:r>
          </w:p>
        </w:tc>
      </w:tr>
      <w:tr>
        <w:trPr>
          <w:trHeight w:val="227"/>
        </w:trPr>
        <w:tc>
          <w:tcPr>
            <w:tcW w:w="6520" w:type="dxa"/>
            <w:vAlign w:val="bottom"/>
          </w:tcPr>
          <w:p>
            <w:pPr>
              <w:ind w:left="260"/>
              <w:spacing w:after="0"/>
              <w:rPr>
                <w:sz w:val="20"/>
                <w:szCs w:val="20"/>
                <w:color w:val="auto"/>
              </w:rPr>
            </w:pPr>
            <w:r>
              <w:rPr>
                <w:rFonts w:ascii="Arial" w:cs="Arial" w:eastAsia="Arial" w:hAnsi="Arial"/>
                <w:sz w:val="18"/>
                <w:szCs w:val="18"/>
                <w:color w:val="auto"/>
              </w:rPr>
              <w:t>Deferred income tax expense</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5,627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688</w:t>
            </w:r>
          </w:p>
        </w:tc>
      </w:tr>
      <w:tr>
        <w:trPr>
          <w:trHeight w:val="227"/>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 and other non-cash compensation</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4,309</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4,524</w:t>
            </w:r>
          </w:p>
        </w:tc>
      </w:tr>
      <w:tr>
        <w:trPr>
          <w:trHeight w:val="227"/>
        </w:trPr>
        <w:tc>
          <w:tcPr>
            <w:tcW w:w="6520" w:type="dxa"/>
            <w:vAlign w:val="bottom"/>
          </w:tcPr>
          <w:p>
            <w:pPr>
              <w:ind w:left="260"/>
              <w:spacing w:after="0"/>
              <w:rPr>
                <w:sz w:val="20"/>
                <w:szCs w:val="20"/>
                <w:color w:val="auto"/>
              </w:rPr>
            </w:pPr>
            <w:r>
              <w:rPr>
                <w:rFonts w:ascii="Arial" w:cs="Arial" w:eastAsia="Arial" w:hAnsi="Arial"/>
                <w:sz w:val="18"/>
                <w:szCs w:val="18"/>
                <w:color w:val="auto"/>
              </w:rPr>
              <w:t>Unrealized foreign currency exchange loss (gain)</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equity securities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4,539</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r>
      <w:tr>
        <w:trPr>
          <w:trHeight w:val="227"/>
        </w:trPr>
        <w:tc>
          <w:tcPr>
            <w:tcW w:w="6520" w:type="dxa"/>
            <w:vAlign w:val="bottom"/>
          </w:tcPr>
          <w:p>
            <w:pPr>
              <w:ind w:left="260"/>
              <w:spacing w:after="0"/>
              <w:rPr>
                <w:sz w:val="20"/>
                <w:szCs w:val="20"/>
                <w:color w:val="auto"/>
              </w:rPr>
            </w:pPr>
            <w:r>
              <w:rPr>
                <w:rFonts w:ascii="Arial" w:cs="Arial" w:eastAsia="Arial" w:hAnsi="Arial"/>
                <w:sz w:val="18"/>
                <w:szCs w:val="18"/>
                <w:color w:val="auto"/>
              </w:rPr>
              <w:t>Equity in losses of investees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84</w:t>
            </w:r>
          </w:p>
        </w:tc>
      </w:tr>
      <w:tr>
        <w:trPr>
          <w:trHeight w:val="228"/>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 film assets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r>
      <w:tr>
        <w:trPr>
          <w:trHeight w:val="227"/>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Changes in other non-cash operating assets and liabilities</w:t>
            </w:r>
          </w:p>
        </w:tc>
        <w:tc>
          <w:tcPr>
            <w:tcW w:w="10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23,342</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(27,105)</w:t>
            </w:r>
          </w:p>
        </w:tc>
      </w:tr>
      <w:tr>
        <w:trPr>
          <w:trHeight w:val="221"/>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5,966</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(669)</w:t>
            </w:r>
          </w:p>
        </w:tc>
      </w:tr>
      <w:tr>
        <w:trPr>
          <w:trHeight w:val="219"/>
        </w:trPr>
        <w:tc>
          <w:tcPr>
            <w:tcW w:w="65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Purchase of equipment for joint revenue sharing arrangements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(9,716)</w:t>
            </w:r>
          </w:p>
        </w:tc>
      </w:tr>
      <w:tr>
        <w:trPr>
          <w:trHeight w:val="228"/>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other intangible assets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(15,153)</w:t>
            </w:r>
          </w:p>
        </w:tc>
      </w:tr>
      <w:tr>
        <w:trPr>
          <w:trHeight w:val="221"/>
        </w:trPr>
        <w:tc>
          <w:tcPr>
            <w:tcW w:w="6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(2,713)</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(27,646)</w:t>
            </w:r>
          </w:p>
        </w:tc>
      </w:tr>
      <w:tr>
        <w:trPr>
          <w:trHeight w:val="219"/>
        </w:trPr>
        <w:tc>
          <w:tcPr>
            <w:tcW w:w="6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Increase in bank indebtedness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280,000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35,000</w:t>
            </w: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Repayment of bank indebtedness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8"/>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share units and options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w:t>
            </w: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Treasury stock repurchased for future settlement of restricted share units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(4,207)</w:t>
            </w:r>
          </w:p>
        </w:tc>
      </w:tr>
      <w:tr>
        <w:trPr>
          <w:trHeight w:val="228"/>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shares, IMAX China</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w:t>
            </w:r>
          </w:p>
        </w:tc>
      </w:tr>
      <w:tr>
        <w:trPr>
          <w:trHeight w:val="227"/>
        </w:trPr>
        <w:tc>
          <w:tcPr>
            <w:tcW w:w="6520" w:type="dxa"/>
            <w:vAlign w:val="bottom"/>
          </w:tcPr>
          <w:p>
            <w:pPr>
              <w:spacing w:after="0"/>
              <w:rPr>
                <w:sz w:val="20"/>
                <w:szCs w:val="20"/>
                <w:color w:val="auto"/>
              </w:rPr>
            </w:pPr>
            <w:r>
              <w:rPr>
                <w:rFonts w:ascii="Arial" w:cs="Arial" w:eastAsia="Arial" w:hAnsi="Arial"/>
                <w:sz w:val="18"/>
                <w:szCs w:val="18"/>
                <w:color w:val="auto"/>
              </w:rPr>
              <w:t>Taxes withheld and paid on employee stock awards vested</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28"/>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Common shares issued - stock options exercised</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803</w:t>
            </w:r>
          </w:p>
        </w:tc>
      </w:tr>
      <w:tr>
        <w:trPr>
          <w:trHeight w:val="227"/>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Repurchase of common shares</w:t>
            </w:r>
          </w:p>
        </w:tc>
        <w:tc>
          <w:tcPr>
            <w:tcW w:w="10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21"/>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financing activities</w:t>
            </w:r>
          </w:p>
        </w:tc>
        <w:tc>
          <w:tcPr>
            <w:tcW w:w="10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2"/>
              </w:rPr>
              <w:t>239,163</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9,623</w:t>
            </w:r>
          </w:p>
        </w:tc>
      </w:tr>
      <w:tr>
        <w:trPr>
          <w:trHeight w:val="22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Effects of exchange rate changes on cash</w:t>
            </w:r>
          </w:p>
        </w:tc>
        <w:tc>
          <w:tcPr>
            <w:tcW w:w="10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377</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186</w:t>
            </w:r>
          </w:p>
        </w:tc>
      </w:tr>
      <w:tr>
        <w:trPr>
          <w:trHeight w:val="221"/>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Increase (decrease) in cash and cash equivalents during period</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2"/>
              </w:rPr>
              <w:t>242,793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(18,506)</w:t>
            </w:r>
          </w:p>
        </w:tc>
      </w:tr>
      <w:tr>
        <w:trPr>
          <w:trHeight w:val="227"/>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2"/>
              </w:rPr>
              <w:t>109,484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141,590</w:t>
            </w:r>
          </w:p>
        </w:tc>
      </w:tr>
      <w:tr>
        <w:trPr>
          <w:trHeight w:val="220"/>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2"/>
              </w:rPr>
              <w:t>352,277</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123,084</w:t>
            </w:r>
          </w:p>
        </w:tc>
      </w:tr>
      <w:tr>
        <w:trPr>
          <w:trHeight w:val="20"/>
        </w:trPr>
        <w:tc>
          <w:tcPr>
            <w:tcW w:w="6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r>
      <w:tr>
        <w:trPr>
          <w:trHeight w:val="212"/>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20"/>
        </w:trPr>
        <w:tc>
          <w:tcPr>
            <w:tcW w:w="7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capital stock:</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419,348</w:t>
            </w:r>
          </w:p>
        </w:tc>
        <w:tc>
          <w:tcPr>
            <w:tcW w:w="180" w:type="dxa"/>
            <w:vAlign w:val="bottom"/>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421,539</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shares held in treasury</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2,619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Employee stock options exercised</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636</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stock options exercised at the grant date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w:t>
            </w:r>
          </w:p>
        </w:tc>
      </w:tr>
      <w:tr>
        <w:trPr>
          <w:trHeight w:val="227"/>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Average carrying value of repurchased and retired common shares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404,164</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418,907</w:t>
            </w:r>
          </w:p>
        </w:tc>
      </w:tr>
      <w:tr>
        <w:trPr>
          <w:trHeight w:val="219"/>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Adjustments to other equity:</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171,789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179,595</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share-based payment expense - stock options</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2,106</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share-based payment expense - restricted share units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2,814</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2,411</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share-based payment expense - performance stock units</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share units vested</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(5,902)</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Cash received from the issuance of common shares in excess of par value</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167</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stock options exercised at the grant date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27"/>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shares repurchased, IMAX China</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168,892</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176,587</w:t>
            </w:r>
          </w:p>
        </w:tc>
      </w:tr>
      <w:tr>
        <w:trPr>
          <w:trHeight w:val="219"/>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Adjustments to accumulated deficit:</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(85,385)</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Net (loss) income attributable to common shareholders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(49,354)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8,265</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repurchased and retired</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(18,821)</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(108,428)</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(77,120)</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accumulated other comprehensive loss: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(3,588)</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1,026</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non-controlling interests: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89,493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80,757</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4,332</w:t>
            </w:r>
          </w:p>
        </w:tc>
      </w:tr>
      <w:tr>
        <w:trPr>
          <w:trHeight w:val="227"/>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345</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79,508</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85,434</w:t>
            </w:r>
          </w:p>
        </w:tc>
      </w:tr>
      <w:tr>
        <w:trPr>
          <w:trHeight w:val="220"/>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538,377</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601,246</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3640" w:right="2500" w:hanging="925"/>
        <w:spacing w:after="0" w:line="278" w:lineRule="auto"/>
        <w:rPr>
          <w:sz w:val="20"/>
          <w:szCs w:val="20"/>
          <w:color w:val="auto"/>
        </w:rPr>
      </w:pPr>
      <w:r>
        <w:rPr>
          <w:rFonts w:ascii="Arial" w:cs="Arial" w:eastAsia="Arial" w:hAnsi="Arial"/>
          <w:sz w:val="16"/>
          <w:szCs w:val="16"/>
          <w:b w:val="1"/>
          <w:bCs w:val="1"/>
          <w:color w:val="auto"/>
        </w:rPr>
        <w:t xml:space="preserve">NOTES TO CONDENSED CONSOLIDATED FINANCIAL STATEMENTS </w:t>
      </w:r>
      <w:r>
        <w:rPr>
          <w:rFonts w:ascii="Arial" w:cs="Arial" w:eastAsia="Arial" w:hAnsi="Arial"/>
          <w:sz w:val="16"/>
          <w:szCs w:val="16"/>
          <w:i w:val="1"/>
          <w:iCs w:val="1"/>
          <w:color w:val="auto"/>
        </w:rPr>
        <w:t>(Tabular amounts in thousands of U.S. dollars,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(Unaudited </w:t>
      </w:r>
      <w:r>
        <w:rPr>
          <w:rFonts w:ascii="Arial" w:cs="Arial" w:eastAsia="Arial" w:hAnsi="Arial"/>
          <w:sz w:val="18"/>
          <w:szCs w:val="18"/>
          <w:b w:val="1"/>
          <w:bCs w:val="1"/>
          <w:i w:val="1"/>
          <w:iCs w:val="1"/>
          <w:color w:val="auto"/>
        </w:rPr>
        <w:t>)</w:t>
      </w:r>
    </w:p>
    <w:p>
      <w:pPr>
        <w:spacing w:after="0" w:line="7" w:lineRule="exact"/>
        <w:rPr>
          <w:sz w:val="20"/>
          <w:szCs w:val="20"/>
          <w:color w:val="auto"/>
        </w:rPr>
      </w:pPr>
    </w:p>
    <w:p>
      <w:pPr>
        <w:jc w:val="both"/>
        <w:ind w:left="240" w:right="9420" w:hanging="233"/>
        <w:spacing w:after="0" w:line="577" w:lineRule="auto"/>
        <w:tabs>
          <w:tab w:leader="none" w:pos="238"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Basis of Presentation </w:t>
      </w:r>
      <w:r>
        <w:rPr>
          <w:rFonts w:ascii="Arial" w:cs="Arial" w:eastAsia="Arial" w:hAnsi="Arial"/>
          <w:sz w:val="14"/>
          <w:szCs w:val="14"/>
          <w:i w:val="1"/>
          <w:iCs w:val="1"/>
          <w:color w:val="auto"/>
        </w:rPr>
        <w:t>Accounting Principles</w:t>
      </w:r>
    </w:p>
    <w:p>
      <w:pPr>
        <w:spacing w:after="0" w:line="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interim results presented in the Company’s Condensed Consolidated Statements of Operations are not necessarily indicative of results for a full year, particularly in this interim period due to the impacts of the COVID-19 global pandemic (see Note 2).</w:t>
      </w:r>
    </w:p>
    <w:p>
      <w:pPr>
        <w:spacing w:after="0" w:line="142"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Company’s Condensed Consolidated Financial Statements should be read in conjunction with the audited Consolidated Financial Statements included in the its 2019 Annual Report on Form 10-K (the “2019 Form 10-K”), which should be consulted for a summary of the significant accounting policies utilized by the Company. The Condensed Consolidated Financial Statements are prepared following the same accounting policies disclosed in the Company’s 2019 Form 10-K, except as described in Note 4 below. In the first quarter of 2020, the Company updated certain account names within revenues and costs and expenses applicable to revenues in its Condensed Consolidated Statements of Operations to better describe the nature of its revenue-generating activities and related costs.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94"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These Condensed Consolidated Financial Statements include the accounts of the Company, except for subsidiaries which have been identified as variable interest entities (“VIEs”) where the Company is not the primary beneficiary. The nature of the Company’s business is such that results of operations for interim periods are not necessarily indicative of full year results. In the opinion of management, the unaudited Condensed Consolidated Financial Statements presented herein reflect all normal and recurring adjustments necessary for a fair presentation of the results for the interim periods presented. All intercompany accounts and transactions, including all unrealized intercompany profits on transactions with equity method investees, have been eliminated.</w:t>
      </w:r>
    </w:p>
    <w:p>
      <w:pPr>
        <w:spacing w:after="0" w:line="123"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has interests in ten film production companies, which have been identified as VIEs. The Company is the primary beneficiary of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does not have the obligation to absorb the majority of the expected losses or the right to receive expected residual returns. The Company used the equity method of accounting for these entities. A loss in value of an investment other than a temporary decline is recognized as a charge to the Condensed Consolidated Statements of Operations.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 and liabilities of the Company’s consolidated VIEs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6"/>
                <w:szCs w:val="16"/>
                <w:color w:val="auto"/>
              </w:rPr>
            </w:pP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2019</w:t>
            </w:r>
          </w:p>
        </w:tc>
      </w:tr>
      <w:tr>
        <w:trPr>
          <w:trHeight w:val="220"/>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8,573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9,677</w:t>
            </w:r>
          </w:p>
        </w:tc>
      </w:tr>
      <w:tr>
        <w:trPr>
          <w:trHeight w:val="227"/>
        </w:trPr>
        <w:tc>
          <w:tcPr>
            <w:tcW w:w="77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15,563</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15,528</w:t>
            </w:r>
          </w:p>
        </w:tc>
      </w:tr>
      <w:tr>
        <w:trPr>
          <w:trHeight w:val="426"/>
        </w:trPr>
        <w:tc>
          <w:tcPr>
            <w:tcW w:w="7720" w:type="dxa"/>
            <w:vAlign w:val="bottom"/>
          </w:tcPr>
          <w:p>
            <w:pPr>
              <w:ind w:left="240"/>
              <w:spacing w:after="0"/>
              <w:rPr>
                <w:sz w:val="20"/>
                <w:szCs w:val="20"/>
                <w:color w:val="auto"/>
              </w:rPr>
            </w:pPr>
            <w:r>
              <w:rPr>
                <w:rFonts w:ascii="Arial" w:cs="Arial" w:eastAsia="Arial" w:hAnsi="Arial"/>
                <w:sz w:val="18"/>
                <w:szCs w:val="18"/>
                <w:color w:val="auto"/>
                <w:w w:val="92"/>
              </w:rPr>
              <w:t>Total assets and liabilities of the VIE entities which the Company does not consolidate are as follows: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8"/>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2019</w:t>
            </w:r>
          </w:p>
        </w:tc>
      </w:tr>
      <w:tr>
        <w:trPr>
          <w:trHeight w:val="220"/>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448</w:t>
            </w:r>
          </w:p>
        </w:tc>
      </w:tr>
      <w:tr>
        <w:trPr>
          <w:trHeight w:val="227"/>
        </w:trPr>
        <w:tc>
          <w:tcPr>
            <w:tcW w:w="77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372</w:t>
            </w:r>
          </w:p>
        </w:tc>
      </w:tr>
      <w:tr>
        <w:trPr>
          <w:trHeight w:val="640"/>
        </w:trPr>
        <w:tc>
          <w:tcPr>
            <w:tcW w:w="7720" w:type="dxa"/>
            <w:vAlign w:val="bottom"/>
          </w:tcPr>
          <w:p>
            <w:pPr>
              <w:ind w:left="55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9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preparing the Company’s Condensed Consolidated Financial Statements, management makes judgments in applying various accounting policies. The areas of policy judgment are consistent with those reported in the Company’s 2019 Form 10-K. In addition, management makes assumptions about the future in deriving critical accounting estimates used in preparing the Condensed Consolidated Financial Statements. As disclosed in the Company’s 2019 Form 10-K, such sources of estimation include estimates used to determine the recoverable amounts of receivables, inventory, film assets, long-lived assets (including assets used to support joint revenue sharing arrangements), goodwill and deferred tax assets, as well as estimates of variable consideration related to future box office performance.</w:t>
      </w:r>
    </w:p>
    <w:p>
      <w:pPr>
        <w:spacing w:after="0" w:line="152"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There is significant ongoing uncertainty surrounding the COVID-19 global pandemic (see Note 2) and the extent and duration of the impacts that it may have on box office results, as well as the Company’s customers, suppliers, and employees. There is heightened potential for future credit losses on receivables, inventory write downs, impairments of film assets, impairments of long-lived assets (including the theater system equipment supporting the Company’s joint revenue sharing arrangements), impairments of goodwill, valuation allowances against deferred tax assets, and the reversal of variable consideration receivables that are based on future box office performance. In the current environment, assumptions about box office results, IMAX Theater System installations, and customer creditworthiness have greater variability than normal, which could in the future significantly affect the valuation of the Company’s assets, both financial and non-financial. The Company’s cash flow estimates for certain assets are based on a longer time horizon due to the long-term nature of its underlying contracts, allowing time for a recovery of such assets as theaters reopen in the future. As an understanding of the longer-term impacts of COVID-19 on the Company’s customers and business develops, there is heightened potential for changes in these views over the remainder of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98"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In late-January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The theaters have been closed since late-January 2020, and have not yet reopened as of the date of this report.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have caused movie theaters in countries around the world to temporarily close, including substantially all of the IMAX theaters in those countries. As a result of the theater closures, Hollywood and Chinese movie studios have also postponed the release of multiple films, including many scheduled to be shown in IMAX theaters.</w:t>
      </w:r>
    </w:p>
    <w:p>
      <w:pPr>
        <w:spacing w:after="0" w:line="152"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repercussions of the COVID-19 global pandemic resulted in a significant decrease in the Company’s revenues and earnings in the first quarter of 2020 as gross box office (“GBO”) results declined significantly, the installation of theater systems was delayed, and maintenance services were suspended. During the time period when a significant number of theaters in the IMAX network are closed, the Company has and will continue to experience a significant decline in earnings as it will generate effectively no GBO-based revenue from its joint revenue sharing arrangements and digital remastering services, it will not charge maintenance fees to theater operators, and theater system installations will be delayed. In addition, the Company will also experience delays in collecting payments due under existing theater sale or lease arrangements from its exhibitor partners who may now be facing financial difficulties as a result of the theater closures.</w:t>
      </w:r>
    </w:p>
    <w:p>
      <w:pPr>
        <w:spacing w:after="0" w:line="15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color w:val="212529"/>
        </w:rPr>
        <w:t>he Company may continue to be significantly impacted by the COVID-19 global pandemic even after some or all theaters are reopened. The global</w:t>
      </w:r>
      <w:r>
        <w:rPr>
          <w:rFonts w:ascii="Arial" w:cs="Arial" w:eastAsia="Arial" w:hAnsi="Arial"/>
          <w:sz w:val="18"/>
          <w:szCs w:val="18"/>
          <w:color w:val="auto"/>
        </w:rPr>
        <w:t xml:space="preserve"> </w:t>
      </w:r>
      <w:r>
        <w:rPr>
          <w:rFonts w:ascii="Arial" w:cs="Arial" w:eastAsia="Arial" w:hAnsi="Arial"/>
          <w:sz w:val="18"/>
          <w:szCs w:val="18"/>
          <w:color w:val="212529"/>
        </w:rPr>
        <w:t>economic impact of COVID-19 has led to record levels of unemployment in certain countries and may lead to lower consumer spending in the near term. The timing of a recovery of consumer behavior and willingness to spend discretionary income on movie-going may delay the Company’s ability to generate significant GBO-based revenue until such time as consumer spending recovers.</w:t>
      </w:r>
    </w:p>
    <w:p>
      <w:pPr>
        <w:spacing w:after="0" w:line="162"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response to uncertainties associated with the COVID-19 pandemic, the Company has taken and is continuing to take significant steps to preserve cash by eliminating non-essential costs, reducing employee hours and deferring all non-essential capital expenditures to minimum levels. The Company has also implemented an active cash management process, which, among other things, requires senior management approval of all outgoing payments. In addition, in the first quarter of 2020, management decided to draw down the $280.0 million in remaining borrowing capacity under its credit facility. Furthermore, the Company is in the process of reviewing and applying for wage subsidies, tax credits and other financial support under the newly enacted COVID-19 relief legislation in the countries in which it operates. However, the legislation and guidance from the authorities continues to evolve and so the amount and timing of support, if any, that the Company could receive is not determinable at this time, and there can be no guarantees that the Company will receive financial support through these programs.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ind w:firstLine="225"/>
        <w:spacing w:after="0" w:line="270" w:lineRule="auto"/>
        <w:rPr>
          <w:sz w:val="20"/>
          <w:szCs w:val="20"/>
          <w:color w:val="auto"/>
        </w:rPr>
      </w:pPr>
      <w:r>
        <w:rPr>
          <w:rFonts w:ascii="Arial" w:cs="Arial" w:eastAsia="Arial" w:hAnsi="Arial"/>
          <w:sz w:val="17"/>
          <w:szCs w:val="17"/>
          <w:color w:val="auto"/>
        </w:rPr>
        <w:t>As a result of the events and factors described above, the Company perform ed a quantitative goodwill impairment test and determined that its goodwill was no t impaired as of March 31, 2020 . The test was performed on a reporting unit level by comparing each unit’s carrying value, including goodwill, to its fair value. The fair value of each reporting unit was assessed using a discounted cash flow model based on management’s revised budget for the year and estimated long-term projections, against which various sensitivity analyses were performed. The precision of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 . ( See Note 1 )</w:t>
      </w:r>
    </w:p>
    <w:p>
      <w:pPr>
        <w:spacing w:after="0" w:line="15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Also, as a result of the events and factors described above, the Company performed a recoverability test of the carrying values of the theater system equipment supporting its joint revenue sharing arrangements, which are recorded within property, plant and equipment . In performing its review of recoverability, the Company estimated the undiscounted future cash flows expected to result from the use of the assets and determined that there was no impairment as of March 31, 2020 . The cash flow estimates used in this review are consistent with management’s revised budget for the year and estimated long-term projections, against which various sensitivity analyses were performed. The precision of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 . (See Note 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Standards Not Yet Adopted</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(“ASU 2020-04”). The purpose of ASU 2019-05 is to provide optional expedients and exceptions for applying GAAP to contracts, hedging relationships, and other transactions affected by reference rate reform if certain criteria are met. The amendments in ASU 2020-04 are effective for all entities as of March 12, 2020 through December 31, 2022. The Company is currently assessing the impact of ASU 2020-04 on its Condensed Consolidated Financial Statements.</w:t>
      </w:r>
    </w:p>
    <w:p>
      <w:pPr>
        <w:spacing w:after="0" w:line="165"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On April 10, 2020, the FASB staff issued a question-and-answer document to address stakeholder questions on the application of the lease accounting guidance for lease concessions related to the effects of the COVID-19 pandemic. The guidance will allow concessions related to the timing of payments, where the total consideration has not changed, to not be accounted for as lease modifications. Instead, any such concessions can be accounted for as if no change was made to the contract or as variable lease payments. The Company is currently assessing the impact of the question-and-answer document on its Condensed Consolidated Financial Statements, and will adopt the guidance in the second quarter of 2020, to the extent applicable.</w:t>
      </w:r>
    </w:p>
    <w:p>
      <w:pPr>
        <w:spacing w:after="0" w:line="12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considers the applicability and impact of all recently issued FASB accounting standard codification updates. Accounting standards updates that are not noted above were assessed and determined to be not applicable or not significant to the Company’s Condensed Consolidated Financial Statements for the period ended March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Current Expected Credit Losses</w:t>
      </w:r>
    </w:p>
    <w:p>
      <w:pPr>
        <w:spacing w:after="0" w:line="19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2016, the FASB issued ASU No. 2016-13, “Financial Instruments – Credit Losses (Topic 326): Measurement of Credit Losses on Financial Instruments” (“ASC Topic 326”),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ASU No. 2016-13 and several associated ASUs on January 1, 2020 with no required cumulative-effect adjustment to accumulated deficit.</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earned from theaters operators as a result of box office performance, and fees for theater maintenance services. To a lesser extent, accounts receivable also includes amounts due from movie studios and other content creators for digitally remastering films into IMAX formats, as well as for film distribution and post-production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jc w:val="both"/>
        <w:ind w:firstLine="225"/>
        <w:spacing w:after="0" w:line="270" w:lineRule="auto"/>
        <w:rPr>
          <w:sz w:val="20"/>
          <w:szCs w:val="20"/>
          <w:color w:val="auto"/>
        </w:rPr>
      </w:pPr>
      <w:r>
        <w:rPr>
          <w:rFonts w:ascii="Arial" w:cs="Arial" w:eastAsia="Arial" w:hAnsi="Arial"/>
          <w:sz w:val="17"/>
          <w:szCs w:val="17"/>
          <w:color w:val="auto"/>
        </w:rPr>
        <w:t>In order to mitigate the credit risk associated with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50" w:lineRule="exact"/>
        <w:rPr>
          <w:sz w:val="20"/>
          <w:szCs w:val="20"/>
          <w:color w:val="auto"/>
        </w:rPr>
      </w:pPr>
    </w:p>
    <w:p>
      <w:pPr>
        <w:ind w:left="960" w:hanging="36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 Standing — The theater operator continues to be in good standing as payments and reporting are up to date.</w:t>
      </w:r>
    </w:p>
    <w:p>
      <w:pPr>
        <w:spacing w:after="0" w:line="180" w:lineRule="exact"/>
        <w:rPr>
          <w:rFonts w:ascii="Arial" w:cs="Arial" w:eastAsia="Arial" w:hAnsi="Arial"/>
          <w:sz w:val="18"/>
          <w:szCs w:val="18"/>
          <w:color w:val="auto"/>
        </w:rPr>
      </w:pPr>
    </w:p>
    <w:p>
      <w:pPr>
        <w:jc w:val="both"/>
        <w:ind w:left="960" w:hanging="365"/>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51" w:lineRule="exact"/>
        <w:rPr>
          <w:rFonts w:ascii="Arial" w:cs="Arial" w:eastAsia="Arial" w:hAnsi="Arial"/>
          <w:sz w:val="18"/>
          <w:szCs w:val="18"/>
          <w:color w:val="auto"/>
        </w:rPr>
      </w:pPr>
    </w:p>
    <w:p>
      <w:pPr>
        <w:jc w:val="both"/>
        <w:ind w:left="960" w:hanging="365"/>
        <w:spacing w:after="0" w:line="27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 depending on the individual facts and circumstances related to each customer, finance income recognition may be suspended for the net investment in lease and financed sale receivable balances for customers in the Pre-Approved Transactions Only category. See below for a discussion of the Company’s net investment in leases and financed sale receivables.</w:t>
      </w:r>
    </w:p>
    <w:p>
      <w:pPr>
        <w:spacing w:after="0" w:line="136" w:lineRule="exact"/>
        <w:rPr>
          <w:rFonts w:ascii="Arial" w:cs="Arial" w:eastAsia="Arial" w:hAnsi="Arial"/>
          <w:sz w:val="17"/>
          <w:szCs w:val="17"/>
          <w:color w:val="auto"/>
        </w:rPr>
      </w:pPr>
    </w:p>
    <w:p>
      <w:pPr>
        <w:jc w:val="both"/>
        <w:ind w:left="960" w:hanging="365"/>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stopped.</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or other customers, may experience financial difficulties that could cause them to be unable to fulfill their payment obligations to the Company.</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the allowance for credit losses related to accounts receivable for the three months ended March 31,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w w:val="94"/>
              </w:rPr>
              <w:t>Three Months Ended March 31, 2020</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1"/>
                <w:szCs w:val="11"/>
                <w:color w:val="auto"/>
              </w:rPr>
            </w:pPr>
          </w:p>
        </w:tc>
        <w:tc>
          <w:tcPr>
            <w:tcW w:w="10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Studios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Operators</w:t>
            </w: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January 1, 2020</w:t>
            </w:r>
          </w:p>
        </w:tc>
        <w:tc>
          <w:tcPr>
            <w:tcW w:w="1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98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March 31, 2020</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three months ended March 31, 2020, the Company recorded a provision for current expected credit losses of $6.4 million reflecting a reduction in the credit quality of its theater and studio related accounts receivable as a result of the COVID-19 global pandemic. Management’s judgments regarding expected credit losses are based on the facts available to management.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94"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Financing receivables are due from theater operators and consist of the Company’s net investment in sales-type leases and receivables associated with financed sales of IMAX Theater Systems. Similar to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internal credit quality classifications utilized by the Company for accounts receivable, as described above, are also used for financing receivables.</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ability of the Company to collect its financing receivable balances is heavily dependent on the viability and solvency of individual theater operators which is significantly influenced by consumer behavior and general economic conditions. Theater operators may experience financial difficulties that could cause them to be unable to fulfill their payment obligations to the Company.</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at March 31, 2020 and December 31, 2019, financing receivables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Gross minimum payments due under sales-type leases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17,084</w:t>
            </w:r>
          </w:p>
        </w:tc>
        <w:tc>
          <w:tcPr>
            <w:tcW w:w="100" w:type="dxa"/>
            <w:vAlign w:val="bottom"/>
          </w:tcPr>
          <w:p>
            <w:pPr>
              <w:spacing w:after="0"/>
              <w:rPr>
                <w:sz w:val="19"/>
                <w:szCs w:val="19"/>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16,766</w:t>
            </w:r>
          </w:p>
        </w:tc>
        <w:tc>
          <w:tcPr>
            <w:tcW w:w="120" w:type="dxa"/>
            <w:vAlign w:val="bottom"/>
          </w:tcPr>
          <w:p>
            <w:pPr>
              <w:spacing w:after="0"/>
              <w:rPr>
                <w:sz w:val="19"/>
                <w:szCs w:val="19"/>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(1,005)</w:t>
            </w:r>
          </w:p>
        </w:tc>
      </w:tr>
      <w:tr>
        <w:trPr>
          <w:trHeight w:val="220"/>
        </w:trPr>
        <w:tc>
          <w:tcPr>
            <w:tcW w:w="7720" w:type="dxa"/>
            <w:vAlign w:val="bottom"/>
          </w:tcPr>
          <w:p>
            <w:pPr>
              <w:spacing w:after="0"/>
              <w:rPr>
                <w:sz w:val="20"/>
                <w:szCs w:val="20"/>
                <w:color w:val="auto"/>
              </w:rPr>
            </w:pPr>
            <w:r>
              <w:rPr>
                <w:rFonts w:ascii="Arial" w:cs="Arial" w:eastAsia="Arial" w:hAnsi="Arial"/>
                <w:sz w:val="18"/>
                <w:szCs w:val="18"/>
                <w:color w:val="auto"/>
              </w:rPr>
              <w:t>Present value of minimum payments due under sales-type leases</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15,761</w:t>
            </w:r>
          </w:p>
        </w:tc>
        <w:tc>
          <w:tcPr>
            <w:tcW w:w="120" w:type="dxa"/>
            <w:vAlign w:val="bottom"/>
          </w:tcPr>
          <w:p>
            <w:pPr>
              <w:spacing w:after="0"/>
              <w:rPr>
                <w:sz w:val="19"/>
                <w:szCs w:val="19"/>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investment in leases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Borders>
              <w:bottom w:val="single" w:sz="8" w:color="CFF0FC"/>
            </w:tcBorders>
          </w:tcPr>
          <w:p>
            <w:pPr>
              <w:spacing w:after="0"/>
              <w:rPr>
                <w:sz w:val="19"/>
                <w:szCs w:val="19"/>
                <w:color w:val="auto"/>
              </w:rPr>
            </w:pP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Gross minimum payments due under financed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146,660</w:t>
            </w:r>
          </w:p>
        </w:tc>
        <w:tc>
          <w:tcPr>
            <w:tcW w:w="120" w:type="dxa"/>
            <w:vAlign w:val="bottom"/>
          </w:tcPr>
          <w:p>
            <w:pPr>
              <w:spacing w:after="0"/>
              <w:rPr>
                <w:sz w:val="19"/>
                <w:szCs w:val="19"/>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(31,402)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(33,313)</w:t>
            </w:r>
          </w:p>
        </w:tc>
      </w:tr>
      <w:tr>
        <w:trPr>
          <w:trHeight w:val="220"/>
        </w:trPr>
        <w:tc>
          <w:tcPr>
            <w:tcW w:w="7720" w:type="dxa"/>
            <w:vAlign w:val="bottom"/>
          </w:tcPr>
          <w:p>
            <w:pPr>
              <w:spacing w:after="0"/>
              <w:rPr>
                <w:sz w:val="20"/>
                <w:szCs w:val="20"/>
                <w:color w:val="auto"/>
              </w:rPr>
            </w:pPr>
            <w:r>
              <w:rPr>
                <w:rFonts w:ascii="Arial" w:cs="Arial" w:eastAsia="Arial" w:hAnsi="Arial"/>
                <w:sz w:val="18"/>
                <w:szCs w:val="18"/>
                <w:color w:val="auto"/>
              </w:rPr>
              <w:t>Present value of minimum payments due under financed sales</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113,347</w:t>
            </w:r>
          </w:p>
        </w:tc>
        <w:tc>
          <w:tcPr>
            <w:tcW w:w="120" w:type="dxa"/>
            <w:vAlign w:val="bottom"/>
          </w:tcPr>
          <w:p>
            <w:pPr>
              <w:spacing w:after="0"/>
              <w:rPr>
                <w:sz w:val="19"/>
                <w:szCs w:val="19"/>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(3,557)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(915)</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financed sales receivables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105,429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112,432</w:t>
            </w:r>
          </w:p>
        </w:tc>
        <w:tc>
          <w:tcPr>
            <w:tcW w:w="120" w:type="dxa"/>
            <w:vAlign w:val="bottom"/>
            <w:tcBorders>
              <w:bottom w:val="single" w:sz="8" w:color="CFF0FC"/>
            </w:tcBorders>
          </w:tcPr>
          <w:p>
            <w:pPr>
              <w:spacing w:after="0"/>
              <w:rPr>
                <w:sz w:val="19"/>
                <w:szCs w:val="19"/>
                <w:color w:val="auto"/>
              </w:rPr>
            </w:pPr>
          </w:p>
        </w:tc>
      </w:tr>
      <w:tr>
        <w:trPr>
          <w:trHeight w:val="22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financing receivables</w:t>
            </w: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121,112</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7720" w:type="dxa"/>
            <w:vAlign w:val="bottom"/>
          </w:tcPr>
          <w:p>
            <w:pPr>
              <w:spacing w:after="0"/>
              <w:rPr>
                <w:sz w:val="20"/>
                <w:szCs w:val="20"/>
                <w:color w:val="auto"/>
              </w:rPr>
            </w:pPr>
            <w:r>
              <w:rPr>
                <w:rFonts w:ascii="Arial" w:cs="Arial" w:eastAsia="Arial" w:hAnsi="Arial"/>
                <w:sz w:val="18"/>
                <w:szCs w:val="18"/>
                <w:color w:val="auto"/>
              </w:rPr>
              <w:t>Net financed sales receivables due within one year</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27,163</w:t>
            </w:r>
          </w:p>
        </w:tc>
        <w:tc>
          <w:tcPr>
            <w:tcW w:w="100" w:type="dxa"/>
            <w:vAlign w:val="bottom"/>
          </w:tcPr>
          <w:p>
            <w:pPr>
              <w:spacing w:after="0"/>
              <w:rPr>
                <w:sz w:val="24"/>
                <w:szCs w:val="24"/>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27,595</w:t>
            </w:r>
          </w:p>
        </w:tc>
        <w:tc>
          <w:tcPr>
            <w:tcW w:w="120" w:type="dxa"/>
            <w:vAlign w:val="bottom"/>
          </w:tcPr>
          <w:p>
            <w:pPr>
              <w:spacing w:after="0"/>
              <w:rPr>
                <w:sz w:val="24"/>
                <w:szCs w:val="24"/>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financed sales receivables due after one year</w:t>
            </w: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78,266</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84,837</w:t>
            </w:r>
          </w:p>
        </w:tc>
        <w:tc>
          <w:tcPr>
            <w:tcW w:w="120" w:type="dxa"/>
            <w:vAlign w:val="bottom"/>
            <w:shd w:val="clear" w:color="auto" w:fill="CFF0FC"/>
          </w:tcPr>
          <w:p>
            <w:pPr>
              <w:spacing w:after="0"/>
              <w:rPr>
                <w:sz w:val="19"/>
                <w:szCs w:val="19"/>
                <w:color w:val="auto"/>
              </w:rPr>
            </w:pPr>
          </w:p>
        </w:tc>
      </w:tr>
      <w:tr>
        <w:trPr>
          <w:trHeight w:val="220"/>
        </w:trPr>
        <w:tc>
          <w:tcPr>
            <w:tcW w:w="7720" w:type="dxa"/>
            <w:vAlign w:val="bottom"/>
          </w:tcPr>
          <w:p>
            <w:pPr>
              <w:spacing w:after="0"/>
              <w:rPr>
                <w:sz w:val="20"/>
                <w:szCs w:val="20"/>
                <w:color w:val="auto"/>
              </w:rPr>
            </w:pPr>
            <w:r>
              <w:rPr>
                <w:rFonts w:ascii="Arial" w:cs="Arial" w:eastAsia="Arial" w:hAnsi="Arial"/>
                <w:sz w:val="18"/>
                <w:szCs w:val="18"/>
                <w:color w:val="auto"/>
              </w:rPr>
              <w:t>Total financed sales receivables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105,429</w:t>
            </w: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112,432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March 31, 2020 and December 31, 2019, the weighted-average remaining lease term and weighted-average interest rate associated with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00" w:type="dxa"/>
            <w:vAlign w:val="bottom"/>
          </w:tcPr>
          <w:p>
            <w:pPr>
              <w:jc w:val="right"/>
              <w:ind w:right="249"/>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r>
      <w:tr>
        <w:trPr>
          <w:trHeight w:val="198"/>
        </w:trPr>
        <w:tc>
          <w:tcPr>
            <w:tcW w:w="4660" w:type="dxa"/>
            <w:vAlign w:val="bottom"/>
          </w:tcPr>
          <w:p>
            <w:pPr>
              <w:spacing w:after="0"/>
              <w:rPr>
                <w:sz w:val="17"/>
                <w:szCs w:val="17"/>
                <w:color w:val="auto"/>
              </w:rPr>
            </w:pPr>
          </w:p>
        </w:tc>
        <w:tc>
          <w:tcPr>
            <w:tcW w:w="4520" w:type="dxa"/>
            <w:vAlign w:val="bottom"/>
            <w:gridSpan w:val="2"/>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r>
      <w:tr>
        <w:trPr>
          <w:trHeight w:val="220"/>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0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r>
      <w:tr>
        <w:trPr>
          <w:trHeight w:val="228"/>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interest rate</w:t>
            </w:r>
          </w:p>
        </w:tc>
        <w:tc>
          <w:tcPr>
            <w:tcW w:w="30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Financed sales receivables</w:t>
            </w:r>
          </w:p>
        </w:tc>
        <w:tc>
          <w:tcPr>
            <w:tcW w:w="4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813"/>
        </w:trPr>
        <w:tc>
          <w:tcPr>
            <w:tcW w:w="4660" w:type="dxa"/>
            <w:vAlign w:val="bottom"/>
          </w:tcPr>
          <w:p>
            <w:pPr>
              <w:spacing w:after="0"/>
              <w:rPr>
                <w:sz w:val="24"/>
                <w:szCs w:val="24"/>
                <w:color w:val="auto"/>
              </w:rPr>
            </w:pPr>
          </w:p>
        </w:tc>
        <w:tc>
          <w:tcPr>
            <w:tcW w:w="3020" w:type="dxa"/>
            <w:vAlign w:val="bottom"/>
          </w:tcPr>
          <w:p>
            <w:pPr>
              <w:jc w:val="right"/>
              <w:ind w:right="1875"/>
              <w:spacing w:after="0"/>
              <w:rPr>
                <w:sz w:val="20"/>
                <w:szCs w:val="20"/>
                <w:color w:val="auto"/>
              </w:rPr>
            </w:pPr>
            <w:r>
              <w:rPr>
                <w:rFonts w:ascii="Arial" w:cs="Arial" w:eastAsia="Arial" w:hAnsi="Arial"/>
                <w:sz w:val="18"/>
                <w:szCs w:val="18"/>
                <w:color w:val="auto"/>
              </w:rPr>
              <w:t>13</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ind w:firstLine="225"/>
        <w:spacing w:after="0" w:line="270" w:lineRule="auto"/>
        <w:rPr>
          <w:sz w:val="20"/>
          <w:szCs w:val="20"/>
          <w:color w:val="auto"/>
        </w:rPr>
      </w:pPr>
      <w:r>
        <w:rPr>
          <w:rFonts w:ascii="Arial" w:cs="Arial" w:eastAsia="Arial" w:hAnsi="Arial"/>
          <w:sz w:val="18"/>
          <w:szCs w:val="18"/>
          <w:color w:val="auto"/>
        </w:rPr>
        <w:t>The following tables provide information on the Company’s net investment in leases by credit quality indicator as at March 31, 2020 and December 31,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March 31, 2020</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7,762</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540" w:type="dxa"/>
            <w:vAlign w:val="bottom"/>
            <w:gridSpan w:val="2"/>
          </w:tcPr>
          <w:p>
            <w:pPr>
              <w:spacing w:after="0"/>
              <w:rPr>
                <w:sz w:val="20"/>
                <w:szCs w:val="20"/>
                <w:color w:val="auto"/>
              </w:rPr>
            </w:pPr>
            <w:r>
              <w:rPr>
                <w:rFonts w:ascii="Arial" w:cs="Arial" w:eastAsia="Arial" w:hAnsi="Arial"/>
                <w:sz w:val="18"/>
                <w:szCs w:val="18"/>
                <w:color w:val="auto"/>
              </w:rPr>
              <w:t>Current-period gross write-offs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Current-period recoveries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Current-period net write-offs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 2019</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ind w:firstLine="225"/>
        <w:spacing w:after="0" w:line="270" w:lineRule="auto"/>
        <w:rPr>
          <w:sz w:val="20"/>
          <w:szCs w:val="20"/>
          <w:color w:val="auto"/>
        </w:rPr>
      </w:pPr>
      <w:r>
        <w:rPr>
          <w:rFonts w:ascii="Arial" w:cs="Arial" w:eastAsia="Arial" w:hAnsi="Arial"/>
          <w:sz w:val="18"/>
          <w:szCs w:val="18"/>
          <w:color w:val="auto"/>
        </w:rPr>
        <w:t>The following tables provide information on the Company’s financed sale receivables by credit quality indicator as at March 31, 2020 and December 31,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March 31, 2020</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11,321</w:t>
            </w:r>
          </w:p>
        </w:tc>
        <w:tc>
          <w:tcPr>
            <w:tcW w:w="4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16,021</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46,339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104,260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540" w:type="dxa"/>
            <w:vAlign w:val="bottom"/>
            <w:gridSpan w:val="2"/>
          </w:tcPr>
          <w:p>
            <w:pPr>
              <w:spacing w:after="0"/>
              <w:rPr>
                <w:sz w:val="20"/>
                <w:szCs w:val="20"/>
                <w:color w:val="auto"/>
              </w:rPr>
            </w:pPr>
            <w:r>
              <w:rPr>
                <w:rFonts w:ascii="Arial" w:cs="Arial" w:eastAsia="Arial" w:hAnsi="Arial"/>
                <w:sz w:val="18"/>
                <w:szCs w:val="18"/>
                <w:color w:val="auto"/>
              </w:rPr>
              <w:t>Current-period gross write-offs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Current-period recoveries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Current-period net write-offs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 2019</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w:t>
            </w:r>
          </w:p>
        </w:tc>
        <w:tc>
          <w:tcPr>
            <w:tcW w:w="4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102,450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an aging analysis for the Company’s net investment in leases and financed sale receivables as at March 31, 2020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As at March 31,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16,147</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108,986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(3,557)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105,429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121,112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As at 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103,451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113,347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112,432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7"/>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jc w:val="both"/>
        <w:ind w:firstLine="225"/>
        <w:spacing w:after="0" w:line="252" w:lineRule="auto"/>
        <w:rPr>
          <w:sz w:val="20"/>
          <w:szCs w:val="20"/>
          <w:color w:val="auto"/>
        </w:rPr>
      </w:pPr>
      <w:r>
        <w:rPr>
          <w:rFonts w:ascii="Arial" w:cs="Arial" w:eastAsia="Arial" w:hAnsi="Arial"/>
          <w:sz w:val="18"/>
          <w:szCs w:val="18"/>
          <w:color w:val="auto"/>
        </w:rPr>
        <w:t>The Company considers financing receivables with an aging between 60-89 days as indications of theaters with potential collection concerns.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an indicator of potential impairment as up to 90 days outstanding is considered to be a reasonable time to resolve any issues. G iven the potential impacts of the COVID-19 global pandemic on the Company’s customers , management is enhanc ing its monitoring procedures with respect to overdue receivables .</w:t>
      </w:r>
    </w:p>
    <w:p>
      <w:pPr>
        <w:spacing w:after="0" w:line="16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provides information about the Company’s net investment in leases and financed sale receivables with billed amounts past due for which it continues to accrue finance income as at March 31, 2020 and December 31,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As at March 31, 2020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82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at December 31, 2019</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82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at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December 31,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As at March 31, 2020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480"/>
              <w:spacing w:after="0"/>
              <w:rPr>
                <w:sz w:val="20"/>
                <w:szCs w:val="20"/>
                <w:color w:val="auto"/>
              </w:rPr>
            </w:pPr>
            <w:r>
              <w:rPr>
                <w:rFonts w:ascii="Arial" w:cs="Arial" w:eastAsia="Arial" w:hAnsi="Arial"/>
                <w:sz w:val="14"/>
                <w:szCs w:val="14"/>
                <w:b w:val="1"/>
                <w:bCs w:val="1"/>
                <w:color w:val="auto"/>
                <w:w w:val="91"/>
              </w:rPr>
              <w:t>As at December 31, 2019</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6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8"/>
              <w:spacing w:after="0"/>
              <w:rPr>
                <w:sz w:val="20"/>
                <w:szCs w:val="20"/>
                <w:color w:val="auto"/>
              </w:rPr>
            </w:pPr>
            <w:r>
              <w:rPr>
                <w:rFonts w:ascii="Arial" w:cs="Arial" w:eastAsia="Arial" w:hAnsi="Arial"/>
                <w:sz w:val="14"/>
                <w:szCs w:val="14"/>
                <w:b w:val="1"/>
                <w:bCs w:val="1"/>
                <w:color w:val="auto"/>
                <w:w w:val="87"/>
              </w:rPr>
              <w:t>Receivable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4"/>
                <w:szCs w:val="14"/>
                <w:b w:val="1"/>
                <w:bCs w:val="1"/>
                <w:color w:val="auto"/>
                <w:w w:val="87"/>
              </w:rPr>
              <w:t>Receivable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8"/>
                <w:szCs w:val="18"/>
                <w:color w:val="auto"/>
              </w:rPr>
              <w:t>Net financed sales receivables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A theater operator that is classified within the “All Transactions Suspended” category is placed on nonaccrual status and all revenue recognitions related to the theater are stopped. While the recognition of finance income is suspended, payments received by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6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months ended March 31, 2020 and 2019, the Company recognized $78.0 million and $82.0 million, respectively, in finance income related to the net investment in leases with billed amounts past due. For the three months ended March 31, 2020 and 2019, the Company recognized $2.1 million and $2.4 million, respectively, in finance income related to the financed sale receivables with billed amounts past due.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in the allowance for credit losses related to the Company’s net investment in leases and financed sale receivables for the three months ended March 31, 2020 and 2019 :</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 March 31, 2020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March 31, 2019</w:t>
            </w:r>
          </w:p>
        </w:tc>
        <w:tc>
          <w:tcPr>
            <w:tcW w:w="100" w:type="dxa"/>
            <w:vAlign w:val="bottom"/>
          </w:tcPr>
          <w:p>
            <w:pPr>
              <w:spacing w:after="0"/>
              <w:rPr>
                <w:sz w:val="14"/>
                <w:szCs w:val="1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Investment</w:t>
            </w:r>
          </w:p>
        </w:tc>
        <w:tc>
          <w:tcPr>
            <w:tcW w:w="140" w:type="dxa"/>
            <w:vAlign w:val="bottom"/>
          </w:tcPr>
          <w:p>
            <w:pPr>
              <w:spacing w:after="0"/>
              <w:rPr>
                <w:sz w:val="20"/>
                <w:szCs w:val="20"/>
                <w:color w:val="auto"/>
              </w:rPr>
            </w:pPr>
          </w:p>
        </w:tc>
        <w:tc>
          <w:tcPr>
            <w:tcW w:w="1300" w:type="dxa"/>
            <w:vAlign w:val="bottom"/>
          </w:tcPr>
          <w:p>
            <w:pPr>
              <w:jc w:val="right"/>
              <w:ind w:right="356"/>
              <w:spacing w:after="0"/>
              <w:rPr>
                <w:sz w:val="20"/>
                <w:szCs w:val="20"/>
                <w:color w:val="auto"/>
              </w:rPr>
            </w:pPr>
            <w:r>
              <w:rPr>
                <w:rFonts w:ascii="Arial" w:cs="Arial" w:eastAsia="Arial" w:hAnsi="Arial"/>
                <w:sz w:val="14"/>
                <w:szCs w:val="14"/>
                <w:b w:val="1"/>
                <w:bCs w:val="1"/>
                <w:color w:val="auto"/>
              </w:rPr>
              <w:t>Financed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Investment</w:t>
            </w:r>
          </w:p>
        </w:tc>
        <w:tc>
          <w:tcPr>
            <w:tcW w:w="12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Financed</w:t>
            </w:r>
          </w:p>
        </w:tc>
      </w:t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40" w:type="dxa"/>
            <w:vAlign w:val="bottom"/>
          </w:tcPr>
          <w:p>
            <w:pPr>
              <w:spacing w:after="0"/>
              <w:rPr>
                <w:sz w:val="18"/>
                <w:szCs w:val="18"/>
                <w:color w:val="auto"/>
              </w:rPr>
            </w:pPr>
          </w:p>
        </w:tc>
        <w:tc>
          <w:tcPr>
            <w:tcW w:w="1300" w:type="dxa"/>
            <w:vAlign w:val="bottom"/>
          </w:tcPr>
          <w:p>
            <w:pPr>
              <w:jc w:val="right"/>
              <w:ind w:right="116"/>
              <w:spacing w:after="0"/>
              <w:rPr>
                <w:sz w:val="20"/>
                <w:szCs w:val="20"/>
                <w:color w:val="auto"/>
              </w:rPr>
            </w:pPr>
            <w:r>
              <w:rPr>
                <w:rFonts w:ascii="Arial" w:cs="Arial" w:eastAsia="Arial" w:hAnsi="Arial"/>
                <w:sz w:val="14"/>
                <w:szCs w:val="14"/>
                <w:b w:val="1"/>
                <w:bCs w:val="1"/>
                <w:color w:val="auto"/>
                <w:w w:val="88"/>
              </w:rPr>
              <w:t>Sales Receivables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2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three months ended March 31, 2020, the Company recorded a provision for current expected credit losses of $3.0 million reflecting a reduction in the credit quality of its theater related financing receivables as a result of the COVID-19 global pandemic. Management’s judgments regarding expected credit losses are based on the facts available to management.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6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ability of the Company to collect its variable consideration receivables is heavily dependent on the viability and solvency of individual theater operators which is significantly influenced by consumer behavior and general economic conditions. Theater operators may experience financial difficulties that could cause them to be unable to fulfill their payment obligations to the Company.</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utilizes historical loss rates for financed sale receivables which are then adjusted for specific receivables that are judged to have a higher than normal risk profile after taking into account management’s internal credit quality classifications, as well as macro-economic and industry risk factors.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the allowance for credit losses related to variable consideration receivables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tbl>
      <w:tblPr>
        <w:tblLayout w:type="fixed"/>
        <w:tblInd w:w="0" w:type="dxa"/>
        <w:tblCellMar>
          <w:top w:w="0" w:type="dxa"/>
          <w:left w:w="0" w:type="dxa"/>
          <w:bottom w:w="0" w:type="dxa"/>
          <w:right w:w="0" w:type="dxa"/>
        </w:tblCellMar>
      </w:tblPr>
      <w:tr>
        <w:trPr>
          <w:trHeight w:val="146"/>
        </w:trPr>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4"/>
              </w:rPr>
              <w:t>Three Months Ended March 31,</w:t>
            </w:r>
          </w:p>
        </w:tc>
      </w:tr>
      <w:tr>
        <w:trPr>
          <w:trHeight w:val="170"/>
        </w:trPr>
        <w:tc>
          <w:tcPr>
            <w:tcW w:w="8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131"/>
        </w:trPr>
        <w:tc>
          <w:tcPr>
            <w:tcW w:w="8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jc w:val="center"/>
              <w:ind w:right="59"/>
              <w:spacing w:after="0" w:line="131"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1"/>
                <w:szCs w:val="11"/>
                <w:color w:val="auto"/>
              </w:rPr>
            </w:pPr>
          </w:p>
        </w:tc>
      </w:tr>
      <w:tr>
        <w:trPr>
          <w:trHeight w:val="170"/>
        </w:trPr>
        <w:tc>
          <w:tcPr>
            <w:tcW w:w="8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Operators</w:t>
            </w:r>
          </w:p>
        </w:tc>
      </w:tr>
      <w:tr>
        <w:trPr>
          <w:trHeight w:val="220"/>
        </w:trPr>
        <w:tc>
          <w:tcPr>
            <w:tcW w:w="8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January 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886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r>
      <w:tr>
        <w:trPr>
          <w:trHeight w:val="227"/>
        </w:trPr>
        <w:tc>
          <w:tcPr>
            <w:tcW w:w="8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886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19"/>
                <w:szCs w:val="19"/>
                <w:color w:val="auto"/>
              </w:rPr>
            </w:pP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8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March 31, 2020</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three months ended March 31, 2020, the Company recorded a provision for current expected credit losses of $0.9 million reflecting a reduction in the credit quality of its theater related variable consideration receivables as a result of the COVID-19 global pandemic. Management’s judgments regarding expected credit losses are based on the facts available to management.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ind w:left="220" w:hanging="213"/>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Lease Arrangements</w:t>
      </w:r>
    </w:p>
    <w:p>
      <w:pPr>
        <w:spacing w:after="0" w:line="184"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IMAX Corporation as a Lessee </w:t>
      </w:r>
      <w:r>
        <w:rPr>
          <w:rFonts w:ascii="Arial" w:cs="Arial" w:eastAsia="Arial" w:hAnsi="Arial"/>
          <w:sz w:val="18"/>
          <w:szCs w:val="18"/>
          <w:color w:val="auto"/>
        </w:rPr>
        <w:t>:</w:t>
      </w:r>
    </w:p>
    <w:p>
      <w:pPr>
        <w:spacing w:after="0" w:line="194"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Company’s operating lease arrangements principally involve office and warehouse space. Office equipment is generally purchased outright. Leases with an initial term of less than 12 months are not recorded on the Condensed Consolidated Balance Sheet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and knowledge, current understanding of future business needs and the level of investment in leasehold improvements, among other considerations. The incremental borrowing rate used in the calculation of the Company’s lease liability is based on the location of each leased property. None of the Company’s leases include options to purchase the leased property. The depreciable life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4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three months ended March 31, 2020 and 2019, the components of lease expense recorded within selling, general and administrative expenses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8"/>
        </w:trPr>
        <w:tc>
          <w:tcPr>
            <w:tcW w:w="73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73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9"/>
                <w:szCs w:val="19"/>
                <w:color w:val="auto"/>
              </w:rPr>
            </w:pPr>
          </w:p>
        </w:tc>
      </w:tr>
      <w:tr>
        <w:trPr>
          <w:trHeight w:val="22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15"/>
                <w:szCs w:val="15"/>
                <w:color w:val="auto"/>
              </w:rPr>
              <w:t>(1)</w:t>
            </w:r>
          </w:p>
        </w:tc>
        <w:tc>
          <w:tcPr>
            <w:tcW w:w="1100" w:type="dxa"/>
            <w:vAlign w:val="bottom"/>
            <w:shd w:val="clear" w:color="auto" w:fill="CFF0FC"/>
          </w:tcPr>
          <w:p>
            <w:pPr>
              <w:jc w:val="right"/>
              <w:ind w:right="91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FF0FC"/>
          </w:tcPr>
          <w:p>
            <w:pPr>
              <w:spacing w:after="0"/>
              <w:rPr>
                <w:sz w:val="19"/>
                <w:szCs w:val="19"/>
                <w:color w:val="auto"/>
              </w:rPr>
            </w:pPr>
          </w:p>
        </w:tc>
      </w:tr>
      <w:tr>
        <w:trPr>
          <w:trHeight w:val="227"/>
        </w:trPr>
        <w:tc>
          <w:tcPr>
            <w:tcW w:w="7320" w:type="dxa"/>
            <w:vAlign w:val="bottom"/>
          </w:tcPr>
          <w:p>
            <w:pPr>
              <w:spacing w:after="0"/>
              <w:rPr>
                <w:sz w:val="20"/>
                <w:szCs w:val="20"/>
                <w:color w:val="auto"/>
              </w:rPr>
            </w:pPr>
            <w:r>
              <w:rPr>
                <w:rFonts w:ascii="Arial" w:cs="Arial" w:eastAsia="Arial" w:hAnsi="Arial"/>
                <w:sz w:val="18"/>
                <w:szCs w:val="18"/>
                <w:color w:val="auto"/>
              </w:rPr>
              <w:t>Amortization of lease assets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9"/>
                <w:szCs w:val="19"/>
                <w:color w:val="auto"/>
              </w:rPr>
            </w:pPr>
          </w:p>
        </w:tc>
      </w:tr>
      <w:tr>
        <w:trPr>
          <w:trHeight w:val="228"/>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FF0FC"/>
          </w:tcPr>
          <w:p>
            <w:pPr>
              <w:spacing w:after="0"/>
              <w:rPr>
                <w:sz w:val="19"/>
                <w:szCs w:val="19"/>
                <w:color w:val="auto"/>
              </w:rPr>
            </w:pPr>
          </w:p>
        </w:tc>
      </w:tr>
      <w:tr>
        <w:trPr>
          <w:trHeight w:val="220"/>
        </w:trPr>
        <w:tc>
          <w:tcPr>
            <w:tcW w:w="7320" w:type="dxa"/>
            <w:vAlign w:val="bottom"/>
          </w:tcPr>
          <w:p>
            <w:pPr>
              <w:spacing w:after="0"/>
              <w:rPr>
                <w:sz w:val="20"/>
                <w:szCs w:val="20"/>
                <w:color w:val="auto"/>
              </w:rPr>
            </w:pPr>
            <w:r>
              <w:rPr>
                <w:rFonts w:ascii="Arial" w:cs="Arial" w:eastAsia="Arial" w:hAnsi="Arial"/>
                <w:sz w:val="18"/>
                <w:szCs w:val="18"/>
                <w:color w:val="auto"/>
              </w:rPr>
              <w:t>Total lease cost</w:t>
            </w:r>
          </w:p>
        </w:tc>
        <w:tc>
          <w:tcPr>
            <w:tcW w:w="110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360" w:type="dxa"/>
            <w:vAlign w:val="bottom"/>
          </w:tcPr>
          <w:p>
            <w:pPr>
              <w:spacing w:after="0"/>
              <w:rPr>
                <w:sz w:val="19"/>
                <w:szCs w:val="19"/>
                <w:color w:val="auto"/>
              </w:rPr>
            </w:pP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949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66" w:lineRule="exact"/>
        <w:rPr>
          <w:sz w:val="20"/>
          <w:szCs w:val="20"/>
          <w:color w:val="auto"/>
        </w:rPr>
      </w:pPr>
    </w:p>
    <w:p>
      <w:pPr>
        <w:ind w:left="240" w:right="1540" w:hanging="233"/>
        <w:spacing w:after="0" w:line="578" w:lineRule="auto"/>
        <w:tabs>
          <w:tab w:leader="none" w:pos="38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short-term leases and variable lease costs, which are not significant for the three months ended March 31, 2020 and 2019. For three months ended March 31, 2020 and 2019, supplemental cash flow information related to leases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24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r>
      <w:tr>
        <w:trPr>
          <w:trHeight w:val="220"/>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24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17,515</w:t>
            </w:r>
          </w:p>
        </w:tc>
        <w:tc>
          <w:tcPr>
            <w:tcW w:w="100" w:type="dxa"/>
            <w:vAlign w:val="bottom"/>
          </w:tcPr>
          <w:p>
            <w:pPr>
              <w:spacing w:after="0"/>
              <w:rPr>
                <w:sz w:val="19"/>
                <w:szCs w:val="19"/>
                <w:color w:val="auto"/>
              </w:rPr>
            </w:pPr>
          </w:p>
        </w:tc>
      </w:tr>
      <w:tr>
        <w:trPr>
          <w:trHeight w:val="220"/>
        </w:trPr>
        <w:tc>
          <w:tcPr>
            <w:tcW w:w="6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at March 31, 2020 and December 31, 2019, supplemental balance sheet information related to leases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2620" w:type="dxa"/>
            <w:vAlign w:val="bottom"/>
            <w:tcBorders>
              <w:bottom w:val="single" w:sz="8" w:color="CFF0FC"/>
            </w:tcBorders>
          </w:tcPr>
          <w:p>
            <w:pPr>
              <w:spacing w:after="0"/>
              <w:rPr>
                <w:sz w:val="18"/>
                <w:szCs w:val="18"/>
                <w:color w:val="auto"/>
              </w:rPr>
            </w:pPr>
          </w:p>
        </w:tc>
        <w:tc>
          <w:tcPr>
            <w:tcW w:w="5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2019</w:t>
            </w:r>
          </w:p>
        </w:tc>
      </w:tr>
      <w:tr>
        <w:trPr>
          <w:trHeight w:val="220"/>
        </w:trPr>
        <w:tc>
          <w:tcPr>
            <w:tcW w:w="2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2620" w:type="dxa"/>
            <w:vAlign w:val="bottom"/>
          </w:tcPr>
          <w:p>
            <w:pPr>
              <w:spacing w:after="0"/>
              <w:rPr>
                <w:sz w:val="20"/>
                <w:szCs w:val="20"/>
                <w:color w:val="auto"/>
              </w:rPr>
            </w:pPr>
            <w:r>
              <w:rPr>
                <w:rFonts w:ascii="Arial" w:cs="Arial" w:eastAsia="Arial" w:hAnsi="Arial"/>
                <w:sz w:val="18"/>
                <w:szCs w:val="18"/>
                <w:color w:val="auto"/>
              </w:rPr>
              <w:t>Right-of-Use Assets</w:t>
            </w:r>
          </w:p>
        </w:tc>
        <w:tc>
          <w:tcPr>
            <w:tcW w:w="5140" w:type="dxa"/>
            <w:vAlign w:val="bottom"/>
          </w:tcPr>
          <w:p>
            <w:pPr>
              <w:ind w:left="1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15,554</w:t>
            </w:r>
          </w:p>
        </w:tc>
        <w:tc>
          <w:tcPr>
            <w:tcW w:w="16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16,262</w:t>
            </w:r>
          </w:p>
        </w:tc>
      </w:tr>
      <w:tr>
        <w:trPr>
          <w:trHeight w:val="228"/>
        </w:trPr>
        <w:tc>
          <w:tcPr>
            <w:tcW w:w="2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2620" w:type="dxa"/>
            <w:vAlign w:val="bottom"/>
          </w:tcPr>
          <w:p>
            <w:pPr>
              <w:spacing w:after="0"/>
              <w:rPr>
                <w:sz w:val="20"/>
                <w:szCs w:val="20"/>
                <w:color w:val="auto"/>
              </w:rPr>
            </w:pPr>
            <w:r>
              <w:rPr>
                <w:rFonts w:ascii="Arial" w:cs="Arial" w:eastAsia="Arial" w:hAnsi="Arial"/>
                <w:sz w:val="18"/>
                <w:szCs w:val="18"/>
                <w:color w:val="auto"/>
              </w:rPr>
              <w:t>Operating Leases</w:t>
            </w:r>
          </w:p>
        </w:tc>
        <w:tc>
          <w:tcPr>
            <w:tcW w:w="5140" w:type="dxa"/>
            <w:vAlign w:val="bottom"/>
          </w:tcPr>
          <w:p>
            <w:pPr>
              <w:ind w:left="118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18,035</w:t>
            </w:r>
          </w:p>
        </w:tc>
        <w:tc>
          <w:tcPr>
            <w:tcW w:w="16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18,677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p>
      <w:pPr>
        <w:ind w:left="240"/>
        <w:spacing w:after="0"/>
        <w:rPr>
          <w:sz w:val="20"/>
          <w:szCs w:val="20"/>
          <w:color w:val="auto"/>
        </w:rPr>
      </w:pPr>
      <w:r>
        <w:rPr>
          <w:rFonts w:ascii="Arial" w:cs="Arial" w:eastAsia="Arial" w:hAnsi="Arial"/>
          <w:sz w:val="16"/>
          <w:szCs w:val="16"/>
          <w:color w:val="auto"/>
        </w:rPr>
        <w:t>As at March 31, 2020 and December 31, 2019 , the weighted-average remaining lease term and weighted-average interest rate associated with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98"/>
        </w:trPr>
        <w:tc>
          <w:tcPr>
            <w:tcW w:w="8760" w:type="dxa"/>
            <w:vAlign w:val="bottom"/>
            <w:gridSpan w:val="2"/>
          </w:tcPr>
          <w:p>
            <w:pPr>
              <w:ind w:left="824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7"/>
                <w:szCs w:val="17"/>
                <w:color w:val="auto"/>
              </w:rPr>
            </w:pPr>
          </w:p>
        </w:tc>
      </w:tr>
      <w:tr>
        <w:trPr>
          <w:trHeight w:val="22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8.0</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FF0FC"/>
            </w:tcBorders>
            <w:shd w:val="clear" w:color="auto" w:fill="CFF0FC"/>
          </w:tcPr>
          <w:p>
            <w:pPr>
              <w:spacing w:after="0"/>
              <w:rPr>
                <w:sz w:val="19"/>
                <w:szCs w:val="19"/>
                <w:color w:val="auto"/>
              </w:rPr>
            </w:pPr>
          </w:p>
        </w:tc>
      </w:tr>
      <w:tr>
        <w:trPr>
          <w:trHeight w:val="227"/>
        </w:trPr>
        <w:tc>
          <w:tcPr>
            <w:tcW w:w="876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5.90  %</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5.90  %</w:t>
            </w:r>
          </w:p>
        </w:tc>
      </w:tr>
      <w:tr>
        <w:trPr>
          <w:trHeight w:val="426"/>
        </w:trPr>
        <w:tc>
          <w:tcPr>
            <w:tcW w:w="8760" w:type="dxa"/>
            <w:vAlign w:val="bottom"/>
            <w:gridSpan w:val="2"/>
          </w:tcPr>
          <w:p>
            <w:pPr>
              <w:ind w:left="240"/>
              <w:spacing w:after="0"/>
              <w:rPr>
                <w:sz w:val="20"/>
                <w:szCs w:val="20"/>
                <w:color w:val="auto"/>
              </w:rPr>
            </w:pPr>
            <w:r>
              <w:rPr>
                <w:rFonts w:ascii="Arial" w:cs="Arial" w:eastAsia="Arial" w:hAnsi="Arial"/>
                <w:sz w:val="18"/>
                <w:szCs w:val="18"/>
                <w:color w:val="auto"/>
              </w:rPr>
              <w:t>As at March 31, 2020, the maturities of the Company’s operating lease liabilities are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2"/>
        </w:trPr>
        <w:tc>
          <w:tcPr>
            <w:tcW w:w="764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Operating Leases</w:t>
            </w:r>
          </w:p>
        </w:tc>
      </w:tr>
      <w:tr>
        <w:trPr>
          <w:trHeight w:val="220"/>
        </w:trPr>
        <w:tc>
          <w:tcPr>
            <w:tcW w:w="8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2020 (nine months remaining)</w:t>
            </w:r>
          </w:p>
        </w:tc>
        <w:tc>
          <w:tcPr>
            <w:tcW w:w="5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2,720</w:t>
            </w: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2021</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3,252</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2,344</w:t>
            </w: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2,228</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2,180</w:t>
            </w:r>
          </w:p>
        </w:tc>
      </w:tr>
      <w:tr>
        <w:trPr>
          <w:trHeight w:val="227"/>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10,243</w:t>
            </w:r>
          </w:p>
        </w:tc>
      </w:tr>
      <w:tr>
        <w:trPr>
          <w:trHeight w:val="221"/>
        </w:trPr>
        <w:tc>
          <w:tcPr>
            <w:tcW w:w="8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22,967</w:t>
            </w:r>
          </w:p>
        </w:tc>
      </w:tr>
      <w:tr>
        <w:trPr>
          <w:trHeight w:val="227"/>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interest expense</w:t>
            </w:r>
          </w:p>
        </w:tc>
        <w:tc>
          <w:tcPr>
            <w:tcW w:w="5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(4,932)</w:t>
            </w:r>
          </w:p>
        </w:tc>
      </w:tr>
      <w:tr>
        <w:trPr>
          <w:trHeight w:val="220"/>
        </w:trPr>
        <w:tc>
          <w:tcPr>
            <w:tcW w:w="8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18,035</w:t>
            </w:r>
          </w:p>
        </w:tc>
      </w:tr>
      <w:tr>
        <w:trPr>
          <w:trHeight w:val="20"/>
        </w:trPr>
        <w:tc>
          <w:tcPr>
            <w:tcW w:w="7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IMAX Corporation as a Lessor</w:t>
      </w:r>
    </w:p>
    <w:p>
      <w:pPr>
        <w:spacing w:after="0" w:line="180"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2(n) in the Company’s 2019 Form 10-K. Under the Company’s sales-type lease arrangements, the customer has the ability and the right to operate the hardware components or direct others to operate them in a manner determined by the customer. The Company’s sales-type leases are typically non-cancellable for 10 to 20 years with renewal provisions from inception. Except for those sales arrangements that are classified as sales-type leases, the Company’s leases generally do not contain an automatic transfer of title at the end of the lease term. The Company’s sales-type lease arrangements do not contain a guarantee of residual value at the end of the lease term. The customer is required to pay for executory costs such as insurance and taxes and is required to pay the Company for maintenance and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35"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requiring the customer to pay a fixed upfront fee or annual minimum payments. The Company has assessed the nature of its joint revenue sharing arrangements and concluded that the arrangements contain an operating lease.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equipment under joint revenue sharing arrangements does not transfer to the customer. The Company’s joint revenue sharing arrangements do not contain a guarantee of residual value at the end of the term. The customer is required to pay for executory costs such as insurance and taxes and is required to pay the Company for maintenance and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47"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classifies its lease arrangements at inception of the arrangement and, if required, after a modification of the lease arrangement, to determine whether they are sales-type leases or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6 . Inventories</w:t>
      </w:r>
    </w:p>
    <w:p>
      <w:pPr>
        <w:spacing w:after="0" w:line="3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at March 31, 2020 and December 31, 2019, inventories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35,936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26,538</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5,738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4,608</w:t>
            </w: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19,961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11,843</w:t>
            </w:r>
          </w:p>
        </w:tc>
      </w:tr>
      <w:tr>
        <w:trPr>
          <w:trHeight w:val="220"/>
        </w:trPr>
        <w:tc>
          <w:tcPr>
            <w:tcW w:w="77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61,635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42,989</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When compared to December 31, 2019, inventories increased $18.6 million due to a slowdown in manufacturing, shipments and installation of IMAX Theater Systems at customer sites due to government restrictions in various countries limiting public gatherings as a result of the outbreak of the COVID-19 global pandemic.</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At March 31, 2020, inventories include finished goods of $3.3 million (December 31, 2019 — $0.7 million) for which title had passed to the customer and revenue recognition was deferred.</w:t>
      </w:r>
    </w:p>
    <w:p>
      <w:pPr>
        <w:spacing w:after="0" w:line="135"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There were no write-downs for excess and obsolete inventory based on current estimates of net realizable value, during the three months ended March 31, 2020 and 2019.</w:t>
      </w:r>
    </w:p>
    <w:p>
      <w:pPr>
        <w:spacing w:after="0" w:line="131" w:lineRule="exact"/>
        <w:rPr>
          <w:sz w:val="20"/>
          <w:szCs w:val="20"/>
          <w:color w:val="auto"/>
        </w:rPr>
      </w:pPr>
    </w:p>
    <w:p>
      <w:pPr>
        <w:ind w:left="220" w:hanging="213"/>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Other Financing Arrangements</w:t>
      </w:r>
    </w:p>
    <w:p>
      <w:pPr>
        <w:spacing w:after="0" w:line="19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at March 31, 2020 and December 31, 2019, bank indebtedness includes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040" w:type="dxa"/>
            <w:vAlign w:val="bottom"/>
            <w:tcBorders>
              <w:bottom w:val="single" w:sz="8" w:color="CFF0FC"/>
            </w:tcBorders>
          </w:tcPr>
          <w:p>
            <w:pPr>
              <w:spacing w:after="0"/>
              <w:rPr>
                <w:sz w:val="18"/>
                <w:szCs w:val="18"/>
                <w:color w:val="auto"/>
              </w:rPr>
            </w:pPr>
          </w:p>
        </w:tc>
        <w:tc>
          <w:tcPr>
            <w:tcW w:w="27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2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27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2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(1,771)</w:t>
            </w:r>
          </w:p>
        </w:tc>
      </w:tr>
      <w:tr>
        <w:trPr>
          <w:trHeight w:val="220"/>
        </w:trPr>
        <w:tc>
          <w:tcPr>
            <w:tcW w:w="5040" w:type="dxa"/>
            <w:vAlign w:val="bottom"/>
            <w:tcBorders>
              <w:top w:val="single" w:sz="8" w:color="CFF0FC"/>
              <w:bottom w:val="single" w:sz="8" w:color="CFF0FC"/>
            </w:tcBorders>
            <w:shd w:val="clear" w:color="auto" w:fill="CFF0FC"/>
          </w:tcPr>
          <w:p>
            <w:pPr>
              <w:spacing w:after="0"/>
              <w:rPr>
                <w:sz w:val="19"/>
                <w:szCs w:val="19"/>
                <w:color w:val="auto"/>
              </w:rPr>
            </w:pPr>
          </w:p>
        </w:tc>
        <w:tc>
          <w:tcPr>
            <w:tcW w:w="27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has a Fifth Amended and Restated Credit Agreement (the “Credit Agreement”) with Wells Fargo Bank, National Association (“Wells Fargo”), as agent, and a syndicate of lenders party thereto. The Company’s obligations under the Credit Agreement are guaranteed by certain of the Company’s subsidiaries (the “Guarantors”) and are secured by first-priority security interests in substantially all the assets of the Company and the Guarantors.</w:t>
      </w:r>
    </w:p>
    <w:p>
      <w:pPr>
        <w:spacing w:after="0" w:line="16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Under the Credit Agreement, the Company’s revolving borrowing capacity is $300.0 million, and contains an uncommitted accordion feature allowing the Company to further expand its borrowing capacity to $440.0 million or greater, subject to certain conditions, depending on the mix of revolving and term loans comprising the incremental facility. The facility (the “Credit Facility”) matures on June 28, 2023.</w:t>
      </w:r>
    </w:p>
    <w:p>
      <w:pPr>
        <w:spacing w:after="0" w:line="14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the first quarter of 2020, in response to uncertainties associated with the outbreak of the COVID-19 global pandemic and its impact on the Company’s business, management decided to draw down the remaining available Credit Facility borrowing capacity of $280.0 million, resulting in total outstanding borrowings of $300.0 million. The effective interest rate for the three months ended March 31, 2020 was 2.03% (2019 — 3.57%).</w:t>
      </w:r>
    </w:p>
    <w:p>
      <w:pPr>
        <w:spacing w:after="0" w:line="12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Loans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In addition, the Credit Facility has standby fees ranging from 0.25% to 0.38% based upon the Total Leverage Ratio.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jc w:val="both"/>
        <w:ind w:firstLine="225"/>
        <w:spacing w:after="0" w:line="267" w:lineRule="auto"/>
        <w:rPr>
          <w:sz w:val="20"/>
          <w:szCs w:val="20"/>
          <w:color w:val="auto"/>
        </w:rPr>
      </w:pPr>
      <w:r>
        <w:rPr>
          <w:rFonts w:ascii="Arial" w:cs="Arial" w:eastAsia="Arial" w:hAnsi="Arial"/>
          <w:sz w:val="17"/>
          <w:szCs w:val="17"/>
          <w:color w:val="auto"/>
        </w:rPr>
        <w:t>The Credit Agreement provides that the Company is required to maintain a Senior Secured Net Leverage Ratio (as defined in the Credit Agreement) as of the last day of any Fiscal Quarter (as defined in the Credit Agreement) of no greater than 3.25 :1.00. The longer the COVID-19 pandemic and associated protective measures persist, the more likely it becomes, in the absence of other actions by the Company, that it will be unable to maintain compliance with this covenant. In such an event, however, the Company expects to be able to obtain an amendment or waiver from its lenders, refinance the borrowings subject to covenants or take other mitigating actions prior to a potential breach. In addition, the Credit Agreement contains customary affirmative and negative covenants for a transaction of this type, including covenants that limit indebtedness, liens, capital expenditures, asset sales, investments and restricted payments, in each case subject to negotiated exceptions and baskets. The Credit Agreement also contains representations, warranties and event of default provisions customary for a transaction of this type.</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was in compliance with all of its requirements at March 31, 2020.</w:t>
      </w:r>
    </w:p>
    <w:p>
      <w:pPr>
        <w:spacing w:after="0" w:line="180"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As at March 31, 2020 and December 31, 2019, the Company did not have any letters of credit and advance payment guarantees outstanding under the Credit Facility.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Loan</w:t>
      </w:r>
    </w:p>
    <w:p>
      <w:pPr>
        <w:spacing w:after="0" w:line="194"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On July 24, 2019, IMAX (Shanghai) Multimedia Technology Co., Ltd. (“IMAX Shanghai”), one of the Company’s majority-owned subsidiaries in China, renewed its unsecured revolving facility for up to 200.0 million Renminbi (approximately $30.0 million U.S. Dollars) to fund ongoing working capital requirements. There were no amounts drawn under the working capital facility at March 31, 2020 and December 31, 2019, and the amounts available for borrowing were 200.0 million Renminbi (approximately $30.0 million U.S. Dollars). The amounts available for borrowing are not subject to a standby fee.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Wells Fargo Foreign Exchange Facility</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Within the Credit Facility, the Company is able to purchase foreign currency forward contracts and/or other swap arrangements. The net settlement loss on its foreign currency forward contracts was $2.0 million at March 31, 2020, as the notional value exceeded the fair value of the forward contracts (December 31, 2019 — $0.5 million net settlement gain). As at March 31, 2020, the Company has $44.6 million in notional value of such arrangements outstanding (December 31, 2019 — $36.1 million).</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NBC Facility</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and advance payment guarantees outstanding as at March 31, 2020 and December 31, 2019 under the NBC Facility.</w:t>
      </w:r>
    </w:p>
    <w:p>
      <w:pPr>
        <w:spacing w:after="0" w:line="124" w:lineRule="exact"/>
        <w:rPr>
          <w:sz w:val="20"/>
          <w:szCs w:val="20"/>
          <w:color w:val="auto"/>
        </w:rPr>
      </w:pPr>
    </w:p>
    <w:p>
      <w:pPr>
        <w:ind w:left="240" w:right="7520" w:hanging="233"/>
        <w:spacing w:after="0" w:line="459" w:lineRule="auto"/>
        <w:tabs>
          <w:tab w:leader="none" w:pos="23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Contingencies and Guarantees </w:t>
      </w:r>
      <w:r>
        <w:rPr>
          <w:rFonts w:ascii="Arial" w:cs="Arial" w:eastAsia="Arial" w:hAnsi="Arial"/>
          <w:sz w:val="18"/>
          <w:szCs w:val="18"/>
          <w:b w:val="1"/>
          <w:bCs w:val="1"/>
          <w:i w:val="1"/>
          <w:iCs w:val="1"/>
          <w:color w:val="auto"/>
        </w:rPr>
        <w:t>Commitments</w:t>
      </w:r>
    </w:p>
    <w:p>
      <w:pPr>
        <w:jc w:val="both"/>
        <w:ind w:firstLine="224"/>
        <w:spacing w:after="0" w:line="259" w:lineRule="auto"/>
        <w:rPr>
          <w:sz w:val="20"/>
          <w:szCs w:val="20"/>
          <w:color w:val="auto"/>
        </w:rPr>
      </w:pPr>
      <w:r>
        <w:rPr>
          <w:rFonts w:ascii="Arial" w:cs="Arial" w:eastAsia="Arial" w:hAnsi="Arial"/>
          <w:sz w:val="18"/>
          <w:szCs w:val="18"/>
          <w:color w:val="auto"/>
        </w:rPr>
        <w:t>In the ordinary course of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 and guarantees</w:t>
      </w:r>
    </w:p>
    <w:p>
      <w:pPr>
        <w:spacing w:after="0" w:line="180" w:lineRule="exact"/>
        <w:rPr>
          <w:sz w:val="20"/>
          <w:szCs w:val="20"/>
          <w:color w:val="auto"/>
        </w:rPr>
      </w:pPr>
    </w:p>
    <w:p>
      <w:pPr>
        <w:jc w:val="both"/>
        <w:ind w:firstLine="224"/>
        <w:spacing w:after="0" w:line="285" w:lineRule="auto"/>
        <w:rPr>
          <w:sz w:val="20"/>
          <w:szCs w:val="20"/>
          <w:color w:val="auto"/>
        </w:rPr>
      </w:pPr>
      <w:r>
        <w:rPr>
          <w:rFonts w:ascii="Arial" w:cs="Arial" w:eastAsia="Arial" w:hAnsi="Arial"/>
          <w:sz w:val="16"/>
          <w:szCs w:val="16"/>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will record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jc w:val="both"/>
        <w:ind w:firstLine="230"/>
        <w:spacing w:after="0" w:line="265" w:lineRule="auto"/>
        <w:tabs>
          <w:tab w:leader="none" w:pos="110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judgement and dismissed E-City’s petition. On March 29, 2017, the Company filed an Execution Application in the Bombay High Court seeking to enforce the ICC award against E-City and several related parties.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October 2015,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57" w:lineRule="exact"/>
        <w:rPr>
          <w:rFonts w:ascii="Arial" w:cs="Arial" w:eastAsia="Arial" w:hAnsi="Arial"/>
          <w:sz w:val="17"/>
          <w:szCs w:val="17"/>
          <w:color w:val="auto"/>
        </w:rPr>
      </w:pPr>
    </w:p>
    <w:p>
      <w:pPr>
        <w:jc w:val="both"/>
        <w:ind w:firstLine="230"/>
        <w:spacing w:after="0" w:line="282" w:lineRule="auto"/>
        <w:tabs>
          <w:tab w:leader="none" w:pos="1157"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An arbitration hearing for witness testimony was held during the week of December 14, 2015. At the hearing, Giencourt’s expert identified monetary damages of up to approximately $10.4 million, which Giencourt sought to recover from the Company. The Company asserted a counterclaim against Giencourt for breach of contract and sought to recover lost profits in excess of $24.0 million under the agreements. Subsequently, in December 2015, Giencourt made a motion to the panel seeking to enforce a purported settlement of the matter based on negotiations between Giencourt and the Company. The panel held a final hearing with closing arguments in October 2016. On February 7, 2017, the panel issued a Partial Final Award and on July 21, 2017, the panel issued a Final Award (collectively, the “Award”), which held that the parties had reached a binding settlement, and therefore the panel did not reach the merits of the dispute. The Company strongly disputes that discussions about a potential resolution of this matter amounted to an enforceable settlement. In October 2017, the Company filed a petition to vacate the arbitration award in the United States Court for the Southern District of Florida on various grounds, including that the panel exceeded its jurisdiction, and a hearing was held on June 27, 2019. On September 27, 2019, a Magistrate Judge filed a non-binding recommendation that the Company’s petition be dismissed. On October 14, 2019, the Company filed an objection to that recommendation. The Company’s petition to vacate the arbitration award was denied by the District Judge on January 10, 2020. The Company filed an appeal of this decision on February 7, 2020 with the Eleventh Circuit Court of Appeals. At this time, the Company is unable to determine the amounts that it may owe pursuant to the Award, or the timing of any such payments, and therefore no assurances can be given with respect to the ultimate outcome of the matter.</w:t>
      </w:r>
    </w:p>
    <w:p>
      <w:pPr>
        <w:spacing w:after="0" w:line="350" w:lineRule="exact"/>
        <w:rPr>
          <w:rFonts w:ascii="Arial" w:cs="Arial" w:eastAsia="Arial" w:hAnsi="Arial"/>
          <w:sz w:val="16"/>
          <w:szCs w:val="16"/>
          <w:color w:val="auto"/>
        </w:rPr>
      </w:pPr>
    </w:p>
    <w:p>
      <w:pPr>
        <w:jc w:val="both"/>
        <w:ind w:firstLine="230"/>
        <w:spacing w:after="0" w:line="259" w:lineRule="auto"/>
        <w:tabs>
          <w:tab w:leader="none" w:pos="110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84" w:lineRule="exact"/>
        <w:rPr>
          <w:rFonts w:ascii="Arial" w:cs="Arial" w:eastAsia="Arial" w:hAnsi="Arial"/>
          <w:sz w:val="18"/>
          <w:szCs w:val="18"/>
          <w:color w:val="auto"/>
        </w:rPr>
      </w:pPr>
    </w:p>
    <w:p>
      <w:pPr>
        <w:jc w:val="both"/>
        <w:ind w:firstLine="230"/>
        <w:spacing w:after="0" w:line="271" w:lineRule="auto"/>
        <w:tabs>
          <w:tab w:leader="none" w:pos="113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Guarantees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has provided no significant financial guarantees to third parties.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Warranties</w:t>
      </w:r>
    </w:p>
    <w:p>
      <w:pPr>
        <w:spacing w:after="0" w:line="180"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Company’s accrual for product warranties, which was recorded as part of accrued and other liabilities in the Condensed Consolidated Balance Sheets, was less than $0.1 million and $0.2 million at March 31, 2020 and December 31, 2019 ,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ind w:left="240"/>
        <w:spacing w:after="0"/>
        <w:rPr>
          <w:sz w:val="20"/>
          <w:szCs w:val="20"/>
          <w:color w:val="auto"/>
        </w:rPr>
      </w:pPr>
      <w:r>
        <w:rPr>
          <w:rFonts w:ascii="Arial" w:cs="Arial" w:eastAsia="Arial" w:hAnsi="Arial"/>
          <w:sz w:val="18"/>
          <w:szCs w:val="18"/>
          <w:i w:val="1"/>
          <w:iCs w:val="1"/>
          <w:color w:val="auto"/>
        </w:rPr>
        <w:t>Director/Officer Indemnifications</w:t>
      </w:r>
    </w:p>
    <w:p>
      <w:pPr>
        <w:spacing w:after="0" w:line="20"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 xml:space="preserve">The Company’s General By-law contains an indemnification of its directors/officers, former directors/officers and persons who have acted at its request to be a director/officer of an entity in which the Company is a shareholder or creditor, to indemnify them, to the extent permitted by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 against expenses (including legal fees), judgments, fines and any amounts actually and reasonably incurred by them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Condensed Consolidated Balance Sheets as at March 31, 2020 and December 31, 2019, with respect to this indemnity.</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Indemnification Agreements</w:t>
      </w:r>
    </w:p>
    <w:p>
      <w:pPr>
        <w:spacing w:after="0" w:line="2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7"/>
          <w:szCs w:val="17"/>
          <w:color w:val="auto"/>
        </w:rPr>
        <w:t>In the normal course of the Company’s operations, the Company provides indemnifications to counterparties in transactions such as: IMAX Theater Systems lease and sale agreements and the supervision of installation or servicing of the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Company’s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Condensed Consolidated Statements of Operations Supplemental Information</w:t>
      </w:r>
    </w:p>
    <w:p>
      <w:pPr>
        <w:spacing w:after="0" w:line="184"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Selling Expenses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defers direct selling costs such as sales commissions and other amounts related to its sales and sales-type lease arrangements until the related revenue is recognized. These costs and direct advertising and marketing, which are included in costs and expenses applicable to Revenues – Technology Sales, totaled $0.2 million for the three months ended March 31, 2020 (2019 — $0.5 million).</w:t>
      </w:r>
    </w:p>
    <w:p>
      <w:pPr>
        <w:spacing w:after="0" w:line="142"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Film exploitation costs, including advertising and marketing, totaled $2.6 million for the three months ended March 31, 2020 (2019 — $4.5 million), and are recorded as incurred in costs and expenses applicable to Revenues – Image Enhancement and Maintenance Services.</w:t>
      </w:r>
    </w:p>
    <w:p>
      <w:pPr>
        <w:spacing w:after="0" w:line="13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Commissions are recognized as costs and expenses applicable to Revenues – Technology Rentals in the month they are earned. These costs totaled $0.2 million for the three months ended March 31, 2020 (2019 — recovery of $0.2 million). Direct advertising and marketing costs for each theater are charged to costs and expenses applicable to Revenues – Technology Rentals as incurred. These costs totaled an expense of $0.3 million for the three months ended March 31, 2020 (2019 — $0.2 million).</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Foreign Exchange</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Included in selling, general and administrative expenses for the three months ended March 31, 2020 is a loss of $0.7 million (2019 — $0.2 million) for net foreign exchange gains/losses related to the translation of foreign currency denominated monetary assets and liabilities. See Note 16(c) for additional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Collaborative Arrangements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94"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a joint revenue sharing arrangement, the Company receives a portion of a theater’s box office and in certain arrangements a portion of concession revenues and a small upfront or initial payment, in exchange for placing an IMAX Theater System at the theater operator’s venue.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equipment under joint revenue sharing arrangements generally does not transfer to the customer. The Company’s joint revenue sharing arrangements do not contain a guarantee of residual value at the end of the term. The customer is required to pay for executory costs such as insurance and taxes and is required to pay the Company for maintenance and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4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has signed traditional and hybrid joint revenue sharing agreements with 41 exhibitors for a total of 1,220 IMAX Theater Systems, of which 867 theaters were included in the IMAX network as at March 31, 2020, the terms of which are similar in nature, rights and obligations. The accounting policy for the Company’s joint revenue sharing arrangements is disclosed in Note 2(n) of the Company’s 2019 Form 10-K.</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Amounts attributable to transactions arising between the Company and its customers under joint revenue sharing arrangements are included in Revenue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Technology sales and Revenue — Technology Rentals and for the three months ended March 31, 2020 amounted to $6.8 million (2019 — $20.4 million).</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an IMAX DMR arrangement, the Company transforms conventional motion pictures into the Company’s large screen format, allowing the release of Hollywood content to the global IMAX theater network. In a typical IMAX DMR film arrangement, the Company receives a percentage of the box office receipts from studios in exchange for converting commercial films into IMAX DMR format and distributing them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3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March 31, 2020, the majority of IMAX DMR revenue was earned from the exhibition of 13 IMAX DMR films (2019 – 24) throughout the IMAX theater network. The accounting policy for the Company’s IMAX DMR arrangements is disclosed in Note 2(n) of the Company’s 2019 Form 10-K.</w:t>
      </w:r>
    </w:p>
    <w:p>
      <w:pPr>
        <w:spacing w:after="0" w:line="158" w:lineRule="exact"/>
        <w:rPr>
          <w:sz w:val="20"/>
          <w:szCs w:val="20"/>
          <w:color w:val="auto"/>
        </w:rPr>
      </w:pPr>
    </w:p>
    <w:p>
      <w:pPr>
        <w:jc w:val="both"/>
        <w:ind w:right="20" w:firstLine="225"/>
        <w:spacing w:after="0" w:line="300" w:lineRule="auto"/>
        <w:rPr>
          <w:sz w:val="20"/>
          <w:szCs w:val="20"/>
          <w:color w:val="auto"/>
        </w:rPr>
      </w:pPr>
      <w:r>
        <w:rPr>
          <w:rFonts w:ascii="Arial" w:cs="Arial" w:eastAsia="Arial" w:hAnsi="Arial"/>
          <w:sz w:val="17"/>
          <w:szCs w:val="17"/>
          <w:color w:val="auto"/>
        </w:rPr>
        <w:t>Amounts attributable to transactions arising between the Company and its customers under IMAX DMR arrangements are included in Revenues – Image enhancement and maintenance services and for the three months ended March 31, 2020 amounted to $10.6 million (2019 — $28.0 million).</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certain film arrangements, the Company co-produces a film with a third party whereby the third party retains the copyright and rights to the film. In some cases, the Company obtains exclusive theatrical distribution rights to the film. Under these arrangements, both parties contribute funding to the Company’s partly-owned subsidiary for the production and distribution of the film and for associated exploitation costs.</w:t>
      </w:r>
    </w:p>
    <w:p>
      <w:pPr>
        <w:spacing w:after="0" w:line="14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at March 31, 2020, the Company has two significant co-produced film arrangements which represent the VIE total assets balance of $8.6 million and liabilities balance of $15.6 million and three other co-produced film arrangements, the terms of which are similar. The accounting policies relating to co-produced film arrangements are disclosed in Notes 2(a) and 2(n) of the Company’s 2019 Form 10-K.</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March 31, 2020, expenses totaling $0.2 million (2019 — $0.2 million) attributable to transactions between the Company and other parties involved in the production of the films have been included in cost and expenses applicable to Revenues – Image Enhancement and Maintenance Services.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both"/>
        <w:ind w:right="20" w:firstLine="225"/>
        <w:spacing w:after="0" w:line="259" w:lineRule="auto"/>
        <w:rPr>
          <w:sz w:val="20"/>
          <w:szCs w:val="20"/>
          <w:color w:val="auto"/>
        </w:rPr>
      </w:pPr>
      <w:r>
        <w:rPr>
          <w:rFonts w:ascii="Arial" w:cs="Arial" w:eastAsia="Arial" w:hAnsi="Arial"/>
          <w:sz w:val="18"/>
          <w:szCs w:val="18"/>
          <w:color w:val="auto"/>
        </w:rPr>
        <w:t>For the three months ended March 31, 2020 and 2019, no revenues or costs and expenses applicable to revenues attributable to this collaborative arrangement have been recorded in Revenue – Image Enhancement and Maintenance Services and costs and expenses applicable to Revenues – Image Enhancement and Maintenance Services.</w:t>
      </w:r>
    </w:p>
    <w:p>
      <w:pPr>
        <w:spacing w:after="0" w:line="154"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Supplemental Information</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Depreciation and amortization are comprised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Film assets</w:t>
            </w:r>
          </w:p>
        </w:tc>
        <w:tc>
          <w:tcPr>
            <w:tcW w:w="18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w:t>
            </w:r>
          </w:p>
        </w:tc>
        <w:tc>
          <w:tcPr>
            <w:tcW w:w="18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gridSpan w:val="2"/>
          </w:tcPr>
          <w:p>
            <w:pPr>
              <w:ind w:left="120"/>
              <w:spacing w:after="0"/>
              <w:rPr>
                <w:sz w:val="20"/>
                <w:szCs w:val="20"/>
                <w:color w:val="auto"/>
              </w:rPr>
            </w:pPr>
            <w:r>
              <w:rPr>
                <w:rFonts w:ascii="Arial" w:cs="Arial" w:eastAsia="Arial" w:hAnsi="Arial"/>
                <w:sz w:val="18"/>
                <w:szCs w:val="18"/>
                <w:color w:val="auto"/>
              </w:rPr>
              <w:t>Other property, plant and equipment</w:t>
            </w: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2,900</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8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15,252</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220"/>
              <w:spacing w:after="0"/>
              <w:rPr>
                <w:sz w:val="20"/>
                <w:szCs w:val="20"/>
                <w:color w:val="auto"/>
              </w:rPr>
            </w:pPr>
            <w:r>
              <w:rPr>
                <w:rFonts w:ascii="Arial" w:cs="Arial" w:eastAsia="Arial" w:hAnsi="Arial"/>
                <w:sz w:val="18"/>
                <w:szCs w:val="18"/>
                <w:color w:val="auto"/>
              </w:rPr>
              <w:t>(b)  Write-downs are comprised of the following:</w:t>
            </w:r>
          </w:p>
        </w:tc>
        <w:tc>
          <w:tcPr>
            <w:tcW w:w="1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64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Film assets </w:t>
            </w:r>
            <w:r>
              <w:rPr>
                <w:rFonts w:ascii="Arial" w:cs="Arial" w:eastAsia="Arial" w:hAnsi="Arial"/>
                <w:sz w:val="15"/>
                <w:szCs w:val="15"/>
                <w:color w:val="auto"/>
              </w:rPr>
              <w:t>(1)</w:t>
            </w:r>
          </w:p>
        </w:tc>
        <w:tc>
          <w:tcPr>
            <w:tcW w:w="18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gridSpan w:val="2"/>
          </w:tcPr>
          <w:p>
            <w:pPr>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(2)</w:t>
            </w: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1,151</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Joint revenue sharing arrangements </w:t>
            </w:r>
            <w:r>
              <w:rPr>
                <w:rFonts w:ascii="Arial" w:cs="Arial" w:eastAsia="Arial" w:hAnsi="Arial"/>
                <w:sz w:val="15"/>
                <w:szCs w:val="15"/>
                <w:color w:val="auto"/>
              </w:rPr>
              <w:t>(3)</w:t>
            </w:r>
          </w:p>
        </w:tc>
        <w:tc>
          <w:tcPr>
            <w:tcW w:w="18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Property, plant and equipment</w:t>
            </w:r>
          </w:p>
        </w:tc>
        <w:tc>
          <w:tcPr>
            <w:tcW w:w="18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Borders>
              <w:bottom w:val="single" w:sz="8" w:color="CFF0FC"/>
            </w:tcBorders>
            <w:shd w:val="clear" w:color="auto" w:fill="CFF0FC"/>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4,403</w:t>
            </w:r>
          </w:p>
        </w:tc>
        <w:tc>
          <w:tcPr>
            <w:tcW w:w="2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hanging="373"/>
        <w:spacing w:after="0" w:line="255"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reviewed the carrying value of certain film assets as a result of lower than expected revenue being generated during the year and revised expectations for future revenues based on the latest information available. In the first quarter of 2020, an impairment of $2.3 million (2019 — $nil) was recorded based on the carrying value of the films as compared to the estimated future box office and related revenues that are ultimately be generated by their exploitation.</w:t>
      </w:r>
    </w:p>
    <w:p>
      <w:pPr>
        <w:spacing w:after="0" w:line="15" w:lineRule="exact"/>
        <w:rPr>
          <w:rFonts w:ascii="Arial" w:cs="Arial" w:eastAsia="Arial" w:hAnsi="Arial"/>
          <w:sz w:val="18"/>
          <w:szCs w:val="18"/>
          <w:color w:val="auto"/>
        </w:rPr>
      </w:pPr>
    </w:p>
    <w:p>
      <w:pPr>
        <w:ind w:left="380" w:right="20" w:hanging="373"/>
        <w:spacing w:after="0" w:line="27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three months ended March 31, 2020, the Company recorded a $1.0 million write-down of content-related assets which became impaired in the period.</w:t>
      </w:r>
    </w:p>
    <w:p>
      <w:pPr>
        <w:spacing w:after="0" w:line="1" w:lineRule="exact"/>
        <w:rPr>
          <w:rFonts w:ascii="Arial" w:cs="Arial" w:eastAsia="Arial" w:hAnsi="Arial"/>
          <w:sz w:val="18"/>
          <w:szCs w:val="18"/>
          <w:color w:val="auto"/>
        </w:rPr>
      </w:pPr>
    </w:p>
    <w:p>
      <w:pPr>
        <w:jc w:val="both"/>
        <w:ind w:left="380" w:hanging="373"/>
        <w:spacing w:after="0" w:line="25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three months ended March 31, 2020, the Company recorded charges of $0.9 million in cost of sales applicable to technology rentals principally related to the write-down of xenon-based digital systems which were upgraded by customers to laser-based digital systems and taken out of service. In the three months ended March 31, 2019, the Company recorded a charge of $0.1 million in cost of sales applicable to technology rentals and less than $0.1 million in revenue applicable to technology rentals upon the upgrade of xenon-based digital systems under joint revenue sharing arrangements to laser-based digital systems.</w:t>
      </w:r>
    </w:p>
    <w:p>
      <w:pPr>
        <w:spacing w:after="0" w:line="151" w:lineRule="exact"/>
        <w:rPr>
          <w:rFonts w:ascii="Arial" w:cs="Arial" w:eastAsia="Arial" w:hAnsi="Arial"/>
          <w:sz w:val="18"/>
          <w:szCs w:val="18"/>
          <w:color w:val="auto"/>
        </w:rPr>
      </w:pPr>
    </w:p>
    <w:p>
      <w:pPr>
        <w:ind w:left="600" w:hanging="379"/>
        <w:spacing w:after="0"/>
        <w:tabs>
          <w:tab w:leader="none" w:pos="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Significant non-cash investing and financing activities are comprised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00" w:type="dxa"/>
            <w:vAlign w:val="bottom"/>
          </w:tcPr>
          <w:p>
            <w:pPr>
              <w:spacing w:after="0"/>
              <w:rPr>
                <w:sz w:val="19"/>
                <w:szCs w:val="19"/>
                <w:color w:val="auto"/>
              </w:rPr>
            </w:pPr>
          </w:p>
        </w:tc>
        <w:tc>
          <w:tcPr>
            <w:tcW w:w="4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accruals related to:</w:t>
            </w:r>
          </w:p>
        </w:tc>
        <w:tc>
          <w:tcPr>
            <w:tcW w:w="28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ind w:left="140"/>
              <w:spacing w:after="0"/>
              <w:rPr>
                <w:sz w:val="20"/>
                <w:szCs w:val="20"/>
                <w:color w:val="auto"/>
              </w:rPr>
            </w:pPr>
            <w:r>
              <w:rPr>
                <w:rFonts w:ascii="Arial" w:cs="Arial" w:eastAsia="Arial" w:hAnsi="Arial"/>
                <w:sz w:val="18"/>
                <w:szCs w:val="18"/>
                <w:color w:val="auto"/>
              </w:rPr>
              <w:t>Investment in joint revenue sharing arrangements</w:t>
            </w:r>
          </w:p>
        </w:tc>
        <w:tc>
          <w:tcPr>
            <w:tcW w:w="4000" w:type="dxa"/>
            <w:vAlign w:val="bottom"/>
            <w:gridSpan w:val="2"/>
          </w:tcPr>
          <w:p>
            <w:pPr>
              <w:jc w:val="right"/>
              <w:ind w:right="93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(1,226)</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other intangible assets</w:t>
            </w:r>
          </w:p>
        </w:tc>
        <w:tc>
          <w:tcPr>
            <w:tcW w:w="28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2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0"/>
        </w:trPr>
        <w:tc>
          <w:tcPr>
            <w:tcW w:w="4600" w:type="dxa"/>
            <w:vAlign w:val="bottom"/>
            <w:tcBorders>
              <w:top w:val="single" w:sz="8" w:color="CFF0FC"/>
              <w:bottom w:val="single" w:sz="8" w:color="CFF0FC"/>
            </w:tcBorders>
            <w:shd w:val="clear" w:color="auto" w:fill="CFF0FC"/>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80" w:type="dxa"/>
            <w:vAlign w:val="bottom"/>
            <w:vMerge w:val="restart"/>
          </w:tcPr>
          <w:p>
            <w:pPr>
              <w:jc w:val="right"/>
              <w:ind w:right="1677"/>
              <w:spacing w:after="0"/>
              <w:rPr>
                <w:sz w:val="20"/>
                <w:szCs w:val="20"/>
                <w:color w:val="auto"/>
              </w:rPr>
            </w:pPr>
            <w:r>
              <w:rPr>
                <w:rFonts w:ascii="Arial" w:cs="Arial" w:eastAsia="Arial" w:hAnsi="Arial"/>
                <w:sz w:val="18"/>
                <w:szCs w:val="18"/>
                <w:color w:val="auto"/>
              </w:rPr>
              <w:t>25</w:t>
            </w: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6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11. Income Taxes</w:t>
      </w:r>
    </w:p>
    <w:p>
      <w:pPr>
        <w:spacing w:after="0" w:line="224"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Income Tax Expense</w:t>
      </w:r>
    </w:p>
    <w:p>
      <w:pPr>
        <w:spacing w:after="0" w:line="22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Company’s effective tax rate for the three months ended March 31, 2020, is -35.8% and differs from the Canadian statutory tax rate of 26.2%, primarily due to permanent book to tax differences, investment and other tax credits, jurisdictional tax rate differences, managements estimates for favourable or unfavourable resolution of various tax examinations and the reversal of the indefinite reinvestment assertion.</w:t>
      </w:r>
    </w:p>
    <w:p>
      <w:pPr>
        <w:spacing w:after="0" w:line="14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quarter ended March 31, 2020, the Company recorded income tax expense of $15.5 million (2019 — $3.6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applicable foreign withholding taxes associated with these historical earnings, which will become payable upon the repatriation of any such earnings. Cash held outside of Canada as at March 31, 2020 was $89.5 million (December 31, 2019 — $90.1 million), of which $67.8 million was held in the People’s Republic of China (“PRC”) (December 31, 2019 — $67.6 million).</w:t>
      </w:r>
    </w:p>
    <w:p>
      <w:pPr>
        <w:spacing w:after="0" w:line="15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in the first quarter of 2020 , the Company recognized income tax expense of $4.8 million (2019 — $0.4 million) related to a provision for uncertain tax positions and an expense of $0.7 million (2019 — $0.3 million) recognized to reduce the tax benefit available on share-based compensation costs recognized in the period.</w:t>
      </w:r>
    </w:p>
    <w:p>
      <w:pPr>
        <w:spacing w:after="0" w:line="185"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As at March 31, 2020, the Company had net deferred income tax assets after valuation allowance of $38.0 million (December 31, 2019 — $23.9 million), which consists of a gross deferred income tax asset of $38.2 million (December 31, 2019 — $24.1 million), against which the Company is carrying a $0.2 million valuation allowance (December 31, 2019 — $0.2 million), and a deferred income tax liability of $19.7 million (December 31, 2019 — $nil). During the three months ended March 31, 2020, deferred tax assets increased by $14.1 million due to losses recognized in the period. The recoverability of these deferred tax assets is subject to certain levels of future taxable income and is subject to the uncertainties associated with accounting estimates, as discussed in Note 1. Based on a review of the projected future earnings of the Company there was no change in management’s estimates of the recoverability of the Company’s deferred tax assets.</w:t>
      </w:r>
    </w:p>
    <w:p>
      <w:pPr>
        <w:spacing w:after="0" w:line="15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Company’s Chinese subsidiary had taken a deduction for certain share-based compensation issued by the Chinese subsidiary’s parent company in a prior period and had recognized a related deferred tax asset of $1.4 million (December 31, 2019 — $1.4 million). Chinese regulatory authorities responsible for capital and exchange controls will need to review and approve the proposed settlement of these transactions before they can be completed. There may be a requirement for future investment of funds into China in order to secure the deduction. Should the Company proceed, any such future investment would come from existing capital invested in the IMAX China group of companies being redeployed amongst the IMAX China group of companies, including the Chinese subsidiary.</w:t>
      </w:r>
    </w:p>
    <w:p>
      <w:pPr>
        <w:spacing w:after="0" w:line="19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Income Tax Effect on Other Comprehensive (Loss) Income</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income tax benefit (expense) included in the Company’s other comprehensive (loss) income are related to the following items: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CFF0FC"/>
            </w:tcBorders>
          </w:tcPr>
          <w:p>
            <w:pPr>
              <w:spacing w:after="0"/>
              <w:rPr>
                <w:sz w:val="19"/>
                <w:szCs w:val="19"/>
                <w:color w:val="auto"/>
              </w:rPr>
            </w:pPr>
          </w:p>
        </w:tc>
        <w:tc>
          <w:tcPr>
            <w:tcW w:w="3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Unrealized change in cash flow hedging instruments</w:t>
            </w:r>
          </w:p>
        </w:tc>
        <w:tc>
          <w:tcPr>
            <w:tcW w:w="30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7"/>
        </w:trPr>
        <w:tc>
          <w:tcPr>
            <w:tcW w:w="5140" w:type="dxa"/>
            <w:vAlign w:val="bottom"/>
          </w:tcPr>
          <w:p>
            <w:pPr>
              <w:spacing w:after="0"/>
              <w:rPr>
                <w:sz w:val="20"/>
                <w:szCs w:val="20"/>
                <w:color w:val="auto"/>
              </w:rPr>
            </w:pPr>
            <w:r>
              <w:rPr>
                <w:rFonts w:ascii="Arial" w:cs="Arial" w:eastAsia="Arial" w:hAnsi="Arial"/>
                <w:sz w:val="18"/>
                <w:szCs w:val="18"/>
                <w:color w:val="auto"/>
                <w:w w:val="96"/>
              </w:rPr>
              <w:t>Realized change in cash flow hedging instruments upon settlement</w:t>
            </w:r>
          </w:p>
        </w:tc>
        <w:tc>
          <w:tcPr>
            <w:tcW w:w="3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Unrecognized actuarial gain on defined benefit plan</w:t>
            </w:r>
          </w:p>
        </w:tc>
        <w:tc>
          <w:tcPr>
            <w:tcW w:w="3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60" w:type="dxa"/>
            <w:vAlign w:val="bottom"/>
            <w:vMerge w:val="restart"/>
          </w:tcPr>
          <w:p>
            <w:pPr>
              <w:jc w:val="right"/>
              <w:ind w:right="2391"/>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1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6" w:name="page27"/>
    <w:bookmarkEnd w:id="26"/>
    <w:p>
      <w:pPr>
        <w:ind w:left="320" w:hanging="313"/>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0" w:lineRule="exact"/>
        <w:rPr>
          <w:sz w:val="20"/>
          <w:szCs w:val="20"/>
          <w:color w:val="auto"/>
        </w:rPr>
      </w:pPr>
    </w:p>
    <w:p>
      <w:pPr>
        <w:ind w:right="20" w:firstLine="225"/>
        <w:spacing w:after="0" w:line="270" w:lineRule="auto"/>
        <w:rPr>
          <w:sz w:val="20"/>
          <w:szCs w:val="20"/>
          <w:color w:val="auto"/>
        </w:rPr>
      </w:pPr>
      <w:r>
        <w:rPr>
          <w:rFonts w:ascii="Arial" w:cs="Arial" w:eastAsia="Arial" w:hAnsi="Arial"/>
          <w:sz w:val="18"/>
          <w:szCs w:val="18"/>
          <w:color w:val="auto"/>
        </w:rPr>
        <w:t>For the three months ended March 31, 2020, share-based compensation expense totaled $4.2 million (2019 — $4.4 million) and is reflected in the following accounts in the Condensed Consolidated Statements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and expenses applicable to revenues</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71"/>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7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40"/>
              <w:spacing w:after="0"/>
              <w:rPr>
                <w:sz w:val="20"/>
                <w:szCs w:val="20"/>
                <w:color w:val="auto"/>
              </w:rPr>
            </w:pPr>
            <w:r>
              <w:rPr>
                <w:rFonts w:ascii="Arial" w:cs="Arial" w:eastAsia="Arial" w:hAnsi="Arial"/>
                <w:sz w:val="18"/>
                <w:szCs w:val="18"/>
                <w:color w:val="auto"/>
                <w:w w:val="88"/>
              </w:rPr>
              <w:t>The following table summarizes the Company’s share-based compensation expense by each award type:</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7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00" w:type="dxa"/>
            <w:vAlign w:val="bottom"/>
          </w:tcPr>
          <w:p>
            <w:pPr>
              <w:spacing w:after="0"/>
              <w:rPr>
                <w:sz w:val="18"/>
                <w:szCs w:val="18"/>
                <w:color w:val="auto"/>
              </w:rPr>
            </w:pPr>
          </w:p>
        </w:tc>
        <w:tc>
          <w:tcPr>
            <w:tcW w:w="106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654"/>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513</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gridSpan w:val="2"/>
            <w:shd w:val="clear" w:color="auto" w:fill="CFF0FC"/>
          </w:tcPr>
          <w:p>
            <w:pPr>
              <w:jc w:val="right"/>
              <w:ind w:right="42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2,902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IMAX China Stock Options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IMAX China Long Term Incentive Plan Restricted Share Units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405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IMAX China Long Term Incentive Plan Performance Stock Units</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4,192</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ind w:right="42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Included in the above table is an expense of $0.1 million in the three months ended March 31, 2020 (2019 — $nil) related to restricted share units granted to a certain advisor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Summary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under the Company’s Stock Option Plan (“SOP”) and IMAX Amended and Restated Long Term Incentive Plan (“IMAX LTIP”) for the three months ended March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93"/>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Price Per Share</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 beginning of period</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5,732,209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5,465,046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26.82</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1,006,931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(14,876)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(79,055)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21.78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(772,665)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(304,472)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27.03</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20.85</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end of period</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4,944,077</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6,057,215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26.80</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Stock options exercisable, end of period</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8"/>
                <w:szCs w:val="18"/>
                <w:color w:val="auto"/>
              </w:rPr>
              <w:t>27.32</w:t>
            </w: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4,331,193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3,886,592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are no longer granted under the Company’s previous approved SOP.</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Restricted Share Units (“RSU”) Summary</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in respect of RSUs issued under the IMAX LTIP for the three months ended March 31: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74"/>
              <w:spacing w:after="0"/>
              <w:rPr>
                <w:sz w:val="20"/>
                <w:szCs w:val="20"/>
                <w:color w:val="auto"/>
              </w:rPr>
            </w:pPr>
            <w:r>
              <w:rPr>
                <w:rFonts w:ascii="Arial" w:cs="Arial" w:eastAsia="Arial" w:hAnsi="Arial"/>
                <w:sz w:val="14"/>
                <w:szCs w:val="14"/>
                <w:b w:val="1"/>
                <w:bCs w:val="1"/>
                <w:color w:val="auto"/>
              </w:rPr>
              <w:t>Number of Awards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 beginning of period</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1,065,347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1,033,871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23.17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937,303</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540,535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15.65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Vested and settled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(228,445)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23.96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(90,900)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21.64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end of period</w:t>
            </w: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1,692,066</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1,255,061</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18.88</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Summary</w:t>
      </w:r>
    </w:p>
    <w:p>
      <w:pPr>
        <w:spacing w:after="0" w:line="194"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In the first quarter of 2020, the Company expanded its share-based compensation program to include performance stock units (“PSUs”). The Company grants two types of PSU awards, one which vests based on a combination of employee service and the achievement of certain EBITDA-based targets and one which vests based on a combination of employee service and the achievement of certain stock-price targets. These awards vest over a three-year performance period. The fair value of PSUs with EBITDA-based targets is equal to the closing price on date of grant or the average closing price of the Company’s common stock for five days prior to the date of grant. The fair value of PSUs with stock-price return in relation to a market index is determined on the grant date using a Monte Carlo simulation, which is a valuation model that takes into account the likelihood of achieving the stock-price targets embedded in the award (“Monte Carlo Model”). The compensation expense attributable to each type of PSU is recognized on a straight-line basis over the requisite service period.</w:t>
      </w:r>
    </w:p>
    <w:p>
      <w:pPr>
        <w:spacing w:after="0" w:line="152"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fair value determined by the Monte Carlo Model is affected by the Company’s stock price as well as assumptions regarding a number of highly complex and subjective variables. These variables include, but are not limited to, the Company’s expected stock price volatility over the term of the awards, and actual and projected employee stock option exercise behaviors. The compensation expense is fixed on the date of grant based on the dollar value granted.</w:t>
      </w:r>
    </w:p>
    <w:p>
      <w:pPr>
        <w:spacing w:after="0" w:line="111"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Compensation expense is not adjusted for estimated, forfeitures, but is instead adjusted based upon the actual forfeiture of the award.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in respect of PSUs issued under the IMAX LTIP for the three months ended March 31: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260" w:type="dxa"/>
            <w:vAlign w:val="bottom"/>
            <w:gridSpan w:val="3"/>
            <w:vMerge w:val="restart"/>
          </w:tcPr>
          <w:p>
            <w:pPr>
              <w:jc w:val="right"/>
              <w:ind w:right="477"/>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4"/>
                <w:szCs w:val="14"/>
                <w:color w:val="auto"/>
              </w:rPr>
            </w:pPr>
          </w:p>
        </w:tc>
        <w:tc>
          <w:tcPr>
            <w:tcW w:w="2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Weighted Average Grant Date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260" w:type="dxa"/>
            <w:vAlign w:val="bottom"/>
            <w:tcBorders>
              <w:bottom w:val="single" w:sz="8" w:color="auto"/>
            </w:tcBorders>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Fair Value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19"/>
                <w:szCs w:val="19"/>
                <w:color w:val="auto"/>
              </w:rPr>
            </w:pPr>
          </w:p>
        </w:tc>
        <w:tc>
          <w:tcPr>
            <w:tcW w:w="10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400" w:type="dxa"/>
            <w:vAlign w:val="bottom"/>
            <w:gridSpan w:val="2"/>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11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Granted</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359,784</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20"/>
                <w:szCs w:val="20"/>
                <w:color w:val="auto"/>
              </w:rPr>
            </w:pPr>
            <w:r>
              <w:rPr>
                <w:rFonts w:ascii="Arial" w:cs="Arial" w:eastAsia="Arial" w:hAnsi="Arial"/>
                <w:sz w:val="18"/>
                <w:szCs w:val="18"/>
                <w:color w:val="auto"/>
              </w:rPr>
              <w:t>PSUs outstanding, end of period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359,784</w:t>
            </w:r>
          </w:p>
        </w:tc>
        <w:tc>
          <w:tcPr>
            <w:tcW w:w="240" w:type="dxa"/>
            <w:vAlign w:val="bottom"/>
          </w:tcPr>
          <w:p>
            <w:pPr>
              <w:spacing w:after="0"/>
              <w:rPr>
                <w:sz w:val="19"/>
                <w:szCs w:val="19"/>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24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94" w:lineRule="exact"/>
        <w:rPr>
          <w:sz w:val="20"/>
          <w:szCs w:val="20"/>
          <w:color w:val="auto"/>
        </w:rPr>
      </w:pPr>
    </w:p>
    <w:p>
      <w:pPr>
        <w:jc w:val="both"/>
        <w:ind w:firstLine="224"/>
        <w:spacing w:after="0" w:line="292" w:lineRule="auto"/>
        <w:rPr>
          <w:sz w:val="20"/>
          <w:szCs w:val="20"/>
          <w:color w:val="auto"/>
        </w:rPr>
      </w:pPr>
      <w:r>
        <w:rPr>
          <w:rFonts w:ascii="Arial" w:cs="Arial" w:eastAsia="Arial" w:hAnsi="Arial"/>
          <w:sz w:val="16"/>
          <w:szCs w:val="16"/>
          <w:color w:val="auto"/>
        </w:rPr>
        <w:t>In 2017, the Company’s Board of Directors approved a new $200.0 million common stock share repurchase program, which expires on June 30, 2020.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During the three months ended March 31, 2020, the Company repurchased 2,484,123 shares of its common stock at an average price of $14.72 per share, excluding commissions. During the three months ended March 31, 2019, the Company did not repurchase any share of its common stock.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 w:name="page29"/>
    <w:bookmarkEnd w:id="28"/>
    <w:p>
      <w:pPr>
        <w:jc w:val="both"/>
        <w:ind w:firstLine="224"/>
        <w:spacing w:after="0" w:line="289" w:lineRule="auto"/>
        <w:rPr>
          <w:sz w:val="20"/>
          <w:szCs w:val="20"/>
          <w:color w:val="auto"/>
        </w:rPr>
      </w:pPr>
      <w:r>
        <w:rPr>
          <w:rFonts w:ascii="Arial" w:cs="Arial" w:eastAsia="Arial" w:hAnsi="Arial"/>
          <w:sz w:val="16"/>
          <w:szCs w:val="16"/>
          <w:color w:val="auto"/>
        </w:rPr>
        <w:t>In 2019, IMAX China announced that its shareholders granted its Board of Directors a general mandate authorizing the Board, subject to applicable laws, to repurchase shares of IMAX China in an amount not to exceed 10% of the total number of issued shares as at June 6, 2019 (35,605,560 shares). The share repurchase program expires on the 2020 annual general meeting of IMAX China on June 11, 2020. The repurchases may be made in the open market or through other means permitted by applicable laws. IMAX China has no obligation to repurchase its shares and the share repurchase program may be suspended or discontinued by IMAX China at any time. During the three months ended March 31, 2020, IMAX China repurchased 480,600 shares of its common stock (2019 — 709,800) at an average price of HKD 14.42 per share (U.S. $1.85) (2019 — HKD 19.47 per share (U.S. $2.48)).</w:t>
      </w:r>
    </w:p>
    <w:p>
      <w:pPr>
        <w:spacing w:after="0" w:line="14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total number of shares purchased during the three months ended March 31, 2020 does not include 200,000 common shares (2019 — 400,000 common shares), purchased in the administration of employee share-based compensation plans, at an average price of $15.43 per share (2019 — $22.98 per share).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March 31, 2020, the IMAX LTIP trustee held 91,957 shares (December 31, 2019 — 187,020 shares) purchased for $1.4 million (December 31, 2019</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$4.0 million) in the open market to be issued upon the settlement of employee share-based compensation. The shares held with the trustee are recorded at cost and are reported as a reduction against capital stock on the Condensed Consolidated Balance Sheet.</w:t>
      </w:r>
    </w:p>
    <w:p>
      <w:pPr>
        <w:spacing w:after="0" w:line="148" w:lineRule="exact"/>
        <w:rPr>
          <w:sz w:val="20"/>
          <w:szCs w:val="20"/>
          <w:color w:val="auto"/>
        </w:rPr>
      </w:pPr>
    </w:p>
    <w:p>
      <w:pPr>
        <w:ind w:left="600" w:hanging="379"/>
        <w:spacing w:after="0"/>
        <w:tabs>
          <w:tab w:leader="none" w:pos="600"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Income Per Share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9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53"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5715</wp:posOffset>
            </wp:positionV>
            <wp:extent cx="2137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3741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gridSpan w:val="2"/>
          </w:tcPr>
          <w:p>
            <w:pPr>
              <w:ind w:left="8460"/>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207"/>
        </w:trPr>
        <w:tc>
          <w:tcPr>
            <w:tcW w:w="78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i w:val="1"/>
                <w:iCs w:val="1"/>
                <w:color w:val="auto"/>
              </w:rPr>
              <w:t>Weighted average number of common shares (000's):</w:t>
            </w:r>
          </w:p>
        </w:tc>
        <w:tc>
          <w:tcPr>
            <w:tcW w:w="9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Issued and outstanding, beginning of period</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61,176</w:t>
            </w:r>
          </w:p>
        </w:tc>
        <w:tc>
          <w:tcPr>
            <w:tcW w:w="180" w:type="dxa"/>
            <w:vAlign w:val="bottom"/>
          </w:tcPr>
          <w:p>
            <w:pPr>
              <w:spacing w:after="0"/>
              <w:rPr>
                <w:sz w:val="19"/>
                <w:szCs w:val="19"/>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61,434</w:t>
            </w:r>
          </w:p>
        </w:tc>
      </w:tr>
      <w:tr>
        <w:trPr>
          <w:trHeight w:val="213"/>
        </w:trPr>
        <w:tc>
          <w:tcPr>
            <w:tcW w:w="8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Weighted average number of shares repurchased, net of shares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28"/>
        </w:trPr>
        <w:tc>
          <w:tcPr>
            <w:tcW w:w="8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issued during the period</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r>
      <w:tr>
        <w:trPr>
          <w:trHeight w:val="206"/>
        </w:trPr>
        <w:tc>
          <w:tcPr>
            <w:tcW w:w="7880" w:type="dxa"/>
            <w:vAlign w:val="bottom"/>
          </w:tcPr>
          <w:p>
            <w:pPr>
              <w:spacing w:after="0"/>
              <w:rPr>
                <w:sz w:val="20"/>
                <w:szCs w:val="20"/>
                <w:color w:val="auto"/>
              </w:rPr>
            </w:pPr>
            <w:r>
              <w:rPr>
                <w:rFonts w:ascii="Arial" w:cs="Arial" w:eastAsia="Arial" w:hAnsi="Arial"/>
                <w:sz w:val="18"/>
                <w:szCs w:val="18"/>
                <w:color w:val="auto"/>
              </w:rPr>
              <w:t>Weighted average number of shares used in computing basic</w:t>
            </w: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27"/>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income per share</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60,418</w:t>
            </w:r>
          </w:p>
        </w:tc>
        <w:tc>
          <w:tcPr>
            <w:tcW w:w="180" w:type="dxa"/>
            <w:vAlign w:val="bottom"/>
          </w:tcPr>
          <w:p>
            <w:pPr>
              <w:spacing w:after="0"/>
              <w:rPr>
                <w:sz w:val="19"/>
                <w:szCs w:val="19"/>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61,377</w:t>
            </w:r>
          </w:p>
        </w:tc>
      </w:tr>
      <w:tr>
        <w:trPr>
          <w:trHeight w:val="214"/>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Assumed exercise of stock options, RSUs and PSUs, net of shares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28"/>
        </w:trPr>
        <w:tc>
          <w:tcPr>
            <w:tcW w:w="88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assumed repurchased, if dilutive</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182</w:t>
            </w:r>
          </w:p>
        </w:tc>
      </w:tr>
      <w:tr>
        <w:trPr>
          <w:trHeight w:val="206"/>
        </w:trPr>
        <w:tc>
          <w:tcPr>
            <w:tcW w:w="7880" w:type="dxa"/>
            <w:vAlign w:val="bottom"/>
          </w:tcPr>
          <w:p>
            <w:pPr>
              <w:spacing w:after="0"/>
              <w:rPr>
                <w:sz w:val="20"/>
                <w:szCs w:val="20"/>
                <w:color w:val="auto"/>
              </w:rPr>
            </w:pPr>
            <w:r>
              <w:rPr>
                <w:rFonts w:ascii="Arial" w:cs="Arial" w:eastAsia="Arial" w:hAnsi="Arial"/>
                <w:sz w:val="18"/>
                <w:szCs w:val="18"/>
                <w:color w:val="auto"/>
              </w:rPr>
              <w:t>Weighted average number of shares used in computing diluted</w:t>
            </w: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27"/>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income per share</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60,418</w:t>
            </w:r>
          </w:p>
        </w:tc>
        <w:tc>
          <w:tcPr>
            <w:tcW w:w="180" w:type="dxa"/>
            <w:vAlign w:val="bottom"/>
          </w:tcPr>
          <w:p>
            <w:pPr>
              <w:spacing w:after="0"/>
              <w:rPr>
                <w:sz w:val="19"/>
                <w:szCs w:val="19"/>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61,559</w:t>
            </w:r>
          </w:p>
        </w:tc>
      </w:tr>
      <w:tr>
        <w:trPr>
          <w:trHeight w:val="20"/>
        </w:trPr>
        <w:tc>
          <w:tcPr>
            <w:tcW w:w="7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calculation of diluted weighted average shares outstanding for the three months ended March 31, 2020 excludes 6,995,927 shares (2019 — 6,647,056 shares) that are issuable upon the vesting of 1,692,066 RSUs (2019 — 639,739 RSUs), 359,784 PSUs (2019 — nil PSUs) and the exercise of 4,944,077 stock options (2019 — 6,007,317 stock options), as the impact would be antidilutive.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13. Revenue from Contracts with Customers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Disaggregated Information About Revenue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summarize the Company’s revenues by type and reportable segment for the three months ended March 31, 2020 and 2019:</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Revenue from</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Contracts with Customers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Revenue from</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1"/>
                <w:szCs w:val="11"/>
                <w:color w:val="auto"/>
              </w:rPr>
            </w:pPr>
          </w:p>
        </w:tc>
        <w:tc>
          <w:tcPr>
            <w:tcW w:w="1080" w:type="dxa"/>
            <w:vAlign w:val="bottom"/>
          </w:tcPr>
          <w:p>
            <w:pPr>
              <w:jc w:val="right"/>
              <w:ind w:right="313"/>
              <w:spacing w:after="0" w:line="131" w:lineRule="exact"/>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5"/>
              </w:rPr>
              <w:t>Lease</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Finance Income</w:t>
            </w:r>
          </w:p>
        </w:tc>
        <w:tc>
          <w:tcPr>
            <w:tcW w:w="240" w:type="dxa"/>
            <w:vAlign w:val="bottom"/>
          </w:tcPr>
          <w:p>
            <w:pPr>
              <w:spacing w:after="0"/>
              <w:rPr>
                <w:sz w:val="11"/>
                <w:szCs w:val="11"/>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Consideration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IMAX Systems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2,243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Other Theater Business</w:t>
            </w:r>
          </w:p>
        </w:tc>
        <w:tc>
          <w:tcPr>
            <w:tcW w:w="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(1)</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3,995</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897</w:t>
            </w:r>
          </w:p>
        </w:tc>
        <w:tc>
          <w:tcPr>
            <w:tcW w:w="1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770</w:t>
            </w:r>
          </w:p>
        </w:tc>
        <w:tc>
          <w:tcPr>
            <w:tcW w:w="1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IMAX DMR</w:t>
            </w: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10,629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10,629</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7,370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Film Post-Production</w:t>
            </w:r>
          </w:p>
        </w:tc>
        <w:tc>
          <w:tcPr>
            <w:tcW w:w="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1"/>
        </w:trPr>
        <w:tc>
          <w:tcPr>
            <w:tcW w:w="4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8,981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11,740</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5,971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5,971</w:t>
            </w:r>
          </w:p>
        </w:tc>
        <w:tc>
          <w:tcPr>
            <w:tcW w:w="1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IMAX Systems</w:t>
            </w: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20"/>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12,976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12,637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6,741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34,902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4"/>
              </w:rPr>
              <w:t>March 31, 2019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Revenue from</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Contracts with Customers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Revenue from</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1"/>
                <w:szCs w:val="11"/>
                <w:color w:val="auto"/>
              </w:rPr>
            </w:pPr>
          </w:p>
        </w:tc>
        <w:tc>
          <w:tcPr>
            <w:tcW w:w="1080" w:type="dxa"/>
            <w:vAlign w:val="bottom"/>
          </w:tcPr>
          <w:p>
            <w:pPr>
              <w:jc w:val="right"/>
              <w:ind w:right="313"/>
              <w:spacing w:after="0" w:line="131" w:lineRule="exact"/>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5"/>
              </w:rPr>
              <w:t>Lease</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Finance Income</w:t>
            </w:r>
          </w:p>
        </w:tc>
        <w:tc>
          <w:tcPr>
            <w:tcW w:w="240" w:type="dxa"/>
            <w:vAlign w:val="bottom"/>
          </w:tcPr>
          <w:p>
            <w:pPr>
              <w:spacing w:after="0"/>
              <w:rPr>
                <w:sz w:val="11"/>
                <w:szCs w:val="11"/>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Consideration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IMAX Systems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8,164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2,539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Other Theater Business</w:t>
            </w:r>
          </w:p>
        </w:tc>
        <w:tc>
          <w:tcPr>
            <w:tcW w:w="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(1)</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10,480</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2,181</w:t>
            </w:r>
          </w:p>
        </w:tc>
        <w:tc>
          <w:tcPr>
            <w:tcW w:w="1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2,539</w:t>
            </w:r>
          </w:p>
        </w:tc>
        <w:tc>
          <w:tcPr>
            <w:tcW w:w="1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IMAX DMR</w:t>
            </w: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27,950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27,950</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12,951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12,951</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Film Post-production</w:t>
            </w:r>
          </w:p>
        </w:tc>
        <w:tc>
          <w:tcPr>
            <w:tcW w:w="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1,947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1"/>
        </w:trPr>
        <w:tc>
          <w:tcPr>
            <w:tcW w:w="4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14,898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29,249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44,147</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18,044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18,044</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1"/>
        </w:trPr>
        <w:tc>
          <w:tcPr>
            <w:tcW w:w="4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18,146</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18,170</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IMAX Systems</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2,681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25,378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31,454</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20,685</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2,681</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80,198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Other sales include New Business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949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2 for information on the current and anticipated impacts of the COVID-19 pandemic on the Company’s revenues.)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Deferred Revenue</w:t>
      </w:r>
    </w:p>
    <w:p>
      <w:pPr>
        <w:spacing w:after="0" w:line="180"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Company’s arrangements include a requirement for it to provide maintenance services over the life of the arrangement, subject to a consumer price index adjustment each year. In circumstances where customers prepay the entire term’s maintenance fee, payments are due to the Company for the years after its extended warranty and maintenance obligations expire. Payments upon renewal each year are either prepaid or made in arrears and can vary in frequency from monthly to annually. At March 31, 2020, $20.9 million of consideration has been deferred in relation to outstanding maintenance services to be provided on existing maintenance contracts (December 31, 2019 — $17.7 million). The maintenance revenue is recognized evenly over the contract term which coincides with the maintenance services being provided. In the event of customer default, any payments made by the customer may be retained by the Company.</w:t>
      </w:r>
    </w:p>
    <w:p>
      <w:pPr>
        <w:spacing w:after="0" w:line="168"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are satisfied,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 4 .  Segment Reporting</w:t>
      </w:r>
    </w:p>
    <w:p>
      <w:pPr>
        <w:spacing w:after="0" w:line="224" w:lineRule="exact"/>
        <w:rPr>
          <w:sz w:val="20"/>
          <w:szCs w:val="20"/>
          <w:color w:val="auto"/>
        </w:rPr>
      </w:pPr>
    </w:p>
    <w:p>
      <w:pPr>
        <w:jc w:val="both"/>
        <w:ind w:firstLine="208"/>
        <w:spacing w:after="0" w:line="255" w:lineRule="auto"/>
        <w:rPr>
          <w:sz w:val="20"/>
          <w:szCs w:val="20"/>
          <w:color w:val="auto"/>
        </w:rPr>
      </w:pPr>
      <w:r>
        <w:rPr>
          <w:rFonts w:ascii="Arial" w:cs="Arial" w:eastAsia="Arial" w:hAnsi="Arial"/>
          <w:sz w:val="18"/>
          <w:szCs w:val="18"/>
          <w:color w:val="auto"/>
        </w:rPr>
        <w:t>The Company’s Chief Executive Officer (“CEO”) is its Chief Operating Decision Maker (“CODM”), as such term is defined under U.S. GAAP. The CODM, along with other members of management, assesses segment performance based on segment revenues and gross margins. Selling, general and administrative expenses, research and development costs, amortization of intangibles, receivables provisions (recoveries), certain write-downs, interest income, interest expense and tax (provision) recovery are not allocated to the segments.</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The Company organizes its reportable segments into the following four categories, identified by the nature of the product sold or service provided:</w:t>
      </w:r>
    </w:p>
    <w:p>
      <w:pPr>
        <w:spacing w:after="0" w:line="185" w:lineRule="exact"/>
        <w:rPr>
          <w:sz w:val="20"/>
          <w:szCs w:val="20"/>
          <w:color w:val="auto"/>
        </w:rPr>
      </w:pPr>
    </w:p>
    <w:p>
      <w:pPr>
        <w:ind w:left="1120" w:hanging="739"/>
        <w:spacing w:after="0" w:line="27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Joint Revenue Sharing Arrangement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Business Initiatives, which is a segment that includes activities related to the exploration of new lines of business and new initiatives outside of the Company’s core business; and</w:t>
      </w:r>
    </w:p>
    <w:p>
      <w:pPr>
        <w:spacing w:after="0" w:line="175" w:lineRule="exact"/>
        <w:rPr>
          <w:rFonts w:ascii="Arial" w:cs="Arial" w:eastAsia="Arial" w:hAnsi="Arial"/>
          <w:sz w:val="18"/>
          <w:szCs w:val="18"/>
          <w:color w:val="auto"/>
        </w:rPr>
      </w:pPr>
    </w:p>
    <w:p>
      <w:pPr>
        <w:jc w:val="both"/>
        <w:ind w:left="1120" w:hanging="739"/>
        <w:spacing w:after="0" w:line="259"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Film Distribution and Post-production, which includes activities related to the distribution of films primarily for the Company’s institutional theater partners (through the Film Distribution segment) and the provision of film post-production and quality control services (through the Film Post-production segment).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is presenting information at a disaggregated level to provide more relevant information to readers.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Item 2 of the Company’s Form 10-Q for additional information regarding the four primary groups mentioned above.</w:t>
      </w:r>
    </w:p>
    <w:p>
      <w:pPr>
        <w:spacing w:after="0" w:line="220" w:lineRule="exact"/>
        <w:rPr>
          <w:sz w:val="20"/>
          <w:szCs w:val="20"/>
          <w:color w:val="auto"/>
        </w:rPr>
      </w:pPr>
    </w:p>
    <w:p>
      <w:pPr>
        <w:ind w:right="20" w:firstLine="225"/>
        <w:spacing w:after="0" w:line="270"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2" w:name="page33"/>
    <w:bookmarkEnd w:id="32"/>
    <w:p>
      <w:pPr>
        <w:ind w:left="240"/>
        <w:spacing w:after="0"/>
        <w:rPr>
          <w:sz w:val="20"/>
          <w:szCs w:val="20"/>
          <w:color w:val="auto"/>
        </w:rPr>
      </w:pPr>
      <w:r>
        <w:rPr>
          <w:rFonts w:ascii="Arial" w:cs="Arial" w:eastAsia="Arial" w:hAnsi="Arial"/>
          <w:sz w:val="18"/>
          <w:szCs w:val="18"/>
          <w:color w:val="auto"/>
        </w:rPr>
        <w:t>The following table sets forth the breakdown of revenue and gross margin by category for the three months ended March 31, 2020:</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 xml:space="preserve">Revenue </w:t>
            </w:r>
            <w:r>
              <w:rPr>
                <w:rFonts w:ascii="Arial" w:cs="Arial" w:eastAsia="Arial" w:hAnsi="Arial"/>
                <w:sz w:val="12"/>
                <w:szCs w:val="12"/>
                <w:b w:val="1"/>
                <w:bCs w:val="1"/>
                <w:color w:val="auto"/>
              </w:rPr>
              <w:t>(1)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 xml:space="preserve">Gross Margin </w:t>
            </w:r>
            <w:r>
              <w:rPr>
                <w:rFonts w:ascii="Arial" w:cs="Arial" w:eastAsia="Arial" w:hAnsi="Arial"/>
                <w:sz w:val="12"/>
                <w:szCs w:val="12"/>
                <w:b w:val="1"/>
                <w:bCs w:val="1"/>
                <w:color w:val="auto"/>
              </w:rPr>
              <w:t>(4)</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Arial" w:cs="Arial" w:eastAsia="Arial" w:hAnsi="Arial"/>
                <w:sz w:val="18"/>
                <w:szCs w:val="18"/>
                <w:color w:val="auto"/>
              </w:rPr>
              <w:t>IMAX DMR</w:t>
            </w:r>
          </w:p>
        </w:tc>
        <w:tc>
          <w:tcPr>
            <w:tcW w:w="12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10,629</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27,950</w:t>
            </w: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4,443</w:t>
            </w:r>
          </w:p>
        </w:tc>
        <w:tc>
          <w:tcPr>
            <w:tcW w:w="240" w:type="dxa"/>
            <w:vAlign w:val="bottom"/>
          </w:tcPr>
          <w:p>
            <w:pPr>
              <w:spacing w:after="0"/>
              <w:rPr>
                <w:sz w:val="19"/>
                <w:szCs w:val="19"/>
                <w:color w:val="auto"/>
              </w:rPr>
            </w:pPr>
          </w:p>
        </w:tc>
        <w:tc>
          <w:tcPr>
            <w:tcW w:w="420" w:type="dxa"/>
            <w:vAlign w:val="bottom"/>
            <w:gridSpan w:val="2"/>
          </w:tcPr>
          <w:p>
            <w:pPr>
              <w:jc w:val="right"/>
              <w:ind w:right="248"/>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19,775</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(1,618)</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45,994</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31,710</w:t>
            </w:r>
          </w:p>
        </w:tc>
        <w:tc>
          <w:tcPr>
            <w:tcW w:w="100" w:type="dxa"/>
            <w:vAlign w:val="bottom"/>
            <w:tcBorders>
              <w:bottom w:val="single" w:sz="8" w:color="CFF0FC"/>
            </w:tcBorders>
          </w:tcPr>
          <w:p>
            <w:pPr>
              <w:spacing w:after="0"/>
              <w:rPr>
                <w:sz w:val="19"/>
                <w:szCs w:val="19"/>
                <w:color w:val="auto"/>
              </w:rPr>
            </w:pP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(2)</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Arial" w:cs="Arial" w:eastAsia="Arial" w:hAnsi="Arial"/>
                <w:sz w:val="18"/>
                <w:szCs w:val="18"/>
                <w:color w:val="auto"/>
              </w:rPr>
              <w:t>IMAX Maintenance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(3)</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13,103</w:t>
            </w:r>
          </w:p>
        </w:tc>
        <w:tc>
          <w:tcPr>
            <w:tcW w:w="100" w:type="dxa"/>
            <w:vAlign w:val="bottom"/>
            <w:tcBorders>
              <w:bottom w:val="single" w:sz="8" w:color="CFF0FC"/>
            </w:tcBorders>
          </w:tcPr>
          <w:p>
            <w:pPr>
              <w:spacing w:after="0"/>
              <w:rPr>
                <w:sz w:val="19"/>
                <w:szCs w:val="19"/>
                <w:color w:val="auto"/>
              </w:rPr>
            </w:pP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Film Distribution</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(2,158)</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(710)</w:t>
            </w:r>
          </w:p>
        </w:tc>
      </w:tr>
      <w:tr>
        <w:trPr>
          <w:trHeight w:val="227"/>
        </w:trPr>
        <w:tc>
          <w:tcPr>
            <w:tcW w:w="4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Post-production</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45,407</w:t>
            </w: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r>
      <w:tr>
        <w:trPr>
          <w:trHeight w:val="220"/>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34,902</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80,198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45,140</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949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66" w:lineRule="exact"/>
        <w:rPr>
          <w:sz w:val="20"/>
          <w:szCs w:val="20"/>
          <w:color w:val="auto"/>
        </w:rPr>
      </w:pPr>
    </w:p>
    <w:p>
      <w:pPr>
        <w:ind w:left="380" w:hanging="37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largest customer represented 14.4% of total revenues for the three months ended March 31, 2020 (2019 —18.9%).</w:t>
      </w:r>
    </w:p>
    <w:p>
      <w:pPr>
        <w:spacing w:after="0" w:line="46"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initial payments and the present value of fixed minimum payments from sales and sales-type lease arrangements of IMAX Theater Systems, and the present value of estimates of variable consideration from sales of IMAX Theater Systems. To a lesser extent, also includes finance income associated with these revenue streams.</w:t>
      </w:r>
    </w:p>
    <w:p>
      <w:pPr>
        <w:spacing w:after="0" w:line="11" w:lineRule="exact"/>
        <w:rPr>
          <w:rFonts w:ascii="Arial" w:cs="Arial" w:eastAsia="Arial" w:hAnsi="Arial"/>
          <w:sz w:val="18"/>
          <w:szCs w:val="18"/>
          <w:color w:val="auto"/>
        </w:rPr>
      </w:pPr>
    </w:p>
    <w:p>
      <w:pPr>
        <w:ind w:left="380" w:hanging="37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46" w:lineRule="exact"/>
        <w:rPr>
          <w:rFonts w:ascii="Arial" w:cs="Arial" w:eastAsia="Arial" w:hAnsi="Arial"/>
          <w:sz w:val="18"/>
          <w:szCs w:val="18"/>
          <w:color w:val="auto"/>
        </w:rPr>
      </w:pPr>
    </w:p>
    <w:p>
      <w:pPr>
        <w:jc w:val="both"/>
        <w:ind w:left="380" w:hanging="373"/>
        <w:spacing w:after="0" w:line="25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IMAX DMR gross margin includes marketing costs of $2.4 million for the three months ended March 31, 2020 (2019 — $3.9 million). JRSA gross margin includes advertising, marketing and commission expense of $0.5 million for the three months ended March 31, 2020 (2019 — $0.1 million). IMAX Systems gross margin includes marketing and commission costs of $0.2 million for the three months ended March 31, 2020 (2019 — $0.5 million). Film Distribution segment gross margin includes marketing expense of $0.2 million for the three months ended March 31, 2020 (2019 — expense of $0.6 million).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120" w:type="dxa"/>
            <w:vAlign w:val="bottom"/>
          </w:tcPr>
          <w:p>
            <w:pPr>
              <w:spacing w:after="0"/>
              <w:rPr>
                <w:sz w:val="16"/>
                <w:szCs w:val="16"/>
                <w:color w:val="auto"/>
              </w:rPr>
            </w:pPr>
          </w:p>
        </w:tc>
      </w:tr>
      <w:tr>
        <w:trPr>
          <w:trHeight w:val="212"/>
        </w:trPr>
        <w:tc>
          <w:tcPr>
            <w:tcW w:w="7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20"/>
        </w:trPr>
        <w:tc>
          <w:tcPr>
            <w:tcW w:w="7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12,965</w:t>
            </w:r>
          </w:p>
        </w:tc>
        <w:tc>
          <w:tcPr>
            <w:tcW w:w="180" w:type="dxa"/>
            <w:vAlign w:val="bottom"/>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24,293</w:t>
            </w: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Asia (excluding Greater China)</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5,860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8,790</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Greater China</w:t>
            </w:r>
          </w:p>
        </w:tc>
        <w:tc>
          <w:tcPr>
            <w:tcW w:w="980" w:type="dxa"/>
            <w:vAlign w:val="bottom"/>
          </w:tcPr>
          <w:p>
            <w:pPr>
              <w:spacing w:after="0"/>
              <w:rPr>
                <w:sz w:val="19"/>
                <w:szCs w:val="19"/>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5,269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26,681</w:t>
            </w: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Western Europe</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4,557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8,443</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Russia &amp; the CIS</w:t>
            </w:r>
          </w:p>
        </w:tc>
        <w:tc>
          <w:tcPr>
            <w:tcW w:w="980" w:type="dxa"/>
            <w:vAlign w:val="bottom"/>
          </w:tcPr>
          <w:p>
            <w:pPr>
              <w:spacing w:after="0"/>
              <w:rPr>
                <w:sz w:val="19"/>
                <w:szCs w:val="19"/>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1,688</w:t>
            </w: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Latin America</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1,527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2,653</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Canada</w:t>
            </w:r>
          </w:p>
        </w:tc>
        <w:tc>
          <w:tcPr>
            <w:tcW w:w="980" w:type="dxa"/>
            <w:vAlign w:val="bottom"/>
          </w:tcPr>
          <w:p>
            <w:pPr>
              <w:spacing w:after="0"/>
              <w:rPr>
                <w:sz w:val="19"/>
                <w:szCs w:val="19"/>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1,872</w:t>
            </w: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 of the World</w:t>
            </w:r>
          </w:p>
        </w:tc>
        <w:tc>
          <w:tcPr>
            <w:tcW w:w="9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5,778</w:t>
            </w:r>
          </w:p>
        </w:tc>
      </w:tr>
      <w:tr>
        <w:trPr>
          <w:trHeight w:val="220"/>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34,902</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80,198</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comprises more than 10% of the Company’s total revenue.</w:t>
      </w:r>
    </w:p>
    <w:p>
      <w:pPr>
        <w:spacing w:after="0" w:line="145"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Company has an unfunded defined benefit supplemental executive retirement plan (the “SERP”) covering Richard L. Gelfond, its CEO. The accounting for the SERP assumes that Mr. Gelfond will receive a lump sum payment of $20.3 million six months after retirement at the end of the current term of his employment agreement (December 31, 2022), although Mr. Gelfond has not informed the Company that he intends to retire at that time.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March 31, 2020 and December 31, 2019, the Company’s projected benefit obligation and unfunded status related to the SERP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580" w:type="dxa"/>
            <w:vAlign w:val="bottom"/>
            <w:tcBorders>
              <w:bottom w:val="single" w:sz="8" w:color="CFF0FC"/>
            </w:tcBorders>
          </w:tcPr>
          <w:p>
            <w:pPr>
              <w:spacing w:after="0"/>
              <w:rPr>
                <w:sz w:val="18"/>
                <w:szCs w:val="18"/>
                <w:color w:val="auto"/>
              </w:rPr>
            </w:pPr>
          </w:p>
        </w:tc>
        <w:tc>
          <w:tcPr>
            <w:tcW w:w="2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22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7"/>
        </w:trPr>
        <w:tc>
          <w:tcPr>
            <w:tcW w:w="5580" w:type="dxa"/>
            <w:vAlign w:val="bottom"/>
          </w:tcPr>
          <w:p>
            <w:pPr>
              <w:ind w:left="120"/>
              <w:spacing w:after="0"/>
              <w:rPr>
                <w:sz w:val="20"/>
                <w:szCs w:val="20"/>
                <w:color w:val="auto"/>
              </w:rPr>
            </w:pPr>
            <w:r>
              <w:rPr>
                <w:rFonts w:ascii="Arial" w:cs="Arial" w:eastAsia="Arial" w:hAnsi="Arial"/>
                <w:sz w:val="18"/>
                <w:szCs w:val="18"/>
                <w:color w:val="auto"/>
              </w:rPr>
              <w:t>Obligation, beginning of period</w:t>
            </w:r>
          </w:p>
        </w:tc>
        <w:tc>
          <w:tcPr>
            <w:tcW w:w="24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18,840</w:t>
            </w:r>
          </w:p>
        </w:tc>
        <w:tc>
          <w:tcPr>
            <w:tcW w:w="1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17,977</w:t>
            </w: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Prior Service cost</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456</w:t>
            </w:r>
          </w:p>
        </w:tc>
      </w:tr>
      <w:tr>
        <w:trPr>
          <w:trHeight w:val="227"/>
        </w:trPr>
        <w:tc>
          <w:tcPr>
            <w:tcW w:w="558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564</w:t>
            </w: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Actuarial gain</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r>
      <w:tr>
        <w:trPr>
          <w:trHeight w:val="220"/>
        </w:trPr>
        <w:tc>
          <w:tcPr>
            <w:tcW w:w="5580" w:type="dxa"/>
            <w:vAlign w:val="bottom"/>
          </w:tcPr>
          <w:p>
            <w:pPr>
              <w:ind w:left="120"/>
              <w:spacing w:after="0"/>
              <w:rPr>
                <w:sz w:val="20"/>
                <w:szCs w:val="20"/>
                <w:color w:val="auto"/>
              </w:rPr>
            </w:pPr>
            <w:r>
              <w:rPr>
                <w:rFonts w:ascii="Arial" w:cs="Arial" w:eastAsia="Arial" w:hAnsi="Arial"/>
                <w:sz w:val="18"/>
                <w:szCs w:val="18"/>
                <w:color w:val="auto"/>
              </w:rPr>
              <w:t>Obligation, end of period and unfunded status</w:t>
            </w:r>
          </w:p>
        </w:tc>
        <w:tc>
          <w:tcPr>
            <w:tcW w:w="2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18,935</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18,840</w:t>
            </w:r>
          </w:p>
        </w:tc>
      </w:tr>
      <w:tr>
        <w:trPr>
          <w:trHeight w:val="20"/>
        </w:trPr>
        <w:tc>
          <w:tcPr>
            <w:tcW w:w="5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accumulated benefit obligation for the SERP was $18.9 million at March 31, 2020 (December 31, 2019 —$18.8 million). For the three months ended March 31, 2020 and 2019, the Company recorded interest cost of $0.1 million related to the SERP. The Company expects to recognize interest costs of $0.3 million related to the SERP during the remainder of 2020. No contributions are expected to be made for the SERP during the remainder of 2020.</w:t>
      </w:r>
    </w:p>
    <w:p>
      <w:pPr>
        <w:spacing w:after="0" w:line="124"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Defined Contribution Pension Plan</w:t>
      </w:r>
    </w:p>
    <w:p>
      <w:pPr>
        <w:spacing w:after="0" w:line="180"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months ended March 31, 2020, the Company contributed and recorded expense of $0.3 million (2019 — $0.4 million) to its Canadian defined contribution plan and $0.2 million (2019 —$0.2 million) to its defined contribution employee plan under Section 401(k) of the U.S. Internal Revenue Code.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Postretirement Benefits – Executives</w:t>
      </w:r>
    </w:p>
    <w:p>
      <w:pPr>
        <w:spacing w:after="0" w:line="180"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has an unfunded postretirement plan for Mr. Gelfond and Bradley J. Wechsler, Chairman of the Company’s Board of Directors. The plan provides that the Company will maintain health benefits for Messrs. Gelfond and Wechsler until they become eligible for Medicare and, thereafter, the Company will provide Medicare supplement coverage as selected by Messrs. Gelfond and Wechsler. As at March 31, 2020, the Company’s postretirement benefits obligation under this plan is $0.6 million (December 31, 2019 — $0.7 million). For the three months ended March 31, 2020, the Company has recorded expense of less than $0.1 million (2019 — less than $0.1 million) related to this plan.</w:t>
      </w:r>
    </w:p>
    <w:p>
      <w:pPr>
        <w:spacing w:after="0" w:line="15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Postretirement Benefits – Canadian Employees</w:t>
      </w:r>
    </w:p>
    <w:p>
      <w:pPr>
        <w:spacing w:after="0" w:line="180"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The Company has an unfunded postretirement plan for its Canadian employees meeting specific eligibility requirements. The Company will provide eligible participants, upon retirement, with health and welfare benefits. As at March 31, 2020, the Company’s postretirement benefits obligation under this plan is $1.5 million (December 31, 2019 — $1.6 million). For the three months ended March 31, 2020, the Company has recorded expense of $0.1 million (2019 — less than $0.1 million) related to this plan.</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Deferred Compensation Benefit Plan</w:t>
      </w:r>
    </w:p>
    <w:p>
      <w:pPr>
        <w:spacing w:after="0" w:line="180" w:lineRule="exact"/>
        <w:rPr>
          <w:sz w:val="20"/>
          <w:szCs w:val="20"/>
          <w:color w:val="auto"/>
        </w:rPr>
      </w:pPr>
    </w:p>
    <w:p>
      <w:pPr>
        <w:jc w:val="both"/>
        <w:ind w:firstLine="224"/>
        <w:spacing w:after="0" w:line="289" w:lineRule="auto"/>
        <w:rPr>
          <w:sz w:val="20"/>
          <w:szCs w:val="20"/>
          <w:color w:val="auto"/>
        </w:rPr>
      </w:pPr>
      <w:r>
        <w:rPr>
          <w:rFonts w:ascii="Arial" w:cs="Arial" w:eastAsia="Arial" w:hAnsi="Arial"/>
          <w:sz w:val="16"/>
          <w:szCs w:val="16"/>
          <w:color w:val="auto"/>
        </w:rPr>
        <w:t>The Company maintained a nonqualified deferred compensation benefit plan (the “Retirement Plan”) covering the former CEO of IMAX Entertainment and Senior Executive Vice President of the Company. Under the terms of his Retirement Plan with the Company, the Retirement Plan will vest in full if he incurs a separation from service (as defined therein). In the fourth quarter of 2018, he incurred a separation from service, and as such, his Retirement Plan benefits became fully vested as at December 31, 2018 and the accelerated costs were recognized and reflected in the executive transition costs line on the consolidated statement of operations. As at March 31, 2020, the Company had a funded benefit obligation recorded of $3.6 million (December 31, 2019 — $3.6 million). The Company did not recognize any additional expenses in the three months ended March 31, 2020 and 2019 .</w:t>
      </w:r>
    </w:p>
    <w:p>
      <w:pPr>
        <w:spacing w:after="0" w:line="123"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w:t>
      </w:r>
    </w:p>
    <w:p>
      <w:pPr>
        <w:spacing w:after="0" w:line="180" w:lineRule="exact"/>
        <w:rPr>
          <w:sz w:val="20"/>
          <w:szCs w:val="20"/>
          <w:color w:val="auto"/>
        </w:rPr>
      </w:pPr>
    </w:p>
    <w:p>
      <w:pPr>
        <w:ind w:left="220" w:right="820" w:firstLine="11"/>
        <w:spacing w:after="0" w:line="449" w:lineRule="auto"/>
        <w:rPr>
          <w:sz w:val="20"/>
          <w:szCs w:val="20"/>
          <w:color w:val="auto"/>
        </w:rPr>
      </w:pPr>
      <w:r>
        <w:rPr>
          <w:rFonts w:ascii="Arial" w:cs="Arial" w:eastAsia="Arial" w:hAnsi="Arial"/>
          <w:sz w:val="18"/>
          <w:szCs w:val="18"/>
          <w:color w:val="auto"/>
        </w:rPr>
        <w:t xml:space="preserve">The Company maintains cash with various major financial institutions. The Company’s cash is invested with highly rated financial institutions. </w:t>
      </w:r>
      <w:r>
        <w:rPr>
          <w:rFonts w:ascii="Arial" w:cs="Arial" w:eastAsia="Arial" w:hAnsi="Arial"/>
          <w:sz w:val="18"/>
          <w:szCs w:val="18"/>
          <w:b w:val="1"/>
          <w:bCs w:val="1"/>
          <w:i w:val="1"/>
          <w:iCs w:val="1"/>
          <w:color w:val="auto"/>
        </w:rPr>
        <w:t>(b) Fair Value Measurements</w:t>
      </w:r>
    </w:p>
    <w:p>
      <w:pPr>
        <w:ind w:firstLine="225"/>
        <w:spacing w:after="0" w:line="334" w:lineRule="auto"/>
        <w:rPr>
          <w:sz w:val="20"/>
          <w:szCs w:val="20"/>
          <w:color w:val="auto"/>
        </w:rPr>
      </w:pPr>
      <w:r>
        <w:rPr>
          <w:rFonts w:ascii="Arial" w:cs="Arial" w:eastAsia="Arial" w:hAnsi="Arial"/>
          <w:sz w:val="16"/>
          <w:szCs w:val="16"/>
          <w:color w:val="auto"/>
        </w:rPr>
        <w:t>The carrying values of the Company’s cash and cash equivalents, accounts receivable, accounts payable and accrued liabilities due within one year approximate fair values due to the short-term maturity of these instruments. The Company’s other financial instruments are comprised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As at March 31, 2020</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As at December 31, 2019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080" w:type="dxa"/>
            <w:vAlign w:val="bottom"/>
          </w:tcPr>
          <w:p>
            <w:pPr>
              <w:jc w:val="right"/>
              <w:ind w:right="295"/>
              <w:spacing w:after="0" w:line="131"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36"/>
              <w:spacing w:after="0" w:line="13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5"/>
              <w:spacing w:after="0" w:line="13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80" w:type="dxa"/>
            <w:vAlign w:val="bottom"/>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Borders>
              <w:top w:val="single" w:sz="8" w:color="CFF0FC"/>
            </w:tcBorders>
            <w:gridSpan w:val="2"/>
            <w:shd w:val="clear" w:color="auto" w:fill="CFF0FC"/>
          </w:tcPr>
          <w:p>
            <w:pPr>
              <w:spacing w:after="0" w:line="181" w:lineRule="exact"/>
              <w:rPr>
                <w:sz w:val="20"/>
                <w:szCs w:val="20"/>
                <w:color w:val="auto"/>
              </w:rPr>
            </w:pPr>
            <w:r>
              <w:rPr>
                <w:rFonts w:ascii="Arial" w:cs="Arial" w:eastAsia="Arial" w:hAnsi="Arial"/>
                <w:sz w:val="18"/>
                <w:szCs w:val="18"/>
                <w:color w:val="auto"/>
              </w:rPr>
              <w:t>Level 1</w:t>
            </w:r>
          </w:p>
        </w:tc>
        <w:tc>
          <w:tcPr>
            <w:tcW w:w="9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5"/>
                <w:szCs w:val="15"/>
                <w:color w:val="auto"/>
              </w:rPr>
              <w:t>(1)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352,277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352,277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109,484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109,484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5"/>
                <w:szCs w:val="15"/>
                <w:color w:val="auto"/>
              </w:rPr>
              <w:t>(3)</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11,132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11,132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15,685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gridSpan w:val="2"/>
          </w:tcPr>
          <w:p>
            <w:pPr>
              <w:spacing w:after="0" w:line="187" w:lineRule="exact"/>
              <w:rPr>
                <w:sz w:val="20"/>
                <w:szCs w:val="20"/>
                <w:color w:val="auto"/>
              </w:rPr>
            </w:pPr>
            <w:r>
              <w:rPr>
                <w:rFonts w:ascii="Arial" w:cs="Arial" w:eastAsia="Arial" w:hAnsi="Arial"/>
                <w:sz w:val="18"/>
                <w:szCs w:val="18"/>
                <w:color w:val="auto"/>
              </w:rPr>
              <w:t>Level 2</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Net financed sales receivables </w:t>
            </w:r>
            <w:r>
              <w:rPr>
                <w:rFonts w:ascii="Arial" w:cs="Arial" w:eastAsia="Arial" w:hAnsi="Arial"/>
                <w:sz w:val="15"/>
                <w:szCs w:val="15"/>
                <w:color w:val="auto"/>
              </w:rPr>
              <w:t>(2)</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105,429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105,849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112,432</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111,441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Net investment in sales-type leases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15,683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15,418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15,606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15,309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5"/>
                <w:szCs w:val="15"/>
                <w:color w:val="auto"/>
              </w:rPr>
              <w:t>(1)</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Foreign exchange contracts — designated forwards </w:t>
            </w:r>
            <w:r>
              <w:rPr>
                <w:rFonts w:ascii="Arial" w:cs="Arial" w:eastAsia="Arial" w:hAnsi="Arial"/>
                <w:sz w:val="15"/>
                <w:szCs w:val="15"/>
                <w:color w:val="auto"/>
              </w:rPr>
              <w:t>(3)</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Bank indebtedness - under the Credit Facility </w:t>
            </w:r>
            <w:r>
              <w:rPr>
                <w:rFonts w:ascii="Arial" w:cs="Arial" w:eastAsia="Arial" w:hAnsi="Arial"/>
                <w:sz w:val="15"/>
                <w:szCs w:val="15"/>
                <w:color w:val="auto"/>
              </w:rPr>
              <w:t>(1)</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949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53" w:lineRule="exact"/>
        <w:rPr>
          <w:sz w:val="20"/>
          <w:szCs w:val="20"/>
          <w:color w:val="auto"/>
        </w:rPr>
      </w:pPr>
    </w:p>
    <w:p>
      <w:pPr>
        <w:ind w:left="380" w:hanging="37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9" w:lineRule="exact"/>
        <w:rPr>
          <w:rFonts w:ascii="Arial" w:cs="Arial" w:eastAsia="Arial" w:hAnsi="Arial"/>
          <w:sz w:val="18"/>
          <w:szCs w:val="18"/>
          <w:color w:val="auto"/>
        </w:rPr>
      </w:pPr>
    </w:p>
    <w:p>
      <w:pPr>
        <w:ind w:left="380" w:hanging="37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 based on discounting future cash flows at currently available interest rates with comparable terms.</w:t>
      </w:r>
    </w:p>
    <w:p>
      <w:pPr>
        <w:spacing w:after="0" w:line="6" w:lineRule="exact"/>
        <w:rPr>
          <w:rFonts w:ascii="Arial" w:cs="Arial" w:eastAsia="Arial" w:hAnsi="Arial"/>
          <w:sz w:val="18"/>
          <w:szCs w:val="18"/>
          <w:color w:val="auto"/>
        </w:rPr>
      </w:pPr>
    </w:p>
    <w:p>
      <w:pPr>
        <w:ind w:left="380" w:hanging="37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Value determined using quoted prices in active markets.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5" w:name="page36"/>
    <w:bookmarkEnd w:id="35"/>
    <w:p>
      <w:pPr>
        <w:jc w:val="both"/>
        <w:ind w:firstLine="225"/>
        <w:spacing w:after="0" w:line="259" w:lineRule="auto"/>
        <w:rPr>
          <w:sz w:val="20"/>
          <w:szCs w:val="20"/>
          <w:color w:val="auto"/>
        </w:rPr>
      </w:pPr>
      <w:r>
        <w:rPr>
          <w:rFonts w:ascii="Arial" w:cs="Arial" w:eastAsia="Arial" w:hAnsi="Arial"/>
          <w:sz w:val="18"/>
          <w:szCs w:val="18"/>
          <w:color w:val="auto"/>
        </w:rPr>
        <w:t>When a determination is made to classify an asset or liability within Level 3, the determination is based upon the significance of the unobservable inputs to the overall fair value measurement. There were no significant transfers in or out of the Company’s Level 3 assets during the three and three months ended March 31, 2020 and 2019.</w:t>
      </w:r>
    </w:p>
    <w:p>
      <w:pPr>
        <w:spacing w:after="0" w:line="15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Foreign Exchange Risk Management</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 is exposed to market risk from changes in foreign currency rates. A majority of the Company’s revenues is denominated in U.S. dollars while a substantial portion of its costs and expenses is denominated in Canadian dollars. A portion of the net U.S. dollar cash flows of the Company is periodically converted to Canadian dollars to fund Canadian dollar expenses through the spot market. In China and Japan, the Company has ongoing operating expenses related to its operations in Chinese Renminbi and Japanese yen, respectively. Net cash flows are converted to and from U.S. dollars through the spot market. The Company also has cash receipts under leases denominated in Chinese Renminbi, Japanese yen, Canadian dollars and Euros which are converted to U.S. dollars through the spot market. In addition, because IMAX films generate box office in 81 different countries, unfavourable exchange rates between applicable local currencies and the U.S. dollar affect the Company’s reported gross box-office and revenues, further impacting the Company’s results of operations. The Company’s policy is to not use any financial instruments for trading or other speculative purposes.</w:t>
      </w:r>
    </w:p>
    <w:p>
      <w:pPr>
        <w:spacing w:after="0" w:line="130"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entered into a series of foreign currency forward contracts to manage the Company’s risks associated with the volatility of foreign currencies. Certain of these foreign currency forward contracts met the criteria required for hedge accounting under the Derivatives and Hedging Topic of the FASB ASC at inception, and continue to meet hedge effectiveness tests at March 31, 2020 (the “Foreign Currency Hedges”), with settlement dates throughout 2020 and 2021. Foreign currency derivatives are recognized and measured in the balance sheet at fair value. Changes in the fair value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and capital expenditures. For foreign currency cash flow hedging instruments related to selling, general and administrative expenses, the effective portion of the gain or loss in a hedge of a forecasted transaction is reported in other comprehensive income and reclassified to the Condensed Consolidated Statements of Operations when the forecasted transaction occurs. For foreign currency cash flow hedging instruments related to capital expenditures, the effective portion of the gain or loss in a hedge of a forecasted transaction is reported in other comprehensive income and reclassified to property, plant and equipment on the balance sheet when the forecasted transaction occurs. The Company currently does not hold any derivatives which are not designated as hedging instruments.</w:t>
      </w:r>
    </w:p>
    <w:p>
      <w:pPr>
        <w:spacing w:after="0" w:line="13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Notional value of foreign exchange contracts: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26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Foreign exchange contracts — Forwards</w:t>
            </w:r>
          </w:p>
        </w:tc>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44,571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40"/>
              <w:spacing w:after="0"/>
              <w:rPr>
                <w:sz w:val="20"/>
                <w:szCs w:val="20"/>
                <w:color w:val="auto"/>
              </w:rPr>
            </w:pPr>
            <w:r>
              <w:rPr>
                <w:rFonts w:ascii="Arial" w:cs="Arial" w:eastAsia="Arial" w:hAnsi="Arial"/>
                <w:sz w:val="18"/>
                <w:szCs w:val="18"/>
                <w:color w:val="auto"/>
                <w:w w:val="98"/>
              </w:rPr>
              <w:t>Fair value of derivatives in foreign exchange contracts:</w:t>
            </w: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3160" w:type="dxa"/>
            <w:vAlign w:val="bottom"/>
            <w:gridSpan w:val="3"/>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24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0"/>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Foreign exchange contracts — Forwards</w:t>
            </w:r>
          </w:p>
        </w:tc>
        <w:tc>
          <w:tcPr>
            <w:tcW w:w="3160" w:type="dxa"/>
            <w:vAlign w:val="bottom"/>
            <w:gridSpan w:val="3"/>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7"/>
        </w:trPr>
        <w:tc>
          <w:tcPr>
            <w:tcW w:w="4560" w:type="dxa"/>
            <w:vAlign w:val="bottom"/>
            <w:shd w:val="clear" w:color="auto" w:fill="CFF0FC"/>
          </w:tcPr>
          <w:p>
            <w:pPr>
              <w:spacing w:after="0"/>
              <w:rPr>
                <w:sz w:val="19"/>
                <w:szCs w:val="19"/>
                <w:color w:val="auto"/>
              </w:rPr>
            </w:pPr>
          </w:p>
        </w:tc>
        <w:tc>
          <w:tcPr>
            <w:tcW w:w="31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Accrued and other liabilities</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0"/>
        </w:trPr>
        <w:tc>
          <w:tcPr>
            <w:tcW w:w="4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60" w:type="dxa"/>
            <w:vAlign w:val="bottom"/>
            <w:gridSpan w:val="2"/>
            <w:vMerge w:val="restart"/>
          </w:tcPr>
          <w:p>
            <w:pPr>
              <w:jc w:val="right"/>
              <w:ind w:right="19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560" w:type="dxa"/>
            <w:vAlign w:val="bottom"/>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color w:val="auto"/>
        </w:rPr>
        <w:t>Derivatives in Foreign Currency Hedging relationships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r>
      <w:tr>
        <w:trPr>
          <w:trHeight w:val="220"/>
        </w:trPr>
        <w:tc>
          <w:tcPr>
            <w:tcW w:w="2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0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9"/>
                <w:szCs w:val="19"/>
                <w:color w:val="auto"/>
              </w:rPr>
            </w:pPr>
          </w:p>
        </w:tc>
      </w:tr>
      <w:tr>
        <w:trPr>
          <w:trHeight w:val="220"/>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top w:val="single" w:sz="8" w:color="CFF0FC"/>
            </w:tcBorders>
            <w:shd w:val="clear" w:color="auto" w:fill="CFF0FC"/>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(Loss) Gain</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r>
      <w:tr>
        <w:trPr>
          <w:trHeight w:val="227"/>
        </w:trPr>
        <w:tc>
          <w:tcPr>
            <w:tcW w:w="27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8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Recognized in OCI</w:t>
            </w:r>
          </w:p>
        </w:tc>
        <w:tc>
          <w:tcPr>
            <w:tcW w:w="1300" w:type="dxa"/>
            <w:vAlign w:val="bottom"/>
            <w:gridSpan w:val="3"/>
          </w:tcPr>
          <w:p>
            <w:pPr>
              <w:jc w:val="right"/>
              <w:ind w:right="90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(2,860)</w:t>
            </w:r>
          </w:p>
        </w:tc>
        <w:tc>
          <w:tcPr>
            <w:tcW w:w="20" w:type="dxa"/>
            <w:vAlign w:val="bottom"/>
          </w:tcPr>
          <w:p>
            <w:pPr>
              <w:spacing w:after="0"/>
              <w:rPr>
                <w:sz w:val="19"/>
                <w:szCs w:val="19"/>
                <w:color w:val="auto"/>
              </w:rPr>
            </w:pPr>
          </w:p>
        </w:tc>
        <w:tc>
          <w:tcPr>
            <w:tcW w:w="1380" w:type="dxa"/>
            <w:vAlign w:val="bottom"/>
            <w:gridSpan w:val="3"/>
          </w:tcPr>
          <w:p>
            <w:pPr>
              <w:jc w:val="right"/>
              <w:ind w:right="97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20"/>
        </w:trPr>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434"/>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tcPr>
          <w:p>
            <w:pPr>
              <w:ind w:left="780"/>
              <w:spacing w:after="0"/>
              <w:rPr>
                <w:sz w:val="20"/>
                <w:szCs w:val="20"/>
                <w:color w:val="auto"/>
              </w:rPr>
            </w:pPr>
            <w:r>
              <w:rPr>
                <w:rFonts w:ascii="Arial" w:cs="Arial" w:eastAsia="Arial" w:hAnsi="Arial"/>
                <w:sz w:val="14"/>
                <w:szCs w:val="14"/>
                <w:b w:val="1"/>
                <w:bCs w:val="1"/>
                <w:color w:val="auto"/>
              </w:rPr>
              <w:t>Location of Derivative (Loss) Gain</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r>
      <w:tr>
        <w:trPr>
          <w:trHeight w:val="220"/>
        </w:trPr>
        <w:tc>
          <w:tcPr>
            <w:tcW w:w="2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tcPr>
          <w:p>
            <w:pPr>
              <w:ind w:left="1100"/>
              <w:spacing w:after="0"/>
              <w:rPr>
                <w:sz w:val="20"/>
                <w:szCs w:val="20"/>
                <w:color w:val="auto"/>
              </w:rPr>
            </w:pPr>
            <w:r>
              <w:rPr>
                <w:rFonts w:ascii="Arial" w:cs="Arial" w:eastAsia="Arial" w:hAnsi="Arial"/>
                <w:sz w:val="14"/>
                <w:szCs w:val="14"/>
                <w:b w:val="1"/>
                <w:bCs w:val="1"/>
                <w:color w:val="auto"/>
              </w:rPr>
              <w:t>Reclassified from AOCI</w:t>
            </w:r>
          </w:p>
        </w:tc>
        <w:tc>
          <w:tcPr>
            <w:tcW w:w="130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9"/>
                <w:szCs w:val="19"/>
                <w:color w:val="auto"/>
              </w:rPr>
            </w:pPr>
          </w:p>
        </w:tc>
      </w:tr>
      <w:tr>
        <w:trPr>
          <w:trHeight w:val="220"/>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top w:val="single" w:sz="8" w:color="CFF0FC"/>
            </w:tcBorders>
            <w:shd w:val="clear" w:color="auto" w:fill="CFF0FC"/>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r>
      <w:tr>
        <w:trPr>
          <w:trHeight w:val="227"/>
        </w:trPr>
        <w:tc>
          <w:tcPr>
            <w:tcW w:w="27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8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1300" w:type="dxa"/>
            <w:vAlign w:val="bottom"/>
            <w:gridSpan w:val="3"/>
          </w:tcPr>
          <w:p>
            <w:pPr>
              <w:jc w:val="right"/>
              <w:ind w:right="90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1380" w:type="dxa"/>
            <w:vAlign w:val="bottom"/>
            <w:gridSpan w:val="3"/>
          </w:tcPr>
          <w:p>
            <w:pPr>
              <w:jc w:val="right"/>
              <w:ind w:right="97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7"/>
        </w:trPr>
        <w:tc>
          <w:tcPr>
            <w:tcW w:w="2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27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0"/>
        </w:trPr>
        <w:tc>
          <w:tcPr>
            <w:tcW w:w="27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r>
      <w:tr>
        <w:trPr>
          <w:trHeight w:val="20"/>
        </w:trPr>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635"/>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r>
      <w:tr>
        <w:trPr>
          <w:trHeight w:val="220"/>
        </w:trPr>
        <w:tc>
          <w:tcPr>
            <w:tcW w:w="2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30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9"/>
                <w:szCs w:val="19"/>
                <w:color w:val="auto"/>
              </w:rPr>
            </w:pPr>
          </w:p>
        </w:tc>
      </w:tr>
      <w:tr>
        <w:trPr>
          <w:trHeight w:val="220"/>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4480" w:type="dxa"/>
            <w:vAlign w:val="bottom"/>
            <w:tcBorders>
              <w:top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Derivative Loss Recognized In</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r>
      <w:tr>
        <w:trPr>
          <w:trHeight w:val="227"/>
        </w:trPr>
        <w:tc>
          <w:tcPr>
            <w:tcW w:w="27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820" w:type="dxa"/>
            <w:vAlign w:val="bottom"/>
          </w:tcPr>
          <w:p>
            <w:pPr>
              <w:spacing w:after="0"/>
              <w:rPr>
                <w:sz w:val="19"/>
                <w:szCs w:val="19"/>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and Out of OCI</w:t>
            </w:r>
          </w:p>
        </w:tc>
        <w:tc>
          <w:tcPr>
            <w:tcW w:w="1300" w:type="dxa"/>
            <w:vAlign w:val="bottom"/>
            <w:gridSpan w:val="3"/>
          </w:tcPr>
          <w:p>
            <w:pPr>
              <w:jc w:val="right"/>
              <w:ind w:right="92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380" w:type="dxa"/>
            <w:vAlign w:val="bottom"/>
            <w:gridSpan w:val="3"/>
          </w:tcPr>
          <w:p>
            <w:pPr>
              <w:jc w:val="right"/>
              <w:ind w:right="101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
        </w:trPr>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estimated net amount of the existing losses as at March 31, 2020 is $1.8 million, which is expected to be reclassified to earnings within the next twelve months.</w:t>
      </w:r>
    </w:p>
    <w:p>
      <w:pPr>
        <w:spacing w:after="0" w:line="13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Investments in Equity Securities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at March 31, 2020, the Condensed Consolidated Balance Sheets includes $11.1 million (December 31, 2019 — $15.7 million) of investments in equity securities.</w:t>
      </w:r>
    </w:p>
    <w:p>
      <w:pPr>
        <w:spacing w:after="0" w:line="149"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This investment is classified as an equity security, with a readily determinable market value through the Hong Kong Stock Exchange. The changes in fair value are recorded in the Change in fair value of equity investment line item in the Company’s Condensed Consolidated Statement of Operations. As at March 31, 2020, the value of the Company’s investment in Maoyan was $10.1 million (December 31, 2019 — $14.6 million). For the three months ended March 31, 2020, the Company has recorded a net unrealized loss of $4.5 million (2019 — gain of $2.5 million).</w:t>
      </w:r>
    </w:p>
    <w:p>
      <w:pPr>
        <w:spacing w:after="0" w:line="14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has an investment of $1.0 million (December 31, 2019 — $1.0 million) in the shares of an exchange traded fund. This investment is classified as an equity investment.</w:t>
      </w:r>
    </w:p>
    <w:p>
      <w:pPr>
        <w:spacing w:after="0" w:line="13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at March 31, 2020, the Company held investments in the preferred shares of enterprises which meet the criteria for classification as an equity security under FASB ASC 325, carried at historical cost, net of impairment charges. The carrying value of these equity security investments was $1.0 million at March 31, 2020 (December 31, 2019 — $1.0 million) and is recorded in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7" w:name="page38"/>
    <w:bookmarkEnd w:id="37"/>
    <w:p>
      <w:pPr>
        <w:ind w:left="320" w:hanging="313"/>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indirectly owns approximately 69.71% of IMAX China Holding, Inc. (“IMAX China”), whose shares trade on the Hong Kong Stock Exchange. IMAX China remains a consolidated subsidiary of the Company. The balance of non-controlling interest in IMAX China as at March 31, 2020 is $79.5 million. The net loss attributable to non-controlling interest in IMAX China for the three months ended March 31, 2020 is $9.6 million.</w:t>
      </w:r>
    </w:p>
    <w:p>
      <w:pPr>
        <w:spacing w:after="0" w:line="12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Other Non-Controlling Interest</w:t>
      </w:r>
    </w:p>
    <w:p>
      <w:pPr>
        <w:spacing w:after="0" w:line="180"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to by a third party in the amount of $25.0 million, with the possibility of contributing additional funds. The Company has contributed $9.0 million to the Original Film Fund since 2014 and has reached its maximum contribution. The Company sees the Original Film Fund as a vehicle designed to generate a continuous, steady flow of high-quality documentary content. As at March 31, 2020,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5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Company also established its VR Fund among the Company, its subsidiary IMAX China and other strategic investors to help finance the creation of interactive VR content experiences for use across all VR platforms, including in the pilot IMAX VR Centers. The VR Fund helped finance the production of one interactive VR experience, which debuted exclusively in the pilot IMAX VR Centers in November 2017 before being made available to other VR platforms. In December 2018, the Company announced that it had decided to close its remaining VR locations and write-off certain VR content investments. The Company has also decided to dissolve the VR Fund and not actively pursue any additional VR opportunities.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the movement of the non-controlling interest in temporary equity, in the Company’s subsidiary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5,908</w:t>
            </w:r>
          </w:p>
        </w:tc>
      </w:tr>
      <w:tr>
        <w:trPr>
          <w:trHeight w:val="227"/>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20"/>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March 31, 2020</w:t>
            </w: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5,500</w:t>
            </w: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Exit costs, restructuring charges and associated impairments</w:t>
      </w:r>
    </w:p>
    <w:p>
      <w:pPr>
        <w:spacing w:after="0" w:line="18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2018, the Company performed a strategic review of its business and decided to exit from certain non-core businesses or initiatives, which included closing its VR locations. In addition, as part of management’s efforts to decrease costs, the Company reduced certain functions and realigned resources. During the three months ended March 31, 2019, the Company recognized $0.9 million of charges associated with these actions in its Condensed Consolidated Statements of Operations, consisting of restructuring charges and costs to exit leases. Restructuring charges relate to the Company’s corporate unit and are comprised of employee severance costs including benefits and share-based compensation, costs of consolidating facilities and contract termination costs.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8" w:name="page39"/>
    <w:bookmarkEnd w:id="3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Management’s Discussion and Analysis o f Financial Condition and Results of Operations</w:t>
      </w:r>
    </w:p>
    <w:p>
      <w:pPr>
        <w:spacing w:after="0" w:line="19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months ended March 31, 2020 and 2019. MD&amp;A should be read in conjunction with Note 14, "Segment Reporting" in the accompanying Condensed Consolidated Financial Statements in Item 1.</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indirectly owns approximately 69.71% of IMAX China Holding, Inc. (“IMAX China”), whose shares trade on the Hong Kong Stock Exchange. IMAX China is a consolidated subsidiary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98" w:lineRule="exact"/>
        <w:rPr>
          <w:sz w:val="20"/>
          <w:szCs w:val="20"/>
          <w:color w:val="auto"/>
        </w:rPr>
      </w:pPr>
    </w:p>
    <w:p>
      <w:pPr>
        <w:jc w:val="both"/>
        <w:ind w:firstLine="224"/>
        <w:spacing w:after="0" w:line="281" w:lineRule="auto"/>
        <w:rPr>
          <w:sz w:val="20"/>
          <w:szCs w:val="20"/>
          <w:color w:val="auto"/>
        </w:rPr>
      </w:pPr>
      <w:r>
        <w:rPr>
          <w:rFonts w:ascii="Arial" w:cs="Arial" w:eastAsia="Arial" w:hAnsi="Arial"/>
          <w:sz w:val="16"/>
          <w:szCs w:val="16"/>
          <w:color w:val="auto"/>
        </w:rPr>
        <w:t xml:space="preserve">Certain statements included in this quarterly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 </w:t>
      </w:r>
      <w:r>
        <w:rPr>
          <w:rFonts w:ascii="Arial" w:cs="Arial" w:eastAsia="Arial" w:hAnsi="Arial"/>
          <w:sz w:val="13"/>
          <w:szCs w:val="13"/>
          <w:color w:val="auto"/>
        </w:rPr>
        <w:t>®</w:t>
      </w:r>
      <w:r>
        <w:rPr>
          <w:rFonts w:ascii="Arial" w:cs="Arial" w:eastAsia="Arial" w:hAnsi="Arial"/>
          <w:sz w:val="16"/>
          <w:szCs w:val="16"/>
          <w:color w:val="auto"/>
        </w:rPr>
        <w:t xml:space="preserve"> films; the signing of IMAX Theater System agreements; conditions, changes and developments in the commercial exhibition industry; risks related to currency fluctuations; the potential impact of increased competition in the markets within which the Company operates; competitive actions by other companies; the failure to respond to change and advancements in digital technology; risks relating to recent consolidation among commercial exhibitors and studios; risks related to new business initiatives; conditions in the in-home and out-of-home entertainment industries; the opportunities (or lack thereof) that may be presented to and pursued by the Company; risks related to cyber-security and data privacy; risks related to the Company’s inability to protect the Company’s intellectual property; general economic, market or business conditions; the failure to convert IMAX Theater System backlog into revenue; changes in laws or regulations; the failure to fully realize the projected cost savings and benefits from any of the Company’s restructuring initiatives; the impact of COVID-19 on our financial condition and results of operations and on the businesses of our customers and exhibitor partners;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Company undertakes no obligation to update publicly or otherwise revise any forward-looking information, whether as a result of new information, future events or otherwise.</w:t>
      </w:r>
    </w:p>
    <w:p>
      <w:pPr>
        <w:spacing w:after="0" w:line="137"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makes available, free of charge, its Annual Reports on Form 10-K, Quarterly Reports on Form 10-Q and Current Reports on Form 8-K, and any amendments to such reports, as soon as reasonably practicable after such filings have been made with the United States Securities and Exchange Commission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3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information posted on the Company’s corporate and Investor Relations website may be deemed material to investors. Accordingly, investors, media and others interested in the Company should monitor the Company’s website in addition to the Company’s press releases, SEC filings and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IMAX </w:t>
      </w:r>
      <w:r>
        <w:rPr>
          <w:rFonts w:ascii="Arial" w:cs="Arial" w:eastAsia="Arial" w:hAnsi="Arial"/>
          <w:sz w:val="15"/>
          <w:szCs w:val="15"/>
          <w:color w:val="auto"/>
        </w:rPr>
        <w:t>®</w:t>
      </w:r>
      <w:r>
        <w:rPr>
          <w:rFonts w:ascii="Arial" w:cs="Arial" w:eastAsia="Arial" w:hAnsi="Arial"/>
          <w:sz w:val="18"/>
          <w:szCs w:val="18"/>
          <w:color w:val="auto"/>
        </w:rPr>
        <w:t xml:space="preserve"> , IMAX </w:t>
      </w:r>
      <w:r>
        <w:rPr>
          <w:rFonts w:ascii="Arial" w:cs="Arial" w:eastAsia="Arial" w:hAnsi="Arial"/>
          <w:sz w:val="15"/>
          <w:szCs w:val="15"/>
          <w:color w:val="auto"/>
        </w:rPr>
        <w:t>®</w:t>
      </w:r>
      <w:r>
        <w:rPr>
          <w:rFonts w:ascii="Arial" w:cs="Arial" w:eastAsia="Arial" w:hAnsi="Arial"/>
          <w:sz w:val="18"/>
          <w:szCs w:val="18"/>
          <w:color w:val="auto"/>
        </w:rPr>
        <w:t xml:space="preserve"> Dome, IMAX </w:t>
      </w:r>
      <w:r>
        <w:rPr>
          <w:rFonts w:ascii="Arial" w:cs="Arial" w:eastAsia="Arial" w:hAnsi="Arial"/>
          <w:sz w:val="15"/>
          <w:szCs w:val="15"/>
          <w:color w:val="auto"/>
        </w:rPr>
        <w:t>®</w:t>
      </w:r>
      <w:r>
        <w:rPr>
          <w:rFonts w:ascii="Arial" w:cs="Arial" w:eastAsia="Arial" w:hAnsi="Arial"/>
          <w:sz w:val="18"/>
          <w:szCs w:val="18"/>
          <w:color w:val="auto"/>
        </w:rPr>
        <w:t xml:space="preserve"> 3D, IMAX </w:t>
      </w:r>
      <w:r>
        <w:rPr>
          <w:rFonts w:ascii="Arial" w:cs="Arial" w:eastAsia="Arial" w:hAnsi="Arial"/>
          <w:sz w:val="15"/>
          <w:szCs w:val="15"/>
          <w:color w:val="auto"/>
        </w:rPr>
        <w:t>®</w:t>
      </w:r>
      <w:r>
        <w:rPr>
          <w:rFonts w:ascii="Arial" w:cs="Arial" w:eastAsia="Arial" w:hAnsi="Arial"/>
          <w:sz w:val="18"/>
          <w:szCs w:val="18"/>
          <w:color w:val="auto"/>
        </w:rPr>
        <w:t xml:space="preserve"> 3D Dome, Experience It In IMAX </w:t>
      </w:r>
      <w:r>
        <w:rPr>
          <w:rFonts w:ascii="Arial" w:cs="Arial" w:eastAsia="Arial" w:hAnsi="Arial"/>
          <w:sz w:val="15"/>
          <w:szCs w:val="15"/>
          <w:color w:val="auto"/>
        </w:rPr>
        <w:t>®</w:t>
      </w:r>
      <w:r>
        <w:rPr>
          <w:rFonts w:ascii="Arial" w:cs="Arial" w:eastAsia="Arial" w:hAnsi="Arial"/>
          <w:sz w:val="18"/>
          <w:szCs w:val="18"/>
          <w:color w:val="auto"/>
        </w:rPr>
        <w:t xml:space="preserve"> ,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Experience </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IMAX DMR</w:t>
      </w:r>
      <w:r>
        <w:rPr>
          <w:rFonts w:ascii="Arial" w:cs="Arial" w:eastAsia="Arial" w:hAnsi="Arial"/>
          <w:sz w:val="18"/>
          <w:szCs w:val="18"/>
          <w:i w:val="1"/>
          <w:iCs w:val="1"/>
          <w:color w:val="auto"/>
        </w:rPr>
        <w:t xml:space="preserve"> </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DMR</w:t>
      </w:r>
      <w:r>
        <w:rPr>
          <w:rFonts w:ascii="Arial" w:cs="Arial" w:eastAsia="Arial" w:hAnsi="Arial"/>
          <w:sz w:val="18"/>
          <w:szCs w:val="18"/>
          <w:i w:val="1"/>
          <w:iCs w:val="1"/>
          <w:color w:val="auto"/>
        </w:rPr>
        <w:t xml:space="preserve"> </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IMAX nXos</w:t>
      </w:r>
      <w:r>
        <w:rPr>
          <w:rFonts w:ascii="Arial" w:cs="Arial" w:eastAsia="Arial" w:hAnsi="Arial"/>
          <w:sz w:val="18"/>
          <w:szCs w:val="18"/>
          <w:i w:val="1"/>
          <w:iCs w:val="1"/>
          <w:color w:val="auto"/>
        </w:rPr>
        <w:t xml:space="preserve"> </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Films to the Fullest</w:t>
      </w:r>
      <w:r>
        <w:rPr>
          <w:rFonts w:ascii="Arial" w:cs="Arial" w:eastAsia="Arial" w:hAnsi="Arial"/>
          <w:sz w:val="18"/>
          <w:szCs w:val="18"/>
          <w:i w:val="1"/>
          <w:iCs w:val="1"/>
          <w:color w:val="auto"/>
        </w:rPr>
        <w:t xml:space="preserve"> </w:t>
      </w:r>
      <w:r>
        <w:rPr>
          <w:rFonts w:ascii="Arial" w:cs="Arial" w:eastAsia="Arial" w:hAnsi="Arial"/>
          <w:sz w:val="15"/>
          <w:szCs w:val="15"/>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 are trademarks and trade names of the Company or its subsidiaries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registered or otherwise protected under laws of various jurisdictions.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 xml:space="preserve">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 </w:t>
      </w:r>
      <w:r>
        <w:rPr>
          <w:rFonts w:ascii="Arial" w:cs="Arial" w:eastAsia="Arial" w:hAnsi="Arial"/>
          <w:sz w:val="15"/>
          <w:szCs w:val="15"/>
          <w:color w:val="auto"/>
        </w:rPr>
        <w:t>®</w:t>
      </w:r>
      <w:r>
        <w:rPr>
          <w:rFonts w:ascii="Arial" w:cs="Arial" w:eastAsia="Arial" w:hAnsi="Arial"/>
          <w:sz w:val="18"/>
          <w:szCs w:val="18"/>
          <w:color w:val="auto"/>
        </w:rPr>
        <w:t xml:space="preserve"> brand has become known globally. Top filmmakers and studios utilize the cutting-edge visual and sound technology of IMAX to connect with audiences in innovative ways, and, as a result, IMAX’s network is among the most important and successful distribution platforms for major films and other events around the world.</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leverages its innovative technology and engineering in all aspects of its business, which principally consists of:</w:t>
      </w:r>
    </w:p>
    <w:p>
      <w:pPr>
        <w:spacing w:after="0" w:line="180" w:lineRule="exact"/>
        <w:rPr>
          <w:sz w:val="20"/>
          <w:szCs w:val="20"/>
          <w:color w:val="auto"/>
        </w:rPr>
      </w:pPr>
    </w:p>
    <w:p>
      <w:pPr>
        <w:jc w:val="both"/>
        <w:ind w:left="600" w:hanging="379"/>
        <w:spacing w:after="0" w:line="259"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digital remastering of films and other presentations into the IMAX format (“IMAX DMR”) by enhancing their image resolution and sound quality for exhibition in the IMAX network in exchange for a certain percentage of contingent box office receipts from movie studios and other content creators; and</w:t>
      </w:r>
    </w:p>
    <w:p>
      <w:pPr>
        <w:spacing w:after="0" w:line="144" w:lineRule="exact"/>
        <w:rPr>
          <w:rFonts w:ascii="Arial" w:cs="Arial" w:eastAsia="Arial" w:hAnsi="Arial"/>
          <w:sz w:val="18"/>
          <w:szCs w:val="18"/>
          <w:color w:val="auto"/>
        </w:rPr>
      </w:pPr>
    </w:p>
    <w:p>
      <w:pPr>
        <w:ind w:left="600" w:hanging="37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 or lease of premium IMAX theater systems (“IMAX Theater Systems”) to exhibitor customers.</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IMAX Theater Systems are based on proprietary and patented image, audio and other technology developed over the course of the Company’s 52-year history. The Company’s customers who purchase or lease IMAX Theater Systems are theater exhibitors that operate commercial theaters (particularly multiplexes), museums, science centers, or destination entertainment sites. The Company generally does not own the theaters in the IMAX network, but licenses the use of its trademarks along with the sale or lease of the IMAX Theater System.</w:t>
      </w:r>
    </w:p>
    <w:p>
      <w:pPr>
        <w:spacing w:after="0" w:line="162"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refers to all theaters using the IMAX Theater System as “IMAX theaters”. As at March 31, 2020, there were 1,616 IMAX Theater Systems operating in 81 countries and territories including 1,526 commercial multiplexes, 14 commercial destinations and 76 institutional locations. This compares to 1,514 IMAX Theater Systems operating in 81 countries and territories as of March 31, 2019 including 1,420 commercial multiplexes, 14 commercial destinations, 80 institutional locations. (See table below under “IMAX Network and Backlog” for additional information.)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combines:</w:t>
      </w:r>
    </w:p>
    <w:p>
      <w:pPr>
        <w:spacing w:after="0" w:line="180" w:lineRule="exact"/>
        <w:rPr>
          <w:sz w:val="20"/>
          <w:szCs w:val="20"/>
          <w:color w:val="auto"/>
        </w:rPr>
      </w:pPr>
    </w:p>
    <w:p>
      <w:pPr>
        <w:ind w:left="600" w:hanging="379"/>
        <w:spacing w:after="0" w:line="270"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ability to exhibit content that has undergone IMAX DMR </w:t>
      </w:r>
      <w:r>
        <w:rPr>
          <w:rFonts w:ascii="Arial" w:cs="Arial" w:eastAsia="Arial" w:hAnsi="Arial"/>
          <w:sz w:val="15"/>
          <w:szCs w:val="15"/>
          <w:color w:val="auto"/>
        </w:rPr>
        <w:t>®</w:t>
      </w:r>
      <w:r>
        <w:rPr>
          <w:rFonts w:ascii="Arial" w:cs="Arial" w:eastAsia="Arial" w:hAnsi="Arial"/>
          <w:sz w:val="18"/>
          <w:szCs w:val="18"/>
          <w:color w:val="auto"/>
        </w:rPr>
        <w:t xml:space="preserve"> conversion, which results in higher image and sound fidelity than conventional cinema experiences;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sound system components, which deliver more expansive sound imagery and pinpointed origination of sound to any specific spot in an IMAX theater;</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180" w:lineRule="exact"/>
        <w:rPr>
          <w:rFonts w:ascii="Arial" w:cs="Arial" w:eastAsia="Arial" w:hAnsi="Arial"/>
          <w:sz w:val="18"/>
          <w:szCs w:val="18"/>
          <w:color w:val="auto"/>
        </w:rPr>
      </w:pPr>
    </w:p>
    <w:p>
      <w:pPr>
        <w:ind w:left="600" w:hanging="379"/>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certain movies shown in IMAX theaters are filmed using proprietary IMAX film and IMAX certified digital cameras, which offer filmmakers customized guidance and workflow process to provide further enhanced and differentiated image quality and a film aspect ratio that delivers up to 26% more image onto a movie screen.</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in a traditional theater.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0" w:name="page41"/>
    <w:bookmarkEnd w:id="40"/>
    <w:p>
      <w:pPr>
        <w:jc w:val="both"/>
        <w:ind w:firstLine="225"/>
        <w:spacing w:after="0" w:line="253" w:lineRule="auto"/>
        <w:rPr>
          <w:sz w:val="20"/>
          <w:szCs w:val="20"/>
          <w:color w:val="auto"/>
        </w:rPr>
      </w:pPr>
      <w:r>
        <w:rPr>
          <w:rFonts w:ascii="Arial" w:cs="Arial" w:eastAsia="Arial" w:hAnsi="Arial"/>
          <w:sz w:val="18"/>
          <w:szCs w:val="18"/>
          <w:color w:val="auto"/>
        </w:rPr>
        <w:t xml:space="preserve">As a result of the engineering and scientific achievements that are a hallmark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w:t>
      </w:r>
    </w:p>
    <w:p>
      <w:pPr>
        <w:spacing w:after="0" w:line="16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As one of the world’s leaders in entertainment technology, the Company strives to remain at the forefront of advancements in cinema technology. In 2018, the Company introduced IMAX with Laser, the Company’s next-generation laser projection system designed for IMAX theaters in commercial multiplexes, which represents a further evolution of IMAX’s proprietary technology. The Company believes that IMAX with Laser delivers increased resolution, sharper and brighter images, deeper contrast as well as the widest range of colors available to filmmakers today. The Company further believes that IMAX with Laser is helping facilitate the next major lease renewal and upgrade cycle for the global commercial IMAX network.</w:t>
      </w:r>
    </w:p>
    <w:p>
      <w:pPr>
        <w:spacing w:after="0" w:line="139"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As at March 31, 2020, the Company has signed IMAX with Laser agreements with leading, global exhibitors such as AMC Entertainment Holdings, Inc. (“AMC”), Cineworld Group PLC (“Cineworld”), CGV Holdings Limited (“CGV”) and Les Cinémas Pathé Gaumont (“Pathé”) (among others) for a total of 140 new theaters, 157 upgrades to existing IMAX theaters, and 52 upgrades to existing arrangements in the Company’s backlog. As at March 31, 2020, 140 IMAX with Laser systems have been installed, and the Company’s backlog included 147 new IMAX with Laser systems and 94 upgrades to IMAX with Laser systems.</w:t>
      </w:r>
    </w:p>
    <w:p>
      <w:pPr>
        <w:spacing w:after="0" w:line="151"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 In 2019, the Company piloted filmed events including </w:t>
      </w:r>
      <w:r>
        <w:rPr>
          <w:rFonts w:ascii="Arial" w:cs="Arial" w:eastAsia="Arial" w:hAnsi="Arial"/>
          <w:sz w:val="18"/>
          <w:szCs w:val="18"/>
          <w:i w:val="1"/>
          <w:iCs w:val="1"/>
          <w:color w:val="auto"/>
        </w:rPr>
        <w:t>Anima</w:t>
      </w:r>
      <w:r>
        <w:rPr>
          <w:rFonts w:ascii="Arial" w:cs="Arial" w:eastAsia="Arial" w:hAnsi="Arial"/>
          <w:sz w:val="18"/>
          <w:szCs w:val="18"/>
          <w:color w:val="auto"/>
        </w:rPr>
        <w:t xml:space="preserve"> , a one-night only event featuring music from Radiohead’s Thom Yorke, </w:t>
      </w:r>
      <w:r>
        <w:rPr>
          <w:rFonts w:ascii="Arial" w:cs="Arial" w:eastAsia="Arial" w:hAnsi="Arial"/>
          <w:sz w:val="18"/>
          <w:szCs w:val="18"/>
          <w:i w:val="1"/>
          <w:iCs w:val="1"/>
          <w:color w:val="auto"/>
        </w:rPr>
        <w:t>Soundgarden: Live from the Artist’s Den: 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 and the Kanye West film </w:t>
      </w:r>
      <w:r>
        <w:rPr>
          <w:rFonts w:ascii="Arial" w:cs="Arial" w:eastAsia="Arial" w:hAnsi="Arial"/>
          <w:sz w:val="18"/>
          <w:szCs w:val="18"/>
          <w:i w:val="1"/>
          <w:iCs w:val="1"/>
          <w:color w:val="auto"/>
        </w:rPr>
        <w:t>Jesus is King: 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in select IMAX theaters.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84"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In late-January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The theaters have been closed since late-January 2020, and have not yet reopened as of the date of this report.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have caused movie theaters in countries around the world to temporarily close, including substantially all of the IMAX theaters in those countries. As a result of the theater closures, Hollywood and Chinese movie studios have also postponed the release of multiple films, including many scheduled to be shown in IMAX theaters.</w:t>
      </w:r>
    </w:p>
    <w:p>
      <w:pPr>
        <w:spacing w:after="0" w:line="152"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repercussions of the COVID-19 global pandemic resulted in a significant decrease in the Company’s revenues and earnings in the first quarter of 2020 as gross box office (“GBO”) results declined significantly, the installation of theater systems was delayed, and maintenance services were suspended. During the time period when a significant number of theaters in the IMAX network are closed, the Company has and will continue to experience a significant decline in earnings as it will generate effectively no GBO based revenue from its joint revenue sharing arrangements and digital remastering services, it will not charge maintenance fees to theater operators, and theater system installations will be delayed. In addition, the Company will also experience delays in collecting payments due under existing theater sale or lease arrangements from its exhibitor partners who may now be facing financial difficulties as a result of the theater closures.</w:t>
      </w:r>
    </w:p>
    <w:p>
      <w:pPr>
        <w:spacing w:after="0" w:line="16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The Company may </w:t>
      </w:r>
      <w:r>
        <w:rPr>
          <w:rFonts w:ascii="Arial" w:cs="Arial" w:eastAsia="Arial" w:hAnsi="Arial"/>
          <w:sz w:val="18"/>
          <w:szCs w:val="18"/>
          <w:color w:val="212529"/>
        </w:rPr>
        <w:t>continue to be significantly impacted by the COVID-19 global pandemic even after some or all theaters are reopened. The global</w:t>
      </w:r>
      <w:r>
        <w:rPr>
          <w:rFonts w:ascii="Arial" w:cs="Arial" w:eastAsia="Arial" w:hAnsi="Arial"/>
          <w:sz w:val="18"/>
          <w:szCs w:val="18"/>
          <w:color w:val="auto"/>
        </w:rPr>
        <w:t xml:space="preserve"> </w:t>
      </w:r>
      <w:r>
        <w:rPr>
          <w:rFonts w:ascii="Arial" w:cs="Arial" w:eastAsia="Arial" w:hAnsi="Arial"/>
          <w:sz w:val="18"/>
          <w:szCs w:val="18"/>
          <w:color w:val="212529"/>
        </w:rPr>
        <w:t>economic impact of COVID-19 has led to record levels of unemployment in certain countries and may lead to lower consumer spending in the near term. The timing of a recovery of consumer behavior and willingness to spend discretionary income on movie-going may delay the Company’s ability to generate significant GBO-based revenue until such time as consumer spending recovers.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jc w:val="both"/>
        <w:ind w:firstLine="225"/>
        <w:spacing w:after="0" w:line="267" w:lineRule="auto"/>
        <w:rPr>
          <w:sz w:val="20"/>
          <w:szCs w:val="20"/>
          <w:color w:val="auto"/>
        </w:rPr>
      </w:pPr>
      <w:r>
        <w:rPr>
          <w:rFonts w:ascii="Arial" w:cs="Arial" w:eastAsia="Arial" w:hAnsi="Arial"/>
          <w:sz w:val="17"/>
          <w:szCs w:val="17"/>
          <w:color w:val="auto"/>
        </w:rPr>
        <w:t>In response to uncertainties associated with the COVID-19 pandemic, the Company has taken and is continuing to take significant steps to preserve cash by eliminating non-essential costs, reducing employee hours and deferring all non-essential capital expenditures to minimum levels. The Company has also implemented an active cash management process, which, among other things, requires senior management approval of all outgoing payments. In addition, in the first quarter of 2020 , management decided to draw down the $280.0 million in remaining borrowing capacity under its credit facility. Furthermore, the Company is in the process of reviewing and applying for wage subsidies, tax credits and other financial support under the newly enacted COVID-19 relief legislation in the countries in which it operates. However, the legislation and guidance from the authorities continues to evolve and so the amount and timing of support , if any, that the Company could receive is not determinable at this time, and there can be no guarantees that the Company will receive financial support through these programs.</w:t>
      </w:r>
    </w:p>
    <w:p>
      <w:pPr>
        <w:spacing w:after="0" w:line="15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8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purposes of MD&amp;A the Company has organized its reportable segments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In the first quarter of 2020 , the Company updated certain account names within revenues and costs and expenses applicable to revenues in its Condensed Consolidated Statements of Operations to better describe the nature of its revenue-generating activities and related costs. For additional details regarding the Company’s sources of revenue, refer to its 2019 Form 10-K for the year ended December 31, 2019 (the “2019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Network</w:t>
      </w:r>
    </w:p>
    <w:p>
      <w:pPr>
        <w:spacing w:after="0" w:line="18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IMAX Technology Network earns revenue based on contingent box office receipts and includes the IMAX DMR segment and contingent rent from the Joint Revenue Sharing Arrangement (“JRSA”) segment, as described in more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has developed IMAX DMR, a proprietary technology that digitally remasters Hollywood films into IMAX formats. In a typical IMAX DMR film arrangement, the Company receives a percentage of the box office receipts from studios in exchange for converting commercial films into IMAX DMR format and distributing them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51"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IMAX DMR digitally enhances the image resolution of motion picture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The original soundtrack of a film to be exhibited in IMAX theaters is remastered for IMAX digital sound systems in connection with the IMAX DMR release.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5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 xml:space="preserve">IMAX films also benefit from enhancements made by individual filmmakers exclusively for the IMAX release of the film: collectively, the Company refers to those enhancements as “IMAX DNA”. Filmmakers and studios have sought IMAX-specific enhancements in recent years to generate interest in and excitement for their films. Such enhancements include shooting films with IMAX cameras to increase the audience’s immersion in the film and taking advantage of the unique dimensions of the IMAX screen by projecting the film in a larger aspect ratio that delivers up to 26% more image onto a movie screen. </w:t>
      </w:r>
      <w:r>
        <w:rPr>
          <w:rFonts w:ascii="Arial" w:cs="Arial" w:eastAsia="Arial" w:hAnsi="Arial"/>
          <w:sz w:val="17"/>
          <w:szCs w:val="17"/>
          <w:i w:val="1"/>
          <w:iCs w:val="1"/>
          <w:color w:val="auto"/>
        </w:rPr>
        <w:t>Avengers: Endgame</w:t>
      </w:r>
      <w:r>
        <w:rPr>
          <w:rFonts w:ascii="Arial" w:cs="Arial" w:eastAsia="Arial" w:hAnsi="Arial"/>
          <w:sz w:val="17"/>
          <w:szCs w:val="17"/>
          <w:color w:val="auto"/>
        </w:rPr>
        <w:t xml:space="preserve"> , the highest-grossing film in history, released in April 2019, was shot entirely using IMAX cameras. In addition, to date in 2020 Universal Pictures’ </w:t>
      </w:r>
      <w:r>
        <w:rPr>
          <w:rFonts w:ascii="Arial" w:cs="Arial" w:eastAsia="Arial" w:hAnsi="Arial"/>
          <w:sz w:val="17"/>
          <w:szCs w:val="17"/>
          <w:i w:val="1"/>
          <w:iCs w:val="1"/>
          <w:color w:val="auto"/>
        </w:rPr>
        <w:t>1917</w:t>
      </w:r>
      <w:r>
        <w:rPr>
          <w:rFonts w:ascii="Arial" w:cs="Arial" w:eastAsia="Arial" w:hAnsi="Arial"/>
          <w:sz w:val="17"/>
          <w:szCs w:val="17"/>
          <w:color w:val="auto"/>
        </w:rPr>
        <w:t xml:space="preserve"> was released with select scenes specifically formatted for IMAX screens.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jc w:val="both"/>
        <w:ind w:firstLine="225"/>
        <w:spacing w:after="0" w:line="268" w:lineRule="auto"/>
        <w:rPr>
          <w:sz w:val="20"/>
          <w:szCs w:val="20"/>
          <w:color w:val="auto"/>
        </w:rPr>
      </w:pPr>
      <w:r>
        <w:rPr>
          <w:rFonts w:ascii="Arial" w:cs="Arial" w:eastAsia="Arial" w:hAnsi="Arial"/>
          <w:sz w:val="17"/>
          <w:szCs w:val="17"/>
          <w:color w:val="auto"/>
        </w:rPr>
        <w:t xml:space="preserve">The Company believes that growth in international box office remains an important driver of growth for the Company. To support continued growth in international markets, the Company has sought to bolster its international film strategy, supplementing the Company’s film slate of Hollywood DMR titles with appealing local IMAX DMR releases in select markets (particularly in China). During 2019 , 18 local language IMAX DMR films, including 1 4 in China and one in each of Japan, South Korea, India and Russia, were released to the IMAX network . The blockbuster </w:t>
      </w:r>
      <w:r>
        <w:rPr>
          <w:rFonts w:ascii="Arial" w:cs="Arial" w:eastAsia="Arial" w:hAnsi="Arial"/>
          <w:sz w:val="17"/>
          <w:szCs w:val="17"/>
          <w:i w:val="1"/>
          <w:iCs w:val="1"/>
          <w:color w:val="auto"/>
        </w:rPr>
        <w:t>Ne Zha: 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was released in China in July 2019 and it is the Company’s first Chinese animated local language film title. During the three months ended March 31, 2020 , one local language IMAX DMR film was released to the IMAX network , in Russia . The Company expects to announce additional local language IMAX DMR films to be released to the IMAX network in the remainder of 2020 and beyond.</w:t>
      </w:r>
    </w:p>
    <w:p>
      <w:pPr>
        <w:spacing w:after="0" w:line="155"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Company remains in active negotiations with all of the major Hollywood studios for additional films to fill out its short and long-term film slate for the IMAX network. However, as a result of the theater closures associated with COVID-19, Hollywood and Chinese movie studios have postponed the release of multiple films, including many scheduled to be shown in IMAX theaters. Accordingly, the anticipated release dates for any films are uncertain.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The contingent rent earned from these arrangements is reported within the IMAX Technology Network.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5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Under certain other joint revenue sharing arrangements, knowns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42"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12"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2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 to quarter and year to year based on a number of factors including film performance, the mix of theater system configurations, the timing of installation of these theater systems, the nature of the arrangement, the location, size and management of the theater and other factors specific to individual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18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IMAX Technology Sales and Maintenance category includes results from the IMAX Systems, IMAX Maintenance and Other Theater Business segments, as well as certain revenues from the JRSA segment, as described in more detail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as the unearned income on that financed sale or sales-type lease is earned. In addition, in sale arrangements, the variable consideration that may become due if certain annual minimum box office receipt thresholds are exceeded, is recorded as revenue in the period when the sale is recognized and adjusted in future periods based on actual results and changes in estimates. Variable consideration is only recognized on sales transactions to the extent the Company believes there is not a risk of significant revenue reversal.</w:t>
      </w:r>
    </w:p>
    <w:p>
      <w:pPr>
        <w:spacing w:after="0" w:line="13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a sale agreement, the customer takes title to the IMAX Theater System equipment. In a hybrid joint revenue sharing arrangement that takes the form of a sale, title and control of the IMAX Theater System generally transfers to the customer upon the earlier of client acceptance of the theater installation, including projectionist training, or the theater opening to the public. In certain instances, however,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revenue earned from customers under the Company’s theater system sales or lease agreements varies from quarter to quarter and year to year based on a number of factors, including the number and mix of theater system configurations sold or leased, the timing of installation of the theater systems, the nature of the arrangement and other factors specific to individual contracts.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in the period of the underlying box results within the IMAX Technology Network, as discussed above, while the fixed upfront payment is recorded as revenue within IMAX Technology Sales and Maintenance.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94"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Annual maintenance fees are paid throughout the duration of the term of the theater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projection system parts and 3D glasses.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Initiatives</w:t>
      </w:r>
    </w:p>
    <w:p>
      <w:pPr>
        <w:spacing w:after="0" w:line="184"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 xml:space="preserve">The New Business Initiatives segment includes activities related to the </w:t>
      </w:r>
      <w:r>
        <w:rPr>
          <w:rFonts w:ascii="Arial" w:cs="Arial" w:eastAsia="Arial" w:hAnsi="Arial"/>
          <w:sz w:val="16"/>
          <w:szCs w:val="16"/>
          <w:color w:val="212529"/>
        </w:rPr>
        <w:t>exploration of new lines of business and new initiatives outside of the Company’s</w:t>
      </w:r>
      <w:r>
        <w:rPr>
          <w:rFonts w:ascii="Arial" w:cs="Arial" w:eastAsia="Arial" w:hAnsi="Arial"/>
          <w:sz w:val="16"/>
          <w:szCs w:val="16"/>
          <w:color w:val="auto"/>
        </w:rPr>
        <w:t xml:space="preserve"> </w:t>
      </w:r>
      <w:r>
        <w:rPr>
          <w:rFonts w:ascii="Arial" w:cs="Arial" w:eastAsia="Arial" w:hAnsi="Arial"/>
          <w:sz w:val="16"/>
          <w:szCs w:val="16"/>
          <w:color w:val="212529"/>
        </w:rPr>
        <w:t>core business to leverage its proprietary, innovative technologies, its leadership position in the entertainment technology space and its unique relationship with content creators. Such new business initiatives currently include IMAX Enhanced and Connected Theaters, as discussed below.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IMAX Enhanced</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September 2018, the Company announced a new home entertainment licensing and certification program called IMAX Enhanced. This initiative was launched along with audio leader DTS (an Xperi subsidiary), capitalizing on the companies’ decades of combined expertise in image and sound science. The certification program combines high-end consumer electronics products with IMAX digitally remastered 4K high dynamic range (HDR) content and DTS audio technologies to offer consumers immersive sight and sound experiences for the home.</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To be accepted into the program, leading consumer electronics manufacturers must design 4K HDR televisions, A/V receivers, sound systems and other home theater equipment to meet a carefully prescribed set of audio and video performance standards, set by a certification committee of IMAX and DTS engineers and some of Hollywood’s leading technical specialists.</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program will digitally remaster content to produce more vibrant colors, greater contrast and sharper clarity, and will also deliver an IMAX signature sound experience.</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IMAX Enhanced Program device partners include Sony Electronics, Denon, Marantz, Pioneer, TCL (among others) and studio partners include Sony Pictures and Paramount Pictures.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Theaters</w:t>
      </w:r>
    </w:p>
    <w:p>
      <w:pPr>
        <w:spacing w:after="0" w:line="22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is currently exploring new technologies and forms of content as a way to deepen consumer engagement and brand loyalty. As such, the Company is currently engaged in discussions regarding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Through the Film Distribution segment, the Company distributes large-format films, primarily for its institutional theater partners. The Company generally distributes films which it produces or for which it has acquired distribution rights from independent producers. The Company receives either a percentage of the theater box office receipts or a fixed amount as a distribution fee. The Company expects to release the IMAX original production, </w:t>
      </w:r>
      <w:r>
        <w:rPr>
          <w:rFonts w:ascii="Arial" w:cs="Arial" w:eastAsia="Arial" w:hAnsi="Arial"/>
          <w:sz w:val="18"/>
          <w:szCs w:val="18"/>
          <w:i w:val="1"/>
          <w:iCs w:val="1"/>
          <w:color w:val="auto"/>
        </w:rPr>
        <w:t>Asteroid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Hunters </w:t>
      </w:r>
      <w:r>
        <w:rPr>
          <w:rFonts w:ascii="Arial" w:cs="Arial" w:eastAsia="Arial" w:hAnsi="Arial"/>
          <w:sz w:val="18"/>
          <w:szCs w:val="18"/>
          <w:color w:val="auto"/>
        </w:rPr>
        <w:t>, later in 2020.</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Film Post-production segment provides film post-production and quality control services for large-format films (whether produced by IMAX or third parties), and digital post-production services.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IMAX N ETWORK AND BACKLOG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IMAX network by type and geographic location as at March 31:</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80" w:type="dxa"/>
            <w:vAlign w:val="bottom"/>
            <w:gridSpan w:val="3"/>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Commercial</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Institutional</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Destination</w:t>
            </w: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United States</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Canada</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Arial" w:cs="Arial" w:eastAsia="Arial" w:hAnsi="Arial"/>
                <w:sz w:val="16"/>
                <w:szCs w:val="16"/>
                <w:color w:val="auto"/>
              </w:rPr>
              <w:t xml:space="preserve">Greater China </w:t>
            </w:r>
            <w:r>
              <w:rPr>
                <w:rFonts w:ascii="Arial" w:cs="Arial" w:eastAsia="Arial" w:hAnsi="Arial"/>
                <w:sz w:val="26"/>
                <w:szCs w:val="26"/>
                <w:color w:val="auto"/>
                <w:vertAlign w:val="superscript"/>
              </w:rPr>
              <w:t>(1)</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Western Europe</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Asia (excluding Greater China)</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Russia &amp; the CIS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Arial" w:cs="Arial" w:eastAsia="Arial" w:hAnsi="Arial"/>
                <w:sz w:val="16"/>
                <w:szCs w:val="16"/>
                <w:color w:val="auto"/>
              </w:rPr>
              <w:t xml:space="preserve">Latin America </w:t>
            </w:r>
            <w:r>
              <w:rPr>
                <w:rFonts w:ascii="Arial" w:cs="Arial" w:eastAsia="Arial" w:hAnsi="Arial"/>
                <w:sz w:val="26"/>
                <w:szCs w:val="26"/>
                <w:color w:val="auto"/>
                <w:vertAlign w:val="superscript"/>
              </w:rPr>
              <w:t>(2)</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7"/>
        </w:trPr>
        <w:tc>
          <w:tcPr>
            <w:tcW w:w="28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Rest of the World</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0"/>
        </w:trPr>
        <w:tc>
          <w:tcPr>
            <w:tcW w:w="28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9" w:lineRule="exact"/>
        <w:rPr>
          <w:rFonts w:ascii="Arial" w:cs="Arial" w:eastAsia="Arial" w:hAnsi="Arial"/>
          <w:sz w:val="18"/>
          <w:szCs w:val="18"/>
          <w:color w:val="auto"/>
        </w:rPr>
      </w:pPr>
    </w:p>
    <w:p>
      <w:pPr>
        <w:ind w:left="380" w:hanging="37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8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currently believes that over time its commercial multiplex network could grow to approximately 3,318 IMAX theaters worldwide from the 1,526 operating as at March 31, 2020. The Company believes that the majority of its future growth will come from international markets. As at March 31, 2020, 72.0% of IMAX Theater Systems in operation were located within international markets (defined as all countries other than the United States and Canada), up from 70.4% as at March 31, 2019. Revenues and gross box office derived from international markets continue to exceed revenues and gross box office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Item 1A of the Company’s 2019 Form 10-K.</w:t>
      </w:r>
    </w:p>
    <w:p>
      <w:pPr>
        <w:spacing w:after="0" w:line="142"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Greater China is the Company’s largest market, measured by revenues, with approximately 31.4% of overall revenues generated from the Company’s Greater China operations in the year ended December 31, 2019. This percentage decreased to 15.1% in the three months ended March 31, 2020 due to the repercussions of COVID-19 on the Company’s business during the period. As at March 31, 2020, the Company had 714 theaters operating in Greater China with an additional 260 theaters in backlog that are scheduled to be installed by 2023. The Company’s backlog in Greater China represents 48.8% of the Company’s current backlog including upgrades. The Company’s largest single international partnership is in China with Wanda Film (“Wanda”). Wanda’s total commitment to the Company is for 359 IMAX Theater Systems in Greater China (of which 354 IMAX Theater Systems are under the parties’ joint revenue sharing arrangement). See “Risk Factors – The Company faces risks in connection with the continued expansion of its business in China” in Item 1A of the Company’s 2019 Form 10-K.</w:t>
      </w:r>
    </w:p>
    <w:p>
      <w:pPr>
        <w:spacing w:after="0" w:line="14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6" w:name="page47"/>
    <w:bookmarkEnd w:id="46"/>
    <w:p>
      <w:pPr>
        <w:jc w:val="both"/>
        <w:ind w:right="20" w:firstLine="225"/>
        <w:spacing w:after="0" w:line="270" w:lineRule="auto"/>
        <w:rPr>
          <w:sz w:val="20"/>
          <w:szCs w:val="20"/>
          <w:color w:val="auto"/>
        </w:rPr>
      </w:pPr>
      <w:r>
        <w:rPr>
          <w:rFonts w:ascii="Arial" w:cs="Arial" w:eastAsia="Arial" w:hAnsi="Arial"/>
          <w:sz w:val="18"/>
          <w:szCs w:val="18"/>
          <w:color w:val="auto"/>
        </w:rPr>
        <w:t>The following table s provide detailed information about the Commercial Multiplex theater s in operation within IMAX network by arrangement type and geographic location as at March 31 :</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11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4380" w:type="dxa"/>
            <w:vAlign w:val="bottom"/>
            <w:tcBorders>
              <w:bottom w:val="single" w:sz="8" w:color="auto"/>
            </w:tcBorders>
            <w:gridSpan w:val="8"/>
          </w:tcPr>
          <w:p>
            <w:pPr>
              <w:jc w:val="center"/>
              <w:ind w:left="835"/>
              <w:spacing w:after="0" w:line="154" w:lineRule="exact"/>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1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Hybrid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JRSA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8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gridSpan w:val="3"/>
          </w:tcPr>
          <w:p>
            <w:pPr>
              <w:jc w:val="right"/>
              <w:ind w:right="38"/>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8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453</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532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8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118"/>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rPr>
                <w:sz w:val="19"/>
                <w:szCs w:val="19"/>
                <w:color w:val="auto"/>
              </w:rPr>
            </w:pPr>
          </w:p>
        </w:tc>
        <w:tc>
          <w:tcPr>
            <w:tcW w:w="4380" w:type="dxa"/>
            <w:vAlign w:val="bottom"/>
            <w:tcBorders>
              <w:bottom w:val="single" w:sz="8" w:color="auto"/>
            </w:tcBorders>
            <w:gridSpan w:val="8"/>
          </w:tcPr>
          <w:p>
            <w:pPr>
              <w:jc w:val="center"/>
              <w:ind w:left="835"/>
              <w:spacing w:after="0"/>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1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Hybrid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JRSA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273</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8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3"/>
          </w:tcPr>
          <w:p>
            <w:pPr>
              <w:jc w:val="right"/>
              <w:ind w:right="38"/>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8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408</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486</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at March 31, 2020, 278 (2019 — 273) of the 731 (2019 — 681) theaters under traditional joint revenue sharing arrangements in operation, or 38.0% (2019 — 40.1%), were located in the United States and Canada, with the remaining 453 (2019 — 408) or 62.0% (2019 — 59.9%) of theaters being located in international markets.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Sales Backlog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sales backlog: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342"/>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322"/>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Dollar Value</w:t>
            </w:r>
          </w:p>
        </w:tc>
        <w:tc>
          <w:tcPr>
            <w:tcW w:w="28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5"/>
          </w:tcPr>
          <w:p>
            <w:pPr>
              <w:jc w:val="right"/>
              <w:ind w:right="511"/>
              <w:spacing w:after="0"/>
              <w:rPr>
                <w:sz w:val="20"/>
                <w:szCs w:val="20"/>
                <w:color w:val="auto"/>
              </w:rPr>
            </w:pPr>
            <w:r>
              <w:rPr>
                <w:rFonts w:ascii="Arial" w:cs="Arial" w:eastAsia="Arial" w:hAnsi="Arial"/>
                <w:sz w:val="14"/>
                <w:szCs w:val="14"/>
                <w:b w:val="1"/>
                <w:bCs w:val="1"/>
                <w:color w:val="auto"/>
              </w:rPr>
              <w:t>Dollar Value</w:t>
            </w:r>
          </w:p>
        </w:tc>
        <w:tc>
          <w:tcPr>
            <w:tcW w:w="200" w:type="dxa"/>
            <w:vAlign w:val="bottom"/>
          </w:tcPr>
          <w:p>
            <w:pPr>
              <w:spacing w:after="0"/>
              <w:rPr>
                <w:sz w:val="18"/>
                <w:szCs w:val="18"/>
                <w:color w:val="auto"/>
              </w:rPr>
            </w:pPr>
          </w:p>
        </w:tc>
      </w:tr>
      <w:tr>
        <w:trPr>
          <w:trHeight w:val="198"/>
        </w:trPr>
        <w:tc>
          <w:tcPr>
            <w:tcW w:w="15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Systems</w:t>
            </w:r>
          </w:p>
        </w:tc>
        <w:tc>
          <w:tcPr>
            <w:tcW w:w="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r>
      <w:tr>
        <w:trPr>
          <w:trHeight w:val="194"/>
        </w:trPr>
        <w:tc>
          <w:tcPr>
            <w:tcW w:w="1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20" w:type="dxa"/>
            <w:vAlign w:val="bottom"/>
          </w:tcPr>
          <w:p>
            <w:pPr>
              <w:jc w:val="right"/>
              <w:ind w:right="159"/>
              <w:spacing w:after="0"/>
              <w:rPr>
                <w:sz w:val="20"/>
                <w:szCs w:val="20"/>
                <w:color w:val="auto"/>
              </w:rPr>
            </w:pPr>
            <w:r>
              <w:rPr>
                <w:rFonts w:ascii="Arial" w:cs="Arial" w:eastAsia="Arial" w:hAnsi="Arial"/>
                <w:sz w:val="14"/>
                <w:szCs w:val="14"/>
                <w:b w:val="1"/>
                <w:bCs w:val="1"/>
                <w:color w:val="auto"/>
              </w:rPr>
              <w:t>New</w:t>
            </w:r>
          </w:p>
        </w:tc>
        <w:tc>
          <w:tcPr>
            <w:tcW w:w="2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Upgrade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262"/>
              <w:spacing w:after="0"/>
              <w:rPr>
                <w:sz w:val="20"/>
                <w:szCs w:val="20"/>
                <w:color w:val="auto"/>
              </w:rPr>
            </w:pPr>
            <w:r>
              <w:rPr>
                <w:rFonts w:ascii="Arial" w:cs="Arial" w:eastAsia="Arial" w:hAnsi="Arial"/>
                <w:sz w:val="14"/>
                <w:szCs w:val="14"/>
                <w:b w:val="1"/>
                <w:bCs w:val="1"/>
                <w:color w:val="auto"/>
              </w:rPr>
              <w:t>New</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Upgrade</w:t>
            </w:r>
          </w:p>
        </w:tc>
        <w:tc>
          <w:tcPr>
            <w:tcW w:w="280" w:type="dxa"/>
            <w:vAlign w:val="bottom"/>
          </w:tcPr>
          <w:p>
            <w:pPr>
              <w:spacing w:after="0"/>
              <w:rPr>
                <w:sz w:val="16"/>
                <w:szCs w:val="16"/>
                <w:color w:val="auto"/>
              </w:rPr>
            </w:pPr>
          </w:p>
        </w:tc>
        <w:tc>
          <w:tcPr>
            <w:tcW w:w="620" w:type="dxa"/>
            <w:vAlign w:val="bottom"/>
          </w:tcPr>
          <w:p>
            <w:pPr>
              <w:jc w:val="right"/>
              <w:ind w:right="159"/>
              <w:spacing w:after="0"/>
              <w:rPr>
                <w:sz w:val="20"/>
                <w:szCs w:val="20"/>
                <w:color w:val="auto"/>
              </w:rPr>
            </w:pPr>
            <w:r>
              <w:rPr>
                <w:rFonts w:ascii="Arial" w:cs="Arial" w:eastAsia="Arial" w:hAnsi="Arial"/>
                <w:sz w:val="14"/>
                <w:szCs w:val="14"/>
                <w:b w:val="1"/>
                <w:bCs w:val="1"/>
                <w:color w:val="auto"/>
              </w:rPr>
              <w:t>New</w:t>
            </w:r>
          </w:p>
        </w:tc>
        <w:tc>
          <w:tcPr>
            <w:tcW w:w="2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Upgrade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ind w:right="242"/>
              <w:spacing w:after="0"/>
              <w:rPr>
                <w:sz w:val="20"/>
                <w:szCs w:val="20"/>
                <w:color w:val="auto"/>
              </w:rPr>
            </w:pPr>
            <w:r>
              <w:rPr>
                <w:rFonts w:ascii="Arial" w:cs="Arial" w:eastAsia="Arial" w:hAnsi="Arial"/>
                <w:sz w:val="14"/>
                <w:szCs w:val="14"/>
                <w:b w:val="1"/>
                <w:bCs w:val="1"/>
                <w:color w:val="auto"/>
              </w:rPr>
              <w:t>New</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w w:val="95"/>
              </w:rPr>
              <w:t>Upgrade</w:t>
            </w:r>
          </w:p>
        </w:tc>
        <w:tc>
          <w:tcPr>
            <w:tcW w:w="200" w:type="dxa"/>
            <w:vAlign w:val="bottom"/>
          </w:tcPr>
          <w:p>
            <w:pPr>
              <w:spacing w:after="0"/>
              <w:rPr>
                <w:sz w:val="16"/>
                <w:szCs w:val="16"/>
                <w:color w:val="auto"/>
              </w:rPr>
            </w:pPr>
          </w:p>
        </w:tc>
      </w:tr>
      <w:tr>
        <w:trPr>
          <w:trHeight w:val="220"/>
        </w:trPr>
        <w:tc>
          <w:tcPr>
            <w:tcW w:w="3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Sales and sales-type lease arrangements</w:t>
            </w:r>
          </w:p>
        </w:tc>
        <w:tc>
          <w:tcPr>
            <w:tcW w:w="6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169</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84"/>
              </w:rPr>
              <w:t>$ 206,317</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89"/>
              </w:rPr>
              <w:t>$14,518</w:t>
            </w:r>
          </w:p>
        </w:tc>
        <w:tc>
          <w:tcPr>
            <w:tcW w:w="280" w:type="dxa"/>
            <w:vAlign w:val="bottom"/>
            <w:tcBorders>
              <w:top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w w:val="76"/>
              </w:rPr>
              <w:t>(1)</w:t>
            </w:r>
          </w:p>
        </w:tc>
        <w:tc>
          <w:tcPr>
            <w:tcW w:w="6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82"/>
              </w:rPr>
              <w:t>$ 231,074</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4,421</w:t>
            </w: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87"/>
              </w:rPr>
              <w:t>(1)</w:t>
            </w:r>
          </w:p>
        </w:tc>
      </w:tr>
      <w:tr>
        <w:trPr>
          <w:trHeight w:val="227"/>
        </w:trPr>
        <w:tc>
          <w:tcPr>
            <w:tcW w:w="3400" w:type="dxa"/>
            <w:vAlign w:val="bottom"/>
            <w:gridSpan w:val="2"/>
          </w:tcPr>
          <w:p>
            <w:pPr>
              <w:spacing w:after="0"/>
              <w:rPr>
                <w:sz w:val="20"/>
                <w:szCs w:val="20"/>
                <w:color w:val="auto"/>
              </w:rPr>
            </w:pPr>
            <w:r>
              <w:rPr>
                <w:rFonts w:ascii="Arial" w:cs="Arial" w:eastAsia="Arial" w:hAnsi="Arial"/>
                <w:sz w:val="18"/>
                <w:szCs w:val="18"/>
                <w:color w:val="auto"/>
              </w:rPr>
              <w:t>Joint revenue sharing arrangements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7"/>
        </w:trPr>
        <w:tc>
          <w:tcPr>
            <w:tcW w:w="3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Hybrid lease arrangements</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96,650</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5,560</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58,903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7,185</w:t>
            </w:r>
          </w:p>
        </w:tc>
        <w:tc>
          <w:tcPr>
            <w:tcW w:w="200" w:type="dxa"/>
            <w:vAlign w:val="bottom"/>
            <w:shd w:val="clear" w:color="auto" w:fill="CFF0FC"/>
          </w:tcPr>
          <w:p>
            <w:pPr>
              <w:spacing w:after="0"/>
              <w:rPr>
                <w:sz w:val="19"/>
                <w:szCs w:val="19"/>
                <w:color w:val="auto"/>
              </w:rPr>
            </w:pPr>
          </w:p>
        </w:tc>
      </w:tr>
      <w:tr>
        <w:trPr>
          <w:trHeight w:val="227"/>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Traditional arrangements</w:t>
            </w:r>
          </w:p>
        </w:tc>
        <w:tc>
          <w:tcPr>
            <w:tcW w:w="620" w:type="dxa"/>
            <w:vAlign w:val="bottom"/>
          </w:tcPr>
          <w:p>
            <w:pPr>
              <w:jc w:val="right"/>
              <w:ind w:right="39"/>
              <w:spacing w:after="0"/>
              <w:rPr>
                <w:sz w:val="20"/>
                <w:szCs w:val="20"/>
                <w:color w:val="auto"/>
              </w:rPr>
            </w:pPr>
            <w:r>
              <w:rPr>
                <w:rFonts w:ascii="Arial" w:cs="Arial" w:eastAsia="Arial" w:hAnsi="Arial"/>
                <w:sz w:val="18"/>
                <w:szCs w:val="18"/>
                <w:color w:val="auto"/>
              </w:rPr>
              <w:t>133</w:t>
            </w:r>
          </w:p>
        </w:tc>
        <w:tc>
          <w:tcPr>
            <w:tcW w:w="22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8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880" w:type="dxa"/>
            <w:vAlign w:val="bottom"/>
            <w:gridSpan w:val="2"/>
          </w:tcPr>
          <w:p>
            <w:pPr>
              <w:jc w:val="right"/>
              <w:ind w:right="42"/>
              <w:spacing w:after="0"/>
              <w:rPr>
                <w:sz w:val="20"/>
                <w:szCs w:val="20"/>
                <w:color w:val="auto"/>
              </w:rPr>
            </w:pPr>
            <w:r>
              <w:rPr>
                <w:rFonts w:ascii="Arial" w:cs="Arial" w:eastAsia="Arial" w:hAnsi="Arial"/>
                <w:sz w:val="18"/>
                <w:szCs w:val="18"/>
                <w:color w:val="auto"/>
              </w:rPr>
              <w:t>300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780" w:type="dxa"/>
            <w:vAlign w:val="bottom"/>
            <w:gridSpan w:val="2"/>
          </w:tcPr>
          <w:p>
            <w:pPr>
              <w:jc w:val="right"/>
              <w:ind w:right="37"/>
              <w:spacing w:after="0"/>
              <w:rPr>
                <w:sz w:val="20"/>
                <w:szCs w:val="20"/>
                <w:color w:val="auto"/>
              </w:rPr>
            </w:pPr>
            <w:r>
              <w:rPr>
                <w:rFonts w:ascii="Arial" w:cs="Arial" w:eastAsia="Arial" w:hAnsi="Arial"/>
                <w:sz w:val="18"/>
                <w:szCs w:val="18"/>
                <w:color w:val="auto"/>
              </w:rPr>
              <w:t>5,500</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w w:val="76"/>
              </w:rPr>
              <w:t>(3)</w:t>
            </w:r>
          </w:p>
        </w:tc>
        <w:tc>
          <w:tcPr>
            <w:tcW w:w="620" w:type="dxa"/>
            <w:vAlign w:val="bottom"/>
          </w:tcPr>
          <w:p>
            <w:pPr>
              <w:jc w:val="right"/>
              <w:ind w:right="39"/>
              <w:spacing w:after="0"/>
              <w:rPr>
                <w:sz w:val="20"/>
                <w:szCs w:val="20"/>
                <w:color w:val="auto"/>
              </w:rPr>
            </w:pPr>
            <w:r>
              <w:rPr>
                <w:rFonts w:ascii="Arial" w:cs="Arial" w:eastAsia="Arial" w:hAnsi="Arial"/>
                <w:sz w:val="18"/>
                <w:szCs w:val="18"/>
                <w:color w:val="auto"/>
              </w:rPr>
              <w:t>178</w:t>
            </w:r>
          </w:p>
        </w:tc>
        <w:tc>
          <w:tcPr>
            <w:tcW w:w="24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860" w:type="dxa"/>
            <w:vAlign w:val="bottom"/>
            <w:gridSpan w:val="2"/>
          </w:tcPr>
          <w:p>
            <w:pPr>
              <w:jc w:val="right"/>
              <w:ind w:right="42"/>
              <w:spacing w:after="0"/>
              <w:rPr>
                <w:sz w:val="20"/>
                <w:szCs w:val="20"/>
                <w:color w:val="auto"/>
              </w:rPr>
            </w:pPr>
            <w:r>
              <w:rPr>
                <w:rFonts w:ascii="Arial" w:cs="Arial" w:eastAsia="Arial" w:hAnsi="Arial"/>
                <w:sz w:val="18"/>
                <w:szCs w:val="18"/>
                <w:color w:val="auto"/>
              </w:rPr>
              <w:t>400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7,500</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(3)</w:t>
            </w:r>
          </w:p>
        </w:tc>
      </w:tr>
      <w:tr>
        <w:trPr>
          <w:trHeight w:val="220"/>
        </w:trPr>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84"/>
              </w:rPr>
              <w:t>$ 303,267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25,578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82"/>
              </w:rPr>
              <w:t>$ 290,377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7"/>
              </w:rPr>
              <w:t>19,106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26" w:lineRule="exact"/>
        <w:rPr>
          <w:sz w:val="20"/>
          <w:szCs w:val="20"/>
          <w:color w:val="auto"/>
        </w:rPr>
      </w:pPr>
    </w:p>
    <w:p>
      <w:pPr>
        <w:ind w:left="380" w:hanging="37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 variable consideration estimate of $17.2 million (2019 — $16.1 million).</w:t>
      </w:r>
    </w:p>
    <w:p>
      <w:pPr>
        <w:spacing w:after="0" w:line="46"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46 IMAX Theater Systems (2019 — 46) where the customer has the option to convert from a joint revenue sharing arrangement to a sales arrangement.</w:t>
      </w:r>
    </w:p>
    <w:p>
      <w:pPr>
        <w:spacing w:after="0" w:line="1" w:lineRule="exact"/>
        <w:rPr>
          <w:rFonts w:ascii="Arial" w:cs="Arial" w:eastAsia="Arial" w:hAnsi="Arial"/>
          <w:sz w:val="18"/>
          <w:szCs w:val="18"/>
          <w:color w:val="auto"/>
        </w:rPr>
      </w:pPr>
    </w:p>
    <w:p>
      <w:pPr>
        <w:ind w:left="380" w:hanging="373"/>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contractual upfront payments. Future contingent payments are not reflected as these are based on negotiated shares of box office results.</w:t>
      </w:r>
    </w:p>
    <w:p>
      <w:pPr>
        <w:spacing w:after="0" w:line="203" w:lineRule="exact"/>
        <w:rPr>
          <w:sz w:val="20"/>
          <w:szCs w:val="20"/>
          <w:color w:val="auto"/>
        </w:rPr>
      </w:pPr>
    </w:p>
    <w:p>
      <w:pPr>
        <w:jc w:val="both"/>
        <w:ind w:firstLine="224"/>
        <w:spacing w:after="0" w:line="285" w:lineRule="auto"/>
        <w:rPr>
          <w:sz w:val="20"/>
          <w:szCs w:val="20"/>
          <w:color w:val="auto"/>
        </w:rPr>
      </w:pPr>
      <w:r>
        <w:rPr>
          <w:rFonts w:ascii="Arial" w:cs="Arial" w:eastAsia="Arial" w:hAnsi="Arial"/>
          <w:sz w:val="16"/>
          <w:szCs w:val="16"/>
          <w:color w:val="auto"/>
        </w:rPr>
        <w:t>The number of IMAX Theater Systems in the backlog reflects the minimum number of commitments under signed contracts. The dollar value fluctuates depending on the number of new arrangements signed from year to year, which adds to backlog and the installation and acceptance of IMAX Theater Systems and the settlement of contracts, both of which reduce backlog. Sales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however it excludes amounts allocated to maintenance and extended warranty revenues. The value of sales backlog does not include revenue from theaters in which the Company has an equity interest, operating leases and long-term conditional theater commitments. Theaters under joint revenue sharing arrangements do not usually have dollar value in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sales backlog are valid and binding commitments.</w:t>
      </w:r>
    </w:p>
    <w:p>
      <w:pPr>
        <w:spacing w:after="0" w:line="144"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1"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ind w:left="240"/>
        <w:spacing w:after="0"/>
        <w:rPr>
          <w:sz w:val="20"/>
          <w:szCs w:val="20"/>
          <w:color w:val="auto"/>
        </w:rPr>
      </w:pPr>
      <w:r>
        <w:rPr>
          <w:rFonts w:ascii="Arial" w:cs="Arial" w:eastAsia="Arial" w:hAnsi="Arial"/>
          <w:sz w:val="16"/>
          <w:szCs w:val="16"/>
          <w:color w:val="auto"/>
        </w:rPr>
        <w:t>The following table s provide detailed information about the Company’s sales backlog by arrangement type and geographic location as at March 31 :</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936"/>
              <w:spacing w:after="0"/>
              <w:rPr>
                <w:sz w:val="20"/>
                <w:szCs w:val="20"/>
                <w:color w:val="auto"/>
              </w:rPr>
            </w:pPr>
            <w:r>
              <w:rPr>
                <w:rFonts w:ascii="Arial" w:cs="Arial" w:eastAsia="Arial" w:hAnsi="Arial"/>
                <w:sz w:val="14"/>
                <w:szCs w:val="14"/>
                <w:b w:val="1"/>
                <w:bCs w:val="1"/>
                <w:color w:val="auto"/>
                <w:w w:val="89"/>
              </w:rPr>
              <w:t>2020</w:t>
            </w: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7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jc w:val="center"/>
              <w:ind w:right="240"/>
              <w:spacing w:after="0" w:line="154" w:lineRule="exact"/>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460" w:type="dxa"/>
            <w:vAlign w:val="bottom"/>
            <w:gridSpan w:val="3"/>
          </w:tcPr>
          <w:p>
            <w:pPr>
              <w:jc w:val="center"/>
              <w:ind w:right="380"/>
              <w:spacing w:after="0" w:line="131" w:lineRule="exact"/>
              <w:rPr>
                <w:sz w:val="20"/>
                <w:szCs w:val="20"/>
                <w:color w:val="auto"/>
              </w:rPr>
            </w:pPr>
            <w:r>
              <w:rPr>
                <w:rFonts w:ascii="Arial" w:cs="Arial" w:eastAsia="Arial" w:hAnsi="Arial"/>
                <w:sz w:val="14"/>
                <w:szCs w:val="14"/>
                <w:b w:val="1"/>
                <w:bCs w:val="1"/>
                <w:color w:val="auto"/>
                <w:w w:val="99"/>
              </w:rPr>
              <w:t>Hybrid</w:t>
            </w: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JRSA</w:t>
            </w:r>
          </w:p>
        </w:tc>
        <w:tc>
          <w:tcPr>
            <w:tcW w:w="12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7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936"/>
              <w:spacing w:after="0"/>
              <w:rPr>
                <w:sz w:val="20"/>
                <w:szCs w:val="20"/>
                <w:color w:val="auto"/>
              </w:rPr>
            </w:pPr>
            <w:r>
              <w:rPr>
                <w:rFonts w:ascii="Arial" w:cs="Arial" w:eastAsia="Arial" w:hAnsi="Arial"/>
                <w:sz w:val="14"/>
                <w:szCs w:val="14"/>
                <w:b w:val="1"/>
                <w:bCs w:val="1"/>
                <w:color w:val="auto"/>
                <w:w w:val="89"/>
              </w:rPr>
              <w:t>2019</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460" w:type="dxa"/>
            <w:vAlign w:val="bottom"/>
            <w:gridSpan w:val="3"/>
          </w:tcPr>
          <w:p>
            <w:pPr>
              <w:jc w:val="center"/>
              <w:ind w:right="380"/>
              <w:spacing w:after="0" w:line="131" w:lineRule="exact"/>
              <w:rPr>
                <w:sz w:val="20"/>
                <w:szCs w:val="20"/>
                <w:color w:val="auto"/>
              </w:rPr>
            </w:pPr>
            <w:r>
              <w:rPr>
                <w:rFonts w:ascii="Arial" w:cs="Arial" w:eastAsia="Arial" w:hAnsi="Arial"/>
                <w:sz w:val="14"/>
                <w:szCs w:val="14"/>
                <w:b w:val="1"/>
                <w:bCs w:val="1"/>
                <w:color w:val="auto"/>
                <w:w w:val="99"/>
              </w:rPr>
              <w:t>Hybrid</w:t>
            </w: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JRSA</w:t>
            </w:r>
          </w:p>
        </w:tc>
        <w:tc>
          <w:tcPr>
            <w:tcW w:w="12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53" w:lineRule="exact"/>
        <w:rPr>
          <w:sz w:val="20"/>
          <w:szCs w:val="20"/>
          <w:color w:val="auto"/>
        </w:rPr>
      </w:pPr>
    </w:p>
    <w:p>
      <w:pPr>
        <w:ind w:left="380" w:hanging="373"/>
        <w:spacing w:after="0" w:line="255"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147 new IMAX with Laser projection system configurations and 94 upgrades of existing locations to IMAX with Laser projection system configurations.</w:t>
      </w:r>
    </w:p>
    <w:p>
      <w:pPr>
        <w:ind w:left="380" w:hanging="373"/>
        <w:spacing w:after="0" w:line="270"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79 new IMAX with Laser projection system configurations and 103 upgrades of existing locations to IMAX with Laser projection system configurations.</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Approximately 74.1% of IMAX Theater System arrangements in backlog as at March 31, 2020 are scheduled to be installed in international markets (2019 — 72.7%).</w:t>
      </w:r>
    </w:p>
    <w:p>
      <w:pPr>
        <w:spacing w:after="0" w:line="13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Signings and Installations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provide detailed information about IMAX Theater System signings and installations:</w:t>
      </w:r>
    </w:p>
    <w:p>
      <w:pPr>
        <w:spacing w:after="0" w:line="292"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For the Three Months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-3810</wp:posOffset>
            </wp:positionV>
            <wp:extent cx="22136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361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80" w:type="dxa"/>
            <w:vAlign w:val="bottom"/>
            <w:gridSpan w:val="2"/>
          </w:tcPr>
          <w:p>
            <w:pPr>
              <w:ind w:left="8380"/>
              <w:spacing w:after="0"/>
              <w:rPr>
                <w:sz w:val="20"/>
                <w:szCs w:val="20"/>
                <w:color w:val="auto"/>
              </w:rPr>
            </w:pPr>
            <w:r>
              <w:rPr>
                <w:rFonts w:ascii="Arial" w:cs="Arial" w:eastAsia="Arial" w:hAnsi="Arial"/>
                <w:sz w:val="14"/>
                <w:szCs w:val="14"/>
                <w:b w:val="1"/>
                <w:bCs w:val="1"/>
                <w:color w:val="auto"/>
              </w:rPr>
              <w:t>2020</w:t>
            </w: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r>
      <w:tr>
        <w:trPr>
          <w:trHeight w:val="22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Signings:</w:t>
            </w:r>
          </w:p>
        </w:tc>
        <w:tc>
          <w:tcPr>
            <w:tcW w:w="1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r>
      <w:tr>
        <w:trPr>
          <w:trHeight w:val="227"/>
        </w:trPr>
        <w:tc>
          <w:tcPr>
            <w:tcW w:w="888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r>
      <w:tr>
        <w:trPr>
          <w:trHeight w:val="227"/>
        </w:trPr>
        <w:tc>
          <w:tcPr>
            <w:tcW w:w="888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1840" w:type="dxa"/>
            <w:vAlign w:val="bottom"/>
            <w:gridSpan w:val="3"/>
          </w:tcPr>
          <w:p>
            <w:pPr>
              <w:jc w:val="right"/>
              <w:ind w:right="14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20"/>
        </w:trPr>
        <w:tc>
          <w:tcPr>
            <w:tcW w:w="7760" w:type="dxa"/>
            <w:vAlign w:val="bottom"/>
          </w:tcPr>
          <w:p>
            <w:pPr>
              <w:ind w:left="260"/>
              <w:spacing w:after="0"/>
              <w:rPr>
                <w:sz w:val="20"/>
                <w:szCs w:val="20"/>
                <w:color w:val="auto"/>
              </w:rPr>
            </w:pPr>
            <w:r>
              <w:rPr>
                <w:rFonts w:ascii="Arial" w:cs="Arial" w:eastAsia="Arial" w:hAnsi="Arial"/>
                <w:sz w:val="18"/>
                <w:szCs w:val="18"/>
                <w:color w:val="auto"/>
              </w:rPr>
              <w:t>Total new IMAX Theater Systems</w:t>
            </w:r>
          </w:p>
        </w:tc>
        <w:tc>
          <w:tcPr>
            <w:tcW w:w="1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r>
      <w:tr>
        <w:trPr>
          <w:trHeight w:val="228"/>
        </w:trPr>
        <w:tc>
          <w:tcPr>
            <w:tcW w:w="8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r>
      <w:tr>
        <w:trPr>
          <w:trHeight w:val="220"/>
        </w:trPr>
        <w:tc>
          <w:tcPr>
            <w:tcW w:w="7760" w:type="dxa"/>
            <w:vAlign w:val="bottom"/>
          </w:tcPr>
          <w:p>
            <w:pPr>
              <w:ind w:left="260"/>
              <w:spacing w:after="0"/>
              <w:rPr>
                <w:sz w:val="20"/>
                <w:szCs w:val="20"/>
                <w:color w:val="auto"/>
              </w:rPr>
            </w:pPr>
            <w:r>
              <w:rPr>
                <w:rFonts w:ascii="Arial" w:cs="Arial" w:eastAsia="Arial" w:hAnsi="Arial"/>
                <w:sz w:val="18"/>
                <w:szCs w:val="18"/>
                <w:color w:val="auto"/>
              </w:rPr>
              <w:t>Total IMAX Theater System signings</w:t>
            </w:r>
          </w:p>
        </w:tc>
        <w:tc>
          <w:tcPr>
            <w:tcW w:w="1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r>
      <w:tr>
        <w:trPr>
          <w:trHeight w:val="20"/>
        </w:trPr>
        <w:tc>
          <w:tcPr>
            <w:tcW w:w="776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92"/>
        </w:trPr>
        <w:tc>
          <w:tcPr>
            <w:tcW w:w="7760" w:type="dxa"/>
            <w:vAlign w:val="bottom"/>
          </w:tcPr>
          <w:p>
            <w:pPr>
              <w:spacing w:after="0"/>
              <w:rPr>
                <w:sz w:val="24"/>
                <w:szCs w:val="24"/>
                <w:color w:val="auto"/>
              </w:rPr>
            </w:pPr>
          </w:p>
        </w:tc>
        <w:tc>
          <w:tcPr>
            <w:tcW w:w="29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24"/>
                <w:szCs w:val="24"/>
                <w:color w:val="auto"/>
              </w:rPr>
            </w:pPr>
          </w:p>
        </w:tc>
      </w:tr>
      <w:tr>
        <w:trPr>
          <w:trHeight w:val="170"/>
        </w:trPr>
        <w:tc>
          <w:tcPr>
            <w:tcW w:w="77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r>
      <w:tr>
        <w:trPr>
          <w:trHeight w:val="207"/>
        </w:trPr>
        <w:tc>
          <w:tcPr>
            <w:tcW w:w="8880" w:type="dxa"/>
            <w:vAlign w:val="bottom"/>
            <w:gridSpan w:val="2"/>
          </w:tcPr>
          <w:p>
            <w:pPr>
              <w:ind w:left="8380"/>
              <w:spacing w:after="0"/>
              <w:rPr>
                <w:sz w:val="20"/>
                <w:szCs w:val="20"/>
                <w:color w:val="auto"/>
              </w:rPr>
            </w:pPr>
            <w:r>
              <w:rPr>
                <w:rFonts w:ascii="Arial" w:cs="Arial" w:eastAsia="Arial" w:hAnsi="Arial"/>
                <w:sz w:val="14"/>
                <w:szCs w:val="14"/>
                <w:b w:val="1"/>
                <w:bCs w:val="1"/>
                <w:color w:val="auto"/>
              </w:rPr>
              <w:t>2020</w:t>
            </w: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8"/>
                <w:szCs w:val="18"/>
                <w:color w:val="auto"/>
              </w:rPr>
            </w:pPr>
          </w:p>
        </w:tc>
      </w:tr>
      <w:tr>
        <w:trPr>
          <w:trHeight w:val="22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Installations:</w:t>
            </w:r>
          </w:p>
        </w:tc>
        <w:tc>
          <w:tcPr>
            <w:tcW w:w="1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r>
      <w:tr>
        <w:trPr>
          <w:trHeight w:val="227"/>
        </w:trPr>
        <w:tc>
          <w:tcPr>
            <w:tcW w:w="888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r>
      <w:tr>
        <w:trPr>
          <w:trHeight w:val="227"/>
        </w:trPr>
        <w:tc>
          <w:tcPr>
            <w:tcW w:w="888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w:t>
            </w: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r>
      <w:tr>
        <w:trPr>
          <w:trHeight w:val="220"/>
        </w:trPr>
        <w:tc>
          <w:tcPr>
            <w:tcW w:w="7760" w:type="dxa"/>
            <w:vAlign w:val="bottom"/>
          </w:tcPr>
          <w:p>
            <w:pPr>
              <w:ind w:left="260"/>
              <w:spacing w:after="0"/>
              <w:rPr>
                <w:sz w:val="20"/>
                <w:szCs w:val="20"/>
                <w:color w:val="auto"/>
              </w:rPr>
            </w:pPr>
            <w:r>
              <w:rPr>
                <w:rFonts w:ascii="Arial" w:cs="Arial" w:eastAsia="Arial" w:hAnsi="Arial"/>
                <w:sz w:val="18"/>
                <w:szCs w:val="18"/>
                <w:color w:val="auto"/>
              </w:rPr>
              <w:t>Total new IMAX Theater Systems</w:t>
            </w:r>
          </w:p>
        </w:tc>
        <w:tc>
          <w:tcPr>
            <w:tcW w:w="1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r>
      <w:tr>
        <w:trPr>
          <w:trHeight w:val="228"/>
        </w:trPr>
        <w:tc>
          <w:tcPr>
            <w:tcW w:w="8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r>
      <w:tr>
        <w:trPr>
          <w:trHeight w:val="220"/>
        </w:trPr>
        <w:tc>
          <w:tcPr>
            <w:tcW w:w="7760" w:type="dxa"/>
            <w:vAlign w:val="bottom"/>
          </w:tcPr>
          <w:p>
            <w:pPr>
              <w:ind w:left="260"/>
              <w:spacing w:after="0"/>
              <w:rPr>
                <w:sz w:val="20"/>
                <w:szCs w:val="20"/>
                <w:color w:val="auto"/>
              </w:rPr>
            </w:pPr>
            <w:r>
              <w:rPr>
                <w:rFonts w:ascii="Arial" w:cs="Arial" w:eastAsia="Arial" w:hAnsi="Arial"/>
                <w:sz w:val="18"/>
                <w:szCs w:val="18"/>
                <w:color w:val="auto"/>
              </w:rPr>
              <w:t>Total IMAX Theater System installations</w:t>
            </w:r>
          </w:p>
        </w:tc>
        <w:tc>
          <w:tcPr>
            <w:tcW w:w="1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r>
      <w:tr>
        <w:trPr>
          <w:trHeight w:val="20"/>
        </w:trPr>
        <w:tc>
          <w:tcPr>
            <w:tcW w:w="7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Company’s business and future prospects are evaluated by Richard L. Gelfond, its Chief Executive Officer (“CEO”), using a variety of financial and operational metric including:</w:t>
      </w:r>
    </w:p>
    <w:p>
      <w:pPr>
        <w:spacing w:after="0" w:line="175" w:lineRule="exact"/>
        <w:rPr>
          <w:sz w:val="20"/>
          <w:szCs w:val="20"/>
          <w:color w:val="auto"/>
        </w:rPr>
      </w:pPr>
    </w:p>
    <w:p>
      <w:pPr>
        <w:ind w:left="580" w:hanging="359"/>
        <w:spacing w:after="0" w:line="270"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signing, installation and financial performance of theater system arrangements, particularly those involving joint revenue sharing arrangements and laser-based projection systems;</w:t>
      </w:r>
    </w:p>
    <w:p>
      <w:pPr>
        <w:spacing w:after="0" w:line="175" w:lineRule="exact"/>
        <w:rPr>
          <w:rFonts w:ascii="Arial" w:cs="Arial" w:eastAsia="Arial" w:hAnsi="Arial"/>
          <w:sz w:val="18"/>
          <w:szCs w:val="18"/>
          <w:color w:val="auto"/>
        </w:rPr>
      </w:pPr>
    </w:p>
    <w:p>
      <w:pPr>
        <w:ind w:left="580" w:hanging="35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film performance and the securing of new film projects particularly IMAX DMR films;</w:t>
      </w:r>
    </w:p>
    <w:p>
      <w:pPr>
        <w:spacing w:after="0" w:line="220" w:lineRule="exact"/>
        <w:rPr>
          <w:rFonts w:ascii="Arial" w:cs="Arial" w:eastAsia="Arial" w:hAnsi="Arial"/>
          <w:sz w:val="18"/>
          <w:szCs w:val="18"/>
          <w:color w:val="auto"/>
        </w:rPr>
      </w:pPr>
    </w:p>
    <w:p>
      <w:pPr>
        <w:ind w:left="580" w:right="20" w:hanging="359"/>
        <w:spacing w:after="0" w:line="270"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continuing ability to invest in and improve the Company’s technology to enhance the differentiation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versus other cinematic experiences;</w:t>
      </w:r>
    </w:p>
    <w:p>
      <w:pPr>
        <w:spacing w:after="0" w:line="175" w:lineRule="exact"/>
        <w:rPr>
          <w:rFonts w:ascii="Arial" w:cs="Arial" w:eastAsia="Arial" w:hAnsi="Arial"/>
          <w:sz w:val="18"/>
          <w:szCs w:val="18"/>
          <w:color w:val="auto"/>
        </w:rPr>
      </w:pPr>
    </w:p>
    <w:p>
      <w:pPr>
        <w:ind w:left="580" w:hanging="35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revenues and gross margins from the Company’s segments, as discussed below;</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from operations as adjusted for unusual items;</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overall execution, reliability and consumer acceptance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new business initiatives; and</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and long-term cash flow projections.</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CEO is the Company’s Chief Operating Decision Maker (“CODM”), as such term is defined under generally accepted accounting principles. The CODM, along with other members of management, assess segment performance based on segment revenues and gross margins. Selling, general and administrative expenses, research and development costs, the amortization of intangibles, receivables provisions (recoveries), write-downs (net of recoveries), interest income, interest expense and the income tax provision are not allocated to the segments.</w:t>
      </w:r>
    </w:p>
    <w:p>
      <w:pPr>
        <w:spacing w:after="0" w:line="133"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has organized its reportable segments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which are described above under “Sources of Revenue.” The Company believes that this approach is consistent with how the CODM reviews the financial performance of the business and makes strategic decisions regarding resource allocation and investments to meet long-term business goals. Management believes that a discussion and analysis based on the four categories listed above is significantly more relevant and useful to readers, as the Company’s consolidated statements of operations captions combine results from several segments.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Three Months Ended March 31, 2020 versus Three Months Ended March 31, 2019</w:t>
      </w:r>
    </w:p>
    <w:p>
      <w:pPr>
        <w:spacing w:after="0" w:line="19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For the three months ended March 31, 2020, the Company reported a net loss attributable to common shareholders of $(49.4) million, or $(0.82) per basic and diluted share, as compared to net income attributable to common shareholders of $8.3 million, or $0.13 per basic and diluted share, for the same period in 2019. For the three months ended March 31, 2020, the Company reported an adjusted net loss attributable to common shareholders* of $(28.7) million, or $(0.48) per basic and diluted share*, as compared to adjusted net income attributable to common shareholders* of $10.8 million, or $0.18 per diluted share*, for the same period in 2019.</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the breakdown of revenue and gross margin by category and reportable segment for the three months ended March 31: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Margin</w:t>
            </w:r>
          </w:p>
        </w:tc>
        <w:tc>
          <w:tcPr>
            <w:tcW w:w="900" w:type="dxa"/>
            <w:vAlign w:val="bottom"/>
            <w:tcBorders>
              <w:bottom w:val="single" w:sz="8" w:color="auto"/>
            </w:tcBorders>
          </w:tcPr>
          <w:p>
            <w:pPr>
              <w:spacing w:after="0"/>
              <w:rPr>
                <w:sz w:val="14"/>
                <w:szCs w:val="14"/>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2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7"/>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2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10,629</w:t>
            </w:r>
          </w:p>
        </w:tc>
        <w:tc>
          <w:tcPr>
            <w:tcW w:w="14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27,950</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4,443</w:t>
            </w:r>
          </w:p>
        </w:tc>
        <w:tc>
          <w:tcPr>
            <w:tcW w:w="48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19,775</w:t>
            </w:r>
          </w:p>
        </w:tc>
      </w:tr>
      <w:tr>
        <w:trPr>
          <w:trHeight w:val="227"/>
        </w:trPr>
        <w:tc>
          <w:tcPr>
            <w:tcW w:w="4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5,971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18,044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11,935</w:t>
            </w:r>
          </w:p>
        </w:tc>
      </w:tr>
      <w:tr>
        <w:trPr>
          <w:trHeight w:val="220"/>
        </w:trPr>
        <w:tc>
          <w:tcPr>
            <w:tcW w:w="1500" w:type="dxa"/>
            <w:vAlign w:val="bottom"/>
            <w:tcBorders>
              <w:bottom w:val="single" w:sz="8" w:color="CFF0FC"/>
            </w:tcBorders>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16,600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45,994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31,710</w:t>
            </w:r>
          </w:p>
        </w:tc>
      </w:tr>
      <w:tr>
        <w:trPr>
          <w:trHeight w:val="221"/>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7"/>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(1)</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5,688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7,052</w:t>
            </w:r>
          </w:p>
        </w:tc>
      </w:tr>
      <w:tr>
        <w:trPr>
          <w:trHeight w:val="227"/>
        </w:trPr>
        <w:tc>
          <w:tcPr>
            <w:tcW w:w="4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2,539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295</w:t>
            </w:r>
          </w:p>
        </w:tc>
      </w:tr>
      <w:tr>
        <w:trPr>
          <w:trHeight w:val="227"/>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7,370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12,951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5,281</w:t>
            </w:r>
          </w:p>
        </w:tc>
      </w:tr>
      <w:tr>
        <w:trPr>
          <w:trHeight w:val="227"/>
        </w:trPr>
        <w:tc>
          <w:tcPr>
            <w:tcW w:w="4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(2)</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1,626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475</w:t>
            </w:r>
          </w:p>
        </w:tc>
      </w:tr>
      <w:tr>
        <w:trPr>
          <w:trHeight w:val="220"/>
        </w:trPr>
        <w:tc>
          <w:tcPr>
            <w:tcW w:w="1500" w:type="dxa"/>
            <w:vAlign w:val="bottom"/>
            <w:tcBorders>
              <w:bottom w:val="single" w:sz="8" w:color="CFF0FC"/>
            </w:tcBorders>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15,091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30,142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13,103</w:t>
            </w:r>
          </w:p>
        </w:tc>
      </w:tr>
      <w:tr>
        <w:trPr>
          <w:trHeight w:val="221"/>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619</w:t>
            </w:r>
          </w:p>
        </w:tc>
      </w:tr>
      <w:tr>
        <w:trPr>
          <w:trHeight w:val="227"/>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2,494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2,662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0"/>
        </w:trPr>
        <w:tc>
          <w:tcPr>
            <w:tcW w:w="150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34,663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79,632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5,975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45,407</w:t>
            </w:r>
          </w:p>
        </w:tc>
      </w:tr>
      <w:tr>
        <w:trPr>
          <w:trHeight w:val="227"/>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20"/>
        </w:trPr>
        <w:tc>
          <w:tcPr>
            <w:tcW w:w="4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34,902</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80,198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45,140</w:t>
            </w:r>
          </w:p>
        </w:tc>
      </w:tr>
      <w:tr>
        <w:trPr>
          <w:trHeight w:val="20"/>
        </w:trPr>
        <w:tc>
          <w:tcPr>
            <w:tcW w:w="1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6" w:lineRule="exact"/>
        <w:rPr>
          <w:sz w:val="20"/>
          <w:szCs w:val="20"/>
          <w:color w:val="auto"/>
        </w:rPr>
      </w:pPr>
    </w:p>
    <w:p>
      <w:pPr>
        <w:jc w:val="both"/>
        <w:ind w:left="380" w:hanging="373"/>
        <w:spacing w:after="0" w:line="252"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initial payments and the present value of fixed minimum payments from sale and sales-type lease arrangements of IMAX Theater Systems, and the present value of estimated variable consideration from sales of IMAX Theater Systems. To a lesser extent, also includes finance income associated with these revenue streams.</w:t>
      </w:r>
    </w:p>
    <w:p>
      <w:pPr>
        <w:spacing w:after="0" w:line="2" w:lineRule="exact"/>
        <w:rPr>
          <w:rFonts w:ascii="Arial" w:cs="Arial" w:eastAsia="Arial" w:hAnsi="Arial"/>
          <w:sz w:val="18"/>
          <w:szCs w:val="18"/>
          <w:color w:val="auto"/>
        </w:rPr>
      </w:pPr>
    </w:p>
    <w:p>
      <w:pPr>
        <w:ind w:left="380" w:hanging="37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2447925</wp:posOffset>
            </wp:positionV>
            <wp:extent cx="949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hanging="373"/>
        <w:spacing w:after="0" w:line="270"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2" w:name="page53"/>
    <w:bookmarkEnd w:id="52"/>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the first quarter of 2020, substantially all of the theaters in the IMAX network were closed for some period of the time, with the theaters in Greater China closed since late-January and the remainder of the Company’s theaters closed in mid-to-late March, due to the outbreak of the COVID-19 global pandemic. As a result, the Company’s results of operations for the period materially declined versus the prior year period. For the three months ended March 31, 2020, revenues and gross margin decreased $45.3 million (56.5%) and $40.0 million (88.7%), respectively, when compared to the same period in 2019.</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IMAX Technology Network performance is impacted by box office performance, as well as other factors including the timing of film release to the IMAX network, the commercial success of the film, the level of marketing spend associated with films released in the period, the Company’s take rates under its DMR and joint revenue sharing arrangements, and the distribution window for the exhibition of films in the IMAX network. Other factors impacting IMAX Technology Network performance include fluctuations in the value of foreign currencies versus the U.S. dollar and potential currency devaluations.</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March 31, 2020, IMAX Technology Network revenues and gross margin decreased $29.4 million (63.9%) and $28.9 million (91.1%), respectively, when compared to the same period in 2019. See below for a discussion of the performance of the IMAX DMR and JRSA, contingent rent, categories.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three months ended March 31, 2020, IMAX DMR revenues and gross margin decreased by $17.3 million (62.0%) and $15.4 million (77.5%), respectively, when compared to the same period in 2019. These decreases are due to a $161.1 million (62.8%) decrease in GBO generated by IMAX DMR films in the first quarter of 2020, due to the temporary closure of theaters in the network due to the public health risks associated with the COVID-19 global pandemic. In the first quarter of 2020, GBO was generated primarily by the exhibition of 13 films (9 new and 4 carryovers), as compared to 24 films (12 new and 12 carryovers) exhibited in the first quarter of 2019.</w:t>
      </w:r>
    </w:p>
    <w:p>
      <w:pPr>
        <w:spacing w:after="0" w:line="165"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IMAX DMR gross margin is a function of the costs associated with the respective films exhibited in the period, and can vary particularly with respect to marketing expenses. DMR marketing expenses in the first quarter of 2020 were $2.4 million, as compared to $3.9 million in the first quarter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99"/>
        <w:spacing w:after="0" w:line="253" w:lineRule="auto"/>
        <w:rPr>
          <w:sz w:val="20"/>
          <w:szCs w:val="20"/>
          <w:color w:val="auto"/>
        </w:rPr>
      </w:pPr>
      <w:r>
        <w:rPr>
          <w:rFonts w:ascii="Arial" w:cs="Arial" w:eastAsia="Arial" w:hAnsi="Arial"/>
          <w:sz w:val="18"/>
          <w:szCs w:val="18"/>
          <w:color w:val="auto"/>
        </w:rPr>
        <w:t>For the three months ended March 31, 2020, JRSA contingent rent revenue and gross margin decreased $12.0 million (66.9%) and $13.6 million (113.6%), respectively, when compared to the same period in 2019. As at March 31, 2020, 867 theaters were operating under joint revenue sharing arrangements, as compared to 809 theaters as at March 31, 2019, an increase of 7.2%. The decreases in revenue and gross margin are due to an $88.9 million (66.6%) decrease in GBO generated by IMAX DMR films in the first quarter of 2020 due to the temporary closure of theaters in the network due to the public health risks associated with the COVID-19 global pandemic.</w:t>
      </w:r>
    </w:p>
    <w:p>
      <w:pPr>
        <w:spacing w:after="0" w:line="16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JRSA margin is a function of the revenue generated at each JRSA theater system location, along with the costs associated with each theater system, such as the increase in depreciation on new IMAX with Laser systems and costs incurred for the upgrade of theater systems from a digital-xenon system to an IMAX with Laser system. Included in the calculation of JRSA gross margin for the first quarter of 2020 was depreciation of $6.9 million, as compared to $5.6 million in the first quarter of 2019, as a result of the 7.2% increase in the number of theaters operating under joint revenue sharing arrangements. The JRSA gross margin includes certain advertising, marketing and commission costs primarily associated with new theater launches of $0.5 million, as compared to $0.1 million during the first quarter of 2019. Advertising, marketing and commission costs are driven by the number of JRSA theater systems deployed in a given quarter, for which there were 9 in the quarter.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94" w:lineRule="exact"/>
        <w:rPr>
          <w:sz w:val="20"/>
          <w:szCs w:val="20"/>
          <w:color w:val="auto"/>
        </w:rPr>
      </w:pPr>
    </w:p>
    <w:p>
      <w:pPr>
        <w:jc w:val="both"/>
        <w:ind w:right="20" w:firstLine="225"/>
        <w:spacing w:after="0" w:line="334" w:lineRule="auto"/>
        <w:rPr>
          <w:sz w:val="20"/>
          <w:szCs w:val="20"/>
          <w:color w:val="auto"/>
        </w:rPr>
      </w:pPr>
      <w:r>
        <w:rPr>
          <w:rFonts w:ascii="Arial" w:cs="Arial" w:eastAsia="Arial" w:hAnsi="Arial"/>
          <w:sz w:val="16"/>
          <w:szCs w:val="16"/>
          <w:color w:val="auto"/>
        </w:rPr>
        <w:t>The primary drivers of IMAX Technology Sales and Maintenance performance are the number of IMAX Theater systems installed in a period, and the level of gross margin percentage earned on each installation, as well as the associated maintenance contracts that accompany each theater installation.</w:t>
      </w:r>
    </w:p>
    <w:p>
      <w:pPr>
        <w:spacing w:after="0" w:line="8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installation of IMAX Theater Systems in newly built theaters or multiplexes, which make up a large portion of the Company’s theater system backlog, depends primarily on the timing of the construction of those projects, which is not under the Company’s control. The following table provides detailed information about the mix of IMAX Theater System installations for the three months March 31:</w:t>
      </w:r>
    </w:p>
    <w:p>
      <w:pPr>
        <w:spacing w:after="0" w:line="257"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5715</wp:posOffset>
            </wp:positionV>
            <wp:extent cx="34270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709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920" w:type="dxa"/>
            <w:vAlign w:val="bottom"/>
          </w:tcPr>
          <w:p>
            <w:pPr>
              <w:jc w:val="center"/>
              <w:ind w:left="109"/>
              <w:spacing w:after="0" w:line="131"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jc w:val="center"/>
              <w:ind w:left="129"/>
              <w:spacing w:after="0"/>
              <w:rPr>
                <w:sz w:val="20"/>
                <w:szCs w:val="20"/>
                <w:color w:val="auto"/>
              </w:rPr>
            </w:pPr>
            <w:r>
              <w:rPr>
                <w:rFonts w:ascii="Arial" w:cs="Arial" w:eastAsia="Arial" w:hAnsi="Arial"/>
                <w:sz w:val="14"/>
                <w:szCs w:val="14"/>
                <w:b w:val="1"/>
                <w:bCs w:val="1"/>
                <w:color w:val="auto"/>
                <w:w w:val="83"/>
              </w:rPr>
              <w:t>Systems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IMAX Theater Systems — installed and recognized</w:t>
            </w: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 xml:space="preserve">Sales and sales-types lease arrangements </w:t>
            </w:r>
            <w:r>
              <w:rPr>
                <w:rFonts w:ascii="Arial" w:cs="Arial" w:eastAsia="Arial" w:hAnsi="Arial"/>
                <w:sz w:val="15"/>
                <w:szCs w:val="15"/>
                <w:color w:val="auto"/>
              </w:rPr>
              <w:t>(1)</w:t>
            </w:r>
          </w:p>
        </w:tc>
        <w:tc>
          <w:tcPr>
            <w:tcW w:w="3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Joint revenue sharing arrangements — hybrid</w:t>
            </w:r>
          </w:p>
        </w:tc>
        <w:tc>
          <w:tcPr>
            <w:tcW w:w="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new IMAX Theater Systems</w:t>
            </w: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2,770</w:t>
            </w:r>
          </w:p>
        </w:tc>
        <w:tc>
          <w:tcPr>
            <w:tcW w:w="16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IMAX theater system upgrades — installed and recognized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Sales and sales-types lease arrangements</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0"/>
        </w:trPr>
        <w:tc>
          <w:tcPr>
            <w:tcW w:w="5840" w:type="dxa"/>
            <w:vAlign w:val="bottom"/>
            <w:gridSpan w:val="3"/>
          </w:tcPr>
          <w:p>
            <w:pPr>
              <w:spacing w:after="0"/>
              <w:rPr>
                <w:sz w:val="20"/>
                <w:szCs w:val="20"/>
                <w:color w:val="auto"/>
              </w:rPr>
            </w:pPr>
            <w:r>
              <w:rPr>
                <w:rFonts w:ascii="Arial" w:cs="Arial" w:eastAsia="Arial" w:hAnsi="Arial"/>
                <w:sz w:val="18"/>
                <w:szCs w:val="18"/>
                <w:color w:val="auto"/>
              </w:rPr>
              <w:t>Total IMAX Theater Systems installed and recognized</w:t>
            </w: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2,770</w:t>
            </w: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hanging="373"/>
        <w:spacing w:after="0" w:line="259"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arrangements for the sale of IMAX Theater System includes fixed upfront and ongoing consideration, including indexed annual minimum payment increases over the term of the arrangement, as well as provision for additional payments in excess of the minimum agreed payments in situations when the theater exceeds certain box office thresholds.</w:t>
      </w:r>
    </w:p>
    <w:p>
      <w:pPr>
        <w:spacing w:after="0" w:line="15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full, new IMAX Theater System under a sales and sales-type lease arrangement varies depending upon the number of IMAX Theater System commitments with a single respective exhibitor, an exhibitor’s location or various other factors. Average revenue per full, new IMAX Theater System under a sales and sales-type lease arrangement was $1.0 million during the first quarter of 2020, compared to $1.4 million during the first quarter of 2019.</w:t>
      </w:r>
    </w:p>
    <w:p>
      <w:pPr>
        <w:spacing w:after="0" w:line="149"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the three months ended March 31, 2020, IMAX Technology Sales and Maintenance revenue and gross margin decreased $15.1 million (49.9%) and $8.4 million (63.9%), respectively, when compared to the same period in 2019 due to the temporary closure of theaters in the network due to the public health risks associated with the COVID-19 global pandemic. See below for a discussion of the performance of IMAX Systems and IMAX Maintenance.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months ended March 31, 2020, IMAX Systems revenue and gross margin decreased $7.3 million (56.3%) and $3.9 million (55%), respectively, when compared to the same period in 2019. These decreases are the result of eight fewer IMAX Theater System installations in the first quarter of 2020, as compared to the first quarter of 2019, due to a delay in theater system installations amidst the COVID-19 pandemic.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March 31, 2020, IMAX Maintenance revenue and gross margin decreased $5.6 million (43.1%) and $4.5 million (85.6%), respectively. These decreases are due to the temporary closure of theaters in the network due to the public health risks associated with the COVID-19 global pandemic. During the period while theaters are closed, the Company will not be able to provide maintenance services to the theaters in the network and the associated revenue will not be recognized.</w:t>
      </w:r>
    </w:p>
    <w:p>
      <w:pPr>
        <w:spacing w:after="0" w:line="16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ind w:left="100"/>
        <w:spacing w:after="0"/>
        <w:rPr>
          <w:sz w:val="20"/>
          <w:szCs w:val="20"/>
          <w:color w:val="auto"/>
        </w:rPr>
      </w:pPr>
      <w:r>
        <w:rPr>
          <w:rFonts w:ascii="Arial" w:cs="Arial" w:eastAsia="Arial" w:hAnsi="Arial"/>
          <w:sz w:val="18"/>
          <w:szCs w:val="18"/>
          <w:b w:val="1"/>
          <w:bCs w:val="1"/>
          <w:i w:val="1"/>
          <w:iCs w:val="1"/>
          <w:color w:val="auto"/>
        </w:rPr>
        <w:t>Film Distribution and Post- p roduction</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three months ended March 31, 2020, film distribution and post-production revenue decreased $0.2 million (6.3%) and the margin loss increased by $1.9 million, respectively, when compared to the same period in 2019. The Company reviewed the carrying value of certain film assets as a result of lower than expected revenue being generated during the year and revised expectations for future revenues based on the latest information available. In the first quarter of 2020, an impairment of $2.3 million was recorded based on the carrying value of the films as compared to the estimated future box office and related revenues that are ultimately expected to be generated by their exploitation.</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reflects the significant items impacting selling, general and administrative expenses for the first quarter of 2020 and 2019: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8"/>
        </w:trPr>
        <w:tc>
          <w:tcPr>
            <w:tcW w:w="54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Variance</w:t>
            </w: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207"/>
        </w:trPr>
        <w:tc>
          <w:tcPr>
            <w:tcW w:w="54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8"/>
                <w:szCs w:val="18"/>
                <w:color w:val="auto"/>
              </w:rPr>
            </w:pPr>
          </w:p>
        </w:tc>
      </w:tr>
      <w:tr>
        <w:trPr>
          <w:trHeight w:val="22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Staff costs</w:t>
            </w:r>
          </w:p>
        </w:tc>
        <w:tc>
          <w:tcPr>
            <w:tcW w:w="800" w:type="dxa"/>
            <w:vAlign w:val="bottom"/>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0"/>
              </w:rPr>
              <w:t>16,344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16,823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 %</w:t>
            </w:r>
          </w:p>
        </w:tc>
      </w:tr>
      <w:tr>
        <w:trPr>
          <w:trHeight w:val="227"/>
        </w:trPr>
        <w:tc>
          <w:tcPr>
            <w:tcW w:w="5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0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3,707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28"/>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3,125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00" w:type="dxa"/>
            <w:vAlign w:val="bottom"/>
          </w:tcPr>
          <w:p>
            <w:pPr>
              <w:spacing w:after="0"/>
              <w:rPr>
                <w:sz w:val="20"/>
                <w:szCs w:val="20"/>
                <w:color w:val="auto"/>
              </w:rPr>
            </w:pPr>
            <w:r>
              <w:rPr>
                <w:rFonts w:ascii="Arial" w:cs="Arial" w:eastAsia="Arial" w:hAnsi="Arial"/>
                <w:sz w:val="18"/>
                <w:szCs w:val="18"/>
                <w:color w:val="auto"/>
              </w:rPr>
              <w:t>Marketing</w:t>
            </w:r>
          </w:p>
        </w:tc>
        <w:tc>
          <w:tcPr>
            <w:tcW w:w="80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(33.4) %</w:t>
            </w:r>
          </w:p>
        </w:tc>
      </w:tr>
      <w:tr>
        <w:trPr>
          <w:trHeight w:val="228"/>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477</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corporate expenditures</w:t>
            </w: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3,743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2,815</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928</w:t>
            </w:r>
          </w:p>
        </w:tc>
        <w:tc>
          <w:tcPr>
            <w:tcW w:w="3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0"/>
              </w:rPr>
              <w:t>28,636</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27,649</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987</w:t>
            </w:r>
          </w:p>
        </w:tc>
        <w:tc>
          <w:tcPr>
            <w:tcW w:w="3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general corporate expenditures include professional fees and travel and entertainment.</w:t>
      </w:r>
    </w:p>
    <w:p>
      <w:pPr>
        <w:spacing w:after="0" w:line="18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For the three months ended March 31, 2020, selling, general and administrative expenses increased $1.0 million (3.6%), when compared to 2019. Selling, general and administrative expenses excluding the impact of share-based compensation were $24.9 million in the first quarter of 2020, as compared to $23.7 million in the first quarter of 2019, representing an increase of $1.2 million (5.0%). These increases are primarily driven by a $0.8 million increase to consulting and professional fees and a $0.9 million increase in other general corporate expenses, partially offset by decreases in marketing and staff costs.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 significant portion of the Company’s research and development efforts over the past several years have been focused on IMAX with Laser, the Company’s next-generation laser-based projection system, which the Company believes delivers increased resolution, sharper and brighter images, deeper contrast as well as the widest range of colors available to filmmakers today.</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 xml:space="preserve">For the three months ended March 31, 2020, research and development expenses increased $1.1 million (93.7%), when compared to the same period in 2019, primarily due to costs associated with the </w:t>
      </w:r>
      <w:r>
        <w:rPr>
          <w:rFonts w:ascii="Arial" w:cs="Arial" w:eastAsia="Arial" w:hAnsi="Arial"/>
          <w:sz w:val="18"/>
          <w:szCs w:val="18"/>
          <w:color w:val="212529"/>
        </w:rPr>
        <w:t>Connected Theaters initiative.</w:t>
      </w:r>
    </w:p>
    <w:p>
      <w:pPr>
        <w:spacing w:after="0" w:line="13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also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4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has been, and intends to continue, using time and resources during the theater shutdown caused by the COVID-19 global pandemic to work on leveraging and developing technologies and systems to help bring additional interactivity to its theater network, better manage certain of the Company’s internal workflows and better organize and codify certain of the Company’s data. During previous adverse events and downturns in the cinema business, the Company fostered many of the innovations that helped enable its global growth in recent years, including the development of its proprietary DMR process and the creation of its joint-revenue sharing business model.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ind w:left="100"/>
        <w:spacing w:after="0"/>
        <w:rPr>
          <w:sz w:val="20"/>
          <w:szCs w:val="20"/>
          <w:color w:val="auto"/>
        </w:rPr>
      </w:pPr>
      <w:r>
        <w:rPr>
          <w:rFonts w:ascii="Arial" w:cs="Arial" w:eastAsia="Arial" w:hAnsi="Arial"/>
          <w:sz w:val="18"/>
          <w:szCs w:val="18"/>
          <w:b w:val="1"/>
          <w:bCs w:val="1"/>
          <w:i w:val="1"/>
          <w:iCs w:val="1"/>
          <w:color w:val="auto"/>
        </w:rPr>
        <w:t>Credit Loss Expense</w:t>
      </w:r>
    </w:p>
    <w:p>
      <w:pPr>
        <w:spacing w:after="0" w:line="19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three months ended March 31, 2020, the Company recorded a provision for current expected credit losses of $10.2 million reflecting a reduction in the credit quality of its theater and studio related receivable balances as a result of the risks and uncertainties associated with the COVID-19 pandemic, as discussed in Note 2 of Notes to the Condensed Consolidated Financial Statements. Management’s judgments regarding expected credit losses are based on the facts available to management.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For the three months ended March 31, 2019, credit loss expense was $0.4 million. (See Notes 2 and 3 of Notes to the Condensed Consolidated Financial Statements)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the three months ended March 31, 2020, the Company recorded asset impairments of $1.2 million (2019 – Nil) principally related to write-down of content-related assets which became impaired in the period.</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Change in fair value of equity securities</w:t>
      </w:r>
    </w:p>
    <w:p>
      <w:pPr>
        <w:spacing w:after="0" w:line="180"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the first quarter of 2019, IMAX China (Hong Kong), Limited, a wholly-owned subsidiary of IMAX China, entered into a cornerstone investment agreement with Maoyan Entertainment (“Maoyan”) and purchased equity securities for $15.2 million. These equity securities are traded on the Hong Kong Stock Exchange, and the Company is required to adjust the fair value of the securities each period to reflect the current market value. This adjustment will fluctuate based on the closing market price at the end of each period. For the three months ended March 31, 2020, the fair value of the Company’s investment in Maoyan had an unrealized loss of $4.5 million, as compared to an unrealized gain of $2.5 million in the same period of 2019, which are both recognized in the Condensed Consolidated Statements of Operations.</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Company’s effective tax rate for the three months ended March 31, 2020 is -35.8% and differs from the Canadian statutory tax rate of 26.2%, primarily due to permanent book to tax differences, investment and other tax credits, jurisdictional tax rate differences, managements estimates for favourable or unfavourable resolution of various tax examinations and the reversal of the indefinite reinvestment assertion.</w:t>
      </w:r>
    </w:p>
    <w:p>
      <w:pPr>
        <w:spacing w:after="0" w:line="14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quarter ended March 31, 2020, the Company recorded income tax expense of $15.5 million (2019 — $3.6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applicable foreign withholding taxes associated with these historical earnings, which will become payable upon the repatriation of any such earnings. Cash held outside of Canada as at March 31, 2020 was $89.5 million (December 31, 2019 — $90.1 million), of which $67.8 million was held in the People’s Republic of China (“PRC”) (December 31, 2019 — $67.6 million).</w:t>
      </w:r>
    </w:p>
    <w:p>
      <w:pPr>
        <w:spacing w:after="0" w:line="14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in the first quarter of 2020, the Company recognized income tax expense of $4.8 million (2019 — $0.4 million) related to a provision for uncertain tax positions and an expense of $0.7 million (2019 — $0.3 million) recognized to reduce the tax benefit available on share-based compensation costs recognized in the period.</w:t>
      </w:r>
    </w:p>
    <w:p>
      <w:pPr>
        <w:spacing w:after="0" w:line="158"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As at March 31, 2020, the Company had net deferred income tax assets after valuation allowance of $38.0 million (December 31, 2019 — $23.9 million), which consists of a gross deferred income tax asset of $38.2 million (December 31, 2019 — $24.1 million), against which the Company is carrying a $0.2 million valuation allowance (December 31, 2019 — $0.2 million) and a deferred income tax liability of $19.7 million (December 31, 2019 — $nil). During the three months ended March 31, 2020, deferred tax assets increased by $14.1 million due to losses recognized in the period. The recoverability of these deferred tax assets is subject to certain levels of future taxable income and is subject to the uncertainties associated with accounting estimates, as discussed in Note 1 of Notes to the Condensed Consolidated Financial Statements. Based on a review of the projected future earnings of the Company there was no change in management’s estimates of the recoverability of the Company’s deferred tax assets.</w:t>
      </w:r>
    </w:p>
    <w:p>
      <w:pPr>
        <w:spacing w:after="0" w:line="14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Company’s Chinese subsidiary had taken a deduction for certain share-based compensation issued by the Chinese subsidiary’s parent company in a prior period and had recognized a related deferred tax asset of $1.4 million (December 31, 2019 — $1.4 million). Chinese regulatory authorities responsible for capital and exchange controls will need to review and approve the proposed settlement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of these transactions before they can be completed. There may be a requirement for future investment of funds into China in order to secure the deduction. Should the Company proceed, any such future investment would come from existing capital invested in the IMAX China group of companies being redeployed amongst the IMAX China group of companies, including the Chinese subsidiary.</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80"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For the three months ended March 31, 2020, the Company reported a loss of $0.5 million related its proportionate share of equity investee results, as compared to a loss of $0.1 million in the same period of the prior year, due to the write-off of deferred tax assets related to an equity method investment.</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Company’s Condensed Consolidated Financial Statements include the non-controlling interest in the net income of IMAX China as well as the impact of non-controlling interests in its subsidiaries created for the Original Film Fund and VR Content Fund activity. For the three months ended March 31, 2020 the net loss attributable to non-controlling interests of the Company’s subsidiaries was $10.1 million (2019 ─ income of $4.2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has Fifth Amended and Restated Credit Agreement (the “Credit Agreement”) with Wells Fargo Bank, National Association (“Wells Fargo”), as agent, and a syndicate of lenders party thereto. The Company’s obligations under the Credit Agreement are guaranteed by certain of the Company’s subsidiaries (the “Guarantors”) and are secured by first-priority security interests in substantially all the assets of the Company and the Guarantors.</w:t>
      </w:r>
    </w:p>
    <w:p>
      <w:pPr>
        <w:spacing w:after="0" w:line="162"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Under the Credit Agreement expands the Company’s revolving borrowing capacity is $300.0 million, and contains an uncommitted accordion feature allowing the Company to further expand its borrowing capacity to $440.0 million or greater, subject to certain conditions, depending on the mix of revolving and term loans comprising the incremental facility. The facility (the “Credit Facility”) matures on June 28, 2023.</w:t>
      </w:r>
    </w:p>
    <w:p>
      <w:pPr>
        <w:spacing w:after="0" w:line="12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the first quarter of 2020, in response to uncertainties associated with the outbreak of the COVID-19 global pandemic and its impact on the Company’s business, management decided to draw down the remaining available Credit Facility borrowing capacity of $280.0 million, resulting in total outstanding borrowings of $300.0 million. The effective interest rate for the three months ended March 31, 2020 was 2.03% (2019 ― 3.57%).</w:t>
      </w:r>
    </w:p>
    <w:p>
      <w:pPr>
        <w:spacing w:after="0" w:line="12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Loans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In addition, the Credit Facility has standby fees ranging from 0.25% to 0.38% based upon the Total Leverage Ratio.</w:t>
      </w:r>
    </w:p>
    <w:p>
      <w:pPr>
        <w:spacing w:after="0" w:line="14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Credit Facility requires that the Company maintain a Senior Secured Net Leverage Ratio, as at the last day of any Fiscal Quarter (as defined in the Credit Agreement) of no greater than 3.25:1.00. The Company was in compliance with this requirement at March 31, 2020. The Senior Secured Net Leverage Ratio (as defined in the Credit Agreement) was 1.93:1 as at March 31, 2020, where Total Debt (as defined in the Credit Agreement) is the sum of all obligations evidenced by notes, bonds, debentures or similar instruments, net of up to $75.0 million in unrestricted cash and cash equivalents outside of the People’s Republic of China (“PRC”), was $225.0 million. The longer the COVID-19 pandemic and associated protective measures persist, the more likely it becomes, in the absence of other actions by the Company, that it will be unable to maintain compliance with this covenant. In such an event, however, the Company expects to be able to obtain an amendment or waiver from its lenders, refinance the borrowings subject to covenants or take other mitigating actions prior to a potential breach. See “Non-GAAP Financial Measures” below for the Adjusted EBITDA per Credit Facility calculation.</w:t>
      </w:r>
    </w:p>
    <w:p>
      <w:pPr>
        <w:spacing w:after="0" w:line="13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Working Capital Loan</w:t>
      </w:r>
    </w:p>
    <w:p>
      <w:pPr>
        <w:spacing w:after="0" w:line="194" w:lineRule="exact"/>
        <w:rPr>
          <w:sz w:val="20"/>
          <w:szCs w:val="20"/>
          <w:color w:val="auto"/>
        </w:rPr>
      </w:pPr>
    </w:p>
    <w:p>
      <w:pPr>
        <w:jc w:val="both"/>
        <w:ind w:firstLine="224"/>
        <w:spacing w:after="0" w:line="297" w:lineRule="auto"/>
        <w:rPr>
          <w:sz w:val="20"/>
          <w:szCs w:val="20"/>
          <w:color w:val="auto"/>
        </w:rPr>
      </w:pPr>
      <w:r>
        <w:rPr>
          <w:rFonts w:ascii="Arial" w:cs="Arial" w:eastAsia="Arial" w:hAnsi="Arial"/>
          <w:sz w:val="16"/>
          <w:szCs w:val="16"/>
          <w:color w:val="auto"/>
        </w:rPr>
        <w:t>On July 24, 2019, IMAX (Shanghai) Multimedia Technology Co., Ltd. (“IMAX Shanghai”), the Company’s majority-owned subsidiary in China, renewed its unsecured revolving facility for up to 200.0 million Renminbi (approximately $30.0 million USD) to fund ongoing working capital requirements. There were no amounts drawn under the working capital facility at March 31, 2020 and December 31, 2019, and the amounts available for borrowing were 200.0 million Renminbi (approximately $30.0 million U.S. Dollars). The amounts available for borrowing are not subject to a standby fee.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Other Commitments</w:t>
      </w:r>
    </w:p>
    <w:p>
      <w:pPr>
        <w:spacing w:after="0" w:line="180"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As at March 31, 2020, the Company did not have any letters of credit and advance payment guarantees outstanding (December 31, 2019 — $nil), under the Credit Facility.</w:t>
      </w:r>
    </w:p>
    <w:p>
      <w:pPr>
        <w:spacing w:after="0" w:line="149"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On October 28, 2019, the Company entered into a $5.0 million facility for advance payment guarantees and letters of credit through the National Bank of Canada for use solely in conjunction with guarantees fully insured by Export Development Canada (the “NBC Facility”) to replace a Bank of Montreal Facility with substantially the same terms which expired on September 30, 2019. The NBC Facility is unsecured and includes typical affirmative and negative covenants, including delivery of annual consolidated financial statements within 120 days of the end of the fiscal year. As at March 31, 2020, the Company did not have any letters of credit or advance payment guarantees outstanding under the NBC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0"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7"/>
          <w:szCs w:val="17"/>
          <w:color w:val="auto"/>
        </w:rPr>
        <w:t>As at March 31, 2020, the Company’s principal sources of liquidity included cash and cash equivalents of $352.3 million (including the $280.0 million in Credit Facility borrowings drawn in the first quarter of 2020, as discussed above), the anticipated collection of trade accounts receivable of $64.8 million including receivables from theaters under joint revenue sharing arrangements and DMR agreements with studios, anticipated collection from financing receivables due in the next 12 months of $29.4 million and payments expected in the next 12 months on existing backlog deals. There were no letters of credit and advance payment guarantees outstanding under the Credit Facility or the NBC Facility. Cash held outside of Canada as at March 31, 2020 was $89.5 million (December 31, 2019 — $90.1 million), of which $67.8 million was held in the PRC (December 31, 2019 — $67.6 million). Funds repatriated from certain jurisdictions are subject to withholding taxes when dividends are paid. The Company recognized a charge of $19.7 million in the three months ended March 31, 2020 for withholding taxes applicable to historical foreign earnings.</w:t>
      </w:r>
    </w:p>
    <w:p>
      <w:pPr>
        <w:spacing w:after="0" w:line="157"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In 2017, the Company's Board of Directors announced a new share repurchase program which authorizes the repurchase of up to $200.0 million of its common shares by June 30, 2020.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During the three months ended March 31, 2020, the Company repurchased 2,484,123 common shares at an average price of $14.72 per share, excluding commissions.</w:t>
      </w:r>
    </w:p>
    <w:p>
      <w:pPr>
        <w:spacing w:after="0" w:line="151" w:lineRule="exact"/>
        <w:rPr>
          <w:sz w:val="20"/>
          <w:szCs w:val="20"/>
          <w:color w:val="auto"/>
        </w:rPr>
      </w:pPr>
    </w:p>
    <w:p>
      <w:pPr>
        <w:jc w:val="both"/>
        <w:ind w:firstLine="224"/>
        <w:spacing w:after="0" w:line="288" w:lineRule="auto"/>
        <w:rPr>
          <w:sz w:val="20"/>
          <w:szCs w:val="20"/>
          <w:color w:val="auto"/>
        </w:rPr>
      </w:pPr>
      <w:r>
        <w:rPr>
          <w:rFonts w:ascii="Arial" w:cs="Arial" w:eastAsia="Arial" w:hAnsi="Arial"/>
          <w:sz w:val="16"/>
          <w:szCs w:val="16"/>
          <w:color w:val="auto"/>
        </w:rPr>
        <w:t>During the three months ended March 31, 2020, the Company had an increase in cash of $242.8 million. The Company used cash of $2.7 million to fund investing activities, of which $1.6 million was invested in equipment for use in the Company’s joint revenue sharing arrangements with exhibitors. In addition, $1.1 million was used to purchase other intangible assets and to purchase property, plant and equipment. Based on management’s current operating plan for 2020, the Company expects to continue to use cash to deploy additional IMAX Theater Systems under joint revenue sharing arrangements, to fund DMR agreements with studios, and to potentially make share repurchases. Cash flows from joint revenue sharing arrangements are derived from the theater box-office and concession revenues and the Company invested directly in the roll out of 2 new IMAX Theater Systems under joint revenue sharing arrangements during the three months ended March 31, 2020, which were capitalized by the Company.</w:t>
      </w:r>
    </w:p>
    <w:p>
      <w:pPr>
        <w:spacing w:after="0" w:line="124"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7"/>
          <w:szCs w:val="17"/>
          <w:color w:val="auto"/>
        </w:rPr>
        <w:t>The Company’s operating cash flow will be adversely affected if management’s projections of future signings for IMAX Theater Systems and film performance, theater installations and film productions are not realized. The Company forecasts its short-term liquidity requirements on a quarterly and annual basis. Since the Company’s future cash flows are based on estimates and there may be factors that are outside of the Company’s control (see “Risk Factors” in Item 1A in the Company’s 2019 Form 10-K), there is no guarantee that the Company will continue to be able to fund its operations through cash flows from operations. Under the terms of the Company’s typical sale and sales-type lease agreements, the Company receives substantial cash payments before the Company completes the performance of its obligations. Similarly, the Company receives cash payments for some of its film productions in advance of related cash expenditures. Based on the Company’s cash flow from operations and facilities, it expects to have sufficient capital and liquidity to fund its operations in the normal course for the next 12 months. The repercussions of COVID-19 resulted in a significant decrease in the Company’s revenues and earnings in the first quarter of 2020 as GBO results declined significantly,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8" w:name="page59"/>
    <w:bookmarkEnd w:id="58"/>
    <w:p>
      <w:pPr>
        <w:jc w:val="both"/>
        <w:spacing w:after="0" w:line="300" w:lineRule="auto"/>
        <w:rPr>
          <w:sz w:val="20"/>
          <w:szCs w:val="20"/>
          <w:color w:val="auto"/>
        </w:rPr>
      </w:pPr>
      <w:r>
        <w:rPr>
          <w:rFonts w:ascii="Arial" w:cs="Arial" w:eastAsia="Arial" w:hAnsi="Arial"/>
          <w:sz w:val="17"/>
          <w:szCs w:val="17"/>
          <w:color w:val="auto"/>
        </w:rPr>
        <w:t>installation of theater systems was delayed, and maintenance services were suspended . The Company expects that it will continue to experience a significant decrease in revenues and earnings during the time period when a significant portion of the theaters in the IMAX network are closed.</w:t>
      </w:r>
    </w:p>
    <w:p>
      <w:pPr>
        <w:spacing w:after="0" w:line="126"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8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The Company’s net cash used in or provided by operating activities is affected by a number of factors, including the proceeds associated with new signings of IMAX Theater Systems lease and sale agreements in the year, costs associated with contributing systems under joint revenue sharing arrangements, the box-office performance of films distributed by the Company and/or released to IMAX theaters, increases or decreases in the Company’s operating expenses, including research and development and new business initiatives, and the level of cash collections received from its customers.</w:t>
      </w:r>
    </w:p>
    <w:p>
      <w:pPr>
        <w:spacing w:after="0" w:line="13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Cash provided by operating activities amounted to $6.0 million for the three months ended March 31, 2020. Changes in other non-cash operating assets and liabilities as compared to December 31, 2019 include: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For the</w:t>
            </w:r>
          </w:p>
        </w:tc>
      </w:tr>
      <w:tr>
        <w:trPr>
          <w:trHeight w:val="227"/>
        </w:trPr>
        <w:tc>
          <w:tcPr>
            <w:tcW w:w="9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r>
      <w:tr>
        <w:trPr>
          <w:trHeight w:val="212"/>
        </w:trPr>
        <w:tc>
          <w:tcPr>
            <w:tcW w:w="9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March 31, 2020</w:t>
            </w:r>
          </w:p>
        </w:tc>
      </w:tr>
      <w:tr>
        <w:trPr>
          <w:trHeight w:val="220"/>
        </w:trPr>
        <w:tc>
          <w:tcPr>
            <w:tcW w:w="9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9300" w:type="dxa"/>
            <w:vAlign w:val="bottom"/>
          </w:tcPr>
          <w:p>
            <w:pPr>
              <w:ind w:left="120"/>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5"/>
                <w:szCs w:val="15"/>
                <w:color w:val="auto"/>
              </w:rPr>
              <w:t>(1)</w:t>
            </w:r>
          </w:p>
        </w:tc>
        <w:tc>
          <w:tcPr>
            <w:tcW w:w="200" w:type="dxa"/>
            <w:vAlign w:val="bottom"/>
            <w:gridSpan w:val="2"/>
          </w:tcPr>
          <w:p>
            <w:pPr>
              <w:jc w:val="right"/>
              <w:ind w:right="7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19"/>
                <w:szCs w:val="19"/>
                <w:color w:val="auto"/>
              </w:rPr>
            </w:pPr>
          </w:p>
        </w:tc>
      </w:tr>
      <w:tr>
        <w:trPr>
          <w:trHeight w:val="227"/>
        </w:trPr>
        <w:tc>
          <w:tcPr>
            <w:tcW w:w="9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Financing receivables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FF0FC"/>
          </w:tcPr>
          <w:p>
            <w:pPr>
              <w:spacing w:after="0"/>
              <w:rPr>
                <w:sz w:val="19"/>
                <w:szCs w:val="19"/>
                <w:color w:val="auto"/>
              </w:rPr>
            </w:pPr>
          </w:p>
        </w:tc>
      </w:tr>
      <w:tr>
        <w:trPr>
          <w:trHeight w:val="227"/>
        </w:trPr>
        <w:tc>
          <w:tcPr>
            <w:tcW w:w="9300" w:type="dxa"/>
            <w:vAlign w:val="bottom"/>
          </w:tcPr>
          <w:p>
            <w:pPr>
              <w:ind w:left="12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(18,344)</w:t>
            </w:r>
          </w:p>
        </w:tc>
      </w:tr>
      <w:tr>
        <w:trPr>
          <w:trHeight w:val="227"/>
        </w:trPr>
        <w:tc>
          <w:tcPr>
            <w:tcW w:w="9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(1,395)</w:t>
            </w:r>
          </w:p>
        </w:tc>
      </w:tr>
      <w:tr>
        <w:trPr>
          <w:trHeight w:val="227"/>
        </w:trPr>
        <w:tc>
          <w:tcPr>
            <w:tcW w:w="9300" w:type="dxa"/>
            <w:vAlign w:val="bottom"/>
          </w:tcPr>
          <w:p>
            <w:pPr>
              <w:ind w:left="120"/>
              <w:spacing w:after="0"/>
              <w:rPr>
                <w:sz w:val="20"/>
                <w:szCs w:val="20"/>
                <w:color w:val="auto"/>
              </w:rPr>
            </w:pPr>
            <w:r>
              <w:rPr>
                <w:rFonts w:ascii="Arial" w:cs="Arial" w:eastAsia="Arial" w:hAnsi="Arial"/>
                <w:sz w:val="18"/>
                <w:szCs w:val="18"/>
                <w:color w:val="auto"/>
              </w:rPr>
              <w:t>Variable consideration receivable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r>
      <w:tr>
        <w:trPr>
          <w:trHeight w:val="227"/>
        </w:trPr>
        <w:tc>
          <w:tcPr>
            <w:tcW w:w="9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(2,961)</w:t>
            </w:r>
          </w:p>
        </w:tc>
      </w:tr>
      <w:tr>
        <w:trPr>
          <w:trHeight w:val="227"/>
        </w:trPr>
        <w:tc>
          <w:tcPr>
            <w:tcW w:w="9300" w:type="dxa"/>
            <w:vAlign w:val="bottom"/>
          </w:tcPr>
          <w:p>
            <w:pPr>
              <w:spacing w:after="0"/>
              <w:rPr>
                <w:sz w:val="20"/>
                <w:szCs w:val="20"/>
                <w:color w:val="auto"/>
              </w:rPr>
            </w:pPr>
            <w:r>
              <w:rPr>
                <w:rFonts w:ascii="Arial" w:cs="Arial" w:eastAsia="Arial" w:hAnsi="Arial"/>
                <w:sz w:val="18"/>
                <w:szCs w:val="18"/>
                <w:color w:val="auto"/>
              </w:rPr>
              <w:t>Increase (decrease) in: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9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FF0FC"/>
          </w:tcPr>
          <w:p>
            <w:pPr>
              <w:spacing w:after="0"/>
              <w:rPr>
                <w:sz w:val="19"/>
                <w:szCs w:val="19"/>
                <w:color w:val="auto"/>
              </w:rPr>
            </w:pPr>
          </w:p>
        </w:tc>
      </w:tr>
      <w:tr>
        <w:trPr>
          <w:trHeight w:val="227"/>
        </w:trPr>
        <w:tc>
          <w:tcPr>
            <w:tcW w:w="9300" w:type="dxa"/>
            <w:vAlign w:val="bottom"/>
          </w:tcPr>
          <w:p>
            <w:pPr>
              <w:ind w:left="120"/>
              <w:spacing w:after="0"/>
              <w:rPr>
                <w:sz w:val="20"/>
                <w:szCs w:val="20"/>
                <w:color w:val="auto"/>
              </w:rPr>
            </w:pPr>
            <w:r>
              <w:rPr>
                <w:rFonts w:ascii="Arial" w:cs="Arial" w:eastAsia="Arial" w:hAnsi="Arial"/>
                <w:sz w:val="18"/>
                <w:szCs w:val="18"/>
                <w:color w:val="auto"/>
              </w:rPr>
              <w:t>Accrued and other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27"/>
        </w:trPr>
        <w:tc>
          <w:tcPr>
            <w:tcW w:w="9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8,807</w:t>
            </w:r>
          </w:p>
        </w:tc>
        <w:tc>
          <w:tcPr>
            <w:tcW w:w="120" w:type="dxa"/>
            <w:vAlign w:val="bottom"/>
            <w:shd w:val="clear" w:color="auto" w:fill="CFF0FC"/>
          </w:tcPr>
          <w:p>
            <w:pPr>
              <w:spacing w:after="0"/>
              <w:rPr>
                <w:sz w:val="19"/>
                <w:szCs w:val="19"/>
                <w:color w:val="auto"/>
              </w:rPr>
            </w:pPr>
          </w:p>
        </w:tc>
      </w:tr>
      <w:tr>
        <w:trPr>
          <w:trHeight w:val="220"/>
        </w:trPr>
        <w:tc>
          <w:tcPr>
            <w:tcW w:w="9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23,342</w:t>
            </w:r>
          </w:p>
        </w:tc>
        <w:tc>
          <w:tcPr>
            <w:tcW w:w="12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380" w:hanging="373"/>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receipts partially offset by amounts billed</w:t>
      </w:r>
    </w:p>
    <w:p>
      <w:pPr>
        <w:spacing w:after="0" w:line="19" w:lineRule="exact"/>
        <w:rPr>
          <w:rFonts w:ascii="Arial" w:cs="Arial" w:eastAsia="Arial" w:hAnsi="Arial"/>
          <w:sz w:val="18"/>
          <w:szCs w:val="18"/>
          <w:color w:val="auto"/>
        </w:rPr>
      </w:pPr>
    </w:p>
    <w:p>
      <w:pPr>
        <w:ind w:left="380" w:hanging="373"/>
        <w:spacing w:after="0" w:line="255"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Slowdown in manufacturing, shipments and installation of IMAX Theater Systems at customer sites due to government restrictions in various countries limiting public gatherings as a result of the outbreak of the COVID-19 global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-421640</wp:posOffset>
            </wp:positionV>
            <wp:extent cx="949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Capital expenditures, including the Company’s investment in joint revenue sharing equipment, purchase of property, plant and equipment, other intangible assets and investments in film assets were $5.8 million for the three months ended March 31, 2020 as compared to $16.2 million for the three months ended March 31, 2019.</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Net cash used in investing activities amounted to $2.7 million in the three months ended March 31, 2020, which includes an investment in joint revenue sharing equipment of $1.6 million, purchases of $0.3 million in property, plant and equipment and an investment in other intangible assets of $0.9 million, principally related to the purchase or development of software.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9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Net cash provided from financing activities in the three months ended March 31, 2020 amounted to $239.2 million as compared to $9.6 million in the three months ended March 31,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jc w:val="both"/>
        <w:ind w:firstLine="225"/>
        <w:spacing w:after="0" w:line="270" w:lineRule="auto"/>
        <w:rPr>
          <w:sz w:val="20"/>
          <w:szCs w:val="20"/>
          <w:color w:val="auto"/>
        </w:rPr>
      </w:pPr>
      <w:r>
        <w:rPr>
          <w:rFonts w:ascii="Arial" w:cs="Arial" w:eastAsia="Arial" w:hAnsi="Arial"/>
          <w:sz w:val="18"/>
          <w:szCs w:val="18"/>
          <w:color w:val="auto"/>
        </w:rPr>
        <w:t>In the three months ended March 31, 2020 , the Company drew down the remaining $ 280 .0 million in available capacity from its Credit Facility in response to uncertainties associated with the outbreak of the COVID-19 global pandemic .</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the Company paid $3.1 million to purchase treasury stock for the settlement of restricted share units, $36.6 million for the repurchase of common shares under the Company’s share repurchase program, $0.9 million for the repurchase of common shares under the IMAX China share repurchase program and $0.2 million of taxes were withheld and paid on vested employee stock awards.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at March 31, 2020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0"/>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1"/>
                <w:szCs w:val="11"/>
                <w:color w:val="auto"/>
              </w:rPr>
            </w:pP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1"/>
              </w:rPr>
              <w:t>&gt; 1 - 3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&gt; 3 - 5 years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70"/>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Obligation</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36,762</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33,925</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5220" w:type="dxa"/>
            <w:vAlign w:val="bottom"/>
          </w:tcPr>
          <w:p>
            <w:pPr>
              <w:spacing w:after="0"/>
              <w:rPr>
                <w:sz w:val="20"/>
                <w:szCs w:val="20"/>
                <w:color w:val="auto"/>
              </w:rPr>
            </w:pPr>
            <w:r>
              <w:rPr>
                <w:rFonts w:ascii="Arial" w:cs="Arial" w:eastAsia="Arial" w:hAnsi="Arial"/>
                <w:sz w:val="18"/>
                <w:szCs w:val="18"/>
                <w:color w:val="auto"/>
              </w:rPr>
              <w:t xml:space="preserve">Pension obligations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20,298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20,362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3,945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27"/>
        </w:trPr>
        <w:tc>
          <w:tcPr>
            <w:tcW w:w="5220" w:type="dxa"/>
            <w:vAlign w:val="bottom"/>
          </w:tcPr>
          <w:p>
            <w:pPr>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 obligations</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0"/>
        </w:trPr>
        <w:tc>
          <w:tcPr>
            <w:tcW w:w="5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379,525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37,367</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28,854</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304,173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53" w:lineRule="exact"/>
        <w:rPr>
          <w:sz w:val="20"/>
          <w:szCs w:val="20"/>
          <w:color w:val="auto"/>
        </w:rPr>
      </w:pPr>
    </w:p>
    <w:p>
      <w:pPr>
        <w:ind w:left="380" w:hanging="373"/>
        <w:spacing w:after="0" w:line="255"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total payments to be made under binding commitments with suppliers and outstanding payments to be made for supplies ordered but yet to be invoiced.</w:t>
      </w:r>
    </w:p>
    <w:p>
      <w:pPr>
        <w:ind w:left="380" w:hanging="373"/>
        <w:spacing w:after="0" w:line="270"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SERP assumptions are that Mr. Gelfond will receive a lump sum payment six months after retirement at the end of the current term of his employment agreement (December 31, 2022), although Mr. Gelfond has not informed the Company that he intends to retire at that time.</w:t>
      </w:r>
    </w:p>
    <w:p>
      <w:pPr>
        <w:ind w:left="380" w:hanging="373"/>
        <w:spacing w:after="0" w:line="24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total minimum annual rental payments to be made under operating leases, mostly consisting of rent at the Company’s property in New York and at the various owned and operated theaters.</w:t>
      </w:r>
    </w:p>
    <w:p>
      <w:pPr>
        <w:spacing w:after="0" w:line="1" w:lineRule="exact"/>
        <w:rPr>
          <w:rFonts w:ascii="Arial" w:cs="Arial" w:eastAsia="Arial" w:hAnsi="Arial"/>
          <w:sz w:val="18"/>
          <w:szCs w:val="18"/>
          <w:color w:val="auto"/>
        </w:rPr>
      </w:pPr>
    </w:p>
    <w:p>
      <w:pPr>
        <w:ind w:left="380" w:hanging="373"/>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not required to make any minimum payments on its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Obligations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has an unfunded defined benefit pension plan, the SERP, covering Mr. Gelfond. As at March 31, 2020, the Company had an unfunded and accrued benefit obligation of approximately $18.9 million (December 31, 2019— $18.8 million) in respect of the SERP.</w:t>
      </w:r>
    </w:p>
    <w:p>
      <w:pPr>
        <w:spacing w:after="0" w:line="149"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Pursuant to an amendment dated November 1, 2019 to the existing employment agreement, the term of Mr. Gelfond’s employment was extended through December 31, 2022, although Mr. Gelfond has not informed the Company that he intends to retire at that time. Under the terms of the amendment to his employment agreement, the total amount of benefit payable to Mr. Gelfond under the SERP has been fixed at 20.3 million.</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has a postretirement plan to provide health and welfare benefits to Canadian employees meeting certain eligibility requirements. As at March 31, 2020, the Company had an unfunded benefit obligation of $1.5 million (December 31, 2019 — $1.6 million).</w:t>
      </w:r>
    </w:p>
    <w:p>
      <w:pPr>
        <w:spacing w:after="0" w:line="13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July 2000, the Company agreed to maintain health benefits for Messrs. Gelfond and Bradley J. Wechsler, the Company’s former Co-CEO and current Chairman of its Board of Directors, upon retirement. As at March 31, 2020, the Company had an unfunded benefit obligation of $0.6 million (December 31, 2019 — $0.7 million).</w:t>
      </w:r>
    </w:p>
    <w:p>
      <w:pPr>
        <w:spacing w:after="0" w:line="15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his Retirement Plan with the Company, the Retirement Plan will vest in full if he incurs a separation from service (as defined therein). In the fourth quarter of 2018, Mr. Foster incurred a separation from service, and as such, his Retirement Plan benefits became fully vested as at December 31, 2018 and the accelerated costs were recognized and reflected in the executive transition costs line on the consolidated statement of operations. As at March 31, 2020, the Company had a funded benefit obligation recorded of $3.6 million (December 31, 2019 — unfunded benefit obligation of $3.6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4"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See Note 3 of Notes to Condensed Consolidated Financial Statements in Item 1 for a discussion of recently issued accounting standards and their impact on the Company’s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U.S. Securities and Exchange Commission rules. Specifically, the Company presents the following non-GAAP financial measures as supplemental measures of its performance:</w:t>
      </w:r>
    </w:p>
    <w:p>
      <w:pPr>
        <w:spacing w:after="0" w:line="185" w:lineRule="exact"/>
        <w:rPr>
          <w:sz w:val="20"/>
          <w:szCs w:val="20"/>
          <w:color w:val="auto"/>
        </w:rPr>
      </w:pPr>
    </w:p>
    <w:p>
      <w:pPr>
        <w:ind w:left="580" w:hanging="359"/>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net (loss) income attributable to common shareholders;</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net (loss) income attributable to common shareholders per basic and diluted share;</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Adjusted net (loss) income attributable to common shareholders and adjusted net (loss) income attributable to common shareholders per basic and diluted share exclude, where applicable: (i) share-based compensation; (ii) exit costs, restructuring charges and associated impairments, and (iii) changes in the fair value of equity investments, as well as the related tax impact of these adjustments, and (iv) income tax expense related to the removal of the indefinitely reinvested assertion on the historical earnings of certain subsidiaries.</w:t>
      </w:r>
    </w:p>
    <w:p>
      <w:pPr>
        <w:spacing w:after="0" w:line="16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 the</w:t>
      </w:r>
      <w:r>
        <w:rPr>
          <w:rFonts w:ascii="Arial" w:cs="Arial" w:eastAsia="Arial" w:hAnsi="Arial"/>
          <w:sz w:val="18"/>
          <w:szCs w:val="18"/>
          <w:color w:val="auto"/>
        </w:rPr>
        <w:t xml:space="preserve"> </w:t>
      </w:r>
      <w:r>
        <w:rPr>
          <w:rFonts w:ascii="Arial" w:cs="Arial" w:eastAsia="Arial" w:hAnsi="Arial"/>
          <w:sz w:val="18"/>
          <w:szCs w:val="18"/>
          <w:color w:val="212529"/>
        </w:rPr>
        <w:t xml:space="preserve">after-tax impact of share-based compensation and </w:t>
      </w:r>
      <w:r>
        <w:rPr>
          <w:rFonts w:ascii="Arial" w:cs="Arial" w:eastAsia="Arial" w:hAnsi="Arial"/>
          <w:sz w:val="18"/>
          <w:szCs w:val="18"/>
          <w:color w:val="000000"/>
        </w:rPr>
        <w:t>certain unusual charges to net (loss) income attributable to common shareholders</w:t>
      </w:r>
      <w:r>
        <w:rPr>
          <w:rFonts w:ascii="Arial" w:cs="Arial" w:eastAsia="Arial" w:hAnsi="Arial"/>
          <w:sz w:val="18"/>
          <w:szCs w:val="18"/>
          <w:color w:val="212529"/>
        </w:rPr>
        <w:t xml:space="preserve"> . </w:t>
      </w:r>
      <w:r>
        <w:rPr>
          <w:rFonts w:ascii="Arial" w:cs="Arial" w:eastAsia="Arial" w:hAnsi="Arial"/>
          <w:sz w:val="18"/>
          <w:szCs w:val="18"/>
          <w:color w:val="000000"/>
        </w:rPr>
        <w:t>Although share-based</w:t>
      </w:r>
      <w:r>
        <w:rPr>
          <w:rFonts w:ascii="Arial" w:cs="Arial" w:eastAsia="Arial" w:hAnsi="Arial"/>
          <w:sz w:val="18"/>
          <w:szCs w:val="18"/>
          <w:color w:val="212529"/>
        </w:rPr>
        <w:t xml:space="preserve"> </w:t>
      </w:r>
      <w:r>
        <w:rPr>
          <w:rFonts w:ascii="Arial" w:cs="Arial" w:eastAsia="Arial" w:hAnsi="Arial"/>
          <w:sz w:val="18"/>
          <w:szCs w:val="18"/>
          <w:color w:val="000000"/>
        </w:rPr>
        <w:t>compensation is an important aspect of the Company’s employee and executive compensation packages, it is a non-cash expense and is excluded from certain internal business performance measures.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1" w:name="page62"/>
    <w:bookmarkEnd w:id="61"/>
    <w:p>
      <w:pPr>
        <w:jc w:val="both"/>
        <w:ind w:firstLine="224"/>
        <w:spacing w:after="0" w:line="292" w:lineRule="auto"/>
        <w:rPr>
          <w:sz w:val="20"/>
          <w:szCs w:val="20"/>
          <w:color w:val="auto"/>
        </w:rPr>
      </w:pPr>
      <w:r>
        <w:rPr>
          <w:rFonts w:ascii="Arial" w:cs="Arial" w:eastAsia="Arial" w:hAnsi="Arial"/>
          <w:sz w:val="16"/>
          <w:szCs w:val="16"/>
          <w:color w:val="auto"/>
        </w:rPr>
        <w:t>A reconciliation of net (loss) income attributable to common shareholders and the comparable per share amounts, the most directly comparable GAAP measures, to adjusted net (loss) income attributable to common shareholders and adjusted net (loss) income attributable to common shareholders per diluted share is presented in the table below . The Company believes that net (loss) income attributable to common shareholders is the most directly comparable GAAP measure because it reflects the earnings relevant to the Company’s shareholders, rather than including the non-controlling interest. As such, beginning in the first quarter of 2020 , the Company has updated the reconciliations for such non-GAAP financial measures included herein.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 except per share amounts)</w:t>
            </w:r>
          </w:p>
        </w:tc>
        <w:tc>
          <w:tcPr>
            <w:tcW w:w="180" w:type="dxa"/>
            <w:vAlign w:val="bottom"/>
          </w:tcPr>
          <w:p>
            <w:pPr>
              <w:spacing w:after="0"/>
              <w:rPr>
                <w:sz w:val="15"/>
                <w:szCs w:val="15"/>
                <w:color w:val="auto"/>
              </w:rPr>
            </w:pPr>
          </w:p>
        </w:tc>
        <w:tc>
          <w:tcPr>
            <w:tcW w:w="2780" w:type="dxa"/>
            <w:vAlign w:val="bottom"/>
            <w:gridSpan w:val="5"/>
            <w:vMerge w:val="restart"/>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48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78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March 31, 2020</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right"/>
              <w:ind w:right="71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Diluted EPS</w:t>
            </w:r>
          </w:p>
        </w:tc>
        <w:tc>
          <w:tcPr>
            <w:tcW w:w="1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Net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net (loss) income attributable to common shareholders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(49,354)</w:t>
            </w: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Exit costs, restructuring charges and associated impairments</w:t>
            </w:r>
          </w:p>
        </w:tc>
        <w:tc>
          <w:tcPr>
            <w:tcW w:w="18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equity securities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Tax impact on items listed above</w:t>
            </w:r>
          </w:p>
        </w:tc>
        <w:tc>
          <w:tcPr>
            <w:tcW w:w="18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 related to removal of indefinitely reinvested</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assertion on the historical earnings of certain subsidiaries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13,726</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5660" w:type="dxa"/>
            <w:vAlign w:val="bottom"/>
            <w:gridSpan w:val="2"/>
          </w:tcPr>
          <w:p>
            <w:pPr>
              <w:spacing w:after="0"/>
              <w:rPr>
                <w:sz w:val="20"/>
                <w:szCs w:val="20"/>
                <w:color w:val="auto"/>
              </w:rPr>
            </w:pPr>
            <w:r>
              <w:rPr>
                <w:rFonts w:ascii="Arial" w:cs="Arial" w:eastAsia="Arial" w:hAnsi="Arial"/>
                <w:sz w:val="18"/>
                <w:szCs w:val="18"/>
                <w:color w:val="auto"/>
              </w:rPr>
              <w:t>Adjusted net (loss) income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(28,726)</w:t>
            </w:r>
          </w:p>
        </w:tc>
        <w:tc>
          <w:tcPr>
            <w:tcW w:w="3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6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tcBorders>
              <w:bottom w:val="single" w:sz="8" w:color="CFF0FC"/>
            </w:tcBorders>
          </w:tcPr>
          <w:p>
            <w:pPr>
              <w:spacing w:after="0"/>
              <w:rPr>
                <w:sz w:val="23"/>
                <w:szCs w:val="23"/>
                <w:color w:val="auto"/>
              </w:rPr>
            </w:pPr>
          </w:p>
        </w:tc>
        <w:tc>
          <w:tcPr>
            <w:tcW w:w="940" w:type="dxa"/>
            <w:vAlign w:val="bottom"/>
            <w:tcBorders>
              <w:bottom w:val="single" w:sz="8" w:color="CFF0FC"/>
            </w:tcBorders>
          </w:tcPr>
          <w:p>
            <w:pPr>
              <w:spacing w:after="0"/>
              <w:rPr>
                <w:sz w:val="23"/>
                <w:szCs w:val="23"/>
                <w:color w:val="auto"/>
              </w:rPr>
            </w:pPr>
          </w:p>
        </w:tc>
        <w:tc>
          <w:tcPr>
            <w:tcW w:w="36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60,418</w:t>
            </w:r>
          </w:p>
        </w:tc>
        <w:tc>
          <w:tcPr>
            <w:tcW w:w="36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96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Weighted average diluted shares outstanding</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60,418</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In addition to the non-GAAP financial measures discussed above, management also uses “EBITDA,” as such term is defined in the Company’s credit agreement, and which is referred to herein as “Adjusted EBITDA per Credit Facility.” As allowed by the Company’s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against its credit agreement requirements in the current period.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42"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EBITDA is defined as net (loss) income excluding: (i) interest income (expense), net; (ii) income tax provision (benefit); and (iii) depreciation and amortization. Adjusted EBITDA per Credit Facility is defined as EBITDA excluding: (i) gain (loss) from equity accounted investments; (ii) stock and other non-cash compensation; (iii) exit costs, restructuring charges and associated impairments; (iv) change in fair value of equity investment; (v) write-downs, net of recoveries, including asset impairments and receivable provisions; and (vi) adjusted EBITDA attributable to non-controlling interests.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jc w:val="both"/>
        <w:ind w:firstLine="225"/>
        <w:spacing w:after="0" w:line="297" w:lineRule="auto"/>
        <w:rPr>
          <w:sz w:val="20"/>
          <w:szCs w:val="20"/>
          <w:color w:val="auto"/>
        </w:rPr>
      </w:pPr>
      <w:r>
        <w:rPr>
          <w:rFonts w:ascii="Arial" w:cs="Arial" w:eastAsia="Arial" w:hAnsi="Arial"/>
          <w:sz w:val="16"/>
          <w:szCs w:val="16"/>
          <w:color w:val="auto"/>
        </w:rPr>
        <w:t>A reconciliation of net (loss) income attributable to common shareholders , the most directly comparable GAAP measure, to EBITDA and Adjusted EBITDA per Credit Facility is presented in the table below. The Company believes that net loss attributable to common shareholders is the most directly comparable GAAP measure because it reflects the earnings relevant to the Company’s shareholders, rather than including the non-controlling interest. As such, beginning in the first quarter of 2020 , the Company has updated the reconciliations for such non-GAAP financial measures included herein.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227"/>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per Credit Facility:</w:t>
            </w:r>
          </w:p>
        </w:tc>
        <w:tc>
          <w:tcPr>
            <w:tcW w:w="10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212"/>
        </w:trPr>
        <w:tc>
          <w:tcPr>
            <w:tcW w:w="7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March 31, 2020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20"/>
        </w:trPr>
        <w:tc>
          <w:tcPr>
            <w:tcW w:w="74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Reported net loss attributable to common shareholders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(49,354)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227"/>
        </w:trPr>
        <w:tc>
          <w:tcPr>
            <w:tcW w:w="7480" w:type="dxa"/>
            <w:vAlign w:val="bottom"/>
          </w:tcPr>
          <w:p>
            <w:pPr>
              <w:spacing w:after="0"/>
              <w:rPr>
                <w:sz w:val="20"/>
                <w:szCs w:val="20"/>
                <w:color w:val="auto"/>
              </w:rPr>
            </w:pPr>
            <w:r>
              <w:rPr>
                <w:rFonts w:ascii="Arial" w:cs="Arial" w:eastAsia="Arial" w:hAnsi="Arial"/>
                <w:sz w:val="18"/>
                <w:szCs w:val="18"/>
                <w:color w:val="auto"/>
              </w:rPr>
              <w:t>Add (subtract):</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80" w:type="dxa"/>
            <w:vAlign w:val="bottom"/>
          </w:tcPr>
          <w:p>
            <w:pPr>
              <w:ind w:left="120"/>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(24,140)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and other non-cash compensation</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tcPr>
          <w:p>
            <w:pPr>
              <w:ind w:left="120"/>
              <w:spacing w:after="0"/>
              <w:rPr>
                <w:sz w:val="20"/>
                <w:szCs w:val="20"/>
                <w:color w:val="auto"/>
              </w:rPr>
            </w:pPr>
            <w:r>
              <w:rPr>
                <w:rFonts w:ascii="Arial" w:cs="Arial" w:eastAsia="Arial" w:hAnsi="Arial"/>
                <w:sz w:val="18"/>
                <w:szCs w:val="18"/>
                <w:color w:val="auto"/>
              </w:rPr>
              <w:t>Change in fair value of equity investment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Loss from equity accounted investments</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Adjusted EBITDA attributable to common shareholders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5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Senior Secured Net Leverage Ratio calculated using twelve months ended Adjusted EBITDA per Credit Facility.</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as a substitute for, or superior to, the comparable GAAP amounts.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the Chinese Yuan Renminbi. The Company does not use financial instruments for trading or other speculative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84"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81 different countries, and therefore unfavorable exchange rates between applicable local currencies and the U.S. dollar could have an impact on the Company’s reported gross box office and revenues. The Company has incoming cash flows from its revenue generating theaters and ongoing operating expenses in China through its majority-owned subsidiary IMAX (Shanghai) Multimedia Technology Co., Ltd. In Japan, the Company has ongoing Yen-denominated operating expenses related to its Japanese operations. Net Renminbi and Japanese Yen cash flows are converted to U.S. dollars through the spot market. The Company also has cash receipts under leases denominated in Renminbi, Japanese Yen, Euros and Canadian dollars.</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manages its exposure to foreign exchange rate risks through the Company’s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jc w:val="both"/>
        <w:ind w:firstLine="225"/>
        <w:spacing w:after="0" w:line="252" w:lineRule="auto"/>
        <w:rPr>
          <w:sz w:val="20"/>
          <w:szCs w:val="20"/>
          <w:color w:val="auto"/>
        </w:rPr>
      </w:pPr>
      <w:r>
        <w:rPr>
          <w:rFonts w:ascii="Arial" w:cs="Arial" w:eastAsia="Arial" w:hAnsi="Arial"/>
          <w:sz w:val="18"/>
          <w:szCs w:val="18"/>
          <w:color w:val="auto"/>
        </w:rPr>
        <w:t>Certain of the Company’s subsidiaries held approximately 479.6 million Renminbi ( $67.8 million U.S. dollars) in cash and cash equivalents as at March 31, 2020 ( December 31, 2019 — 471.6 million Renminbi or $67.6 million U.S. dollars) and are required to transact locally in Renminbi.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China government are beyond the control of the Company; however, the Company monitors and manages its capital and liquidity requirements to ensure compliance with local regulatory and policy requirements.</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March 31, 2020, the Company recorded a foreign exchange net loss of $0.7 million, as compared to a foreign exchange net loss of $0.2 million for the three months ended March 31, 2019, associated with the translation of foreign currency denominated monetary assets and liabilities.</w:t>
      </w:r>
    </w:p>
    <w:p>
      <w:pPr>
        <w:spacing w:after="0" w:line="14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6"/>
          <w:szCs w:val="16"/>
          <w:color w:val="auto"/>
        </w:rPr>
        <w:t>The Company entered into a series of foreign currency forward contracts to manage the Company’s risks associated with the volatility of foreign currencies. The forward contracts have settlement dates throughout 2020 and 2021. Foreign currency derivatives are recognized and measured in the balance sheet at fair value. Changes in the fair value (gains or losses) are recognized in the consolidated statements of operations except for derivatives designated and qualifying as foreign currency cash flow hedging instruments. All foreign currency forward contracts held by the Company as at March 31, 2020 are designated and qualify as foreign currency cash flow hedging instruments. The Company currently has cash flow hedging instruments associated with selling, general and administrative expenses, inventory and capital expenditures. For foreign currency cash flow hedging instruments related to selling, general and administrative expenses, the effective portion of the gain or loss in a hedge of a forecasted transaction is reported in other comprehensive income and reclassified to the Condensed Consolidated Statements of Operations when the forecasted transaction occurs. For foreign currency cash flow hedging instruments related to inventory, the effective portion of the gain or loss in a hedge of a forecasted transaction is reported in other comprehensive income and reclassified to inventory on the balance sheet when the forecasted transaction occurs. For foreign currency cash flow hedging instruments related to capital expenditures, the effective portion of the gain or loss in a hedge of a forecasted transaction is reported in other comprehensive income and reclassified to property, plant and equipment on the balance sheet when the forecasted transaction occurs. The notional value of foreign currency cash flow hedging instruments at March 31, 2020 was $44.6 million (December 31, 2019 — $36.1 million). A loss of $2.9 million was recorded to Other Comprehensive Income with respect to the change in fair value of these contracts for the three months ended March 31, 2020 (2019 — gain of $0.1 million). A loss of $0.3 million was reclassified from Accumulated Other Comprehensive Income to selling, general and administrative expenses, inventory and property, plant and equipment for the three months ended March 31, 2020 (2019 — loss of $0.3 million). The Company's estimated net amount of the existing losses as at March 31, 2020 is $1.8 million, which is expected to be reclassified to earnings within the next twelve months. Appreciation or depreciation on forward contracts not meeting the requirements for hedge accounting in the Derivatives and Hedging Topic of the FASB Accounting Standards Codification are recorded to selling, general and administrative expenses.</w:t>
      </w:r>
    </w:p>
    <w:p>
      <w:pPr>
        <w:spacing w:after="0" w:line="14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49"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At March 31, 2020, the Company’s financing receivables and working capital items denominated in Canadian dollars, Renminbi, Yen and Euros translated into U.S. dollars was $113.7 million. Assuming a 10% appreciation or depreciation in foreign currency exchange rates from the quoted foreign currency exchange rates at March 31, 2020, the potential change in the fair value of foreign currency-denominated financing receivables and working capital items would have been $11.4 million. A significant portion of the Company’s selling, general, and administrative expenses is denominated in Canadian dollars. Assuming a 1% appreciation or depreciation in foreign currency exchange rates at March 31, 2020, the potential change in the amount of selling, general, and administrative expenses would be less than $0.1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earnings are also affected by changes in interest rates due to the impact those changes have on its interest income from cash, and its interest expense from variable-rate borrowings under the Credit Facility.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at March 31, 2020, the Company had drawn down $300.0 million on its Credit Facility (December 31, 2019 — $20.0 million).</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Company’s largest exposure with respect to variable rate debt comes from changes in the LIBOR. The Company had variable rate debt instruments representing 53.7% and 8.1% of its total liabilities as at March 31, 2020 and December 31, 2019, respectively. If the interest rates available to the Company increased by 10%, the Company’s interest expense would increase by $0.1 million and interest income from cash would increase by $0.2 million. These amounts are determined by considering the impact of the hypothetical interest rates on the Company’s variable rate debt and cash balances at March 31, 2020.</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at March 31, 2020 and has concluded that, as at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March 31, 2020, that have materially affected, or are reasonably likely to materially affect, the Company’s internal control over financial reporting. We have not experienced any material impact to our internal control over financial reporting despite the fact that most of our employees are working remotely due to the COVID-19 pandemic. We will continue to monitor the evolving COVID-19 situation to minimize its impact on the design and operating effectiveness of our internal control.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See Note 8 to the accompanying Condensed Consolidated Financial Statements in Item 1 for information regarding legal proceedings involving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This Form 10-Q should be read together with the Item 1A. Risk Factors in the Company’s 2019 Form 10-K, which describes various risks and uncertainties to which the Company is or may become subject. The risks described below and in the Company’s 2019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62"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7"/>
          <w:szCs w:val="17"/>
          <w:b w:val="1"/>
          <w:bCs w:val="1"/>
          <w:i w:val="1"/>
          <w:iCs w:val="1"/>
          <w:color w:val="212529"/>
        </w:rPr>
        <w:t>The Company has experienced a significant decrease in its revenues, earnings and cash flows due to the COVID-19 global pandemic and its business, financial condition and results of operations may continue to be significantly harmed in future reporting periods.</w:t>
      </w:r>
    </w:p>
    <w:p>
      <w:pPr>
        <w:spacing w:after="0" w:line="15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6"/>
          <w:szCs w:val="16"/>
          <w:color w:val="212529"/>
        </w:rPr>
        <w:t>In late-January 2020, in response to the public health risks associated with an outbreak of COVID-19, the Chinese government directed exhibitors in China to temporarily close more than 70,000 movie theaters, including all the approximately 700 IMAX theaters in mainland China. The theaters have been closed since late-January 2020, and have not yet reopened as of the date of this report.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have caused movie theaters in countries around the world to temporarily close, including substantially all of the IMAX theaters in those countries. As a result of the theater closures, Hollywood and Chinese movie studios have also postponed the release of multiple films, including many scheduled to be shown in IMAX theaters.</w:t>
      </w:r>
    </w:p>
    <w:p>
      <w:pPr>
        <w:spacing w:after="0" w:line="16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7"/>
          <w:szCs w:val="17"/>
          <w:color w:val="212529"/>
        </w:rPr>
        <w:t>The repercussions of the COVID-19 global pandemic resulted in a significant decrease in the Company’s revenues and earnings in the first quarter of 2020 due to a decline in the box office related revenues generated by IMAX theaters and delays in the installation of certain theater systems from backlog. During this period, the Company is generating effectively no box-office based revenue and expects that it will continue to experience a significant decrease in overall revenues and earnings during the time period when a significant number of the theaters in the IMAX network are closed. Moreover, given the uncertainty around when movie-going will return to historical levels, there can be no guarantees that the Company will not continue to be materially adversely affected by the COVID-19 pandemic even after some or all theaters are reopened. In addition, the global economic impact of COVID-19 has led to record levels of unemployment in certain countries and may lead to lower consumer spending in the near term. The timing of a recovery of consumer behavior and willingness to spend discretionary income on movie-going may delay the Company’s ability to generate significant box office revenue until such time as consumer spending recovers.</w:t>
      </w:r>
    </w:p>
    <w:p>
      <w:pPr>
        <w:spacing w:after="0" w:line="180"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6"/>
          <w:szCs w:val="16"/>
          <w:color w:val="212529"/>
        </w:rPr>
        <w:t xml:space="preserve">In response to the COVID-19 pandemic, the Company has taken and is continuing to take significant steps to preserve cash by eliminating non-essential costs and deferring all non-essential capital expenditures to minimum levels. In addition, the Company has implemented an active cash management process, which, among other things, requires senior management approval of all outgoing payments. </w:t>
      </w:r>
      <w:r>
        <w:rPr>
          <w:rFonts w:ascii="Arial" w:cs="Arial" w:eastAsia="Arial" w:hAnsi="Arial"/>
          <w:sz w:val="16"/>
          <w:szCs w:val="16"/>
          <w:color w:val="000000"/>
        </w:rPr>
        <w:t>However, there can be no guarantees that the Company’s efforts</w:t>
      </w:r>
      <w:r>
        <w:rPr>
          <w:rFonts w:ascii="Arial" w:cs="Arial" w:eastAsia="Arial" w:hAnsi="Arial"/>
          <w:sz w:val="16"/>
          <w:szCs w:val="16"/>
          <w:color w:val="212529"/>
        </w:rPr>
        <w:t xml:space="preserve"> </w:t>
      </w:r>
      <w:r>
        <w:rPr>
          <w:rFonts w:ascii="Arial" w:cs="Arial" w:eastAsia="Arial" w:hAnsi="Arial"/>
          <w:sz w:val="16"/>
          <w:szCs w:val="16"/>
          <w:color w:val="000000"/>
        </w:rPr>
        <w:t>to manage its expenditures will result in the projected cost savings. Furthermore, the Company is in the process of reviewing and applying for wage subsidies, tax credits and other financial support under the newly enacted COVID-19 relief legislation in the countries in which it operates. However, the legislation and guidance from the authorities continues to evolve and so the amount and timing of support, if any, that the Company could receive is not determinable at this time, and there can be no guarantees that the Company will receive any material financial support through these programs.</w:t>
      </w:r>
    </w:p>
    <w:p>
      <w:pPr>
        <w:spacing w:after="0" w:line="164"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8"/>
          <w:szCs w:val="18"/>
          <w:color w:val="212529"/>
        </w:rPr>
        <w:t>In addition, the Company may also experience delays in collecting payments due under existing theater sale or lease arrangements from its exhibitor partners who may now be facing financial difficulties as a result of the theater closures. The ability of such partners to make payments cannot be guaranteed and is subject to changing economic circumstances. There are no guarantees that some of the Company’s exhibitor partners will not enter into bankruptcy proceedings. In such cases, the local laws governing restructurings would apply and there can be no guarantees of the Company’s success in obtaining complete or partial payments owed to it under these regulatory regimes. Further, the Company has had to delay movie theater installations from backlog and may be required to further delay or cancel such installations in the future. As a result, the Company’s future revenues and cash flows may be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6" w:name="page67"/>
    <w:bookmarkEnd w:id="66"/>
    <w:p>
      <w:pPr>
        <w:jc w:val="both"/>
        <w:ind w:firstLine="306"/>
        <w:spacing w:after="0" w:line="282" w:lineRule="auto"/>
        <w:rPr>
          <w:sz w:val="20"/>
          <w:szCs w:val="20"/>
          <w:color w:val="auto"/>
        </w:rPr>
      </w:pPr>
      <w:r>
        <w:rPr>
          <w:rFonts w:ascii="Arial" w:cs="Arial" w:eastAsia="Arial" w:hAnsi="Arial"/>
          <w:sz w:val="16"/>
          <w:szCs w:val="16"/>
          <w:color w:val="212529"/>
        </w:rPr>
        <w:t xml:space="preserve">Given the dynamic nature of the circumstances, while the Company has been negatively impacted as of the date of filing of this report, it is difficult to predict the full extent of such adverse impact of the COVID-19 global pandemic on the Company’s financial condition, liquidity, business and results of operations in future reporting periods. The extent and duration of such impact will depend on future developments, including, but not limited to, the timing of reopening of movie theaters worldwide, and the timing of when delayed films are released, consumer behavior and general economic conditions, the solvency of our exhibitor partners, their ability to make timely payments and any potential construction or installation delays involving our exhibitor partners. Such events are highly uncertain and cannot be accurately forecast. There can be no guarantees that the Company’s liquidity needs will not increase materially over the course of this pandemic and such changes may impact the Company’s ability to maintain compliance with certain covenants under the Credit </w:t>
      </w:r>
      <w:r>
        <w:rPr>
          <w:rFonts w:ascii="Arial" w:cs="Arial" w:eastAsia="Arial" w:hAnsi="Arial"/>
          <w:sz w:val="16"/>
          <w:szCs w:val="16"/>
          <w:color w:val="000000"/>
        </w:rPr>
        <w:t>Agreement , including a requirement the Company maintain a Senior Secured Net Leverage Ratio (as defined in the Credit Agreement) as of the last</w:t>
      </w:r>
      <w:r>
        <w:rPr>
          <w:rFonts w:ascii="Arial" w:cs="Arial" w:eastAsia="Arial" w:hAnsi="Arial"/>
          <w:sz w:val="16"/>
          <w:szCs w:val="16"/>
          <w:color w:val="212529"/>
        </w:rPr>
        <w:t xml:space="preserve"> </w:t>
      </w:r>
      <w:r>
        <w:rPr>
          <w:rFonts w:ascii="Arial" w:cs="Arial" w:eastAsia="Arial" w:hAnsi="Arial"/>
          <w:sz w:val="16"/>
          <w:szCs w:val="16"/>
          <w:color w:val="000000"/>
        </w:rPr>
        <w:t xml:space="preserve">day of any Fiscal Quarter (as defined in the Credit Agreement) of no greater than 3.25:1.00. The longer the COVID-19 pandemic and associated protective measures persist, the more likely it becomes, in the absence of other actions by the Company, that it will be unable to maintain compliance with such covenant. </w:t>
      </w:r>
      <w:r>
        <w:rPr>
          <w:rFonts w:ascii="Arial" w:cs="Arial" w:eastAsia="Arial" w:hAnsi="Arial"/>
          <w:sz w:val="16"/>
          <w:szCs w:val="16"/>
          <w:color w:val="212529"/>
        </w:rPr>
        <w:t>In addition, the COVID-19 pandemic and public health measures implemented to contain it may also have the effect of heightening many of the</w:t>
      </w:r>
      <w:r>
        <w:rPr>
          <w:rFonts w:ascii="Arial" w:cs="Arial" w:eastAsia="Arial" w:hAnsi="Arial"/>
          <w:sz w:val="16"/>
          <w:szCs w:val="16"/>
          <w:color w:val="000000"/>
        </w:rPr>
        <w:t xml:space="preserve"> </w:t>
      </w:r>
      <w:r>
        <w:rPr>
          <w:rFonts w:ascii="Arial" w:cs="Arial" w:eastAsia="Arial" w:hAnsi="Arial"/>
          <w:sz w:val="16"/>
          <w:szCs w:val="16"/>
          <w:color w:val="212529"/>
        </w:rPr>
        <w:t xml:space="preserve">other risks described in the Company’s </w:t>
      </w:r>
      <w:r>
        <w:rPr>
          <w:rFonts w:ascii="Arial" w:cs="Arial" w:eastAsia="Arial" w:hAnsi="Arial"/>
          <w:sz w:val="16"/>
          <w:szCs w:val="16"/>
          <w:color w:val="000000"/>
        </w:rPr>
        <w:t>2019</w:t>
      </w:r>
      <w:r>
        <w:rPr>
          <w:rFonts w:ascii="Arial" w:cs="Arial" w:eastAsia="Arial" w:hAnsi="Arial"/>
          <w:sz w:val="16"/>
          <w:szCs w:val="16"/>
          <w:color w:val="212529"/>
        </w:rPr>
        <w:t xml:space="preserve"> Form 10-K, including, but not limited to, risks relating to harm to our key personnel, potential impairments, the effectiveness of our internal control of financial reporting, cybersecurity and data privacy risks due to employees working from home, and risks of increased indebtedness due to the full draw down of the Credit Facility including the Company’s ability to seek waivers of covenants or to refinance such borrowings, among others. The longer the COVID-19 pandemic and associated protective measures persist, the more severe the extent of the adverse impact of the pandemic on the Company is likely to be.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4"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8"/>
          <w:szCs w:val="18"/>
          <w:color w:val="auto"/>
        </w:rPr>
        <w:t>In 2017, the Company’s Board of Directors approved a new $200.0 million share repurchase program for shares of the Company’s common shares. The share repurchase program expires on June 30, 2020.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During the three months ended March 31, 2020, the Company repurchased 2,484,123 shares at an average price of $14.72 per share. As at March 31, 2020, the company has $89.4 million available under its approved repurchase program.</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common share repurchase program activity for the three months ended March 31, 2020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7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8"/>
              </w:rPr>
              <w:t>Total number of shares</w:t>
            </w:r>
          </w:p>
        </w:tc>
        <w:tc>
          <w:tcPr>
            <w:tcW w:w="240" w:type="dxa"/>
            <w:vAlign w:val="bottom"/>
          </w:tcPr>
          <w:p>
            <w:pPr>
              <w:spacing w:after="0"/>
              <w:rPr>
                <w:sz w:val="13"/>
                <w:szCs w:val="13"/>
                <w:color w:val="auto"/>
              </w:rPr>
            </w:pPr>
          </w:p>
        </w:tc>
        <w:tc>
          <w:tcPr>
            <w:tcW w:w="18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 paid per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 of shares</w:t>
            </w:r>
          </w:p>
        </w:tc>
        <w:tc>
          <w:tcPr>
            <w:tcW w:w="26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Maximum value of shares</w:t>
            </w:r>
          </w:p>
        </w:tc>
        <w:tc>
          <w:tcPr>
            <w:tcW w:w="0" w:type="dxa"/>
            <w:vAlign w:val="bottom"/>
          </w:tcPr>
          <w:p>
            <w:pPr>
              <w:spacing w:after="0"/>
              <w:rPr>
                <w:sz w:val="1"/>
                <w:szCs w:val="1"/>
                <w:color w:val="auto"/>
              </w:rPr>
            </w:pPr>
          </w:p>
        </w:tc>
      </w:tr>
      <w:tr>
        <w:trPr>
          <w:trHeight w:val="67"/>
        </w:trPr>
        <w:tc>
          <w:tcPr>
            <w:tcW w:w="36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86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0"/>
              </w:rPr>
              <w:t>purchased as part of publicly</w:t>
            </w:r>
          </w:p>
        </w:tc>
        <w:tc>
          <w:tcPr>
            <w:tcW w:w="260" w:type="dxa"/>
            <w:vAlign w:val="bottom"/>
          </w:tcPr>
          <w:p>
            <w:pPr>
              <w:spacing w:after="0"/>
              <w:rPr>
                <w:sz w:val="5"/>
                <w:szCs w:val="5"/>
                <w:color w:val="auto"/>
              </w:rPr>
            </w:pPr>
          </w:p>
        </w:tc>
        <w:tc>
          <w:tcPr>
            <w:tcW w:w="174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w w:val="97"/>
              </w:rPr>
              <w:t>that may yet be purchased</w:t>
            </w:r>
          </w:p>
        </w:tc>
        <w:tc>
          <w:tcPr>
            <w:tcW w:w="0" w:type="dxa"/>
            <w:vAlign w:val="bottom"/>
          </w:tcPr>
          <w:p>
            <w:pPr>
              <w:spacing w:after="0"/>
              <w:rPr>
                <w:sz w:val="1"/>
                <w:szCs w:val="1"/>
                <w:color w:val="auto"/>
              </w:rPr>
            </w:pPr>
          </w:p>
        </w:tc>
      </w:tr>
      <w:tr>
        <w:trPr>
          <w:trHeight w:val="80"/>
        </w:trPr>
        <w:tc>
          <w:tcPr>
            <w:tcW w:w="3620" w:type="dxa"/>
            <w:vAlign w:val="bottom"/>
          </w:tcPr>
          <w:p>
            <w:pPr>
              <w:spacing w:after="0"/>
              <w:rPr>
                <w:sz w:val="6"/>
                <w:szCs w:val="6"/>
                <w:color w:val="auto"/>
              </w:rPr>
            </w:pPr>
          </w:p>
        </w:tc>
        <w:tc>
          <w:tcPr>
            <w:tcW w:w="170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w:t>
            </w:r>
          </w:p>
        </w:tc>
        <w:tc>
          <w:tcPr>
            <w:tcW w:w="18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program</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65"/>
        </w:trPr>
        <w:tc>
          <w:tcPr>
            <w:tcW w:w="36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1 through January 31, 2020</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125,935,013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Arial" w:cs="Arial" w:eastAsia="Arial" w:hAnsi="Arial"/>
                <w:sz w:val="18"/>
                <w:szCs w:val="18"/>
                <w:color w:val="auto"/>
              </w:rPr>
              <w:t>February 1 through February 29, 2020</w:t>
            </w:r>
          </w:p>
        </w:tc>
        <w:tc>
          <w:tcPr>
            <w:tcW w:w="1700" w:type="dxa"/>
            <w:vAlign w:val="bottom"/>
          </w:tcPr>
          <w:p>
            <w:pPr>
              <w:jc w:val="right"/>
              <w:spacing w:after="0"/>
              <w:rPr>
                <w:sz w:val="20"/>
                <w:szCs w:val="20"/>
                <w:color w:val="auto"/>
              </w:rPr>
            </w:pPr>
            <w:r>
              <w:rPr>
                <w:rFonts w:ascii="Arial" w:cs="Arial" w:eastAsia="Arial" w:hAnsi="Arial"/>
                <w:sz w:val="18"/>
                <w:szCs w:val="18"/>
                <w:color w:val="auto"/>
              </w:rPr>
              <w:t>925,823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925,823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111,122,835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March 1 through March 31, 2020</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1,558,300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1,558,300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89,361,337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2,484,123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6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2,484,123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In 2019, IMAX China announced that its shareholders granted its Board of Directors a general mandate authorizing the Board, subject to applicable laws, to repurchase shares of IMAX China in an amount not to exceed 10% of the total number of issued shares of IMAX China as at June 6, 2019 (35,605,560 shares). The share repurchase program expires on the date of the 2020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In the three months ended March 31, 2020, IMAX China repurchased 480,600 common shares at an average price of HKD 14.42 per share (U.S. $1.85 per share).</w:t>
      </w:r>
    </w:p>
    <w:p>
      <w:pPr>
        <w:spacing w:after="0" w:line="137"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The total number of shares purchased during the three months ended March 31, 2020, under both the Company and IMAX China’s repurchase plans, does not include any shares received in the administration of employee share-based compensation plans.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7" w:name="page68"/>
    <w:bookmarkEnd w:id="67"/>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i w:val="1"/>
          <w:iCs w:val="1"/>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center"/>
              <w:ind w:left="894"/>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80" w:type="dxa"/>
            <w:vAlign w:val="bottom"/>
            <w:gridSpan w:val="3"/>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1420" w:type="dxa"/>
            <w:vAlign w:val="bottom"/>
            <w:tcBorders>
              <w:bottom w:val="single" w:sz="8" w:color="auto"/>
            </w:tcBorders>
          </w:tcPr>
          <w:p>
            <w:pPr>
              <w:jc w:val="center"/>
              <w:ind w:left="894"/>
              <w:spacing w:after="0"/>
              <w:rPr>
                <w:sz w:val="20"/>
                <w:szCs w:val="20"/>
                <w:color w:val="auto"/>
              </w:rPr>
            </w:pPr>
            <w:r>
              <w:rPr>
                <w:rFonts w:ascii="Arial" w:cs="Arial" w:eastAsia="Arial" w:hAnsi="Arial"/>
                <w:sz w:val="14"/>
                <w:szCs w:val="14"/>
                <w:b w:val="1"/>
                <w:bCs w:val="1"/>
                <w:color w:val="auto"/>
                <w:w w:val="88"/>
              </w:rPr>
              <w:t>No.</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42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First Amending Agreement, dated March 11, 2020, between IMAX Corporation and Robert Lister.</w:t>
              </w:r>
            </w:hyperlink>
          </w:p>
        </w:tc>
        <w:tc>
          <w:tcPr>
            <w:tcW w:w="0" w:type="dxa"/>
            <w:vAlign w:val="bottom"/>
          </w:tcPr>
          <w:p>
            <w:pPr>
              <w:spacing w:after="0"/>
              <w:rPr>
                <w:sz w:val="1"/>
                <w:szCs w:val="1"/>
                <w:color w:val="auto"/>
              </w:rPr>
            </w:pPr>
          </w:p>
        </w:tc>
      </w:tr>
      <w:tr>
        <w:trPr>
          <w:trHeight w:val="281"/>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20" w:type="dxa"/>
            <w:vAlign w:val="bottom"/>
          </w:tcPr>
          <w:p>
            <w:pPr>
              <w:spacing w:after="0"/>
              <w:rPr>
                <w:sz w:val="24"/>
                <w:szCs w:val="24"/>
                <w:color w:val="auto"/>
              </w:rPr>
            </w:pPr>
          </w:p>
        </w:tc>
        <w:tc>
          <w:tcPr>
            <w:tcW w:w="8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Certification Pursuant to Section 302 of the Sarbanes-Oxley Act of 2002, dated April 30, 2020, by Richard L. Gelfond.</w:t>
            </w:r>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20" w:type="dxa"/>
            <w:vAlign w:val="bottom"/>
          </w:tcPr>
          <w:p>
            <w:pPr>
              <w:spacing w:after="0"/>
              <w:rPr>
                <w:sz w:val="24"/>
                <w:szCs w:val="24"/>
                <w:color w:val="auto"/>
              </w:rPr>
            </w:pPr>
          </w:p>
        </w:tc>
        <w:tc>
          <w:tcPr>
            <w:tcW w:w="8800" w:type="dxa"/>
            <w:vAlign w:val="bottom"/>
            <w:gridSpan w:val="4"/>
          </w:tcPr>
          <w:p>
            <w:pPr>
              <w:spacing w:after="0"/>
              <w:rPr>
                <w:rFonts w:ascii="Arial" w:cs="Arial" w:eastAsia="Arial" w:hAnsi="Arial"/>
                <w:sz w:val="18"/>
                <w:szCs w:val="18"/>
                <w:u w:val="single" w:color="auto"/>
                <w:color w:val="0000EE"/>
                <w:w w:val="94"/>
              </w:rPr>
            </w:pPr>
            <w:hyperlink w:anchor="page76">
              <w:r>
                <w:rPr>
                  <w:rFonts w:ascii="Arial" w:cs="Arial" w:eastAsia="Arial" w:hAnsi="Arial"/>
                  <w:sz w:val="18"/>
                  <w:szCs w:val="18"/>
                  <w:u w:val="single" w:color="auto"/>
                  <w:color w:val="0000EE"/>
                  <w:w w:val="94"/>
                </w:rPr>
                <w:t>Certification Pursuant to Section 302 of the Sarbanes-Oxley Act of 2002, dated April 30, 2020, by Patrick McClymont.</w:t>
              </w:r>
            </w:hyperlink>
          </w:p>
        </w:tc>
        <w:tc>
          <w:tcPr>
            <w:tcW w:w="0" w:type="dxa"/>
            <w:vAlign w:val="bottom"/>
          </w:tcPr>
          <w:p>
            <w:pPr>
              <w:spacing w:after="0"/>
              <w:rPr>
                <w:sz w:val="1"/>
                <w:szCs w:val="1"/>
                <w:color w:val="auto"/>
              </w:rPr>
            </w:pPr>
          </w:p>
        </w:tc>
      </w:tr>
      <w:tr>
        <w:trPr>
          <w:trHeight w:val="295"/>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0" w:type="dxa"/>
            <w:vAlign w:val="bottom"/>
          </w:tcPr>
          <w:p>
            <w:pPr>
              <w:spacing w:after="0"/>
              <w:rPr>
                <w:sz w:val="24"/>
                <w:szCs w:val="24"/>
                <w:color w:val="auto"/>
              </w:rPr>
            </w:pPr>
          </w:p>
        </w:tc>
        <w:tc>
          <w:tcPr>
            <w:tcW w:w="8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Certification Pursuant to Section 906 of the Sarbanes-Oxley Act of 2002, dated April 30, 2020, by Richard L. Gelfond.</w:t>
            </w:r>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20" w:type="dxa"/>
            <w:vAlign w:val="bottom"/>
          </w:tcPr>
          <w:p>
            <w:pPr>
              <w:spacing w:after="0"/>
              <w:rPr>
                <w:sz w:val="24"/>
                <w:szCs w:val="24"/>
                <w:color w:val="auto"/>
              </w:rPr>
            </w:pPr>
          </w:p>
        </w:tc>
        <w:tc>
          <w:tcPr>
            <w:tcW w:w="8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Pursuant to Section 906 of the Sarbanes-Oxley Act of 2002, dated April 30, 2020, by Patrick McClymont.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420" w:type="dxa"/>
            <w:vAlign w:val="bottom"/>
          </w:tcPr>
          <w:p>
            <w:pPr>
              <w:jc w:val="center"/>
              <w:ind w:right="574"/>
              <w:spacing w:after="0"/>
              <w:rPr>
                <w:sz w:val="20"/>
                <w:szCs w:val="20"/>
                <w:color w:val="auto"/>
              </w:rPr>
            </w:pPr>
            <w:r>
              <w:rPr>
                <w:rFonts w:ascii="Arial" w:cs="Arial" w:eastAsia="Arial" w:hAnsi="Arial"/>
                <w:sz w:val="18"/>
                <w:szCs w:val="18"/>
                <w:color w:val="auto"/>
                <w:w w:val="92"/>
              </w:rPr>
              <w:t>101.INS</w:t>
            </w: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Arial" w:cs="Arial" w:eastAsia="Arial" w:hAnsi="Arial"/>
                <w:sz w:val="18"/>
                <w:szCs w:val="18"/>
                <w:color w:val="auto"/>
                <w:w w:val="90"/>
              </w:rPr>
              <w:t>101.SCH</w:t>
            </w: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Arial" w:cs="Arial" w:eastAsia="Arial" w:hAnsi="Arial"/>
                <w:sz w:val="18"/>
                <w:szCs w:val="18"/>
                <w:color w:val="auto"/>
                <w:w w:val="94"/>
              </w:rPr>
              <w:t>101.CAL</w:t>
            </w: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Arial" w:cs="Arial" w:eastAsia="Arial" w:hAnsi="Arial"/>
                <w:sz w:val="18"/>
                <w:szCs w:val="18"/>
                <w:color w:val="auto"/>
                <w:w w:val="92"/>
              </w:rPr>
              <w:t>101.DEF</w:t>
            </w: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4"/>
              <w:spacing w:after="0"/>
              <w:rPr>
                <w:sz w:val="20"/>
                <w:szCs w:val="20"/>
                <w:color w:val="auto"/>
              </w:rPr>
            </w:pPr>
            <w:r>
              <w:rPr>
                <w:rFonts w:ascii="Arial" w:cs="Arial" w:eastAsia="Arial" w:hAnsi="Arial"/>
                <w:sz w:val="18"/>
                <w:szCs w:val="18"/>
                <w:color w:val="auto"/>
                <w:w w:val="95"/>
              </w:rPr>
              <w:t>101.LAB</w:t>
            </w: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74"/>
              <w:spacing w:after="0"/>
              <w:rPr>
                <w:sz w:val="20"/>
                <w:szCs w:val="20"/>
                <w:color w:val="auto"/>
              </w:rPr>
            </w:pPr>
            <w:r>
              <w:rPr>
                <w:rFonts w:ascii="Arial" w:cs="Arial" w:eastAsia="Arial" w:hAnsi="Arial"/>
                <w:sz w:val="18"/>
                <w:szCs w:val="18"/>
                <w:color w:val="auto"/>
                <w:w w:val="88"/>
              </w:rPr>
              <w:t>101.PRE</w:t>
            </w: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40" w:right="3000" w:hanging="5286"/>
        <w:spacing w:after="0" w:line="890" w:lineRule="auto"/>
        <w:tabs>
          <w:tab w:leader="none" w:pos="17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7740" w:type="dxa"/>
            <w:vAlign w:val="bottom"/>
            <w:gridSpan w:val="2"/>
          </w:tcPr>
          <w:p>
            <w:pPr>
              <w:ind w:left="2100"/>
              <w:spacing w:after="0"/>
              <w:rPr>
                <w:sz w:val="20"/>
                <w:szCs w:val="20"/>
                <w:color w:val="auto"/>
              </w:rPr>
            </w:pPr>
            <w:r>
              <w:rPr>
                <w:rFonts w:ascii="Arial" w:cs="Arial" w:eastAsia="Arial" w:hAnsi="Arial"/>
                <w:sz w:val="18"/>
                <w:szCs w:val="18"/>
                <w:color w:val="auto"/>
              </w:rPr>
              <w:t>IMAX CORPORATION</w:t>
            </w:r>
          </w:p>
        </w:tc>
      </w:tr>
      <w:tr>
        <w:trPr>
          <w:trHeight w:val="428"/>
        </w:trPr>
        <w:tc>
          <w:tcPr>
            <w:tcW w:w="3500" w:type="dxa"/>
            <w:vAlign w:val="bottom"/>
          </w:tcPr>
          <w:p>
            <w:pPr>
              <w:spacing w:after="0"/>
              <w:rPr>
                <w:sz w:val="20"/>
                <w:szCs w:val="20"/>
                <w:color w:val="auto"/>
              </w:rPr>
            </w:pPr>
            <w:r>
              <w:rPr>
                <w:rFonts w:ascii="Arial" w:cs="Arial" w:eastAsia="Arial" w:hAnsi="Arial"/>
                <w:sz w:val="18"/>
                <w:szCs w:val="18"/>
                <w:color w:val="auto"/>
              </w:rPr>
              <w:t>Date: April 30, 2020</w:t>
            </w:r>
          </w:p>
        </w:tc>
        <w:tc>
          <w:tcPr>
            <w:tcW w:w="2500" w:type="dxa"/>
            <w:vAlign w:val="bottom"/>
          </w:tcPr>
          <w:p>
            <w:pPr>
              <w:ind w:left="21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PATRICK MCCLYMONT</w:t>
            </w:r>
          </w:p>
        </w:tc>
      </w:tr>
      <w:tr>
        <w:trPr>
          <w:trHeight w:val="193"/>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jc w:val="center"/>
              <w:spacing w:after="0" w:line="194" w:lineRule="exact"/>
              <w:rPr>
                <w:sz w:val="20"/>
                <w:szCs w:val="20"/>
                <w:color w:val="auto"/>
              </w:rPr>
            </w:pPr>
            <w:r>
              <w:rPr>
                <w:rFonts w:ascii="Arial" w:cs="Arial" w:eastAsia="Arial" w:hAnsi="Arial"/>
                <w:sz w:val="18"/>
                <w:szCs w:val="18"/>
                <w:color w:val="auto"/>
                <w:w w:val="93"/>
              </w:rPr>
              <w:t>Patrick McClymont</w:t>
            </w:r>
          </w:p>
        </w:tc>
      </w:tr>
      <w:tr>
        <w:trPr>
          <w:trHeight w:val="214"/>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Executive Vice-President &amp; Chief Financial Officer</w:t>
            </w:r>
          </w:p>
        </w:tc>
      </w:tr>
      <w:tr>
        <w:trPr>
          <w:trHeight w:val="227"/>
        </w:trPr>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r>
        <w:trPr>
          <w:trHeight w:val="428"/>
        </w:trPr>
        <w:tc>
          <w:tcPr>
            <w:tcW w:w="3500" w:type="dxa"/>
            <w:vAlign w:val="bottom"/>
          </w:tcPr>
          <w:p>
            <w:pPr>
              <w:spacing w:after="0"/>
              <w:rPr>
                <w:sz w:val="20"/>
                <w:szCs w:val="20"/>
                <w:color w:val="auto"/>
              </w:rPr>
            </w:pPr>
            <w:r>
              <w:rPr>
                <w:rFonts w:ascii="Arial" w:cs="Arial" w:eastAsia="Arial" w:hAnsi="Arial"/>
                <w:sz w:val="18"/>
                <w:szCs w:val="18"/>
                <w:color w:val="auto"/>
              </w:rPr>
              <w:t>Date: April 30, 2020</w:t>
            </w:r>
          </w:p>
        </w:tc>
        <w:tc>
          <w:tcPr>
            <w:tcW w:w="2500" w:type="dxa"/>
            <w:vAlign w:val="bottom"/>
          </w:tcPr>
          <w:p>
            <w:pPr>
              <w:ind w:left="21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KEVIN M. DELANEY</w:t>
            </w:r>
          </w:p>
        </w:tc>
      </w:tr>
      <w:tr>
        <w:trPr>
          <w:trHeight w:val="193"/>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jc w:val="center"/>
              <w:spacing w:after="0" w:line="194" w:lineRule="exact"/>
              <w:rPr>
                <w:sz w:val="20"/>
                <w:szCs w:val="20"/>
                <w:color w:val="auto"/>
              </w:rPr>
            </w:pPr>
            <w:r>
              <w:rPr>
                <w:rFonts w:ascii="Arial" w:cs="Arial" w:eastAsia="Arial" w:hAnsi="Arial"/>
                <w:sz w:val="18"/>
                <w:szCs w:val="18"/>
                <w:color w:val="auto"/>
                <w:w w:val="93"/>
              </w:rPr>
              <w:t>Kevin M. Delaney</w:t>
            </w:r>
          </w:p>
        </w:tc>
      </w:tr>
      <w:tr>
        <w:trPr>
          <w:trHeight w:val="214"/>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Senior Vice-President, Finance &amp; Controller</w:t>
            </w:r>
          </w:p>
        </w:tc>
      </w:tr>
      <w:tr>
        <w:trPr>
          <w:trHeight w:val="227"/>
        </w:trPr>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r>
        <w:trPr>
          <w:trHeight w:val="641"/>
        </w:trPr>
        <w:tc>
          <w:tcPr>
            <w:tcW w:w="3500" w:type="dxa"/>
            <w:vAlign w:val="bottom"/>
          </w:tcPr>
          <w:p>
            <w:pPr>
              <w:spacing w:after="0"/>
              <w:rPr>
                <w:sz w:val="24"/>
                <w:szCs w:val="24"/>
                <w:color w:val="auto"/>
              </w:rPr>
            </w:pPr>
          </w:p>
        </w:tc>
        <w:tc>
          <w:tcPr>
            <w:tcW w:w="2500" w:type="dxa"/>
            <w:vAlign w:val="bottom"/>
          </w:tcPr>
          <w:p>
            <w:pPr>
              <w:jc w:val="right"/>
              <w:ind w:right="191"/>
              <w:spacing w:after="0"/>
              <w:rPr>
                <w:sz w:val="20"/>
                <w:szCs w:val="20"/>
                <w:color w:val="auto"/>
              </w:rPr>
            </w:pPr>
            <w:r>
              <w:rPr>
                <w:rFonts w:ascii="Arial" w:cs="Arial" w:eastAsia="Arial" w:hAnsi="Arial"/>
                <w:sz w:val="18"/>
                <w:szCs w:val="18"/>
                <w:color w:val="auto"/>
              </w:rPr>
              <w:t>69</w:t>
            </w:r>
          </w:p>
        </w:tc>
        <w:tc>
          <w:tcPr>
            <w:tcW w:w="5240" w:type="dxa"/>
            <w:vAlign w:val="bottom"/>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10.47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FIRST AMENDING AGREEMENT</w:t>
      </w:r>
    </w:p>
    <w:p>
      <w:pPr>
        <w:spacing w:after="0" w:line="219" w:lineRule="exact"/>
        <w:rPr>
          <w:sz w:val="20"/>
          <w:szCs w:val="20"/>
          <w:color w:val="auto"/>
        </w:rPr>
      </w:pPr>
    </w:p>
    <w:p>
      <w:pPr>
        <w:ind w:right="620"/>
        <w:spacing w:after="0" w:line="254" w:lineRule="auto"/>
        <w:rPr>
          <w:sz w:val="20"/>
          <w:szCs w:val="20"/>
          <w:color w:val="auto"/>
        </w:rPr>
      </w:pPr>
      <w:r>
        <w:rPr>
          <w:rFonts w:ascii="Arial" w:cs="Arial" w:eastAsia="Arial" w:hAnsi="Arial"/>
          <w:sz w:val="21"/>
          <w:szCs w:val="21"/>
          <w:color w:val="auto"/>
        </w:rPr>
        <w:t xml:space="preserve">This First Amending Agreement, dated as of March 11, 2020 (the “ </w:t>
      </w:r>
      <w:r>
        <w:rPr>
          <w:rFonts w:ascii="Arial" w:cs="Arial" w:eastAsia="Arial" w:hAnsi="Arial"/>
          <w:sz w:val="21"/>
          <w:szCs w:val="21"/>
          <w:b w:val="1"/>
          <w:bCs w:val="1"/>
          <w:i w:val="1"/>
          <w:iCs w:val="1"/>
          <w:color w:val="auto"/>
        </w:rPr>
        <w:t>First Amending Agreement</w:t>
      </w:r>
      <w:r>
        <w:rPr>
          <w:rFonts w:ascii="Arial" w:cs="Arial" w:eastAsia="Arial" w:hAnsi="Arial"/>
          <w:sz w:val="21"/>
          <w:szCs w:val="21"/>
          <w:color w:val="auto"/>
        </w:rPr>
        <w:t xml:space="preserve"> ”), is made between IMAX CORPORATION, a corporation organized under the laws of Canada (the “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 and ROBERT D. LISTER (the “ </w:t>
      </w:r>
      <w:r>
        <w:rPr>
          <w:rFonts w:ascii="Arial" w:cs="Arial" w:eastAsia="Arial" w:hAnsi="Arial"/>
          <w:sz w:val="21"/>
          <w:szCs w:val="21"/>
          <w:b w:val="1"/>
          <w:bCs w:val="1"/>
          <w:i w:val="1"/>
          <w:iCs w:val="1"/>
          <w:color w:val="auto"/>
        </w:rPr>
        <w:t xml:space="preserve">Executive </w:t>
      </w:r>
      <w:r>
        <w:rPr>
          <w:rFonts w:ascii="Arial" w:cs="Arial" w:eastAsia="Arial" w:hAnsi="Arial"/>
          <w:sz w:val="21"/>
          <w:szCs w:val="21"/>
          <w:color w:val="auto"/>
        </w:rPr>
        <w:t>”).</w:t>
      </w:r>
    </w:p>
    <w:p>
      <w:pPr>
        <w:spacing w:after="0" w:line="168" w:lineRule="exact"/>
        <w:rPr>
          <w:sz w:val="20"/>
          <w:szCs w:val="20"/>
          <w:color w:val="auto"/>
        </w:rPr>
      </w:pPr>
    </w:p>
    <w:p>
      <w:pPr>
        <w:ind w:right="620" w:firstLine="864"/>
        <w:spacing w:after="0" w:line="295" w:lineRule="auto"/>
        <w:rPr>
          <w:sz w:val="20"/>
          <w:szCs w:val="20"/>
          <w:color w:val="auto"/>
        </w:rPr>
      </w:pPr>
      <w:r>
        <w:rPr>
          <w:rFonts w:ascii="Arial" w:cs="Arial" w:eastAsia="Arial" w:hAnsi="Arial"/>
          <w:sz w:val="20"/>
          <w:szCs w:val="20"/>
          <w:color w:val="auto"/>
        </w:rPr>
        <w:t xml:space="preserve">WHEREAS, the Executive currently serves as the Chief Legal Officer and Senior Executive Vice President of the Company pursuant to an Employment Agreement dated as of December 18, 2017, (the “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 and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WHEREAS, the Company and the Executive wish to amend certain provisions of the Agreement as set forth herein.</w:t>
      </w:r>
    </w:p>
    <w:p>
      <w:pPr>
        <w:spacing w:after="0" w:line="224" w:lineRule="exact"/>
        <w:rPr>
          <w:sz w:val="20"/>
          <w:szCs w:val="20"/>
          <w:color w:val="auto"/>
        </w:rPr>
      </w:pPr>
    </w:p>
    <w:p>
      <w:pPr>
        <w:ind w:firstLine="864"/>
        <w:spacing w:after="0" w:line="269" w:lineRule="auto"/>
        <w:rPr>
          <w:sz w:val="20"/>
          <w:szCs w:val="20"/>
          <w:color w:val="auto"/>
        </w:rPr>
      </w:pPr>
      <w:r>
        <w:rPr>
          <w:rFonts w:ascii="Arial" w:cs="Arial" w:eastAsia="Arial" w:hAnsi="Arial"/>
          <w:sz w:val="21"/>
          <w:szCs w:val="21"/>
          <w:color w:val="auto"/>
        </w:rPr>
        <w:t>NOW, THEREFORE, for good and valuable consideration, the receipt and sufficiency of which is hereby acknowledged, the parties hereto agree as follows:</w:t>
      </w:r>
    </w:p>
    <w:p>
      <w:pPr>
        <w:spacing w:after="0" w:line="153" w:lineRule="exact"/>
        <w:rPr>
          <w:sz w:val="20"/>
          <w:szCs w:val="20"/>
          <w:color w:val="auto"/>
        </w:rPr>
      </w:pPr>
    </w:p>
    <w:p>
      <w:pPr>
        <w:ind w:left="860" w:hanging="853"/>
        <w:spacing w:after="0"/>
        <w:tabs>
          <w:tab w:leader="none" w:pos="8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Capitalized terms used but not defined herein shall have the meanings set forth in the Agreement.</w:t>
      </w:r>
    </w:p>
    <w:p>
      <w:pPr>
        <w:spacing w:after="0" w:line="212" w:lineRule="exact"/>
        <w:rPr>
          <w:rFonts w:ascii="Arial" w:cs="Arial" w:eastAsia="Arial" w:hAnsi="Arial"/>
          <w:sz w:val="21"/>
          <w:szCs w:val="21"/>
          <w:color w:val="auto"/>
        </w:rPr>
      </w:pPr>
    </w:p>
    <w:p>
      <w:pPr>
        <w:ind w:left="860" w:hanging="853"/>
        <w:spacing w:after="0"/>
        <w:tabs>
          <w:tab w:leader="none" w:pos="8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Section 2 of the Agreement is hereby deleted in its entirety and replaced with the following:</w:t>
      </w:r>
    </w:p>
    <w:p>
      <w:pPr>
        <w:spacing w:after="0" w:line="213" w:lineRule="exact"/>
        <w:rPr>
          <w:sz w:val="20"/>
          <w:szCs w:val="20"/>
          <w:color w:val="auto"/>
        </w:rPr>
      </w:pPr>
    </w:p>
    <w:p>
      <w:pPr>
        <w:ind w:left="1700" w:right="120"/>
        <w:spacing w:after="0" w:line="246" w:lineRule="auto"/>
        <w:rPr>
          <w:sz w:val="20"/>
          <w:szCs w:val="20"/>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 The Executive’s employment pursuant to this Agreement shall commence on January 1, 2018 (the “ </w:t>
      </w:r>
      <w:r>
        <w:rPr>
          <w:rFonts w:ascii="Arial" w:cs="Arial" w:eastAsia="Arial" w:hAnsi="Arial"/>
          <w:sz w:val="21"/>
          <w:szCs w:val="21"/>
          <w:b w:val="1"/>
          <w:bCs w:val="1"/>
          <w:i w:val="1"/>
          <w:iCs w:val="1"/>
          <w:color w:val="auto"/>
        </w:rPr>
        <w:t xml:space="preserve">Effective Date </w:t>
      </w:r>
      <w:r>
        <w:rPr>
          <w:rFonts w:ascii="Arial" w:cs="Arial" w:eastAsia="Arial" w:hAnsi="Arial"/>
          <w:sz w:val="21"/>
          <w:szCs w:val="21"/>
          <w:color w:val="auto"/>
        </w:rPr>
        <w:t>”) and shall terminate upon the earlier to occur of (i) the Executive’s termination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employment pursuant to Section 4 hereunder and (ii) December 31, 2023. The period commencing as of the Effective Date and ending on December 31, 2023, or such earlier date on which this Agreement is terminated, is hereinafter referred to as the “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-33655</wp:posOffset>
            </wp:positionV>
            <wp:extent cx="679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58" w:lineRule="exact"/>
        <w:rPr>
          <w:sz w:val="20"/>
          <w:szCs w:val="20"/>
          <w:color w:val="auto"/>
        </w:rPr>
      </w:pPr>
    </w:p>
    <w:p>
      <w:pPr>
        <w:ind w:left="860" w:hanging="853"/>
        <w:spacing w:after="0"/>
        <w:tabs>
          <w:tab w:leader="none" w:pos="860" w:val="left"/>
        </w:tabs>
        <w:numPr>
          <w:ilvl w:val="0"/>
          <w:numId w:val="35"/>
        </w:numPr>
        <w:rPr>
          <w:rFonts w:ascii="Arial" w:cs="Arial" w:eastAsia="Arial" w:hAnsi="Arial"/>
          <w:sz w:val="21"/>
          <w:szCs w:val="21"/>
          <w:color w:val="auto"/>
        </w:rPr>
      </w:pPr>
      <w:r>
        <w:rPr>
          <w:rFonts w:ascii="Arial" w:cs="Arial" w:eastAsia="Arial" w:hAnsi="Arial"/>
          <w:sz w:val="21"/>
          <w:szCs w:val="21"/>
          <w:color w:val="auto"/>
        </w:rPr>
        <w:t>Section 3(a) of the Agreement is hereby deleted in its entirety and replaced with the following:</w:t>
      </w:r>
    </w:p>
    <w:p>
      <w:pPr>
        <w:spacing w:after="0" w:line="213" w:lineRule="exact"/>
        <w:rPr>
          <w:sz w:val="20"/>
          <w:szCs w:val="20"/>
          <w:color w:val="auto"/>
        </w:rPr>
      </w:pPr>
    </w:p>
    <w:p>
      <w:pPr>
        <w:ind w:left="1700" w:right="320"/>
        <w:spacing w:after="0" w:line="283" w:lineRule="auto"/>
        <w:rPr>
          <w:sz w:val="20"/>
          <w:szCs w:val="20"/>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 At the commencement of the Term, the Company shall pay to the Executive an annual salary (the “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xml:space="preserve"> ”) at the rate of $700,000, subject to annual review. Starting in 2020, the Executive’s Base Salary shall be $738,450, subject to annual review. The Base Salary will be payable in substantially equal installments in accordance with the Company’s ordinary payroll practices as established from time to time.</w:t>
      </w:r>
    </w:p>
    <w:p>
      <w:pPr>
        <w:spacing w:after="0" w:line="145" w:lineRule="exact"/>
        <w:rPr>
          <w:sz w:val="20"/>
          <w:szCs w:val="20"/>
          <w:color w:val="auto"/>
        </w:rPr>
      </w:pPr>
    </w:p>
    <w:p>
      <w:pPr>
        <w:ind w:left="860" w:hanging="853"/>
        <w:spacing w:after="0"/>
        <w:tabs>
          <w:tab w:leader="none" w:pos="8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Section 3(c) of the Agreement is hereby deleted in its entirety and replaced with the following:</w:t>
      </w:r>
    </w:p>
    <w:p>
      <w:pPr>
        <w:spacing w:after="0" w:line="212" w:lineRule="exact"/>
        <w:rPr>
          <w:rFonts w:ascii="Arial" w:cs="Arial" w:eastAsia="Arial" w:hAnsi="Arial"/>
          <w:sz w:val="21"/>
          <w:szCs w:val="21"/>
          <w:color w:val="auto"/>
        </w:rPr>
      </w:pPr>
    </w:p>
    <w:p>
      <w:pPr>
        <w:ind w:left="1720" w:hanging="858"/>
        <w:spacing w:after="0"/>
        <w:tabs>
          <w:tab w:leader="none" w:pos="1720"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487680</wp:posOffset>
            </wp:positionV>
            <wp:extent cx="71507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70" w:name="page71"/>
    <w:bookmarkEnd w:id="70"/>
    <w:p>
      <w:pPr>
        <w:ind w:left="2573" w:hanging="850"/>
        <w:spacing w:after="0" w:line="271" w:lineRule="auto"/>
        <w:tabs>
          <w:tab w:leader="none" w:pos="2573"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Each year during the Term the Executive shall receive an equity award . The 2018, 2019, and 2020 awards will each have an aggregate grant date fair market value of $1,400,000 . Starting in 2021 and for the duration of the Term, each annual award will have an aggregate grant date fair market value of $1,450,000 . The 2018 and 2019 annual grants will be comprised of a mix of nonqualified stock options (the “ </w:t>
      </w:r>
      <w:r>
        <w:rPr>
          <w:rFonts w:ascii="Arial" w:cs="Arial" w:eastAsia="Arial" w:hAnsi="Arial"/>
          <w:sz w:val="19"/>
          <w:szCs w:val="19"/>
          <w:b w:val="1"/>
          <w:bCs w:val="1"/>
          <w:i w:val="1"/>
          <w:iCs w:val="1"/>
          <w:color w:val="auto"/>
        </w:rPr>
        <w:t>Options</w:t>
      </w:r>
      <w:r>
        <w:rPr>
          <w:rFonts w:ascii="Arial" w:cs="Arial" w:eastAsia="Arial" w:hAnsi="Arial"/>
          <w:sz w:val="19"/>
          <w:szCs w:val="19"/>
          <w:color w:val="auto"/>
        </w:rPr>
        <w:t xml:space="preserve"> ”) to purchase common shares of the Company, no par value (the “ </w:t>
      </w:r>
      <w:r>
        <w:rPr>
          <w:rFonts w:ascii="Arial" w:cs="Arial" w:eastAsia="Arial" w:hAnsi="Arial"/>
          <w:sz w:val="19"/>
          <w:szCs w:val="19"/>
          <w:b w:val="1"/>
          <w:bCs w:val="1"/>
          <w:i w:val="1"/>
          <w:iCs w:val="1"/>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Shares </w:t>
      </w:r>
      <w:r>
        <w:rPr>
          <w:rFonts w:ascii="Arial" w:cs="Arial" w:eastAsia="Arial" w:hAnsi="Arial"/>
          <w:sz w:val="19"/>
          <w:szCs w:val="19"/>
          <w:color w:val="auto"/>
        </w:rPr>
        <w:t>”) and Restricted Stock Units (“</w:t>
      </w:r>
      <w:r>
        <w:rPr>
          <w:rFonts w:ascii="Arial" w:cs="Arial" w:eastAsia="Arial" w:hAnsi="Arial"/>
          <w:sz w:val="19"/>
          <w:szCs w:val="19"/>
          <w:b w:val="1"/>
          <w:bCs w:val="1"/>
          <w:i w:val="1"/>
          <w:iCs w:val="1"/>
          <w:color w:val="auto"/>
        </w:rPr>
        <w:t xml:space="preserve"> RSUs </w:t>
      </w:r>
      <w:r>
        <w:rPr>
          <w:rFonts w:ascii="Arial" w:cs="Arial" w:eastAsia="Arial" w:hAnsi="Arial"/>
          <w:sz w:val="19"/>
          <w:szCs w:val="19"/>
          <w:color w:val="auto"/>
        </w:rPr>
        <w:t>”). T h e 2018 and 2019 annual grants will consist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25% Options and 75% RSUs. Starting with the third annual grant , which will be made in March 2020, the annual equity award will be comprised of a mix of Performance Stock Units (“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xml:space="preserve"> ”) and RSUs in a ratio consistent with grants given to other senior executives at the time.</w:t>
      </w:r>
    </w:p>
    <w:p>
      <w:pPr>
        <w:spacing w:after="0" w:line="157" w:lineRule="exact"/>
        <w:rPr>
          <w:rFonts w:ascii="Arial" w:cs="Arial" w:eastAsia="Arial" w:hAnsi="Arial"/>
          <w:sz w:val="19"/>
          <w:szCs w:val="19"/>
          <w:color w:val="auto"/>
        </w:rPr>
      </w:pPr>
    </w:p>
    <w:p>
      <w:pPr>
        <w:ind w:left="2573" w:right="20" w:hanging="850"/>
        <w:spacing w:after="0" w:line="274" w:lineRule="auto"/>
        <w:tabs>
          <w:tab w:leader="none" w:pos="2573"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The Options, RSUs, and PSUs shall be granted on the terms and conditions set forth in the IMAX Corporation Amended and Restated Long-Term Incentive Plan, as may be amended from time to time (the “ </w:t>
      </w:r>
      <w:r>
        <w:rPr>
          <w:rFonts w:ascii="Arial" w:cs="Arial" w:eastAsia="Arial" w:hAnsi="Arial"/>
          <w:sz w:val="19"/>
          <w:szCs w:val="19"/>
          <w:b w:val="1"/>
          <w:bCs w:val="1"/>
          <w:i w:val="1"/>
          <w:iCs w:val="1"/>
          <w:color w:val="auto"/>
        </w:rPr>
        <w:t>LTIP</w:t>
      </w:r>
      <w:r>
        <w:rPr>
          <w:rFonts w:ascii="Arial" w:cs="Arial" w:eastAsia="Arial" w:hAnsi="Arial"/>
          <w:sz w:val="19"/>
          <w:szCs w:val="19"/>
          <w:color w:val="auto"/>
        </w:rPr>
        <w:t xml:space="preserve"> ”), the grant agreements to be entered into between the Company and the Executive pursuant to the LTIP, and this Agreement. The equity grants shall be made on or about the time that awards are generally granted to the Company’s senior executives, but in no event later than March of each year of the Term. Except as otherwise provided herein, the Executive must be employed by the Company on the date of grant in order to receive the Options, RSUs, and PSUs.</w:t>
      </w:r>
    </w:p>
    <w:p>
      <w:pPr>
        <w:spacing w:after="0" w:line="150" w:lineRule="exact"/>
        <w:rPr>
          <w:rFonts w:ascii="Arial" w:cs="Arial" w:eastAsia="Arial" w:hAnsi="Arial"/>
          <w:sz w:val="19"/>
          <w:szCs w:val="19"/>
          <w:color w:val="auto"/>
        </w:rPr>
      </w:pPr>
    </w:p>
    <w:p>
      <w:pPr>
        <w:ind w:left="2573" w:right="20" w:hanging="850"/>
        <w:spacing w:after="0" w:line="268" w:lineRule="auto"/>
        <w:tabs>
          <w:tab w:leader="none" w:pos="2573" w:val="left"/>
        </w:tabs>
        <w:numPr>
          <w:ilvl w:val="1"/>
          <w:numId w:val="37"/>
        </w:numPr>
        <w:rPr>
          <w:rFonts w:ascii="Arial" w:cs="Arial" w:eastAsia="Arial" w:hAnsi="Arial"/>
          <w:sz w:val="19"/>
          <w:szCs w:val="19"/>
          <w:color w:val="auto"/>
        </w:rPr>
      </w:pPr>
      <w:r>
        <w:rPr>
          <w:rFonts w:ascii="Arial" w:cs="Arial" w:eastAsia="Arial" w:hAnsi="Arial"/>
          <w:sz w:val="19"/>
          <w:szCs w:val="19"/>
          <w:color w:val="auto"/>
        </w:rPr>
        <w:t>For purposes of determining the number of Options and RSUs to be granted pursuant to this Section 3(c) in 2018 and 2019, the Company shall value (i) the Options in a manner consistent with the Company’s financial statement reporting and (ii) the RSUs based on the Fair Market Value of the Common Shares on the date of grant (as defined in the LTIP). The Options and RSUs granted in the 2018 and 2019 annual grants shall vest in four (4) equal annual installments beginning on the first anniversary of the applicable grant date. The exercise price of the Options shall be the Fair Market Value of the Common Shares on the date of grant. The Options shall have a seven (7) year term. The RSUs granted beginning with the 2020 annual grant shall vest in three (3) annual installments beginning on the first anniversary of the applicable grant date. The PSUs granted beginning with the 2020 annual grant shall vest promptly following the public disclosure of the Company’s financial results for the second year following the year of grant, subject to the achievement of applicable performance conditions. The valuation for PSUs and RSUs granted starting with the 2020 annual grant and continuing through the remainder of the Term shall be consistent with the Company’s valuation for grants given to other senior executives at the time.</w:t>
      </w:r>
    </w:p>
    <w:p>
      <w:pPr>
        <w:spacing w:after="0" w:line="164" w:lineRule="exact"/>
        <w:rPr>
          <w:rFonts w:ascii="Arial" w:cs="Arial" w:eastAsia="Arial" w:hAnsi="Arial"/>
          <w:sz w:val="19"/>
          <w:szCs w:val="19"/>
          <w:color w:val="auto"/>
        </w:rPr>
      </w:pPr>
    </w:p>
    <w:p>
      <w:pPr>
        <w:ind w:left="853" w:hanging="853"/>
        <w:spacing w:after="0"/>
        <w:tabs>
          <w:tab w:leader="none" w:pos="853" w:val="left"/>
        </w:tabs>
        <w:numPr>
          <w:ilvl w:val="0"/>
          <w:numId w:val="38"/>
        </w:numPr>
        <w:rPr>
          <w:rFonts w:ascii="Arial" w:cs="Arial" w:eastAsia="Arial" w:hAnsi="Arial"/>
          <w:sz w:val="21"/>
          <w:szCs w:val="21"/>
          <w:color w:val="auto"/>
        </w:rPr>
      </w:pPr>
      <w:r>
        <w:rPr>
          <w:rFonts w:ascii="Arial" w:cs="Arial" w:eastAsia="Arial" w:hAnsi="Arial"/>
          <w:sz w:val="21"/>
          <w:szCs w:val="21"/>
          <w:color w:val="auto"/>
        </w:rPr>
        <w:t>Section 3(j) of the Agreement is hereby deleted in its entirety and replaced with the following:</w:t>
      </w:r>
    </w:p>
    <w:p>
      <w:pPr>
        <w:spacing w:after="0" w:line="200" w:lineRule="exact"/>
        <w:rPr>
          <w:sz w:val="20"/>
          <w:szCs w:val="20"/>
          <w:color w:val="auto"/>
        </w:rPr>
      </w:pPr>
    </w:p>
    <w:p>
      <w:pPr>
        <w:spacing w:after="0" w:line="226"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07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32" w:right="339" w:bottom="1440" w:gutter="0" w:footer="0" w:header="0"/>
        </w:sectPr>
      </w:pPr>
    </w:p>
    <w:bookmarkStart w:id="71" w:name="page72"/>
    <w:bookmarkEnd w:id="71"/>
    <w:p>
      <w:pPr>
        <w:ind w:left="1700"/>
        <w:spacing w:after="0" w:line="246" w:lineRule="auto"/>
        <w:rPr>
          <w:sz w:val="20"/>
          <w:szCs w:val="20"/>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xml:space="preserve"> . For 2018 , 2019 , and 2020, t he Company shall reimburse the Executive for up to $10,000 per year for financial, estate and tax planning services, which shall be a taxable benefit to the Executive. For 202 1 , 2022, and 2023 , t he Company shall reimburse the Executive for up to $1 5 ,000 per year for financial, estate and tax planning services, life insurance premiums, and charitable contributions, which shall be a taxable benefit to the Executive.</w:t>
      </w:r>
    </w:p>
    <w:p>
      <w:pPr>
        <w:spacing w:after="0" w:line="178" w:lineRule="exact"/>
        <w:rPr>
          <w:sz w:val="20"/>
          <w:szCs w:val="20"/>
          <w:color w:val="auto"/>
        </w:rPr>
      </w:pPr>
    </w:p>
    <w:p>
      <w:pPr>
        <w:ind w:left="860" w:right="60" w:hanging="853"/>
        <w:spacing w:after="0" w:line="269" w:lineRule="auto"/>
        <w:tabs>
          <w:tab w:leader="none" w:pos="8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Section 4(a) of the Agreement is hereby revised by deleting the third sentence thereof in its entirety and replacing it with the following:</w:t>
      </w:r>
    </w:p>
    <w:p>
      <w:pPr>
        <w:spacing w:after="0" w:line="153" w:lineRule="exact"/>
        <w:rPr>
          <w:sz w:val="20"/>
          <w:szCs w:val="20"/>
          <w:color w:val="auto"/>
        </w:rPr>
      </w:pPr>
    </w:p>
    <w:p>
      <w:pPr>
        <w:ind w:left="1740"/>
        <w:spacing w:after="0" w:line="245" w:lineRule="auto"/>
        <w:rPr>
          <w:sz w:val="20"/>
          <w:szCs w:val="20"/>
          <w:color w:val="auto"/>
        </w:rPr>
      </w:pPr>
      <w:r>
        <w:rPr>
          <w:rFonts w:ascii="Arial" w:cs="Arial" w:eastAsia="Arial" w:hAnsi="Arial"/>
          <w:sz w:val="21"/>
          <w:szCs w:val="21"/>
          <w:color w:val="auto"/>
        </w:rPr>
        <w:t>Furthermore, upon a termination of employment as the result of the Executive’s death or Disability, a portion of the Executive’s Options, RSUs, and PSUs that have already been granted pursuant to this Agreement shall vest such that, when combined with previously vested Options, RSUs, and PSUs, an aggregate of 50% of all of the Options, RSUs, and PSUs that have been granted pursuant to this Agreement shall have vested (in the case of PSUs, subject to the achievement of the original performance conditions, measured at the conclusion of the relevant performance period).</w:t>
      </w:r>
    </w:p>
    <w:p>
      <w:pPr>
        <w:spacing w:after="0" w:line="177" w:lineRule="exact"/>
        <w:rPr>
          <w:sz w:val="20"/>
          <w:szCs w:val="20"/>
          <w:color w:val="auto"/>
        </w:rPr>
      </w:pPr>
    </w:p>
    <w:p>
      <w:pPr>
        <w:ind w:left="860" w:right="140" w:hanging="853"/>
        <w:spacing w:after="0" w:line="269" w:lineRule="auto"/>
        <w:tabs>
          <w:tab w:leader="none" w:pos="8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Section 4(b) of the Agreement is hereby revised by deleting clause (B) in the first sentence thereof and replacing it with the following:</w:t>
      </w:r>
    </w:p>
    <w:p>
      <w:pPr>
        <w:spacing w:after="0" w:line="153" w:lineRule="exact"/>
        <w:rPr>
          <w:rFonts w:ascii="Arial" w:cs="Arial" w:eastAsia="Arial" w:hAnsi="Arial"/>
          <w:sz w:val="21"/>
          <w:szCs w:val="21"/>
          <w:color w:val="auto"/>
        </w:rPr>
      </w:pPr>
    </w:p>
    <w:p>
      <w:pPr>
        <w:ind w:left="1740" w:right="180" w:hanging="5"/>
        <w:spacing w:after="0" w:line="278" w:lineRule="auto"/>
        <w:tabs>
          <w:tab w:leader="none" w:pos="2078" w:val="left"/>
        </w:tabs>
        <w:numPr>
          <w:ilvl w:val="3"/>
          <w:numId w:val="40"/>
        </w:numPr>
        <w:rPr>
          <w:rFonts w:ascii="Arial" w:cs="Arial" w:eastAsia="Arial" w:hAnsi="Arial"/>
          <w:sz w:val="19"/>
          <w:szCs w:val="19"/>
          <w:color w:val="auto"/>
        </w:rPr>
      </w:pPr>
      <w:r>
        <w:rPr>
          <w:rFonts w:ascii="Arial" w:cs="Arial" w:eastAsia="Arial" w:hAnsi="Arial"/>
          <w:sz w:val="19"/>
          <w:szCs w:val="19"/>
          <w:color w:val="auto"/>
        </w:rPr>
        <w:t xml:space="preserve">all unvested Options and outstanding RSUs and PSUs, and any unvested stock options and unvested restricted stock units included in the Prior Grants and any other outstanding unvested stock options, unvested restricted stock units, unvested performance shares or unvested performance stock units granted to the Executive after the date hereof (collectively, the “ </w:t>
      </w:r>
      <w:r>
        <w:rPr>
          <w:rFonts w:ascii="Arial" w:cs="Arial" w:eastAsia="Arial" w:hAnsi="Arial"/>
          <w:sz w:val="19"/>
          <w:szCs w:val="19"/>
          <w:b w:val="1"/>
          <w:bCs w:val="1"/>
          <w:i w:val="1"/>
          <w:iCs w:val="1"/>
          <w:color w:val="auto"/>
        </w:rPr>
        <w:t>Unvested Equity Awards</w:t>
      </w:r>
      <w:r>
        <w:rPr>
          <w:rFonts w:ascii="Arial" w:cs="Arial" w:eastAsia="Arial" w:hAnsi="Arial"/>
          <w:sz w:val="19"/>
          <w:szCs w:val="19"/>
          <w:color w:val="auto"/>
        </w:rPr>
        <w:t xml:space="preserve"> ”), will be cancelled without consideration and the Executive shall have no further rights with respect to such Unvested Equity Awards.</w:t>
      </w:r>
    </w:p>
    <w:p>
      <w:pPr>
        <w:spacing w:after="0" w:line="150" w:lineRule="exact"/>
        <w:rPr>
          <w:rFonts w:ascii="Arial" w:cs="Arial" w:eastAsia="Arial" w:hAnsi="Arial"/>
          <w:sz w:val="19"/>
          <w:szCs w:val="19"/>
          <w:color w:val="auto"/>
        </w:rPr>
      </w:pPr>
    </w:p>
    <w:p>
      <w:pPr>
        <w:ind w:left="860" w:hanging="853"/>
        <w:spacing w:after="0"/>
        <w:tabs>
          <w:tab w:leader="none" w:pos="8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Section 4(c)(i)(D) of the Agreement is hereby deleted in its entirety and replaced with the following:</w:t>
      </w:r>
    </w:p>
    <w:p>
      <w:pPr>
        <w:spacing w:after="0" w:line="212" w:lineRule="exact"/>
        <w:rPr>
          <w:rFonts w:ascii="Arial" w:cs="Arial" w:eastAsia="Arial" w:hAnsi="Arial"/>
          <w:sz w:val="21"/>
          <w:szCs w:val="21"/>
          <w:color w:val="auto"/>
        </w:rPr>
      </w:pPr>
    </w:p>
    <w:p>
      <w:pPr>
        <w:ind w:left="880" w:right="300" w:hanging="9"/>
        <w:spacing w:after="0" w:line="269" w:lineRule="auto"/>
        <w:tabs>
          <w:tab w:leader="none" w:pos="1871" w:val="left"/>
        </w:tabs>
        <w:numPr>
          <w:ilvl w:val="1"/>
          <w:numId w:val="40"/>
        </w:numPr>
        <w:rPr>
          <w:rFonts w:ascii="Arial" w:cs="Arial" w:eastAsia="Arial" w:hAnsi="Arial"/>
          <w:sz w:val="21"/>
          <w:szCs w:val="21"/>
          <w:color w:val="auto"/>
        </w:rPr>
      </w:pPr>
      <w:r>
        <w:rPr>
          <w:rFonts w:ascii="Arial" w:cs="Arial" w:eastAsia="Arial" w:hAnsi="Arial"/>
          <w:sz w:val="21"/>
          <w:szCs w:val="21"/>
          <w:color w:val="auto"/>
        </w:rPr>
        <w:t>for all Options, RSUs, and PSUs other than those awarded during the 2021, 2022, and 2023 annual grants, equity that has not yet been granted or has not yet vested shall be treated as follows:</w:t>
      </w:r>
    </w:p>
    <w:p>
      <w:pPr>
        <w:spacing w:after="0" w:line="153" w:lineRule="exact"/>
        <w:rPr>
          <w:rFonts w:ascii="Arial" w:cs="Arial" w:eastAsia="Arial" w:hAnsi="Arial"/>
          <w:sz w:val="21"/>
          <w:szCs w:val="21"/>
          <w:color w:val="auto"/>
        </w:rPr>
      </w:pPr>
    </w:p>
    <w:p>
      <w:pPr>
        <w:ind w:left="880" w:right="40" w:firstLine="449"/>
        <w:spacing w:after="0" w:line="269" w:lineRule="auto"/>
        <w:tabs>
          <w:tab w:leader="none" w:pos="2193" w:val="left"/>
        </w:tabs>
        <w:numPr>
          <w:ilvl w:val="2"/>
          <w:numId w:val="40"/>
        </w:numPr>
        <w:rPr>
          <w:rFonts w:ascii="Arial" w:cs="Arial" w:eastAsia="Arial" w:hAnsi="Arial"/>
          <w:sz w:val="21"/>
          <w:szCs w:val="21"/>
          <w:color w:val="auto"/>
        </w:rPr>
      </w:pPr>
      <w:r>
        <w:rPr>
          <w:rFonts w:ascii="Arial" w:cs="Arial" w:eastAsia="Arial" w:hAnsi="Arial"/>
          <w:sz w:val="21"/>
          <w:szCs w:val="21"/>
          <w:color w:val="auto"/>
        </w:rPr>
        <w:t>If the termination without Cause or resignation for Good Reason occurs prior to the 2020 grant, the entire 2020 grant is forfeited;</w:t>
      </w:r>
    </w:p>
    <w:p>
      <w:pPr>
        <w:spacing w:after="0" w:line="153" w:lineRule="exact"/>
        <w:rPr>
          <w:rFonts w:ascii="Arial" w:cs="Arial" w:eastAsia="Arial" w:hAnsi="Arial"/>
          <w:sz w:val="21"/>
          <w:szCs w:val="21"/>
          <w:color w:val="auto"/>
        </w:rPr>
      </w:pPr>
    </w:p>
    <w:p>
      <w:pPr>
        <w:ind w:left="880" w:right="100" w:firstLine="449"/>
        <w:spacing w:after="0" w:line="269" w:lineRule="auto"/>
        <w:tabs>
          <w:tab w:leader="none" w:pos="2193" w:val="left"/>
        </w:tabs>
        <w:numPr>
          <w:ilvl w:val="2"/>
          <w:numId w:val="40"/>
        </w:numPr>
        <w:rPr>
          <w:rFonts w:ascii="Arial" w:cs="Arial" w:eastAsia="Arial" w:hAnsi="Arial"/>
          <w:sz w:val="21"/>
          <w:szCs w:val="21"/>
          <w:color w:val="auto"/>
        </w:rPr>
      </w:pPr>
      <w:r>
        <w:rPr>
          <w:rFonts w:ascii="Arial" w:cs="Arial" w:eastAsia="Arial" w:hAnsi="Arial"/>
          <w:sz w:val="21"/>
          <w:szCs w:val="21"/>
          <w:color w:val="auto"/>
        </w:rPr>
        <w:t>If the termination without Cause or resignation for Good Reason occurs prior to the 2019 grant, the 2019 Option grant is forfeited and the 2019 RSU grant is granted with immediate vesting;</w:t>
      </w:r>
    </w:p>
    <w:p>
      <w:pPr>
        <w:spacing w:after="0" w:line="153" w:lineRule="exact"/>
        <w:rPr>
          <w:rFonts w:ascii="Arial" w:cs="Arial" w:eastAsia="Arial" w:hAnsi="Arial"/>
          <w:sz w:val="21"/>
          <w:szCs w:val="21"/>
          <w:color w:val="auto"/>
        </w:rPr>
      </w:pPr>
    </w:p>
    <w:p>
      <w:pPr>
        <w:ind w:left="880" w:right="180" w:firstLine="449"/>
        <w:spacing w:after="0" w:line="273" w:lineRule="auto"/>
        <w:tabs>
          <w:tab w:leader="none" w:pos="2193" w:val="left"/>
        </w:tabs>
        <w:numPr>
          <w:ilvl w:val="2"/>
          <w:numId w:val="40"/>
        </w:numPr>
        <w:rPr>
          <w:rFonts w:ascii="Arial" w:cs="Arial" w:eastAsia="Arial" w:hAnsi="Arial"/>
          <w:sz w:val="20"/>
          <w:szCs w:val="20"/>
          <w:color w:val="auto"/>
        </w:rPr>
      </w:pPr>
      <w:r>
        <w:rPr>
          <w:rFonts w:ascii="Arial" w:cs="Arial" w:eastAsia="Arial" w:hAnsi="Arial"/>
          <w:sz w:val="20"/>
          <w:szCs w:val="20"/>
          <w:color w:val="auto"/>
        </w:rPr>
        <w:t>Except as set forth above, all Unvested Equity Awards following a termination without Cause or resignation for Good Reason survive and shall vest immediately (in the case of PSUs, subject to the achievement of the original performance conditions, measured at the conclusion of the relevant performance period);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2" w:name="page73"/>
    <w:bookmarkEnd w:id="72"/>
    <w:p>
      <w:pPr>
        <w:ind w:left="873" w:right="140" w:firstLine="449"/>
        <w:spacing w:after="0" w:line="269" w:lineRule="auto"/>
        <w:tabs>
          <w:tab w:leader="none" w:pos="2186" w:val="left"/>
        </w:tabs>
        <w:numPr>
          <w:ilvl w:val="2"/>
          <w:numId w:val="41"/>
        </w:numPr>
        <w:rPr>
          <w:rFonts w:ascii="Arial" w:cs="Arial" w:eastAsia="Arial" w:hAnsi="Arial"/>
          <w:sz w:val="21"/>
          <w:szCs w:val="21"/>
          <w:color w:val="auto"/>
        </w:rPr>
      </w:pPr>
      <w:r>
        <w:rPr>
          <w:rFonts w:ascii="Arial" w:cs="Arial" w:eastAsia="Arial" w:hAnsi="Arial"/>
          <w:sz w:val="21"/>
          <w:szCs w:val="21"/>
          <w:color w:val="auto"/>
        </w:rPr>
        <w:t>The Executive will have 12 months after a termination without Cause or resignation for Good Reason to exercise vested Options.</w:t>
      </w:r>
    </w:p>
    <w:p>
      <w:pPr>
        <w:spacing w:after="0" w:line="153" w:lineRule="exact"/>
        <w:rPr>
          <w:rFonts w:ascii="Arial" w:cs="Arial" w:eastAsia="Arial" w:hAnsi="Arial"/>
          <w:sz w:val="21"/>
          <w:szCs w:val="21"/>
          <w:color w:val="auto"/>
        </w:rPr>
      </w:pPr>
    </w:p>
    <w:p>
      <w:pPr>
        <w:ind w:left="853" w:hanging="853"/>
        <w:spacing w:after="0"/>
        <w:tabs>
          <w:tab w:leader="none" w:pos="853" w:val="left"/>
        </w:tabs>
        <w:numPr>
          <w:ilvl w:val="0"/>
          <w:numId w:val="42"/>
        </w:numPr>
        <w:rPr>
          <w:rFonts w:ascii="Arial" w:cs="Arial" w:eastAsia="Arial" w:hAnsi="Arial"/>
          <w:sz w:val="21"/>
          <w:szCs w:val="21"/>
          <w:color w:val="auto"/>
        </w:rPr>
      </w:pPr>
      <w:r>
        <w:rPr>
          <w:rFonts w:ascii="Arial" w:cs="Arial" w:eastAsia="Arial" w:hAnsi="Arial"/>
          <w:sz w:val="21"/>
          <w:szCs w:val="21"/>
          <w:color w:val="auto"/>
        </w:rPr>
        <w:t>A new section 4(c)(i)(E) of the Agreement is hereby added, as follows:</w:t>
      </w:r>
    </w:p>
    <w:p>
      <w:pPr>
        <w:spacing w:after="0" w:line="212" w:lineRule="exact"/>
        <w:rPr>
          <w:rFonts w:ascii="Arial" w:cs="Arial" w:eastAsia="Arial" w:hAnsi="Arial"/>
          <w:sz w:val="21"/>
          <w:szCs w:val="21"/>
          <w:color w:val="auto"/>
        </w:rPr>
      </w:pPr>
    </w:p>
    <w:p>
      <w:pPr>
        <w:ind w:left="873" w:right="20" w:hanging="9"/>
        <w:spacing w:after="0" w:line="278" w:lineRule="auto"/>
        <w:tabs>
          <w:tab w:leader="none" w:pos="1841"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for the 2021, 2022, and 2023 annual grants, all outstanding equity will be treated in accordance with the LTIP or the applicable award letters;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granted Options, PSUs, and RSUs shall continue to vest on schedule during the Severance Period (in the case of PSUs, subject to the achievement of applicable performance conditions), and (b) all vested Options shall remain exercisable until the first to occur of (i) the passage of twelve (12) months beyond the end of the Severance Period, and (ii) the expiration of the remaining term of the vested Options.</w:t>
      </w:r>
    </w:p>
    <w:p>
      <w:pPr>
        <w:spacing w:after="0" w:line="150" w:lineRule="exact"/>
        <w:rPr>
          <w:rFonts w:ascii="Arial" w:cs="Arial" w:eastAsia="Arial" w:hAnsi="Arial"/>
          <w:sz w:val="19"/>
          <w:szCs w:val="19"/>
          <w:color w:val="auto"/>
        </w:rPr>
      </w:pPr>
    </w:p>
    <w:p>
      <w:pPr>
        <w:ind w:left="853" w:right="120" w:hanging="853"/>
        <w:spacing w:after="0" w:line="269" w:lineRule="auto"/>
        <w:tabs>
          <w:tab w:leader="none" w:pos="853" w:val="left"/>
        </w:tabs>
        <w:numPr>
          <w:ilvl w:val="0"/>
          <w:numId w:val="42"/>
        </w:numPr>
        <w:rPr>
          <w:rFonts w:ascii="Arial" w:cs="Arial" w:eastAsia="Arial" w:hAnsi="Arial"/>
          <w:sz w:val="21"/>
          <w:szCs w:val="21"/>
          <w:color w:val="auto"/>
        </w:rPr>
      </w:pPr>
      <w:r>
        <w:rPr>
          <w:rFonts w:ascii="Arial" w:cs="Arial" w:eastAsia="Arial" w:hAnsi="Arial"/>
          <w:sz w:val="21"/>
          <w:szCs w:val="21"/>
          <w:color w:val="auto"/>
        </w:rPr>
        <w:t>Section 4(d) of the Agreement is hereby amended by deleting subsection 4(d)(i) and replacing it with the following, and by adding the following new subsections 4(d)(iv), 4(d)(v), and 4(d)(vi):</w:t>
      </w:r>
    </w:p>
    <w:p>
      <w:pPr>
        <w:spacing w:after="0" w:line="153" w:lineRule="exact"/>
        <w:rPr>
          <w:sz w:val="20"/>
          <w:szCs w:val="20"/>
          <w:color w:val="auto"/>
        </w:rPr>
      </w:pPr>
    </w:p>
    <w:p>
      <w:pPr>
        <w:ind w:left="1693" w:right="20" w:firstLine="9"/>
        <w:spacing w:after="0" w:line="273" w:lineRule="auto"/>
        <w:tabs>
          <w:tab w:leader="none" w:pos="19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 addition to the payments under Section 4(c) and subject to Section 4(f), the Executive shall receive a cash payment equal to $1,400,000 for each annual equity grant in 2018, 2019, and 2020 under Section 3(c) of this Agreement that has not been made as of the date of the Separation from Service.</w:t>
      </w:r>
    </w:p>
    <w:p>
      <w:pPr>
        <w:spacing w:after="0" w:line="150" w:lineRule="exact"/>
        <w:rPr>
          <w:sz w:val="20"/>
          <w:szCs w:val="20"/>
          <w:color w:val="auto"/>
        </w:rPr>
      </w:pPr>
    </w:p>
    <w:p>
      <w:pPr>
        <w:ind w:left="2073" w:hanging="371"/>
        <w:spacing w:after="0"/>
        <w:tabs>
          <w:tab w:leader="none" w:pos="2073" w:val="left"/>
        </w:tabs>
        <w:numPr>
          <w:ilvl w:val="1"/>
          <w:numId w:val="44"/>
        </w:numPr>
        <w:rPr>
          <w:rFonts w:ascii="Arial" w:cs="Arial" w:eastAsia="Arial" w:hAnsi="Arial"/>
          <w:sz w:val="19"/>
          <w:szCs w:val="19"/>
          <w:color w:val="auto"/>
        </w:rPr>
      </w:pPr>
      <w:r>
        <w:rPr>
          <w:rFonts w:ascii="Arial" w:cs="Arial" w:eastAsia="Arial" w:hAnsi="Arial"/>
          <w:sz w:val="19"/>
          <w:szCs w:val="19"/>
          <w:color w:val="auto"/>
        </w:rPr>
        <w:t>All of the Executive’s granted and outstanding Options and RSUs shall accelerate and vest immediately.</w:t>
      </w:r>
    </w:p>
    <w:p>
      <w:pPr>
        <w:spacing w:after="0" w:line="235" w:lineRule="exact"/>
        <w:rPr>
          <w:rFonts w:ascii="Arial" w:cs="Arial" w:eastAsia="Arial" w:hAnsi="Arial"/>
          <w:sz w:val="19"/>
          <w:szCs w:val="19"/>
          <w:color w:val="auto"/>
        </w:rPr>
      </w:pPr>
    </w:p>
    <w:p>
      <w:pPr>
        <w:ind w:left="1693" w:firstLine="9"/>
        <w:spacing w:after="0" w:line="270" w:lineRule="auto"/>
        <w:tabs>
          <w:tab w:leader="none" w:pos="1996" w:val="left"/>
        </w:tabs>
        <w:numPr>
          <w:ilvl w:val="1"/>
          <w:numId w:val="44"/>
        </w:numPr>
        <w:rPr>
          <w:rFonts w:ascii="Arial" w:cs="Arial" w:eastAsia="Arial" w:hAnsi="Arial"/>
          <w:sz w:val="19"/>
          <w:szCs w:val="19"/>
          <w:color w:val="auto"/>
        </w:rPr>
      </w:pPr>
      <w:r>
        <w:rPr>
          <w:rFonts w:ascii="Arial" w:cs="Arial" w:eastAsia="Arial" w:hAnsi="Arial"/>
          <w:sz w:val="19"/>
          <w:szCs w:val="19"/>
          <w:color w:val="auto"/>
        </w:rPr>
        <w:t>With respect to Executive’s granted and outstanding PSUs, any requirement for continued service through the end of the applicable performance period shall be waived, and the number of Executive’s PSUs that may become vested and settled in accordance with the terms thereof at the end of the applicable performance period shall be measured by the greater of (x) the Company’s performance on the last trading day immediately preceding the date upon which the Change in Control is consummated, or (y) to the extent that the performance conditions remain applicable to the Company following the Change in Control, as determined in good faith by the Board, then the actual performance of the Company against those performance conditions as of the end of the applicable performance period will determine the number of PSUs that vest. To the extent that the performance conditions no longer apply to the Company following a Change of Control, then clause (x) shall determine the number of PSUs that may vest. Any unvested PSUs that do not vest in accordance with the foregoing shall be forfeited and canceled and the Executive shall have no further rights with respect thereto.</w:t>
      </w:r>
    </w:p>
    <w:p>
      <w:pPr>
        <w:spacing w:after="0" w:line="154" w:lineRule="exact"/>
        <w:rPr>
          <w:rFonts w:ascii="Arial" w:cs="Arial" w:eastAsia="Arial" w:hAnsi="Arial"/>
          <w:sz w:val="19"/>
          <w:szCs w:val="19"/>
          <w:color w:val="auto"/>
        </w:rPr>
      </w:pPr>
    </w:p>
    <w:p>
      <w:pPr>
        <w:ind w:left="1693" w:right="380" w:firstLine="9"/>
        <w:spacing w:after="0" w:line="295" w:lineRule="auto"/>
        <w:tabs>
          <w:tab w:leader="none" w:pos="2055" w:val="left"/>
        </w:tabs>
        <w:numPr>
          <w:ilvl w:val="1"/>
          <w:numId w:val="44"/>
        </w:numPr>
        <w:rPr>
          <w:rFonts w:ascii="Arial" w:cs="Arial" w:eastAsia="Arial" w:hAnsi="Arial"/>
          <w:sz w:val="20"/>
          <w:szCs w:val="20"/>
          <w:color w:val="auto"/>
        </w:rPr>
      </w:pPr>
      <w:r>
        <w:rPr>
          <w:rFonts w:ascii="Arial" w:cs="Arial" w:eastAsia="Arial" w:hAnsi="Arial"/>
          <w:sz w:val="20"/>
          <w:szCs w:val="20"/>
          <w:color w:val="auto"/>
        </w:rPr>
        <w:t>For the sake of clarity, the Executive shall not receive any compensation for any annual equity grant in 2021, 2022, and 2023 that has not been made as of the date of the Separation from Service.</w:t>
      </w:r>
    </w:p>
    <w:p>
      <w:pPr>
        <w:spacing w:after="0" w:line="129" w:lineRule="exact"/>
        <w:rPr>
          <w:rFonts w:ascii="Arial" w:cs="Arial" w:eastAsia="Arial" w:hAnsi="Arial"/>
          <w:sz w:val="20"/>
          <w:szCs w:val="20"/>
          <w:color w:val="auto"/>
        </w:rPr>
      </w:pPr>
    </w:p>
    <w:p>
      <w:pPr>
        <w:ind w:left="853" w:hanging="853"/>
        <w:spacing w:after="0"/>
        <w:tabs>
          <w:tab w:leader="none" w:pos="853" w:val="left"/>
        </w:tabs>
        <w:numPr>
          <w:ilvl w:val="0"/>
          <w:numId w:val="45"/>
        </w:numPr>
        <w:rPr>
          <w:rFonts w:ascii="Arial" w:cs="Arial" w:eastAsia="Arial" w:hAnsi="Arial"/>
          <w:sz w:val="21"/>
          <w:szCs w:val="21"/>
          <w:color w:val="auto"/>
        </w:rPr>
      </w:pPr>
      <w:r>
        <w:rPr>
          <w:rFonts w:ascii="Arial" w:cs="Arial" w:eastAsia="Arial" w:hAnsi="Arial"/>
          <w:sz w:val="21"/>
          <w:szCs w:val="21"/>
          <w:color w:val="auto"/>
        </w:rPr>
        <w:t>Section 4(e)(ii) of the Agreement is hereby deleted in its entirety and replaced with the following:</w:t>
      </w:r>
    </w:p>
    <w:p>
      <w:pPr>
        <w:spacing w:after="0" w:line="200" w:lineRule="exact"/>
        <w:rPr>
          <w:sz w:val="20"/>
          <w:szCs w:val="20"/>
          <w:color w:val="auto"/>
        </w:rPr>
      </w:pPr>
    </w:p>
    <w:p>
      <w:pPr>
        <w:spacing w:after="0" w:line="226"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07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33"/>
          </w:cols>
          <w:pgMar w:left="327" w:top="332" w:right="339" w:bottom="1440" w:gutter="0" w:footer="0" w:header="0"/>
        </w:sectPr>
      </w:pPr>
    </w:p>
    <w:bookmarkStart w:id="73" w:name="page74"/>
    <w:bookmarkEnd w:id="73"/>
    <w:p>
      <w:pPr>
        <w:ind w:left="1700" w:right="100" w:firstLine="9"/>
        <w:spacing w:after="0" w:line="246" w:lineRule="auto"/>
        <w:tabs>
          <w:tab w:leader="none" w:pos="2015" w:val="left"/>
        </w:tabs>
        <w:numPr>
          <w:ilvl w:val="1"/>
          <w:numId w:val="46"/>
        </w:numPr>
        <w:rPr>
          <w:rFonts w:ascii="Arial" w:cs="Arial" w:eastAsia="Arial" w:hAnsi="Arial"/>
          <w:sz w:val="21"/>
          <w:szCs w:val="21"/>
          <w:color w:val="auto"/>
        </w:rPr>
      </w:pPr>
      <w:r>
        <w:rPr>
          <w:rFonts w:ascii="Arial" w:cs="Arial" w:eastAsia="Arial" w:hAnsi="Arial"/>
          <w:sz w:val="21"/>
          <w:szCs w:val="21"/>
          <w:color w:val="auto"/>
        </w:rPr>
        <w:t>All equity that remains unvested as of December 31, 2023 will, pursuant to the Service Factor provision in the LTIP and the grant agreements entered into between the Company and the Executive pursuant to the LTIP, continue to vest in accordance with the original vesting schedule (in the case of PSUs, subject to the achievement of the original performance conditions, measured at the conclusion of the relevant performance period) .</w:t>
      </w:r>
    </w:p>
    <w:p>
      <w:pPr>
        <w:spacing w:after="0" w:line="178" w:lineRule="exact"/>
        <w:rPr>
          <w:rFonts w:ascii="Arial" w:cs="Arial" w:eastAsia="Arial" w:hAnsi="Arial"/>
          <w:sz w:val="21"/>
          <w:szCs w:val="21"/>
          <w:color w:val="auto"/>
        </w:rPr>
      </w:pPr>
    </w:p>
    <w:p>
      <w:pPr>
        <w:ind w:left="860" w:right="300" w:hanging="853"/>
        <w:spacing w:after="0" w:line="269" w:lineRule="auto"/>
        <w:tabs>
          <w:tab w:leader="none" w:pos="8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Section 21 of the Agreement is hereby revised by deleting the notice address for the Company therein and replacing it with the following:</w:t>
      </w:r>
    </w:p>
    <w:p>
      <w:pPr>
        <w:spacing w:after="0" w:line="153"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IMAX Corporation</w:t>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 xml:space="preserve">902 Broadway, 20 </w:t>
      </w:r>
      <w:r>
        <w:rPr>
          <w:rFonts w:ascii="Arial" w:cs="Arial" w:eastAsia="Arial" w:hAnsi="Arial"/>
          <w:sz w:val="18"/>
          <w:szCs w:val="18"/>
          <w:color w:val="auto"/>
        </w:rPr>
        <w:t>th</w:t>
      </w:r>
      <w:r>
        <w:rPr>
          <w:rFonts w:ascii="Arial" w:cs="Arial" w:eastAsia="Arial" w:hAnsi="Arial"/>
          <w:sz w:val="21"/>
          <w:szCs w:val="21"/>
          <w:color w:val="auto"/>
        </w:rPr>
        <w:t xml:space="preserve"> Floor</w:t>
      </w:r>
    </w:p>
    <w:p>
      <w:pPr>
        <w:ind w:left="1700"/>
        <w:spacing w:after="0" w:line="238" w:lineRule="auto"/>
        <w:rPr>
          <w:sz w:val="20"/>
          <w:szCs w:val="20"/>
          <w:color w:val="auto"/>
        </w:rPr>
      </w:pPr>
      <w:r>
        <w:rPr>
          <w:rFonts w:ascii="Arial" w:cs="Arial" w:eastAsia="Arial" w:hAnsi="Arial"/>
          <w:sz w:val="21"/>
          <w:szCs w:val="21"/>
          <w:color w:val="auto"/>
        </w:rPr>
        <w:t>New York, NY 10010</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Attention: EVP &amp; Chief People Officer</w:t>
      </w:r>
    </w:p>
    <w:p>
      <w:pPr>
        <w:spacing w:after="0" w:line="195" w:lineRule="exact"/>
        <w:rPr>
          <w:sz w:val="20"/>
          <w:szCs w:val="20"/>
          <w:color w:val="auto"/>
        </w:rPr>
      </w:pPr>
    </w:p>
    <w:p>
      <w:pPr>
        <w:ind w:left="860" w:hanging="853"/>
        <w:spacing w:after="0"/>
        <w:tabs>
          <w:tab w:leader="none" w:pos="8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Except as amended herein, all other terms of the Agreement shall remain in full force, unamended.</w:t>
      </w:r>
    </w:p>
    <w:p>
      <w:pPr>
        <w:spacing w:after="0" w:line="200" w:lineRule="exact"/>
        <w:rPr>
          <w:sz w:val="20"/>
          <w:szCs w:val="20"/>
          <w:color w:val="auto"/>
        </w:rPr>
      </w:pPr>
    </w:p>
    <w:p>
      <w:pPr>
        <w:spacing w:after="0" w:line="226" w:lineRule="exact"/>
        <w:rPr>
          <w:sz w:val="20"/>
          <w:szCs w:val="20"/>
          <w:color w:val="auto"/>
        </w:rPr>
      </w:pPr>
    </w:p>
    <w:p>
      <w:pPr>
        <w:ind w:right="300"/>
        <w:spacing w:after="0" w:line="269" w:lineRule="auto"/>
        <w:rPr>
          <w:sz w:val="20"/>
          <w:szCs w:val="20"/>
          <w:color w:val="auto"/>
        </w:rPr>
      </w:pPr>
      <w:r>
        <w:rPr>
          <w:rFonts w:ascii="Arial" w:cs="Arial" w:eastAsia="Arial" w:hAnsi="Arial"/>
          <w:sz w:val="21"/>
          <w:szCs w:val="21"/>
          <w:color w:val="auto"/>
        </w:rPr>
        <w:t>IN WITNESS WHEREOF, the Company and the Executive have duly executed and delivered this First Amending Agreement as of the date first set forth above.</w:t>
      </w: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Arial" w:cs="Arial" w:eastAsia="Arial" w:hAnsi="Arial"/>
          <w:sz w:val="21"/>
          <w:szCs w:val="21"/>
          <w:b w:val="1"/>
          <w:bCs w:val="1"/>
          <w:color w:val="auto"/>
        </w:rPr>
        <w:t>IMAX CORPORATION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9620"/>
        <w:spacing w:after="0"/>
        <w:tabs>
          <w:tab w:leader="none" w:pos="11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Richard L. Gelfond</w:t>
      </w:r>
    </w:p>
    <w:p>
      <w:pPr>
        <w:ind w:left="3480"/>
        <w:spacing w:after="0" w:line="238" w:lineRule="auto"/>
        <w:rPr>
          <w:sz w:val="20"/>
          <w:szCs w:val="20"/>
          <w:color w:val="auto"/>
        </w:rPr>
      </w:pPr>
      <w:r>
        <w:rPr>
          <w:rFonts w:ascii="Arial" w:cs="Arial" w:eastAsia="Arial" w:hAnsi="Arial"/>
          <w:sz w:val="21"/>
          <w:szCs w:val="21"/>
          <w:color w:val="auto"/>
        </w:rPr>
        <w:t>Name: Richard L. Gelfond</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Arial" w:cs="Arial" w:eastAsia="Arial" w:hAnsi="Arial"/>
          <w:sz w:val="21"/>
          <w:szCs w:val="21"/>
          <w:b w:val="1"/>
          <w:bCs w:val="1"/>
          <w:color w:val="auto"/>
        </w:rPr>
        <w:t>EXECUTIVE</w:t>
      </w:r>
    </w:p>
    <w:p>
      <w:pPr>
        <w:spacing w:after="0" w:line="200" w:lineRule="exact"/>
        <w:rPr>
          <w:sz w:val="20"/>
          <w:szCs w:val="20"/>
          <w:color w:val="auto"/>
        </w:rPr>
      </w:pPr>
    </w:p>
    <w:p>
      <w:pPr>
        <w:spacing w:after="0" w:line="266" w:lineRule="exact"/>
        <w:rPr>
          <w:sz w:val="20"/>
          <w:szCs w:val="20"/>
          <w:color w:val="auto"/>
        </w:rPr>
      </w:pPr>
    </w:p>
    <w:tbl>
      <w:tblPr>
        <w:tblLayout w:type="fixed"/>
        <w:tblInd w:w="5140" w:type="dxa"/>
        <w:tblCellMar>
          <w:top w:w="0" w:type="dxa"/>
          <w:left w:w="0" w:type="dxa"/>
          <w:bottom w:w="0" w:type="dxa"/>
          <w:right w:w="0" w:type="dxa"/>
        </w:tblCellMar>
      </w:tblPr>
      <w:tr>
        <w:trPr>
          <w:trHeight w:val="241"/>
        </w:trPr>
        <w:tc>
          <w:tcPr>
            <w:tcW w:w="3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w:t>
            </w:r>
          </w:p>
        </w:tc>
        <w:tc>
          <w:tcPr>
            <w:tcW w:w="1660" w:type="dxa"/>
            <w:vAlign w:val="bottom"/>
            <w:tcBorders>
              <w:bottom w:val="single" w:sz="8" w:color="auto"/>
            </w:tcBorders>
          </w:tcPr>
          <w:p>
            <w:pPr>
              <w:jc w:val="right"/>
              <w:ind w:right="293"/>
              <w:spacing w:after="0"/>
              <w:rPr>
                <w:sz w:val="20"/>
                <w:szCs w:val="20"/>
                <w:color w:val="auto"/>
              </w:rPr>
            </w:pPr>
            <w:r>
              <w:rPr>
                <w:rFonts w:ascii="Arial" w:cs="Arial" w:eastAsia="Arial" w:hAnsi="Arial"/>
                <w:sz w:val="21"/>
                <w:szCs w:val="21"/>
                <w:color w:val="auto"/>
              </w:rPr>
              <w:t>Robert</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21"/>
                <w:szCs w:val="21"/>
                <w:color w:val="auto"/>
              </w:rPr>
              <w:t>D.</w:t>
            </w:r>
          </w:p>
        </w:tc>
        <w:tc>
          <w:tcPr>
            <w:tcW w:w="3080" w:type="dxa"/>
            <w:vAlign w:val="bottom"/>
            <w:tcBorders>
              <w:bottom w:val="single" w:sz="8" w:color="auto"/>
            </w:tcBorders>
          </w:tcPr>
          <w:p>
            <w:pPr>
              <w:ind w:left="400"/>
              <w:spacing w:after="0"/>
              <w:rPr>
                <w:sz w:val="20"/>
                <w:szCs w:val="20"/>
                <w:color w:val="auto"/>
              </w:rPr>
            </w:pPr>
            <w:r>
              <w:rPr>
                <w:rFonts w:ascii="Arial" w:cs="Arial" w:eastAsia="Arial" w:hAnsi="Arial"/>
                <w:sz w:val="21"/>
                <w:szCs w:val="21"/>
                <w:color w:val="auto"/>
                <w:w w:val="89"/>
              </w:rPr>
              <w:t>Lister_____________________</w:t>
            </w:r>
          </w:p>
        </w:tc>
      </w:tr>
      <w:tr>
        <w:trPr>
          <w:trHeight w:val="271"/>
        </w:trPr>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80" w:type="dxa"/>
            <w:vAlign w:val="bottom"/>
          </w:tcPr>
          <w:p>
            <w:pPr>
              <w:ind w:left="820"/>
              <w:spacing w:after="0"/>
              <w:rPr>
                <w:sz w:val="20"/>
                <w:szCs w:val="20"/>
                <w:color w:val="auto"/>
              </w:rPr>
            </w:pPr>
            <w:r>
              <w:rPr>
                <w:rFonts w:ascii="Arial" w:cs="Arial" w:eastAsia="Arial" w:hAnsi="Arial"/>
                <w:sz w:val="21"/>
                <w:szCs w:val="21"/>
                <w:color w:val="auto"/>
              </w:rPr>
              <w:t>Robert D. Lister</w:t>
            </w:r>
          </w:p>
        </w:tc>
      </w:tr>
      <w:tr>
        <w:trPr>
          <w:trHeight w:val="668"/>
        </w:trPr>
        <w:tc>
          <w:tcPr>
            <w:tcW w:w="320" w:type="dxa"/>
            <w:vAlign w:val="bottom"/>
          </w:tcPr>
          <w:p>
            <w:pPr>
              <w:spacing w:after="0"/>
              <w:rPr>
                <w:sz w:val="24"/>
                <w:szCs w:val="24"/>
                <w:color w:val="auto"/>
              </w:rPr>
            </w:pPr>
          </w:p>
        </w:tc>
        <w:tc>
          <w:tcPr>
            <w:tcW w:w="1660" w:type="dxa"/>
            <w:vAlign w:val="bottom"/>
          </w:tcPr>
          <w:p>
            <w:pPr>
              <w:jc w:val="right"/>
              <w:ind w:right="1333"/>
              <w:spacing w:after="0"/>
              <w:rPr>
                <w:sz w:val="20"/>
                <w:szCs w:val="20"/>
                <w:color w:val="auto"/>
              </w:rPr>
            </w:pPr>
            <w:r>
              <w:rPr>
                <w:rFonts w:ascii="Arial" w:cs="Arial" w:eastAsia="Arial" w:hAnsi="Arial"/>
                <w:sz w:val="21"/>
                <w:szCs w:val="21"/>
                <w:color w:val="auto"/>
              </w:rPr>
              <w:t>5</w:t>
            </w:r>
          </w:p>
        </w:tc>
        <w:tc>
          <w:tcPr>
            <w:tcW w:w="104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220" w:lineRule="exact"/>
        <w:rPr>
          <w:sz w:val="20"/>
          <w:szCs w:val="20"/>
          <w:color w:val="auto"/>
        </w:rPr>
      </w:pPr>
    </w:p>
    <w:p>
      <w:pPr>
        <w:ind w:left="540" w:hanging="46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30, 2020</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Patrick McClymont, certify that:</w:t>
      </w:r>
    </w:p>
    <w:p>
      <w:pPr>
        <w:spacing w:after="0" w:line="220" w:lineRule="exact"/>
        <w:rPr>
          <w:sz w:val="20"/>
          <w:szCs w:val="20"/>
          <w:color w:val="auto"/>
        </w:rPr>
      </w:pPr>
    </w:p>
    <w:p>
      <w:pPr>
        <w:ind w:left="540" w:hanging="46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30, 2020</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Patrick McClymont</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Patrick McClymont</w:t>
            </w:r>
          </w:p>
        </w:tc>
      </w:tr>
      <w:tr>
        <w:trPr>
          <w:trHeight w:val="214"/>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Financial Officer &amp;</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March 31,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30, 2020</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Patrick McClymont, Chief Financial Officer &amp; Executive Vice President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March 31,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30, 2020</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Patrick McClymont</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Patrick McClymont</w:t>
            </w:r>
          </w:p>
        </w:tc>
      </w:tr>
      <w:tr>
        <w:trPr>
          <w:trHeight w:val="214"/>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 &amp;</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40"/>
      </w:cols>
      <w:pgMar w:left="320" w:top="3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5"/>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7"/>
    </w:lvl>
  </w:abstractNum>
  <w:abstractNum w:abstractNumId="7">
    <w:nsid w:val="2901D82"/>
    <w:multiLevelType w:val="hybridMultilevel"/>
    <w:lvl w:ilvl="0">
      <w:lvlJc w:val="left"/>
      <w:lvlText w:val="%1."/>
      <w:numFmt w:val="decimal"/>
      <w:start w:val="8"/>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emdash "/>
      <w:numFmt w:val="bullet"/>
      <w:start w:val="1"/>
    </w:lvl>
  </w:abstractNum>
  <w:abstractNum w:abstractNumId="10">
    <w:nsid w:val="1E7FF521"/>
    <w:multiLevelType w:val="hybridMultilevel"/>
    <w:lvl w:ilvl="0">
      <w:lvlJc w:val="left"/>
      <w:lvlText w:val="%1."/>
      <w:numFmt w:val="decimal"/>
      <w:start w:val="10"/>
    </w:lvl>
    <w:lvl w:ilvl="1">
      <w:lvlJc w:val="left"/>
      <w:lvlText w:val="(%2)"/>
      <w:numFmt w:val="lowerLetter"/>
      <w:start w:val="1"/>
    </w:lvl>
  </w:abstractNum>
  <w:abstractNum w:abstractNumId="11">
    <w:nsid w:val="7C3DBD3D"/>
    <w:multiLevelType w:val="hybridMultilevel"/>
    <w:lvl w:ilvl="0">
      <w:lvlJc w:val="left"/>
      <w:lvlText w:val="(%1)"/>
      <w:numFmt w:val="decimal"/>
      <w:start w:val="1"/>
    </w:lvl>
    <w:lvl w:ilvl="1">
      <w:lvlJc w:val="left"/>
      <w:lvlText w:val="(%2)"/>
      <w:numFmt w:val="lowerLetter"/>
      <w:start w:val="3"/>
    </w:lvl>
  </w:abstractNum>
  <w:abstractNum w:abstractNumId="12">
    <w:nsid w:val="737B8DDC"/>
    <w:multiLevelType w:val="hybridMultilevel"/>
    <w:lvl w:ilvl="0">
      <w:lvlJc w:val="left"/>
      <w:lvlText w:val="%1."/>
      <w:numFmt w:val="decimal"/>
      <w:start w:val="12"/>
    </w:lvl>
    <w:lvl w:ilvl="1">
      <w:lvlJc w:val="left"/>
      <w:lvlText w:val="(%2)"/>
      <w:numFmt w:val="lowerLetter"/>
      <w:start w:val="1"/>
    </w:lvl>
  </w:abstractNum>
  <w:abstractNum w:abstractNumId="13">
    <w:nsid w:val="6CEAF087"/>
    <w:multiLevelType w:val="hybridMultilevel"/>
    <w:lvl w:ilvl="0">
      <w:lvlJc w:val="left"/>
      <w:lvlText w:val="\emdash "/>
      <w:numFmt w:val="bullet"/>
      <w:start w:val="1"/>
    </w:lvl>
    <w:lvl w:ilvl="1">
      <w:lvlJc w:val="left"/>
      <w:lvlText w:val="(%2)"/>
      <w:numFmt w:val="lowerLetter"/>
      <w:start w:val="2"/>
    </w:lvl>
  </w:abstractNum>
  <w:abstractNum w:abstractNumId="14">
    <w:nsid w:val="22221A70"/>
    <w:multiLevelType w:val="hybridMultilevel"/>
    <w:lvl w:ilvl="0">
      <w:lvlJc w:val="left"/>
      <w:lvlText w:val="(%1)"/>
      <w:numFmt w:val="lowerRoman"/>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5"/>
    </w:lvl>
    <w:lvl w:ilvl="1">
      <w:lvlJc w:val="left"/>
      <w:lvlText w:val="(%2)"/>
      <w:numFmt w:val="lowerLetter"/>
      <w:start w:val="1"/>
    </w:lvl>
  </w:abstractNum>
  <w:abstractNum w:abstractNumId="17">
    <w:nsid w:val="614FD4A1"/>
    <w:multiLevelType w:val="hybridMultilevel"/>
    <w:lvl w:ilvl="0">
      <w:lvlJc w:val="left"/>
      <w:lvlText w:val="%1."/>
      <w:numFmt w:val="decimal"/>
      <w:start w:val="16"/>
    </w:lvl>
    <w:lvl w:ilvl="1">
      <w:lvlJc w:val="left"/>
      <w:lvlText w:val="(%2)"/>
      <w:numFmt w:val="lowerLetter"/>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7"/>
    </w:lvl>
    <w:lvl w:ilvl="1">
      <w:lvlJc w:val="left"/>
      <w:lvlText w:val="(%2)"/>
      <w:numFmt w:val="lowerLetter"/>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04"/>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decimal"/>
      <w:start w:val="4"/>
    </w:lvl>
    <w:lvl w:ilvl="1">
      <w:lvlJc w:val="left"/>
      <w:lvlText w:val="(%2)"/>
      <w:numFmt w:val="lowerLetter"/>
      <w:start w:val="1"/>
    </w:lvl>
  </w:abstractNum>
  <w:abstractNum w:abstractNumId="36">
    <w:nsid w:val="1D4ED43B"/>
    <w:multiLevelType w:val="hybridMultilevel"/>
    <w:lvl w:ilvl="0">
      <w:lvlJc w:val="left"/>
      <w:lvlText w:val="%1"/>
      <w:numFmt w:val="decimal"/>
      <w:start w:val="1"/>
    </w:lvl>
    <w:lvl w:ilvl="1">
      <w:lvlJc w:val="left"/>
      <w:lvlText w:val="(%2)"/>
      <w:numFmt w:val="lowerRoman"/>
      <w:start w:val="1"/>
    </w:lvl>
  </w:abstractNum>
  <w:abstractNum w:abstractNumId="37">
    <w:nsid w:val="725A06FB"/>
    <w:multiLevelType w:val="hybridMultilevel"/>
    <w:lvl w:ilvl="0">
      <w:lvlJc w:val="left"/>
      <w:lvlText w:val="%1."/>
      <w:numFmt w:val="decimal"/>
      <w:start w:val="5"/>
    </w:lvl>
    <w:lvl w:ilvl="1">
      <w:lvlJc w:val="left"/>
      <w:lvlText w:val="%2"/>
      <w:numFmt w:val="lowerRoman"/>
      <w:start w:val="1"/>
    </w:lvl>
  </w:abstractNum>
  <w:abstractNum w:abstractNumId="38">
    <w:nsid w:val="2CD89A32"/>
    <w:multiLevelType w:val="hybridMultilevel"/>
    <w:lvl w:ilvl="0">
      <w:lvlJc w:val="left"/>
      <w:lvlText w:val="%1."/>
      <w:numFmt w:val="decimal"/>
      <w:start w:val="6"/>
    </w:lvl>
  </w:abstractNum>
  <w:abstractNum w:abstractNumId="39">
    <w:nsid w:val="57E4CCAF"/>
    <w:multiLevelType w:val="hybridMultilevel"/>
    <w:lvl w:ilvl="0">
      <w:lvlJc w:val="left"/>
      <w:lvlText w:val="%1."/>
      <w:numFmt w:val="decimal"/>
      <w:start w:val="7"/>
    </w:lvl>
    <w:lvl w:ilvl="1">
      <w:lvlJc w:val="left"/>
      <w:lvlText w:val="(%2)"/>
      <w:numFmt w:val="upperLetter"/>
      <w:start w:val="4"/>
    </w:lvl>
    <w:lvl w:ilvl="2">
      <w:lvlJc w:val="left"/>
      <w:lvlText w:val="%3."/>
      <w:numFmt w:val="decimal"/>
      <w:start w:val="1"/>
    </w:lvl>
    <w:lvl w:ilvl="3">
      <w:lvlJc w:val="left"/>
      <w:lvlText w:val="(%4)"/>
      <w:numFmt w:val="upperLetter"/>
      <w:start w:val="2"/>
    </w:lvl>
  </w:abstractNum>
  <w:abstractNum w:abstractNumId="40">
    <w:nsid w:val="7A6D8D3C"/>
    <w:multiLevelType w:val="hybridMultilevel"/>
    <w:lvl w:ilvl="0">
      <w:lvlJc w:val="left"/>
      <w:lvlText w:val="%1"/>
      <w:numFmt w:val="decimal"/>
      <w:start w:val="1"/>
    </w:lvl>
    <w:lvl w:ilvl="1">
      <w:lvlJc w:val="left"/>
      <w:lvlText w:val="%2"/>
      <w:numFmt w:val="upperLetter"/>
      <w:start w:val="1"/>
    </w:lvl>
    <w:lvl w:ilvl="2">
      <w:lvlJc w:val="left"/>
      <w:lvlText w:val="%3."/>
      <w:numFmt w:val="decimal"/>
      <w:start w:val="4"/>
    </w:lvl>
  </w:abstractNum>
  <w:abstractNum w:abstractNumId="41">
    <w:nsid w:val="4B588F54"/>
    <w:multiLevelType w:val="hybridMultilevel"/>
    <w:lvl w:ilvl="0">
      <w:lvlJc w:val="left"/>
      <w:lvlText w:val="%1."/>
      <w:numFmt w:val="decimal"/>
      <w:start w:val="9"/>
    </w:lvl>
    <w:lvl w:ilvl="1">
      <w:lvlJc w:val="left"/>
      <w:lvlText w:val="(%2)"/>
      <w:numFmt w:val="upperLetter"/>
      <w:start w:val="5"/>
    </w:lvl>
    <w:lvl w:ilvl="2">
      <w:lvlJc w:val="left"/>
      <w:lvlText w:val="%3"/>
      <w:numFmt w:val="decimal"/>
      <w:start w:val="1"/>
    </w:lvl>
  </w:abstractNum>
  <w:abstractNum w:abstractNumId="42">
    <w:nsid w:val="542289EC"/>
    <w:multiLevelType w:val="hybridMultilevel"/>
    <w:lvl w:ilvl="0">
      <w:lvlJc w:val="left"/>
      <w:lvlText w:val="(%1)"/>
      <w:numFmt w:val="lowerRoman"/>
      <w:start w:val="1"/>
    </w:lvl>
  </w:abstractNum>
  <w:abstractNum w:abstractNumId="43">
    <w:nsid w:val="6DE91B18"/>
    <w:multiLevelType w:val="hybridMultilevel"/>
    <w:lvl w:ilvl="0">
      <w:lvlJc w:val="left"/>
      <w:lvlText w:val="%1"/>
      <w:numFmt w:val="decimal"/>
      <w:start w:val="1"/>
    </w:lvl>
    <w:lvl w:ilvl="1">
      <w:lvlJc w:val="left"/>
      <w:lvlText w:val="(%2)"/>
      <w:numFmt w:val="lowerRoman"/>
      <w:start w:val="4"/>
    </w:lvl>
  </w:abstractNum>
  <w:abstractNum w:abstractNumId="44">
    <w:nsid w:val="38437FDB"/>
    <w:multiLevelType w:val="hybridMultilevel"/>
    <w:lvl w:ilvl="0">
      <w:lvlJc w:val="left"/>
      <w:lvlText w:val="%1."/>
      <w:numFmt w:val="decimal"/>
      <w:start w:val="11"/>
    </w:lvl>
    <w:lvl w:ilvl="1">
      <w:lvlJc w:val="left"/>
      <w:lvlText w:val="%2"/>
      <w:numFmt w:val="lowerRoman"/>
      <w:start w:val="1"/>
    </w:lvl>
  </w:abstractNum>
  <w:abstractNum w:abstractNumId="45">
    <w:nsid w:val="7644A45C"/>
    <w:multiLevelType w:val="hybridMultilevel"/>
    <w:lvl w:ilvl="0">
      <w:lvlJc w:val="left"/>
      <w:lvlText w:val="%1"/>
      <w:numFmt w:val="decimal"/>
      <w:start w:val="1"/>
    </w:lvl>
    <w:lvl w:ilvl="1">
      <w:lvlJc w:val="left"/>
      <w:lvlText w:val="(%2)"/>
      <w:numFmt w:val="lowerRoman"/>
      <w:start w:val="2"/>
    </w:lvl>
  </w:abstractNum>
  <w:abstractNum w:abstractNumId="46">
    <w:nsid w:val="32FFF902"/>
    <w:multiLevelType w:val="hybridMultilevel"/>
    <w:lvl w:ilvl="0">
      <w:lvlJc w:val="left"/>
      <w:lvlText w:val="%1."/>
      <w:numFmt w:val="decimal"/>
      <w:start w:val="12"/>
    </w:lvl>
    <w:lvl w:ilvl="1">
      <w:lvlJc w:val="left"/>
      <w:lvlText w:val="%2"/>
      <w:numFmt w:val="lowerRoman"/>
      <w:start w:val="1"/>
    </w:lvl>
  </w:abstractNum>
  <w:abstractNum w:abstractNumId="47">
    <w:nsid w:val="684A481A"/>
    <w:multiLevelType w:val="hybridMultilevel"/>
    <w:lvl w:ilvl="0">
      <w:lvlJc w:val="left"/>
      <w:lvlText w:val="%1."/>
      <w:numFmt w:val="decimal"/>
      <w:start w:val="13"/>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2020-04-30T11:43:44Z</dcterms:created>
  <dcterms:modified xsi:type="dcterms:W3CDTF">2020-04-30T11:43:44Z</dcterms:modified>
</cp:coreProperties>
</file>