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292.xml.htm"/>
      <w:bookmarkStart w:id="1" w:name="ksmarketforms732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Throop Darren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GREEN VALLEY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M2P 1A4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4"/>
        <w:gridCol w:w="902"/>
        <w:gridCol w:w="771"/>
        <w:gridCol w:w="599"/>
        <w:gridCol w:w="349"/>
        <w:gridCol w:w="892"/>
        <w:gridCol w:w="458"/>
        <w:gridCol w:w="756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36,044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40,655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42.12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38,181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upon vesting of restricted share units into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is the economic equivalent of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Mr. Throop is reporting the withholding of common shares to satisfy the tax withholding obligations in connection with the delivery of common shares upon conversion of the restricted share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restricted share unit represents a contingent right to receive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Mr. Throop received a grant of restricted share units in connection with his membership on the IMAX Corporation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restricted share units vest and convert to common shares on the date of grant,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Pursuant to Instruction 4(C)(iii), this response has been left blank.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Darren D. Throop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3655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733</Words>
  <Characters>3931</Characters>
  <CharactersWithSpaces>4576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