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98" w:lineRule="exact"/>
        <w:rPr>
          <w:sz w:val="24"/>
          <w:szCs w:val="24"/>
          <w:color w:val="auto"/>
        </w:rPr>
      </w:pPr>
    </w:p>
    <w:p>
      <w:pPr>
        <w:ind w:left="3820" w:right="1560" w:hanging="3812"/>
        <w:spacing w:after="0" w:line="273" w:lineRule="auto"/>
        <w:tabs>
          <w:tab w:leader="none" w:pos="53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ind w:left="520" w:hanging="512"/>
        <w:spacing w:after="0" w:line="185" w:lineRule="auto"/>
        <w:tabs>
          <w:tab w:leader="none" w:pos="520" w:val="left"/>
        </w:tabs>
        <w:numPr>
          <w:ilvl w:val="0"/>
          <w:numId w:val="2"/>
        </w:numPr>
        <w:rPr>
          <w:rFonts w:ascii="MS PGothic" w:cs="MS PGothic" w:eastAsia="MS PGothic" w:hAnsi="MS PGothic"/>
          <w:sz w:val="6"/>
          <w:szCs w:val="6"/>
          <w:color w:val="auto"/>
          <w:highlight w:val="black"/>
        </w:rPr>
      </w:pPr>
      <w:r>
        <w:rPr>
          <w:rFonts w:ascii="Times New Roman" w:cs="Times New Roman" w:eastAsia="Times New Roman" w:hAnsi="Times New Roman"/>
          <w:sz w:val="6"/>
          <w:szCs w:val="6"/>
          <w:b w:val="1"/>
          <w:bCs w:val="1"/>
          <w:color w:val="auto"/>
        </w:rPr>
        <w:t>TRANSITION REPORT PURSUANT TO SECTION 13 OR 15(d) OF THE SECURITIES EXCHANGE ACT OF 1934</w:t>
      </w:r>
    </w:p>
    <w:p>
      <w:pPr>
        <w:spacing w:after="0" w:line="199" w:lineRule="exact"/>
        <w:rPr>
          <w:sz w:val="24"/>
          <w:szCs w:val="24"/>
          <w:color w:val="auto"/>
        </w:rPr>
      </w:pPr>
    </w:p>
    <w:p>
      <w:pPr>
        <w:ind w:left="4080"/>
        <w:spacing w:after="0"/>
        <w:tabs>
          <w:tab w:leader="none" w:pos="70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001-35066</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IMAX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6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Canada</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jc w:val="center"/>
        <w:ind w:right="4740"/>
        <w:spacing w:after="0"/>
        <w:rPr>
          <w:sz w:val="20"/>
          <w:szCs w:val="20"/>
          <w:color w:val="auto"/>
        </w:rPr>
      </w:pPr>
      <w:r>
        <w:rPr>
          <w:rFonts w:ascii="Times New Roman" w:cs="Times New Roman" w:eastAsia="Times New Roman" w:hAnsi="Times New Roman"/>
          <w:sz w:val="17"/>
          <w:szCs w:val="17"/>
          <w:b w:val="1"/>
          <w:bCs w:val="1"/>
          <w:color w:val="auto"/>
        </w:rPr>
        <w:t>98-0140269</w:t>
      </w:r>
    </w:p>
    <w:p>
      <w:pPr>
        <w:spacing w:after="0" w:line="45" w:lineRule="exact"/>
        <w:rPr>
          <w:sz w:val="24"/>
          <w:szCs w:val="24"/>
          <w:color w:val="auto"/>
        </w:rPr>
      </w:pPr>
    </w:p>
    <w:p>
      <w:pPr>
        <w:sectPr>
          <w:pgSz w:w="11900" w:h="16838" w:orient="portrait"/>
          <w:cols w:equalWidth="0" w:num="2">
            <w:col w:w="4920" w:space="720"/>
            <w:col w:w="5600"/>
          </w:cols>
          <w:pgMar w:left="320" w:top="144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i w:val="1"/>
          <w:iCs w:val="1"/>
          <w:color w:val="auto"/>
        </w:rPr>
        <w:t>(State or other jurisdiction of</w:t>
      </w:r>
    </w:p>
    <w:p>
      <w:pPr>
        <w:spacing w:after="0" w:line="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Identification Number)</w:t>
      </w:r>
    </w:p>
    <w:p>
      <w:pPr>
        <w:spacing w:after="0" w:line="120" w:lineRule="exact"/>
        <w:rPr>
          <w:sz w:val="24"/>
          <w:szCs w:val="24"/>
          <w:color w:val="auto"/>
        </w:rPr>
      </w:pPr>
    </w:p>
    <w:p>
      <w:pPr>
        <w:sectPr>
          <w:pgSz w:w="11900" w:h="16838" w:orient="portrait"/>
          <w:cols w:equalWidth="0" w:num="2">
            <w:col w:w="4920" w:space="720"/>
            <w:col w:w="5600"/>
          </w:cols>
          <w:pgMar w:left="320" w:top="144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2525 Speakman Drive,</w:t>
      </w:r>
    </w:p>
    <w:p>
      <w:pPr>
        <w:spacing w:after="0" w:line="3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Mississauga, Ontario, Canada L5K 1B1</w:t>
      </w:r>
    </w:p>
    <w:p>
      <w:pPr>
        <w:spacing w:after="0" w:line="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(905) 403-6457</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902 Broadway, Floor 20</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New York, New York, USA 10010</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(212) 821-0142</w:t>
      </w:r>
    </w:p>
    <w:p>
      <w:pPr>
        <w:spacing w:after="0" w:line="83" w:lineRule="exact"/>
        <w:rPr>
          <w:sz w:val="24"/>
          <w:szCs w:val="24"/>
          <w:color w:val="auto"/>
        </w:rPr>
      </w:pPr>
    </w:p>
    <w:p>
      <w:pPr>
        <w:sectPr>
          <w:pgSz w:w="11900" w:h="16838" w:orient="portrait"/>
          <w:cols w:equalWidth="0" w:num="2">
            <w:col w:w="4920" w:space="720"/>
            <w:col w:w="5600"/>
          </w:cols>
          <w:pgMar w:left="320" w:top="144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zip code, telephone numbers)</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0" w:type="dxa"/>
            <w:vAlign w:val="bottom"/>
          </w:tcPr>
          <w:p>
            <w:pPr>
              <w:spacing w:after="0"/>
              <w:rPr>
                <w:sz w:val="16"/>
                <w:szCs w:val="16"/>
                <w:color w:val="auto"/>
              </w:rPr>
            </w:pPr>
          </w:p>
        </w:tc>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40" w:type="dxa"/>
            <w:vAlign w:val="bottom"/>
          </w:tcPr>
          <w:p>
            <w:pPr>
              <w:spacing w:after="0"/>
              <w:rPr>
                <w:sz w:val="16"/>
                <w:szCs w:val="16"/>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2"/>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Shares, no par value</w:t>
            </w:r>
          </w:p>
        </w:tc>
        <w:tc>
          <w:tcPr>
            <w:tcW w:w="20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IMAX</w:t>
            </w:r>
          </w:p>
        </w:tc>
        <w:tc>
          <w:tcPr>
            <w:tcW w:w="1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New York Stock Exchange</w:t>
            </w:r>
          </w:p>
        </w:tc>
      </w:tr>
    </w:tbl>
    <w:p>
      <w:pPr>
        <w:spacing w:after="0" w:line="283" w:lineRule="exact"/>
        <w:rPr>
          <w:sz w:val="24"/>
          <w:szCs w:val="24"/>
          <w:color w:val="auto"/>
        </w:rPr>
      </w:pPr>
    </w:p>
    <w:p>
      <w:pPr>
        <w:jc w:val="both"/>
        <w:ind w:firstLine="2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ind w:firstLine="2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0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8" w:lineRule="exact"/>
        <w:rPr>
          <w:sz w:val="24"/>
          <w:szCs w:val="24"/>
          <w:color w:val="auto"/>
        </w:rPr>
      </w:pPr>
    </w:p>
    <w:p>
      <w:pPr>
        <w:ind w:firstLine="2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2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40" w:type="dxa"/>
            <w:vAlign w:val="bottom"/>
          </w:tcPr>
          <w:p>
            <w:pPr>
              <w:spacing w:after="0"/>
              <w:rPr>
                <w:sz w:val="16"/>
                <w:szCs w:val="16"/>
                <w:color w:val="auto"/>
              </w:rPr>
            </w:pP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Outstanding as of March 31, 2024</w:t>
            </w:r>
          </w:p>
        </w:tc>
      </w:tr>
      <w:tr>
        <w:trPr>
          <w:trHeight w:val="22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 no par value</w:t>
            </w:r>
          </w:p>
        </w:tc>
        <w:tc>
          <w:tcPr>
            <w:tcW w:w="24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52,622,200</w:t>
            </w:r>
          </w:p>
        </w:tc>
      </w:tr>
      <w:tr>
        <w:trPr>
          <w:trHeight w:val="387"/>
        </w:trPr>
        <w:tc>
          <w:tcPr>
            <w:tcW w:w="5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1176"/>
        </w:trPr>
        <w:tc>
          <w:tcPr>
            <w:tcW w:w="5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9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3"/>
        </w:trPr>
        <w:tc>
          <w:tcPr>
            <w:tcW w:w="20" w:type="dxa"/>
            <w:vAlign w:val="bottom"/>
          </w:tcPr>
          <w:p>
            <w:pPr>
              <w:spacing w:after="0"/>
              <w:rPr>
                <w:sz w:val="15"/>
                <w:szCs w:val="15"/>
                <w:color w:val="auto"/>
              </w:rPr>
            </w:pPr>
          </w:p>
        </w:tc>
        <w:tc>
          <w:tcPr>
            <w:tcW w:w="10280" w:type="dxa"/>
            <w:vAlign w:val="bottom"/>
            <w:gridSpan w:val="15"/>
          </w:tcPr>
          <w:p>
            <w:pPr>
              <w:spacing w:after="0" w:line="182" w:lineRule="exact"/>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940" w:type="dxa"/>
            <w:vAlign w:val="bottom"/>
          </w:tcPr>
          <w:p>
            <w:pPr>
              <w:spacing w:after="0"/>
              <w:rPr>
                <w:sz w:val="15"/>
                <w:szCs w:val="15"/>
                <w:color w:val="auto"/>
              </w:rPr>
            </w:pPr>
          </w:p>
        </w:tc>
      </w:tr>
      <w:tr>
        <w:trPr>
          <w:trHeight w:val="439"/>
        </w:trPr>
        <w:tc>
          <w:tcPr>
            <w:tcW w:w="20" w:type="dxa"/>
            <w:vAlign w:val="bottom"/>
          </w:tcPr>
          <w:p>
            <w:pPr>
              <w:spacing w:after="0"/>
              <w:rPr>
                <w:sz w:val="24"/>
                <w:szCs w:val="24"/>
                <w:color w:val="auto"/>
              </w:rPr>
            </w:pPr>
          </w:p>
        </w:tc>
        <w:tc>
          <w:tcPr>
            <w:tcW w:w="10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20" w:type="dxa"/>
            <w:vAlign w:val="bottom"/>
            <w:tcBorders>
              <w:top w:val="single" w:sz="8" w:color="0000FF"/>
              <w:bottom w:val="single" w:sz="8" w:color="0000EE"/>
            </w:tcBorders>
          </w:tcPr>
          <w:p>
            <w:pPr>
              <w:spacing w:after="0"/>
              <w:rPr>
                <w:sz w:val="24"/>
                <w:szCs w:val="24"/>
                <w:color w:val="auto"/>
              </w:rPr>
            </w:pPr>
          </w:p>
        </w:tc>
        <w:tc>
          <w:tcPr>
            <w:tcW w:w="520" w:type="dxa"/>
            <w:vAlign w:val="bottom"/>
            <w:tcBorders>
              <w:top w:val="single" w:sz="8" w:color="0000FF"/>
            </w:tcBorders>
            <w:gridSpan w:val="2"/>
          </w:tcPr>
          <w:p>
            <w:pPr>
              <w:spacing w:after="0"/>
              <w:rPr>
                <w:sz w:val="24"/>
                <w:szCs w:val="24"/>
                <w:color w:val="auto"/>
              </w:rPr>
            </w:pPr>
          </w:p>
        </w:tc>
        <w:tc>
          <w:tcPr>
            <w:tcW w:w="7220" w:type="dxa"/>
            <w:vAlign w:val="bottom"/>
            <w:gridSpan w:val="4"/>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2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2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2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2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960" w:type="dxa"/>
            <w:vAlign w:val="bottom"/>
            <w:gridSpan w:val="3"/>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028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940" w:type="dxa"/>
            <w:vAlign w:val="bottom"/>
          </w:tcPr>
          <w:p>
            <w:pPr>
              <w:spacing w:after="0"/>
              <w:rPr>
                <w:sz w:val="24"/>
                <w:szCs w:val="24"/>
                <w:color w:val="auto"/>
              </w:rPr>
            </w:pPr>
          </w:p>
        </w:tc>
      </w:tr>
      <w:tr>
        <w:trPr>
          <w:trHeight w:val="439"/>
        </w:trPr>
        <w:tc>
          <w:tcPr>
            <w:tcW w:w="20" w:type="dxa"/>
            <w:vAlign w:val="bottom"/>
            <w:tcBorders>
              <w:top w:val="single" w:sz="8" w:color="0000EE"/>
            </w:tcBorders>
          </w:tcPr>
          <w:p>
            <w:pPr>
              <w:spacing w:after="0"/>
              <w:rPr>
                <w:sz w:val="24"/>
                <w:szCs w:val="24"/>
                <w:color w:val="auto"/>
              </w:rPr>
            </w:pPr>
          </w:p>
        </w:tc>
        <w:tc>
          <w:tcPr>
            <w:tcW w:w="10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7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500" w:type="dxa"/>
            <w:vAlign w:val="bottom"/>
            <w:gridSpan w:val="5"/>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2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bottom w:val="single" w:sz="8" w:color="0000EE"/>
            </w:tcBorders>
          </w:tcPr>
          <w:p>
            <w:pPr>
              <w:spacing w:after="0"/>
              <w:rPr>
                <w:sz w:val="19"/>
                <w:szCs w:val="19"/>
                <w:color w:val="auto"/>
              </w:rPr>
            </w:pPr>
          </w:p>
        </w:tc>
        <w:tc>
          <w:tcPr>
            <w:tcW w:w="400" w:type="dxa"/>
            <w:vAlign w:val="bottom"/>
            <w:tcBorders>
              <w:top w:val="single" w:sz="8" w:color="0000FF"/>
            </w:tcBorders>
            <w:gridSpan w:val="2"/>
          </w:tcPr>
          <w:p>
            <w:pPr>
              <w:spacing w:after="0"/>
              <w:rPr>
                <w:sz w:val="19"/>
                <w:szCs w:val="19"/>
                <w:color w:val="auto"/>
              </w:rPr>
            </w:pPr>
          </w:p>
        </w:tc>
        <w:tc>
          <w:tcPr>
            <w:tcW w:w="7940" w:type="dxa"/>
            <w:vAlign w:val="bottom"/>
            <w:gridSpan w:val="8"/>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2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2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2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43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4920" w:type="dxa"/>
            <w:vAlign w:val="bottom"/>
            <w:gridSpan w:val="2"/>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2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60" w:type="dxa"/>
            <w:vAlign w:val="bottom"/>
            <w:gridSpan w:val="9"/>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3"/>
        </w:trPr>
        <w:tc>
          <w:tcPr>
            <w:tcW w:w="2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898"/>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6460" w:type="dxa"/>
            <w:vAlign w:val="bottom"/>
            <w:gridSpan w:val="12"/>
          </w:tcPr>
          <w:p>
            <w:pPr>
              <w:ind w:left="4540"/>
              <w:spacing w:after="0"/>
              <w:rPr>
                <w:sz w:val="20"/>
                <w:szCs w:val="20"/>
                <w:color w:val="auto"/>
              </w:rPr>
            </w:pPr>
            <w:r>
              <w:rPr>
                <w:rFonts w:ascii="Times New Roman" w:cs="Times New Roman" w:eastAsia="Times New Roman" w:hAnsi="Times New Roman"/>
                <w:sz w:val="18"/>
                <w:szCs w:val="18"/>
                <w:color w:val="auto"/>
              </w:rPr>
              <w:t>2</w:t>
            </w:r>
          </w:p>
        </w:tc>
        <w:tc>
          <w:tcPr>
            <w:tcW w:w="28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36" w:lineRule="exact"/>
        <w:rPr>
          <w:sz w:val="20"/>
          <w:szCs w:val="20"/>
          <w:color w:val="auto"/>
        </w:rPr>
      </w:pPr>
    </w:p>
    <w:tbl>
      <w:tblPr>
        <w:tblLayout w:type="fixed"/>
        <w:tblInd w:w="30" w:type="dxa"/>
        <w:tblCellMar>
          <w:top w:w="0" w:type="dxa"/>
          <w:left w:w="0" w:type="dxa"/>
          <w:bottom w:w="0" w:type="dxa"/>
          <w:right w:w="0" w:type="dxa"/>
        </w:tblCellMar>
      </w:tblPr>
      <w:tr>
        <w:trPr>
          <w:trHeight w:val="187"/>
        </w:trPr>
        <w:tc>
          <w:tcPr>
            <w:tcW w:w="40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6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3"/>
        </w:trPr>
        <w:tc>
          <w:tcPr>
            <w:tcW w:w="105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unaudited Condensed Consolidated Financial Statements are filed as part of this Report:</w:t>
            </w:r>
          </w:p>
        </w:tc>
        <w:tc>
          <w:tcPr>
            <w:tcW w:w="640" w:type="dxa"/>
            <w:vAlign w:val="bottom"/>
          </w:tcPr>
          <w:p>
            <w:pPr>
              <w:spacing w:after="0"/>
              <w:rPr>
                <w:sz w:val="19"/>
                <w:szCs w:val="19"/>
                <w:color w:val="auto"/>
              </w:rPr>
            </w:pPr>
          </w:p>
        </w:tc>
      </w:tr>
      <w:tr>
        <w:trPr>
          <w:trHeight w:val="351"/>
        </w:trPr>
        <w:tc>
          <w:tcPr>
            <w:tcW w:w="105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2024 and December 31, 2023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0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280" w:type="dxa"/>
            <w:vAlign w:val="bottom"/>
            <w:tcBorders>
              <w:right w:val="single" w:sz="8" w:color="0000EE"/>
            </w:tcBorders>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3"/>
        </w:trPr>
        <w:tc>
          <w:tcPr>
            <w:tcW w:w="105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 2024 and 2023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40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54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3"/>
        </w:trPr>
        <w:tc>
          <w:tcPr>
            <w:tcW w:w="105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months ended March 31, 2024 and 2023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40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56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3"/>
        </w:trPr>
        <w:tc>
          <w:tcPr>
            <w:tcW w:w="105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2024 and 2023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40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560" w:type="dxa"/>
            <w:vAlign w:val="bottom"/>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3"/>
        </w:trPr>
        <w:tc>
          <w:tcPr>
            <w:tcW w:w="105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for the three months ended March 31, 2024 and 2023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40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240" w:type="dxa"/>
            <w:vAlign w:val="bottom"/>
            <w:gridSpan w:val="4"/>
            <w:shd w:val="clear" w:color="auto" w:fill="0000FF"/>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3"/>
        </w:trPr>
        <w:tc>
          <w:tcPr>
            <w:tcW w:w="105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40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5"/>
                <w:szCs w:val="15"/>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81,017</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76,200</w:t>
            </w:r>
          </w:p>
        </w:tc>
        <w:tc>
          <w:tcPr>
            <w:tcW w:w="100" w:type="dxa"/>
            <w:vAlign w:val="bottom"/>
          </w:tcPr>
          <w:p>
            <w:pPr>
              <w:spacing w:after="0"/>
              <w:rPr>
                <w:sz w:val="20"/>
                <w:szCs w:val="20"/>
                <w:color w:val="auto"/>
              </w:rPr>
            </w:pPr>
          </w:p>
        </w:tc>
      </w:tr>
      <w:tr>
        <w:trPr>
          <w:trHeight w:val="247"/>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140,579</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136,259</w:t>
            </w:r>
          </w:p>
        </w:tc>
        <w:tc>
          <w:tcPr>
            <w:tcW w:w="100" w:type="dxa"/>
            <w:vAlign w:val="bottom"/>
            <w:shd w:val="clear" w:color="auto" w:fill="CFF0FC"/>
          </w:tcPr>
          <w:p>
            <w:pPr>
              <w:spacing w:after="0"/>
              <w:rPr>
                <w:sz w:val="21"/>
                <w:szCs w:val="21"/>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receivables, net of allowance for credit losses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125,614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127,154</w:t>
            </w:r>
          </w:p>
        </w:tc>
        <w:tc>
          <w:tcPr>
            <w:tcW w:w="100" w:type="dxa"/>
            <w:vAlign w:val="bottom"/>
          </w:tcPr>
          <w:p>
            <w:pPr>
              <w:spacing w:after="0"/>
              <w:rPr>
                <w:sz w:val="20"/>
                <w:szCs w:val="20"/>
                <w:color w:val="auto"/>
              </w:rPr>
            </w:pPr>
          </w:p>
        </w:tc>
      </w:tr>
      <w:tr>
        <w:trPr>
          <w:trHeight w:val="247"/>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Variable consideration receivables, net of allowance for credit losses</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64,503</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64,338</w:t>
            </w:r>
          </w:p>
        </w:tc>
        <w:tc>
          <w:tcPr>
            <w:tcW w:w="100" w:type="dxa"/>
            <w:vAlign w:val="bottom"/>
            <w:shd w:val="clear" w:color="auto" w:fill="CFF0FC"/>
          </w:tcPr>
          <w:p>
            <w:pPr>
              <w:spacing w:after="0"/>
              <w:rPr>
                <w:sz w:val="21"/>
                <w:szCs w:val="21"/>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31,584</w:t>
            </w:r>
          </w:p>
        </w:tc>
        <w:tc>
          <w:tcPr>
            <w:tcW w:w="100" w:type="dxa"/>
            <w:vAlign w:val="bottom"/>
          </w:tcPr>
          <w:p>
            <w:pPr>
              <w:spacing w:after="0"/>
              <w:rPr>
                <w:sz w:val="20"/>
                <w:szCs w:val="20"/>
                <w:color w:val="auto"/>
              </w:rPr>
            </w:pPr>
          </w:p>
        </w:tc>
      </w:tr>
      <w:tr>
        <w:trPr>
          <w:trHeight w:val="247"/>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12,711</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12,345</w:t>
            </w:r>
          </w:p>
        </w:tc>
        <w:tc>
          <w:tcPr>
            <w:tcW w:w="100" w:type="dxa"/>
            <w:vAlign w:val="bottom"/>
            <w:shd w:val="clear" w:color="auto" w:fill="CFF0FC"/>
          </w:tcPr>
          <w:p>
            <w:pPr>
              <w:spacing w:after="0"/>
              <w:rPr>
                <w:sz w:val="21"/>
                <w:szCs w:val="21"/>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Film assets, net of accumulated amortization</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6,786</w:t>
            </w:r>
          </w:p>
        </w:tc>
        <w:tc>
          <w:tcPr>
            <w:tcW w:w="100" w:type="dxa"/>
            <w:vAlign w:val="bottom"/>
          </w:tcPr>
          <w:p>
            <w:pPr>
              <w:spacing w:after="0"/>
              <w:rPr>
                <w:sz w:val="20"/>
                <w:szCs w:val="20"/>
                <w:color w:val="auto"/>
              </w:rPr>
            </w:pPr>
          </w:p>
        </w:tc>
      </w:tr>
      <w:tr>
        <w:trPr>
          <w:trHeight w:val="247"/>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240,450</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243,299</w:t>
            </w:r>
          </w:p>
        </w:tc>
        <w:tc>
          <w:tcPr>
            <w:tcW w:w="100" w:type="dxa"/>
            <w:vAlign w:val="bottom"/>
            <w:shd w:val="clear" w:color="auto" w:fill="CFF0FC"/>
          </w:tcPr>
          <w:p>
            <w:pPr>
              <w:spacing w:after="0"/>
              <w:rPr>
                <w:sz w:val="21"/>
                <w:szCs w:val="21"/>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20,879</w:t>
            </w:r>
          </w:p>
        </w:tc>
        <w:tc>
          <w:tcPr>
            <w:tcW w:w="100" w:type="dxa"/>
            <w:vAlign w:val="bottom"/>
          </w:tcPr>
          <w:p>
            <w:pPr>
              <w:spacing w:after="0"/>
              <w:rPr>
                <w:sz w:val="20"/>
                <w:szCs w:val="20"/>
                <w:color w:val="auto"/>
              </w:rPr>
            </w:pPr>
          </w:p>
        </w:tc>
      </w:tr>
      <w:tr>
        <w:trPr>
          <w:trHeight w:val="247"/>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 assets, net of valuation allowance</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7,988</w:t>
            </w:r>
          </w:p>
        </w:tc>
        <w:tc>
          <w:tcPr>
            <w:tcW w:w="100" w:type="dxa"/>
            <w:vAlign w:val="bottom"/>
            <w:shd w:val="clear" w:color="auto" w:fill="CFF0FC"/>
          </w:tcPr>
          <w:p>
            <w:pPr>
              <w:spacing w:after="0"/>
              <w:rPr>
                <w:sz w:val="21"/>
                <w:szCs w:val="21"/>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52,815</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52,815</w:t>
            </w:r>
          </w:p>
        </w:tc>
        <w:tc>
          <w:tcPr>
            <w:tcW w:w="100" w:type="dxa"/>
            <w:vAlign w:val="bottom"/>
          </w:tcPr>
          <w:p>
            <w:pPr>
              <w:spacing w:after="0"/>
              <w:rPr>
                <w:sz w:val="20"/>
                <w:szCs w:val="20"/>
                <w:color w:val="auto"/>
              </w:rPr>
            </w:pPr>
          </w:p>
        </w:tc>
      </w:tr>
      <w:tr>
        <w:trPr>
          <w:trHeight w:val="243"/>
        </w:trPr>
        <w:tc>
          <w:tcPr>
            <w:tcW w:w="8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intangible assets, net of accumulated amortization</w:t>
            </w: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34,902</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35,022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824,140</w:t>
            </w:r>
          </w:p>
        </w:tc>
        <w:tc>
          <w:tcPr>
            <w:tcW w:w="3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814,669</w:t>
            </w:r>
          </w:p>
        </w:tc>
        <w:tc>
          <w:tcPr>
            <w:tcW w:w="100" w:type="dxa"/>
            <w:vAlign w:val="bottom"/>
          </w:tcPr>
          <w:p>
            <w:pPr>
              <w:spacing w:after="0"/>
              <w:rPr>
                <w:sz w:val="20"/>
                <w:szCs w:val="20"/>
                <w:color w:val="auto"/>
              </w:rPr>
            </w:pP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18,734</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26,386</w:t>
            </w:r>
          </w:p>
        </w:tc>
        <w:tc>
          <w:tcPr>
            <w:tcW w:w="100" w:type="dxa"/>
            <w:vAlign w:val="bottom"/>
          </w:tcPr>
          <w:p>
            <w:pPr>
              <w:spacing w:after="0"/>
              <w:rPr>
                <w:sz w:val="20"/>
                <w:szCs w:val="20"/>
                <w:color w:val="auto"/>
              </w:rPr>
            </w:pPr>
          </w:p>
        </w:tc>
      </w:tr>
      <w:tr>
        <w:trPr>
          <w:trHeight w:val="247"/>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101,038</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111,013</w:t>
            </w:r>
          </w:p>
        </w:tc>
        <w:tc>
          <w:tcPr>
            <w:tcW w:w="100" w:type="dxa"/>
            <w:vAlign w:val="bottom"/>
            <w:shd w:val="clear" w:color="auto" w:fill="CFF0FC"/>
          </w:tcPr>
          <w:p>
            <w:pPr>
              <w:spacing w:after="0"/>
              <w:rPr>
                <w:sz w:val="21"/>
                <w:szCs w:val="21"/>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60,999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67,105</w:t>
            </w:r>
          </w:p>
        </w:tc>
        <w:tc>
          <w:tcPr>
            <w:tcW w:w="100" w:type="dxa"/>
            <w:vAlign w:val="bottom"/>
          </w:tcPr>
          <w:p>
            <w:pPr>
              <w:spacing w:after="0"/>
              <w:rPr>
                <w:sz w:val="20"/>
                <w:szCs w:val="20"/>
                <w:color w:val="auto"/>
              </w:rPr>
            </w:pPr>
          </w:p>
        </w:tc>
      </w:tr>
      <w:tr>
        <w:trPr>
          <w:trHeight w:val="247"/>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facility borrowings, net of unamortized debt issuance costs</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68,034</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22,924</w:t>
            </w:r>
          </w:p>
        </w:tc>
        <w:tc>
          <w:tcPr>
            <w:tcW w:w="100" w:type="dxa"/>
            <w:vAlign w:val="bottom"/>
            <w:shd w:val="clear" w:color="auto" w:fill="CFF0FC"/>
          </w:tcPr>
          <w:p>
            <w:pPr>
              <w:spacing w:after="0"/>
              <w:rPr>
                <w:sz w:val="21"/>
                <w:szCs w:val="21"/>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and other borrowings, net of unamortized discounts and debt issuance costs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229,435</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229,131</w:t>
            </w:r>
          </w:p>
        </w:tc>
        <w:tc>
          <w:tcPr>
            <w:tcW w:w="100" w:type="dxa"/>
            <w:vAlign w:val="bottom"/>
          </w:tcPr>
          <w:p>
            <w:pPr>
              <w:spacing w:after="0"/>
              <w:rPr>
                <w:sz w:val="20"/>
                <w:szCs w:val="20"/>
                <w:color w:val="auto"/>
              </w:rPr>
            </w:pPr>
          </w:p>
        </w:tc>
      </w:tr>
      <w:tr>
        <w:trPr>
          <w:trHeight w:val="243"/>
        </w:trPr>
        <w:tc>
          <w:tcPr>
            <w:tcW w:w="8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12,521</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490,761</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469,080</w:t>
            </w:r>
          </w:p>
        </w:tc>
        <w:tc>
          <w:tcPr>
            <w:tcW w:w="100" w:type="dxa"/>
            <w:vAlign w:val="bottom"/>
          </w:tcPr>
          <w:p>
            <w:pPr>
              <w:spacing w:after="0"/>
              <w:rPr>
                <w:sz w:val="20"/>
                <w:szCs w:val="20"/>
                <w:color w:val="auto"/>
              </w:rPr>
            </w:pPr>
          </w:p>
        </w:tc>
      </w:tr>
      <w:tr>
        <w:trPr>
          <w:trHeight w:val="239"/>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Commitments, contingencies and guarantees </w:t>
            </w:r>
            <w:r>
              <w:rPr>
                <w:rFonts w:ascii="Times New Roman" w:cs="Times New Roman" w:eastAsia="Times New Roman" w:hAnsi="Times New Roman"/>
                <w:sz w:val="18"/>
                <w:szCs w:val="18"/>
                <w:color w:val="auto"/>
              </w:rPr>
              <w:t>(see Note 7)</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1"/>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649</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658</w:t>
            </w:r>
          </w:p>
        </w:tc>
        <w:tc>
          <w:tcPr>
            <w:tcW w:w="100" w:type="dxa"/>
            <w:vAlign w:val="bottom"/>
          </w:tcPr>
          <w:p>
            <w:pPr>
              <w:spacing w:after="0"/>
              <w:rPr>
                <w:sz w:val="20"/>
                <w:szCs w:val="20"/>
                <w:color w:val="auto"/>
              </w:rPr>
            </w:pPr>
          </w:p>
        </w:tc>
      </w:tr>
      <w:tr>
        <w:trPr>
          <w:trHeight w:val="239"/>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stock common shares — no par value. Authorized — unlimited number.</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52,622,200 issued and outstanding (December 31, 2023 — 53,260,276 issued and outstanding)</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393,597</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389,048</w:t>
            </w:r>
          </w:p>
        </w:tc>
        <w:tc>
          <w:tcPr>
            <w:tcW w:w="100" w:type="dxa"/>
            <w:vAlign w:val="bottom"/>
            <w:shd w:val="clear" w:color="auto" w:fill="CFF0FC"/>
          </w:tcPr>
          <w:p>
            <w:pPr>
              <w:spacing w:after="0"/>
              <w:rPr>
                <w:sz w:val="21"/>
                <w:szCs w:val="21"/>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equity</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171,877</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185,087</w:t>
            </w:r>
          </w:p>
        </w:tc>
        <w:tc>
          <w:tcPr>
            <w:tcW w:w="100" w:type="dxa"/>
            <w:vAlign w:val="bottom"/>
          </w:tcPr>
          <w:p>
            <w:pPr>
              <w:spacing w:after="0"/>
              <w:rPr>
                <w:sz w:val="20"/>
                <w:szCs w:val="20"/>
                <w:color w:val="auto"/>
              </w:rPr>
            </w:pPr>
          </w:p>
        </w:tc>
      </w:tr>
      <w:tr>
        <w:trPr>
          <w:trHeight w:val="247"/>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Statutory surplus reserve</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00" w:type="dxa"/>
            <w:vAlign w:val="bottom"/>
            <w:shd w:val="clear" w:color="auto" w:fill="CFF0FC"/>
          </w:tcPr>
          <w:p>
            <w:pPr>
              <w:spacing w:after="0"/>
              <w:rPr>
                <w:sz w:val="21"/>
                <w:szCs w:val="21"/>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(297,284 )</w:t>
            </w:r>
          </w:p>
        </w:tc>
        <w:tc>
          <w:tcPr>
            <w:tcW w:w="1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(292,845 )</w:t>
            </w:r>
          </w:p>
        </w:tc>
      </w:tr>
      <w:tr>
        <w:trPr>
          <w:trHeight w:val="243"/>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(13,320 )</w:t>
            </w:r>
          </w:p>
        </w:tc>
        <w:tc>
          <w:tcPr>
            <w:tcW w:w="1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(12,081 )</w:t>
            </w:r>
          </w:p>
        </w:tc>
      </w:tr>
      <w:tr>
        <w:trPr>
          <w:trHeight w:val="239"/>
        </w:trPr>
        <w:tc>
          <w:tcPr>
            <w:tcW w:w="8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 attributable to common shareholders</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258,802</w:t>
            </w:r>
          </w:p>
        </w:tc>
        <w:tc>
          <w:tcPr>
            <w:tcW w:w="30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273,141</w:t>
            </w:r>
          </w:p>
        </w:tc>
        <w:tc>
          <w:tcPr>
            <w:tcW w:w="100" w:type="dxa"/>
            <w:vAlign w:val="bottom"/>
            <w:tcBorders>
              <w:top w:val="single" w:sz="8" w:color="CFF0FC"/>
            </w:tcBorders>
          </w:tcPr>
          <w:p>
            <w:pPr>
              <w:spacing w:after="0"/>
              <w:rPr>
                <w:sz w:val="20"/>
                <w:szCs w:val="20"/>
                <w:color w:val="auto"/>
              </w:rPr>
            </w:pPr>
          </w:p>
        </w:tc>
      </w:tr>
      <w:tr>
        <w:trPr>
          <w:trHeight w:val="241"/>
        </w:trPr>
        <w:tc>
          <w:tcPr>
            <w:tcW w:w="8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73,928</w:t>
            </w: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71,790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332,730</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344,931</w:t>
            </w:r>
          </w:p>
        </w:tc>
        <w:tc>
          <w:tcPr>
            <w:tcW w:w="100" w:type="dxa"/>
            <w:vAlign w:val="bottom"/>
          </w:tcPr>
          <w:p>
            <w:pPr>
              <w:spacing w:after="0"/>
              <w:rPr>
                <w:sz w:val="20"/>
                <w:szCs w:val="20"/>
                <w:color w:val="auto"/>
              </w:rPr>
            </w:pPr>
          </w:p>
        </w:tc>
      </w:tr>
      <w:tr>
        <w:trPr>
          <w:trHeight w:val="277"/>
        </w:trPr>
        <w:tc>
          <w:tcPr>
            <w:tcW w:w="8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824,140</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814,669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-3505200</wp:posOffset>
            </wp:positionV>
            <wp:extent cx="68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-3505200</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-2236470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-668020</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-350520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26"/>
        </w:trPr>
        <w:tc>
          <w:tcPr>
            <w:tcW w:w="8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8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6"/>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sales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3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17,822</w:t>
            </w:r>
          </w:p>
        </w:tc>
        <w:tc>
          <w:tcPr>
            <w:tcW w:w="100" w:type="dxa"/>
            <w:vAlign w:val="bottom"/>
          </w:tcPr>
          <w:p>
            <w:pPr>
              <w:spacing w:after="0"/>
              <w:rPr>
                <w:sz w:val="20"/>
                <w:szCs w:val="20"/>
                <w:color w:val="auto"/>
              </w:rPr>
            </w:pPr>
          </w:p>
        </w:tc>
      </w:tr>
      <w:tr>
        <w:trPr>
          <w:trHeight w:val="247"/>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Image enhancement and maintenance services</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50,348</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47,127</w:t>
            </w:r>
          </w:p>
        </w:tc>
        <w:tc>
          <w:tcPr>
            <w:tcW w:w="100" w:type="dxa"/>
            <w:vAlign w:val="bottom"/>
            <w:shd w:val="clear" w:color="auto" w:fill="CFF0FC"/>
          </w:tcPr>
          <w:p>
            <w:pPr>
              <w:spacing w:after="0"/>
              <w:rPr>
                <w:sz w:val="21"/>
                <w:szCs w:val="21"/>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rentals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18,601</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20,058</w:t>
            </w:r>
          </w:p>
        </w:tc>
        <w:tc>
          <w:tcPr>
            <w:tcW w:w="100" w:type="dxa"/>
            <w:vAlign w:val="bottom"/>
          </w:tcPr>
          <w:p>
            <w:pPr>
              <w:spacing w:after="0"/>
              <w:rPr>
                <w:sz w:val="20"/>
                <w:szCs w:val="20"/>
                <w:color w:val="auto"/>
              </w:rPr>
            </w:pPr>
          </w:p>
        </w:tc>
      </w:tr>
      <w:tr>
        <w:trPr>
          <w:trHeight w:val="243"/>
        </w:trPr>
        <w:tc>
          <w:tcPr>
            <w:tcW w:w="8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income</w:t>
            </w:r>
          </w:p>
        </w:tc>
        <w:tc>
          <w:tcPr>
            <w:tcW w:w="3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8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79,123</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86,946</w:t>
            </w:r>
          </w:p>
        </w:tc>
        <w:tc>
          <w:tcPr>
            <w:tcW w:w="100" w:type="dxa"/>
            <w:vAlign w:val="bottom"/>
          </w:tcPr>
          <w:p>
            <w:pPr>
              <w:spacing w:after="0"/>
              <w:rPr>
                <w:sz w:val="20"/>
                <w:szCs w:val="20"/>
                <w:color w:val="auto"/>
              </w:rPr>
            </w:pPr>
          </w:p>
        </w:tc>
      </w:tr>
      <w:tr>
        <w:trPr>
          <w:trHeight w:val="239"/>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 applicable to revenues</w:t>
            </w: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sales</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7,232</w:t>
            </w:r>
          </w:p>
        </w:tc>
        <w:tc>
          <w:tcPr>
            <w:tcW w:w="100" w:type="dxa"/>
            <w:vAlign w:val="bottom"/>
          </w:tcPr>
          <w:p>
            <w:pPr>
              <w:spacing w:after="0"/>
              <w:rPr>
                <w:sz w:val="20"/>
                <w:szCs w:val="20"/>
                <w:color w:val="auto"/>
              </w:rPr>
            </w:pPr>
          </w:p>
        </w:tc>
      </w:tr>
      <w:tr>
        <w:trPr>
          <w:trHeight w:val="247"/>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Image enhancement and maintenance services</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21,195</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23,085</w:t>
            </w:r>
          </w:p>
        </w:tc>
        <w:tc>
          <w:tcPr>
            <w:tcW w:w="100" w:type="dxa"/>
            <w:vAlign w:val="bottom"/>
            <w:shd w:val="clear" w:color="auto" w:fill="CFF0FC"/>
          </w:tcPr>
          <w:p>
            <w:pPr>
              <w:spacing w:after="0"/>
              <w:rPr>
                <w:sz w:val="21"/>
                <w:szCs w:val="21"/>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rentals</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6,578</w:t>
            </w:r>
          </w:p>
        </w:tc>
        <w:tc>
          <w:tcPr>
            <w:tcW w:w="100" w:type="dxa"/>
            <w:vAlign w:val="bottom"/>
          </w:tcPr>
          <w:p>
            <w:pPr>
              <w:spacing w:after="0"/>
              <w:rPr>
                <w:sz w:val="20"/>
                <w:szCs w:val="20"/>
                <w:color w:val="auto"/>
              </w:rPr>
            </w:pPr>
          </w:p>
        </w:tc>
      </w:tr>
      <w:tr>
        <w:trPr>
          <w:trHeight w:val="238"/>
        </w:trPr>
        <w:tc>
          <w:tcPr>
            <w:tcW w:w="83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32,234</w:t>
            </w:r>
          </w:p>
        </w:tc>
        <w:tc>
          <w:tcPr>
            <w:tcW w:w="3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36,895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46,889</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50,051</w:t>
            </w:r>
          </w:p>
        </w:tc>
        <w:tc>
          <w:tcPr>
            <w:tcW w:w="100" w:type="dxa"/>
            <w:vAlign w:val="bottom"/>
          </w:tcPr>
          <w:p>
            <w:pPr>
              <w:spacing w:after="0"/>
              <w:rPr>
                <w:sz w:val="20"/>
                <w:szCs w:val="20"/>
                <w:color w:val="auto"/>
              </w:rPr>
            </w:pPr>
          </w:p>
        </w:tc>
      </w:tr>
      <w:tr>
        <w:trPr>
          <w:trHeight w:val="245"/>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31,257</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34,148</w:t>
            </w:r>
          </w:p>
        </w:tc>
        <w:tc>
          <w:tcPr>
            <w:tcW w:w="100" w:type="dxa"/>
            <w:vAlign w:val="bottom"/>
            <w:shd w:val="clear" w:color="auto" w:fill="CFF0FC"/>
          </w:tcPr>
          <w:p>
            <w:pPr>
              <w:spacing w:after="0"/>
              <w:rPr>
                <w:sz w:val="21"/>
                <w:szCs w:val="21"/>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tcPr>
          <w:p>
            <w:pPr>
              <w:spacing w:after="0"/>
              <w:rPr>
                <w:sz w:val="20"/>
                <w:szCs w:val="20"/>
                <w:color w:val="auto"/>
              </w:rPr>
            </w:pPr>
          </w:p>
        </w:tc>
      </w:tr>
      <w:tr>
        <w:trPr>
          <w:trHeight w:val="247"/>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shd w:val="clear" w:color="auto" w:fill="CFF0FC"/>
          </w:tcPr>
          <w:p>
            <w:pPr>
              <w:spacing w:after="0"/>
              <w:rPr>
                <w:sz w:val="21"/>
                <w:szCs w:val="21"/>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loss expense, net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0"/>
                <w:szCs w:val="20"/>
                <w:color w:val="auto"/>
              </w:rPr>
            </w:pPr>
          </w:p>
        </w:tc>
      </w:tr>
      <w:tr>
        <w:trPr>
          <w:trHeight w:val="243"/>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Restructuring and executive transition costs</w:t>
            </w: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shd w:val="clear" w:color="auto" w:fill="CFF0FC"/>
          </w:tcPr>
          <w:p>
            <w:pPr>
              <w:spacing w:after="0"/>
              <w:rPr>
                <w:sz w:val="21"/>
                <w:szCs w:val="21"/>
                <w:color w:val="auto"/>
              </w:rPr>
            </w:pPr>
          </w:p>
        </w:tc>
      </w:tr>
      <w:tr>
        <w:trPr>
          <w:trHeight w:val="238"/>
        </w:trPr>
        <w:tc>
          <w:tcPr>
            <w:tcW w:w="8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12,067</w:t>
            </w:r>
          </w:p>
        </w:tc>
        <w:tc>
          <w:tcPr>
            <w:tcW w:w="30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11,401</w:t>
            </w:r>
          </w:p>
        </w:tc>
        <w:tc>
          <w:tcPr>
            <w:tcW w:w="100" w:type="dxa"/>
            <w:vAlign w:val="bottom"/>
            <w:tcBorders>
              <w:top w:val="single" w:sz="8" w:color="CFF0FC"/>
            </w:tcBorders>
          </w:tcPr>
          <w:p>
            <w:pPr>
              <w:spacing w:after="0"/>
              <w:rPr>
                <w:sz w:val="20"/>
                <w:szCs w:val="20"/>
                <w:color w:val="auto"/>
              </w:rPr>
            </w:pPr>
          </w:p>
        </w:tc>
      </w:tr>
      <w:tr>
        <w:trPr>
          <w:trHeight w:val="245"/>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Realized and unrealized investment gains</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21"/>
                <w:szCs w:val="21"/>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benefits non-service expense</w:t>
            </w:r>
          </w:p>
        </w:tc>
        <w:tc>
          <w:tcPr>
            <w:tcW w:w="3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(107 )</w:t>
            </w:r>
          </w:p>
        </w:tc>
        <w:tc>
          <w:tcPr>
            <w:tcW w:w="3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(77 )</w:t>
            </w:r>
          </w:p>
        </w:tc>
      </w:tr>
      <w:tr>
        <w:trPr>
          <w:trHeight w:val="247"/>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FF0FC"/>
          </w:tcPr>
          <w:p>
            <w:pPr>
              <w:spacing w:after="0"/>
              <w:rPr>
                <w:sz w:val="21"/>
                <w:szCs w:val="21"/>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(1,945 )</w:t>
            </w:r>
          </w:p>
        </w:tc>
        <w:tc>
          <w:tcPr>
            <w:tcW w:w="3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(1,767 )</w:t>
            </w:r>
          </w:p>
        </w:tc>
      </w:tr>
      <w:tr>
        <w:trPr>
          <w:trHeight w:val="241"/>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3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10,579</w:t>
            </w:r>
          </w:p>
        </w:tc>
        <w:tc>
          <w:tcPr>
            <w:tcW w:w="30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10,008</w:t>
            </w:r>
          </w:p>
        </w:tc>
        <w:tc>
          <w:tcPr>
            <w:tcW w:w="100" w:type="dxa"/>
            <w:vAlign w:val="bottom"/>
            <w:shd w:val="clear" w:color="auto" w:fill="CFF0FC"/>
          </w:tcPr>
          <w:p>
            <w:pPr>
              <w:spacing w:after="0"/>
              <w:rPr>
                <w:sz w:val="20"/>
                <w:szCs w:val="20"/>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(5,159 )</w:t>
            </w:r>
          </w:p>
        </w:tc>
        <w:tc>
          <w:tcPr>
            <w:tcW w:w="3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(4,885 )</w:t>
            </w:r>
          </w:p>
        </w:tc>
      </w:tr>
      <w:tr>
        <w:trPr>
          <w:trHeight w:val="241"/>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5,420</w:t>
            </w:r>
          </w:p>
        </w:tc>
        <w:tc>
          <w:tcPr>
            <w:tcW w:w="30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5,123</w:t>
            </w:r>
          </w:p>
        </w:tc>
        <w:tc>
          <w:tcPr>
            <w:tcW w:w="100" w:type="dxa"/>
            <w:vAlign w:val="bottom"/>
            <w:shd w:val="clear" w:color="auto" w:fill="CFF0FC"/>
          </w:tcPr>
          <w:p>
            <w:pPr>
              <w:spacing w:after="0"/>
              <w:rPr>
                <w:sz w:val="20"/>
                <w:szCs w:val="20"/>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(2,146 )</w:t>
            </w:r>
          </w:p>
        </w:tc>
        <w:tc>
          <w:tcPr>
            <w:tcW w:w="3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(2,669 )</w:t>
            </w:r>
          </w:p>
        </w:tc>
      </w:tr>
      <w:tr>
        <w:trPr>
          <w:trHeight w:val="279"/>
        </w:trPr>
        <w:tc>
          <w:tcPr>
            <w:tcW w:w="8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shareholders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3,274</w:t>
            </w:r>
          </w:p>
        </w:tc>
        <w:tc>
          <w:tcPr>
            <w:tcW w:w="3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2,454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62"/>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common shareholders: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5"/>
        </w:trPr>
        <w:tc>
          <w:tcPr>
            <w:tcW w:w="8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r>
      <w:tr>
        <w:trPr>
          <w:trHeight w:val="20"/>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5"/>
        </w:trPr>
        <w:tc>
          <w:tcPr>
            <w:tcW w:w="8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(in thousands):</w:t>
            </w:r>
          </w:p>
        </w:tc>
        <w:tc>
          <w:tcPr>
            <w:tcW w:w="300" w:type="dxa"/>
            <w:vAlign w:val="bottom"/>
            <w:tcBorders>
              <w:bottom w:val="single" w:sz="8" w:color="auto"/>
            </w:tcBorders>
            <w:shd w:val="clear" w:color="auto" w:fill="CFF0FC"/>
          </w:tcPr>
          <w:p>
            <w:pPr>
              <w:spacing w:after="0"/>
              <w:rPr>
                <w:sz w:val="23"/>
                <w:szCs w:val="23"/>
                <w:color w:val="auto"/>
              </w:rPr>
            </w:pPr>
          </w:p>
        </w:tc>
        <w:tc>
          <w:tcPr>
            <w:tcW w:w="940" w:type="dxa"/>
            <w:vAlign w:val="bottom"/>
            <w:tcBorders>
              <w:bottom w:val="single" w:sz="8" w:color="auto"/>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spacing w:after="0"/>
              <w:rPr>
                <w:sz w:val="23"/>
                <w:szCs w:val="23"/>
                <w:color w:val="auto"/>
              </w:rPr>
            </w:pPr>
          </w:p>
        </w:tc>
        <w:tc>
          <w:tcPr>
            <w:tcW w:w="920" w:type="dxa"/>
            <w:vAlign w:val="bottom"/>
            <w:tcBorders>
              <w:bottom w:val="single" w:sz="8" w:color="auto"/>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r>
      <w:tr>
        <w:trPr>
          <w:trHeight w:val="222"/>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52,501</w:t>
            </w: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54,064</w:t>
            </w:r>
          </w:p>
        </w:tc>
        <w:tc>
          <w:tcPr>
            <w:tcW w:w="100" w:type="dxa"/>
            <w:vAlign w:val="bottom"/>
          </w:tcPr>
          <w:p>
            <w:pPr>
              <w:spacing w:after="0"/>
              <w:rPr>
                <w:sz w:val="19"/>
                <w:szCs w:val="19"/>
                <w:color w:val="auto"/>
              </w:rPr>
            </w:pPr>
          </w:p>
        </w:tc>
      </w:tr>
      <w:tr>
        <w:trPr>
          <w:trHeight w:val="20"/>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8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53,406</w:t>
            </w:r>
          </w:p>
        </w:tc>
        <w:tc>
          <w:tcPr>
            <w:tcW w:w="3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54,991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-4697095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-4697095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-3745230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-3745230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-2811145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-2811145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-1233805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-1216660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-744855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-728345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-385445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-367665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286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26"/>
        </w:trPr>
        <w:tc>
          <w:tcPr>
            <w:tcW w:w="838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83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6"/>
        </w:trPr>
        <w:tc>
          <w:tcPr>
            <w:tcW w:w="8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8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5,420</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5,123</w:t>
            </w:r>
          </w:p>
        </w:tc>
        <w:tc>
          <w:tcPr>
            <w:tcW w:w="100" w:type="dxa"/>
            <w:vAlign w:val="bottom"/>
            <w:shd w:val="clear" w:color="auto" w:fill="CFF0FC"/>
          </w:tcPr>
          <w:p>
            <w:pPr>
              <w:spacing w:after="0"/>
              <w:rPr>
                <w:sz w:val="20"/>
                <w:szCs w:val="20"/>
                <w:color w:val="auto"/>
              </w:rPr>
            </w:pPr>
          </w:p>
        </w:tc>
      </w:tr>
      <w:tr>
        <w:trPr>
          <w:trHeight w:val="241"/>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 before tax</w:t>
            </w: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8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net (loss) gain from cash flow hedging instruments</w:t>
            </w:r>
          </w:p>
        </w:tc>
        <w:tc>
          <w:tcPr>
            <w:tcW w:w="78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(916 )</w:t>
            </w: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FF0FC"/>
          </w:tcPr>
          <w:p>
            <w:pPr>
              <w:spacing w:after="0"/>
              <w:rPr>
                <w:sz w:val="21"/>
                <w:szCs w:val="21"/>
                <w:color w:val="auto"/>
              </w:rPr>
            </w:pPr>
          </w:p>
        </w:tc>
      </w:tr>
      <w:tr>
        <w:trPr>
          <w:trHeight w:val="239"/>
        </w:trPr>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Realized net loss from cash flow hedging instruments</w:t>
            </w:r>
          </w:p>
        </w:tc>
        <w:tc>
          <w:tcPr>
            <w:tcW w:w="7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20"/>
                <w:szCs w:val="20"/>
                <w:color w:val="auto"/>
              </w:rPr>
            </w:pPr>
          </w:p>
        </w:tc>
      </w:tr>
      <w:tr>
        <w:trPr>
          <w:trHeight w:val="247"/>
        </w:trPr>
        <w:tc>
          <w:tcPr>
            <w:tcW w:w="8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78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(542 )</w:t>
            </w: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00" w:type="dxa"/>
            <w:vAlign w:val="bottom"/>
            <w:shd w:val="clear" w:color="auto" w:fill="CFF0FC"/>
          </w:tcPr>
          <w:p>
            <w:pPr>
              <w:spacing w:after="0"/>
              <w:rPr>
                <w:sz w:val="21"/>
                <w:szCs w:val="21"/>
                <w:color w:val="auto"/>
              </w:rPr>
            </w:pPr>
          </w:p>
        </w:tc>
      </w:tr>
      <w:tr>
        <w:trPr>
          <w:trHeight w:val="239"/>
        </w:trPr>
        <w:tc>
          <w:tcPr>
            <w:tcW w:w="8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Defined benefit and postretirement benefit plans</w:t>
            </w:r>
          </w:p>
        </w:tc>
        <w:tc>
          <w:tcPr>
            <w:tcW w:w="780" w:type="dxa"/>
            <w:vAlign w:val="bottom"/>
          </w:tcPr>
          <w:p>
            <w:pPr>
              <w:spacing w:after="0"/>
              <w:rPr>
                <w:sz w:val="20"/>
                <w:szCs w:val="20"/>
                <w:color w:val="auto"/>
              </w:rPr>
            </w:pPr>
          </w:p>
        </w:tc>
        <w:tc>
          <w:tcPr>
            <w:tcW w:w="7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(249 )</w:t>
            </w:r>
          </w:p>
        </w:tc>
        <w:tc>
          <w:tcPr>
            <w:tcW w:w="3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(176 )</w:t>
            </w:r>
          </w:p>
        </w:tc>
      </w:tr>
      <w:tr>
        <w:trPr>
          <w:trHeight w:val="241"/>
        </w:trPr>
        <w:tc>
          <w:tcPr>
            <w:tcW w:w="8380" w:type="dxa"/>
            <w:vAlign w:val="bottom"/>
            <w:tcBorders>
              <w:top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Total other comprehensive (loss) income, before tax</w:t>
            </w:r>
          </w:p>
        </w:tc>
        <w:tc>
          <w:tcPr>
            <w:tcW w:w="780" w:type="dxa"/>
            <w:vAlign w:val="bottom"/>
            <w:tcBorders>
              <w:top w:val="single" w:sz="8" w:color="auto"/>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(1,696</w:t>
            </w:r>
          </w:p>
        </w:tc>
        <w:tc>
          <w:tcPr>
            <w:tcW w:w="260" w:type="dxa"/>
            <w:vAlign w:val="bottom"/>
            <w:tcBorders>
              <w:top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2,737</w:t>
            </w:r>
          </w:p>
        </w:tc>
        <w:tc>
          <w:tcPr>
            <w:tcW w:w="100" w:type="dxa"/>
            <w:vAlign w:val="bottom"/>
            <w:tcBorders>
              <w:top w:val="single" w:sz="8" w:color="CFF0FC"/>
            </w:tcBorders>
            <w:shd w:val="clear" w:color="auto" w:fill="CFF0FC"/>
          </w:tcPr>
          <w:p>
            <w:pPr>
              <w:spacing w:after="0"/>
              <w:rPr>
                <w:sz w:val="20"/>
                <w:szCs w:val="20"/>
                <w:color w:val="auto"/>
              </w:rPr>
            </w:pPr>
          </w:p>
        </w:tc>
      </w:tr>
      <w:tr>
        <w:trPr>
          <w:trHeight w:val="23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 related to other comprehensive (loss) income</w:t>
            </w:r>
          </w:p>
        </w:tc>
        <w:tc>
          <w:tcPr>
            <w:tcW w:w="7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(78 )</w:t>
            </w:r>
          </w:p>
        </w:tc>
      </w:tr>
      <w:tr>
        <w:trPr>
          <w:trHeight w:val="20"/>
        </w:trPr>
        <w:tc>
          <w:tcPr>
            <w:tcW w:w="8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78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w w:val="91"/>
              </w:rPr>
              <w:t>(1,393 )</w:t>
            </w:r>
          </w:p>
        </w:tc>
        <w:tc>
          <w:tcPr>
            <w:tcW w:w="3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00" w:type="dxa"/>
            <w:vAlign w:val="bottom"/>
            <w:shd w:val="clear" w:color="auto" w:fill="CFF0FC"/>
          </w:tcPr>
          <w:p>
            <w:pPr>
              <w:spacing w:after="0"/>
              <w:rPr>
                <w:sz w:val="20"/>
                <w:szCs w:val="20"/>
                <w:color w:val="auto"/>
              </w:rPr>
            </w:pPr>
          </w:p>
        </w:tc>
      </w:tr>
      <w:tr>
        <w:trPr>
          <w:trHeight w:val="239"/>
        </w:trPr>
        <w:tc>
          <w:tcPr>
            <w:tcW w:w="83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7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4,027</w:t>
            </w: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7,782</w:t>
            </w:r>
          </w:p>
        </w:tc>
        <w:tc>
          <w:tcPr>
            <w:tcW w:w="100" w:type="dxa"/>
            <w:vAlign w:val="bottom"/>
            <w:tcBorders>
              <w:top w:val="single" w:sz="8" w:color="CFF0FC"/>
            </w:tcBorders>
          </w:tcPr>
          <w:p>
            <w:pPr>
              <w:spacing w:after="0"/>
              <w:rPr>
                <w:sz w:val="20"/>
                <w:szCs w:val="20"/>
                <w:color w:val="auto"/>
              </w:rPr>
            </w:pPr>
          </w:p>
        </w:tc>
      </w:tr>
      <w:tr>
        <w:trPr>
          <w:trHeight w:val="241"/>
        </w:trPr>
        <w:tc>
          <w:tcPr>
            <w:tcW w:w="8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78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w w:val="91"/>
              </w:rPr>
              <w:t>(1,992 )</w:t>
            </w:r>
          </w:p>
        </w:tc>
        <w:tc>
          <w:tcPr>
            <w:tcW w:w="3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(3,358 )</w:t>
            </w:r>
          </w:p>
        </w:tc>
      </w:tr>
      <w:tr>
        <w:trPr>
          <w:trHeight w:val="238"/>
        </w:trPr>
        <w:tc>
          <w:tcPr>
            <w:tcW w:w="83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common shareholders</w:t>
            </w:r>
          </w:p>
        </w:tc>
        <w:tc>
          <w:tcPr>
            <w:tcW w:w="78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2,035</w:t>
            </w: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4,424</w:t>
            </w:r>
          </w:p>
        </w:tc>
        <w:tc>
          <w:tcPr>
            <w:tcW w:w="100" w:type="dxa"/>
            <w:vAlign w:val="bottom"/>
            <w:tcBorders>
              <w:top w:val="single" w:sz="8" w:color="CFF0FC"/>
            </w:tcBorders>
          </w:tcPr>
          <w:p>
            <w:pPr>
              <w:spacing w:after="0"/>
              <w:rPr>
                <w:sz w:val="20"/>
                <w:szCs w:val="20"/>
                <w:color w:val="auto"/>
              </w:rPr>
            </w:pPr>
          </w:p>
        </w:tc>
      </w:tr>
      <w:tr>
        <w:trPr>
          <w:trHeight w:val="20"/>
        </w:trPr>
        <w:tc>
          <w:tcPr>
            <w:tcW w:w="8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-985520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-505460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-187960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 w:name="page7"/>
    <w:bookmarkEnd w:id="6"/>
    <w:p>
      <w:pPr>
        <w:ind w:left="4780"/>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jc w:val="right"/>
              <w:ind w:right="76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26"/>
        </w:trPr>
        <w:tc>
          <w:tcPr>
            <w:tcW w:w="8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8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6"/>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100" w:type="dxa"/>
            <w:vAlign w:val="bottom"/>
          </w:tcPr>
          <w:p>
            <w:pPr>
              <w:spacing w:after="0"/>
              <w:rPr>
                <w:sz w:val="20"/>
                <w:szCs w:val="20"/>
                <w:color w:val="auto"/>
              </w:rPr>
            </w:pPr>
          </w:p>
        </w:tc>
      </w:tr>
      <w:tr>
        <w:trPr>
          <w:trHeight w:val="247"/>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cash (used in) provided by operating activities:</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15,164</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13,320</w:t>
            </w:r>
          </w:p>
        </w:tc>
        <w:tc>
          <w:tcPr>
            <w:tcW w:w="100" w:type="dxa"/>
            <w:vAlign w:val="bottom"/>
          </w:tcPr>
          <w:p>
            <w:pPr>
              <w:spacing w:after="0"/>
              <w:rPr>
                <w:sz w:val="20"/>
                <w:szCs w:val="20"/>
                <w:color w:val="auto"/>
              </w:rPr>
            </w:pPr>
          </w:p>
        </w:tc>
      </w:tr>
      <w:tr>
        <w:trPr>
          <w:trHeight w:val="247"/>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FF0FC"/>
          </w:tcPr>
          <w:p>
            <w:pPr>
              <w:spacing w:after="0"/>
              <w:rPr>
                <w:sz w:val="21"/>
                <w:szCs w:val="21"/>
                <w:color w:val="auto"/>
              </w:rPr>
            </w:pPr>
          </w:p>
        </w:tc>
      </w:tr>
      <w:tr>
        <w:trPr>
          <w:trHeight w:val="239"/>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Credit loss expense, net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0"/>
                <w:szCs w:val="20"/>
                <w:color w:val="auto"/>
              </w:rPr>
            </w:pPr>
          </w:p>
        </w:tc>
      </w:tr>
      <w:tr>
        <w:trPr>
          <w:trHeight w:val="247"/>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Write-downs, including asset impairments</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FF0FC"/>
          </w:tcPr>
          <w:p>
            <w:pPr>
              <w:spacing w:after="0"/>
              <w:rPr>
                <w:sz w:val="21"/>
                <w:szCs w:val="21"/>
                <w:color w:val="auto"/>
              </w:rPr>
            </w:pPr>
          </w:p>
        </w:tc>
      </w:tr>
      <w:tr>
        <w:trPr>
          <w:trHeight w:val="239"/>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(193 )</w:t>
            </w:r>
          </w:p>
        </w:tc>
      </w:tr>
      <w:tr>
        <w:trPr>
          <w:trHeight w:val="247"/>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Share-based and other non-cash compensation</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5,135</w:t>
            </w:r>
          </w:p>
        </w:tc>
        <w:tc>
          <w:tcPr>
            <w:tcW w:w="100" w:type="dxa"/>
            <w:vAlign w:val="bottom"/>
            <w:shd w:val="clear" w:color="auto" w:fill="CFF0FC"/>
          </w:tcPr>
          <w:p>
            <w:pPr>
              <w:spacing w:after="0"/>
              <w:rPr>
                <w:sz w:val="21"/>
                <w:szCs w:val="21"/>
                <w:color w:val="auto"/>
              </w:rPr>
            </w:pPr>
          </w:p>
        </w:tc>
      </w:tr>
      <w:tr>
        <w:trPr>
          <w:trHeight w:val="239"/>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foreign currency exchange loss (gain)</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47"/>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Realized and unrealized investment gains</w:t>
            </w: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(30 )</w:t>
            </w:r>
          </w:p>
        </w:tc>
        <w:tc>
          <w:tcPr>
            <w:tcW w:w="3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(4,502 )</w:t>
            </w: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12,374</w:t>
            </w:r>
          </w:p>
        </w:tc>
        <w:tc>
          <w:tcPr>
            <w:tcW w:w="100" w:type="dxa"/>
            <w:vAlign w:val="bottom"/>
            <w:shd w:val="clear" w:color="auto" w:fill="CFF0FC"/>
          </w:tcPr>
          <w:p>
            <w:pPr>
              <w:spacing w:after="0"/>
              <w:rPr>
                <w:sz w:val="21"/>
                <w:szCs w:val="21"/>
                <w:color w:val="auto"/>
              </w:rPr>
            </w:pPr>
          </w:p>
        </w:tc>
      </w:tr>
      <w:tr>
        <w:trPr>
          <w:trHeight w:val="239"/>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20"/>
                <w:szCs w:val="20"/>
                <w:color w:val="auto"/>
              </w:rPr>
            </w:pPr>
          </w:p>
        </w:tc>
        <w:tc>
          <w:tcPr>
            <w:tcW w:w="12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(4,672 )</w:t>
            </w:r>
          </w:p>
        </w:tc>
        <w:tc>
          <w:tcPr>
            <w:tcW w:w="3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(5,946 )</w:t>
            </w:r>
          </w:p>
        </w:tc>
      </w:tr>
      <w:tr>
        <w:trPr>
          <w:trHeight w:val="247"/>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Film assets</w:t>
            </w: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(4,912 )</w:t>
            </w:r>
          </w:p>
        </w:tc>
        <w:tc>
          <w:tcPr>
            <w:tcW w:w="3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(3,884 )</w:t>
            </w:r>
          </w:p>
        </w:tc>
      </w:tr>
      <w:tr>
        <w:trPr>
          <w:trHeight w:val="239"/>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20"/>
                <w:szCs w:val="20"/>
                <w:color w:val="auto"/>
              </w:rPr>
            </w:pPr>
          </w:p>
        </w:tc>
        <w:tc>
          <w:tcPr>
            <w:tcW w:w="12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(6,075 )</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00" w:type="dxa"/>
            <w:vAlign w:val="bottom"/>
          </w:tcPr>
          <w:p>
            <w:pPr>
              <w:spacing w:after="0"/>
              <w:rPr>
                <w:sz w:val="20"/>
                <w:szCs w:val="20"/>
                <w:color w:val="auto"/>
              </w:rPr>
            </w:pPr>
          </w:p>
        </w:tc>
      </w:tr>
      <w:tr>
        <w:trPr>
          <w:trHeight w:val="247"/>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other operating assets and liabilities</w:t>
            </w: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(17,384 )</w:t>
            </w:r>
          </w:p>
        </w:tc>
        <w:tc>
          <w:tcPr>
            <w:tcW w:w="3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(8,344 )</w:t>
            </w:r>
          </w:p>
        </w:tc>
      </w:tr>
      <w:tr>
        <w:trPr>
          <w:trHeight w:val="237"/>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(used in) provided by operating activities</w:t>
            </w:r>
          </w:p>
        </w:tc>
        <w:tc>
          <w:tcPr>
            <w:tcW w:w="3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(10,968</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21,218</w:t>
            </w:r>
          </w:p>
        </w:tc>
        <w:tc>
          <w:tcPr>
            <w:tcW w:w="100" w:type="dxa"/>
            <w:vAlign w:val="bottom"/>
          </w:tcPr>
          <w:p>
            <w:pPr>
              <w:spacing w:after="0"/>
              <w:rPr>
                <w:sz w:val="20"/>
                <w:szCs w:val="20"/>
                <w:color w:val="auto"/>
              </w:rPr>
            </w:pPr>
          </w:p>
        </w:tc>
      </w:tr>
      <w:tr>
        <w:trPr>
          <w:trHeight w:val="236"/>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300" w:type="dxa"/>
            <w:vAlign w:val="bottom"/>
          </w:tcPr>
          <w:p>
            <w:pPr>
              <w:spacing w:after="0"/>
              <w:rPr>
                <w:sz w:val="20"/>
                <w:szCs w:val="20"/>
                <w:color w:val="auto"/>
              </w:rPr>
            </w:pPr>
          </w:p>
        </w:tc>
        <w:tc>
          <w:tcPr>
            <w:tcW w:w="12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(1,104 )</w:t>
            </w:r>
          </w:p>
        </w:tc>
        <w:tc>
          <w:tcPr>
            <w:tcW w:w="3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(364 )</w:t>
            </w:r>
          </w:p>
        </w:tc>
      </w:tr>
      <w:tr>
        <w:trPr>
          <w:trHeight w:val="247"/>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in equipment for joint revenue sharing arrangements</w:t>
            </w: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(4,442 )</w:t>
            </w:r>
          </w:p>
        </w:tc>
        <w:tc>
          <w:tcPr>
            <w:tcW w:w="3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(2,157 )</w:t>
            </w: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other intangible assets</w:t>
            </w:r>
          </w:p>
        </w:tc>
        <w:tc>
          <w:tcPr>
            <w:tcW w:w="300" w:type="dxa"/>
            <w:vAlign w:val="bottom"/>
          </w:tcPr>
          <w:p>
            <w:pPr>
              <w:spacing w:after="0"/>
              <w:rPr>
                <w:sz w:val="20"/>
                <w:szCs w:val="20"/>
                <w:color w:val="auto"/>
              </w:rPr>
            </w:pPr>
          </w:p>
        </w:tc>
        <w:tc>
          <w:tcPr>
            <w:tcW w:w="12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(1,594 )</w:t>
            </w:r>
          </w:p>
        </w:tc>
        <w:tc>
          <w:tcPr>
            <w:tcW w:w="3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(1,760 )</w:t>
            </w:r>
          </w:p>
        </w:tc>
      </w:tr>
      <w:tr>
        <w:trPr>
          <w:trHeight w:val="241"/>
        </w:trPr>
        <w:tc>
          <w:tcPr>
            <w:tcW w:w="836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(7,140</w:t>
            </w:r>
          </w:p>
        </w:tc>
        <w:tc>
          <w:tcPr>
            <w:tcW w:w="280" w:type="dxa"/>
            <w:vAlign w:val="bottom"/>
            <w:tcBorders>
              <w:top w:val="single" w:sz="8" w:color="CFF0FC"/>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(4,281</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34"/>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facility borrowings</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25,717</w:t>
            </w:r>
          </w:p>
        </w:tc>
        <w:tc>
          <w:tcPr>
            <w:tcW w:w="100" w:type="dxa"/>
            <w:vAlign w:val="bottom"/>
            <w:shd w:val="clear" w:color="auto" w:fill="CFF0FC"/>
          </w:tcPr>
          <w:p>
            <w:pPr>
              <w:spacing w:after="0"/>
              <w:rPr>
                <w:sz w:val="21"/>
                <w:szCs w:val="21"/>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of revolving credit facility borrowings</w:t>
            </w:r>
          </w:p>
        </w:tc>
        <w:tc>
          <w:tcPr>
            <w:tcW w:w="300" w:type="dxa"/>
            <w:vAlign w:val="bottom"/>
          </w:tcPr>
          <w:p>
            <w:pPr>
              <w:spacing w:after="0"/>
              <w:rPr>
                <w:sz w:val="20"/>
                <w:szCs w:val="20"/>
                <w:color w:val="auto"/>
              </w:rPr>
            </w:pPr>
          </w:p>
        </w:tc>
        <w:tc>
          <w:tcPr>
            <w:tcW w:w="12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(31,180 )</w:t>
            </w:r>
          </w:p>
        </w:tc>
      </w:tr>
      <w:tr>
        <w:trPr>
          <w:trHeight w:val="247"/>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borrowings</w:t>
            </w: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FF0FC"/>
          </w:tcPr>
          <w:p>
            <w:pPr>
              <w:spacing w:after="0"/>
              <w:rPr>
                <w:sz w:val="21"/>
                <w:szCs w:val="21"/>
                <w:color w:val="auto"/>
              </w:rPr>
            </w:pP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other borrowings</w:t>
            </w:r>
          </w:p>
        </w:tc>
        <w:tc>
          <w:tcPr>
            <w:tcW w:w="300" w:type="dxa"/>
            <w:vAlign w:val="bottom"/>
          </w:tcPr>
          <w:p>
            <w:pPr>
              <w:spacing w:after="0"/>
              <w:rPr>
                <w:sz w:val="20"/>
                <w:szCs w:val="20"/>
                <w:color w:val="auto"/>
              </w:rPr>
            </w:pPr>
          </w:p>
        </w:tc>
        <w:tc>
          <w:tcPr>
            <w:tcW w:w="12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(156 )</w:t>
            </w:r>
          </w:p>
        </w:tc>
        <w:tc>
          <w:tcPr>
            <w:tcW w:w="320" w:type="dxa"/>
            <w:vAlign w:val="bottom"/>
          </w:tcPr>
          <w:p>
            <w:pPr>
              <w:spacing w:after="0"/>
              <w:rPr>
                <w:sz w:val="20"/>
                <w:szCs w:val="20"/>
                <w:color w:val="auto"/>
              </w:rPr>
            </w:pPr>
          </w:p>
        </w:tc>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(17,856 )</w:t>
            </w:r>
          </w:p>
        </w:tc>
        <w:tc>
          <w:tcPr>
            <w:tcW w:w="3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(3,656 )</w:t>
            </w:r>
          </w:p>
        </w:tc>
      </w:tr>
      <w:tr>
        <w:trPr>
          <w:trHeight w:val="23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withheld and paid on employee stock awards vested</w:t>
            </w:r>
          </w:p>
        </w:tc>
        <w:tc>
          <w:tcPr>
            <w:tcW w:w="300" w:type="dxa"/>
            <w:vAlign w:val="bottom"/>
          </w:tcPr>
          <w:p>
            <w:pPr>
              <w:spacing w:after="0"/>
              <w:rPr>
                <w:sz w:val="20"/>
                <w:szCs w:val="20"/>
                <w:color w:val="auto"/>
              </w:rPr>
            </w:pPr>
          </w:p>
        </w:tc>
        <w:tc>
          <w:tcPr>
            <w:tcW w:w="12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(4,194 )</w:t>
            </w:r>
          </w:p>
        </w:tc>
        <w:tc>
          <w:tcPr>
            <w:tcW w:w="3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(6,233 )</w:t>
            </w:r>
          </w:p>
        </w:tc>
      </w:tr>
      <w:tr>
        <w:trPr>
          <w:trHeight w:val="241"/>
        </w:trPr>
        <w:tc>
          <w:tcPr>
            <w:tcW w:w="836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22,794</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(15,037</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37"/>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37"/>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in cash and cash equivalents during period</w:t>
            </w:r>
          </w:p>
        </w:tc>
        <w:tc>
          <w:tcPr>
            <w:tcW w:w="3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4,817</w:t>
            </w:r>
          </w:p>
        </w:tc>
        <w:tc>
          <w:tcPr>
            <w:tcW w:w="28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1,845</w:t>
            </w:r>
          </w:p>
        </w:tc>
        <w:tc>
          <w:tcPr>
            <w:tcW w:w="100" w:type="dxa"/>
            <w:vAlign w:val="bottom"/>
            <w:shd w:val="clear" w:color="auto" w:fill="CFF0FC"/>
          </w:tcPr>
          <w:p>
            <w:pPr>
              <w:spacing w:after="0"/>
              <w:rPr>
                <w:sz w:val="20"/>
                <w:szCs w:val="20"/>
                <w:color w:val="auto"/>
              </w:rPr>
            </w:pPr>
          </w:p>
        </w:tc>
      </w:tr>
      <w:tr>
        <w:trPr>
          <w:trHeight w:val="241"/>
        </w:trPr>
        <w:tc>
          <w:tcPr>
            <w:tcW w:w="83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76,200</w:t>
            </w:r>
          </w:p>
        </w:tc>
        <w:tc>
          <w:tcPr>
            <w:tcW w:w="28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97,401</w:t>
            </w:r>
          </w:p>
        </w:tc>
        <w:tc>
          <w:tcPr>
            <w:tcW w:w="100" w:type="dxa"/>
            <w:vAlign w:val="bottom"/>
            <w:tcBorders>
              <w:bottom w:val="single" w:sz="8" w:color="CFF0FC"/>
            </w:tcBorders>
          </w:tcPr>
          <w:p>
            <w:pPr>
              <w:spacing w:after="0"/>
              <w:rPr>
                <w:sz w:val="20"/>
                <w:szCs w:val="20"/>
                <w:color w:val="auto"/>
              </w:rPr>
            </w:pPr>
          </w:p>
        </w:tc>
      </w:tr>
      <w:tr>
        <w:trPr>
          <w:trHeight w:val="279"/>
        </w:trPr>
        <w:tc>
          <w:tcPr>
            <w:tcW w:w="8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81,017</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99,246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6096000</wp:posOffset>
            </wp:positionH>
            <wp:positionV relativeFrom="paragraph">
              <wp:posOffset>-2883535</wp:posOffset>
            </wp:positionV>
            <wp:extent cx="93980" cy="1968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-2883535</wp:posOffset>
            </wp:positionV>
            <wp:extent cx="93980" cy="1968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-2094865</wp:posOffset>
            </wp:positionV>
            <wp:extent cx="93980" cy="1968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-2094865</wp:posOffset>
            </wp:positionV>
            <wp:extent cx="93980" cy="1968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-843280</wp:posOffset>
            </wp:positionV>
            <wp:extent cx="93980" cy="1968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-843280</wp:posOffset>
            </wp:positionV>
            <wp:extent cx="93980" cy="1968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-25400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-8255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-187960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 w:name="page8"/>
    <w:bookmarkEnd w:id="7"/>
    <w:p>
      <w:pPr>
        <w:ind w:left="4680"/>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26"/>
        </w:trPr>
        <w:tc>
          <w:tcPr>
            <w:tcW w:w="85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85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6"/>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capital stock:</w:t>
            </w:r>
          </w:p>
        </w:tc>
        <w:tc>
          <w:tcPr>
            <w:tcW w:w="3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389,048</w:t>
            </w:r>
          </w:p>
        </w:tc>
        <w:tc>
          <w:tcPr>
            <w:tcW w:w="3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376,715</w:t>
            </w:r>
          </w:p>
        </w:tc>
        <w:tc>
          <w:tcPr>
            <w:tcW w:w="100" w:type="dxa"/>
            <w:vAlign w:val="bottom"/>
          </w:tcPr>
          <w:p>
            <w:pPr>
              <w:spacing w:after="0"/>
              <w:rPr>
                <w:sz w:val="20"/>
                <w:szCs w:val="20"/>
                <w:color w:val="auto"/>
              </w:rPr>
            </w:pPr>
          </w:p>
        </w:tc>
      </w:tr>
      <w:tr>
        <w:trPr>
          <w:trHeight w:val="247"/>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Average carrying value of repurchased and retired common shares</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(8,517 )</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FF0FC"/>
          </w:tcPr>
          <w:p>
            <w:pPr>
              <w:spacing w:after="0"/>
              <w:rPr>
                <w:sz w:val="21"/>
                <w:szCs w:val="21"/>
                <w:color w:val="auto"/>
              </w:rPr>
            </w:pPr>
          </w:p>
        </w:tc>
      </w:tr>
      <w:tr>
        <w:trPr>
          <w:trHeight w:val="239"/>
        </w:trPr>
        <w:tc>
          <w:tcPr>
            <w:tcW w:w="856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Restricted share units vested, net of shares withheld for employee tax obligations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13,066</w:t>
            </w:r>
          </w:p>
        </w:tc>
        <w:tc>
          <w:tcPr>
            <w:tcW w:w="3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12,676</w:t>
            </w:r>
          </w:p>
        </w:tc>
        <w:tc>
          <w:tcPr>
            <w:tcW w:w="100" w:type="dxa"/>
            <w:vAlign w:val="bottom"/>
            <w:tcBorders>
              <w:bottom w:val="single" w:sz="8" w:color="CFF0FC"/>
            </w:tcBorders>
          </w:tcPr>
          <w:p>
            <w:pPr>
              <w:spacing w:after="0"/>
              <w:rPr>
                <w:sz w:val="20"/>
                <w:szCs w:val="20"/>
                <w:color w:val="auto"/>
              </w:rPr>
            </w:pPr>
          </w:p>
        </w:tc>
      </w:tr>
      <w:tr>
        <w:trPr>
          <w:trHeight w:val="236"/>
        </w:trPr>
        <w:tc>
          <w:tcPr>
            <w:tcW w:w="8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3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393,597</w:t>
            </w:r>
          </w:p>
        </w:tc>
        <w:tc>
          <w:tcPr>
            <w:tcW w:w="3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389,500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other equity:</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185,087</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185,678</w:t>
            </w:r>
          </w:p>
        </w:tc>
        <w:tc>
          <w:tcPr>
            <w:tcW w:w="100" w:type="dxa"/>
            <w:vAlign w:val="bottom"/>
            <w:shd w:val="clear" w:color="auto" w:fill="CFF0FC"/>
          </w:tcPr>
          <w:p>
            <w:pPr>
              <w:spacing w:after="0"/>
              <w:rPr>
                <w:sz w:val="21"/>
                <w:szCs w:val="21"/>
                <w:color w:val="auto"/>
              </w:rPr>
            </w:pPr>
          </w:p>
        </w:tc>
      </w:tr>
      <w:tr>
        <w:trPr>
          <w:trHeight w:val="239"/>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share-based payment expense - stock options</w:t>
            </w:r>
          </w:p>
        </w:tc>
        <w:tc>
          <w:tcPr>
            <w:tcW w:w="32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0"/>
                <w:szCs w:val="20"/>
                <w:color w:val="auto"/>
              </w:rPr>
            </w:pPr>
          </w:p>
        </w:tc>
      </w:tr>
      <w:tr>
        <w:trPr>
          <w:trHeight w:val="247"/>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share-based payment expense - restricted share units</w:t>
            </w:r>
          </w:p>
        </w:tc>
        <w:tc>
          <w:tcPr>
            <w:tcW w:w="3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100" w:type="dxa"/>
            <w:vAlign w:val="bottom"/>
            <w:shd w:val="clear" w:color="auto" w:fill="CFF0FC"/>
          </w:tcPr>
          <w:p>
            <w:pPr>
              <w:spacing w:after="0"/>
              <w:rPr>
                <w:sz w:val="21"/>
                <w:szCs w:val="21"/>
                <w:color w:val="auto"/>
              </w:rPr>
            </w:pPr>
          </w:p>
        </w:tc>
      </w:tr>
      <w:tr>
        <w:trPr>
          <w:trHeight w:val="239"/>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share-based payment expense - performance stock units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20"/>
                <w:szCs w:val="20"/>
                <w:color w:val="auto"/>
              </w:rPr>
            </w:pPr>
          </w:p>
        </w:tc>
      </w:tr>
      <w:tr>
        <w:trPr>
          <w:trHeight w:val="247"/>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share units vested</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(17,943 )</w:t>
            </w:r>
          </w:p>
        </w:tc>
        <w:tc>
          <w:tcPr>
            <w:tcW w:w="2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(19,233 )</w:t>
            </w:r>
          </w:p>
        </w:tc>
      </w:tr>
      <w:tr>
        <w:trPr>
          <w:trHeight w:val="239"/>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ownership interest related to IMAX China</w:t>
            </w:r>
          </w:p>
        </w:tc>
        <w:tc>
          <w:tcPr>
            <w:tcW w:w="3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(78 )</w:t>
            </w: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5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171,877</w:t>
            </w:r>
          </w:p>
        </w:tc>
        <w:tc>
          <w:tcPr>
            <w:tcW w:w="32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170,871</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3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statutory surplus reserve:</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32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00" w:type="dxa"/>
            <w:vAlign w:val="bottom"/>
            <w:shd w:val="clear" w:color="auto" w:fill="CFF0FC"/>
          </w:tcPr>
          <w:p>
            <w:pPr>
              <w:spacing w:after="0"/>
              <w:rPr>
                <w:sz w:val="21"/>
                <w:szCs w:val="21"/>
                <w:color w:val="auto"/>
              </w:rPr>
            </w:pPr>
          </w:p>
        </w:tc>
      </w:tr>
      <w:tr>
        <w:trPr>
          <w:trHeight w:val="232"/>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00" w:type="dxa"/>
            <w:vAlign w:val="bottom"/>
          </w:tcPr>
          <w:p>
            <w:pPr>
              <w:spacing w:after="0"/>
              <w:rPr>
                <w:sz w:val="20"/>
                <w:szCs w:val="20"/>
                <w:color w:val="auto"/>
              </w:rPr>
            </w:pPr>
          </w:p>
        </w:tc>
      </w:tr>
      <w:tr>
        <w:trPr>
          <w:trHeight w:val="241"/>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accumulated deficit:</w:t>
            </w:r>
          </w:p>
        </w:tc>
        <w:tc>
          <w:tcPr>
            <w:tcW w:w="3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(292,845 )</w:t>
            </w:r>
          </w:p>
        </w:tc>
        <w:tc>
          <w:tcPr>
            <w:tcW w:w="2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(293,124 )</w:t>
            </w:r>
          </w:p>
        </w:tc>
      </w:tr>
      <w:tr>
        <w:trPr>
          <w:trHeight w:val="247"/>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3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shd w:val="clear" w:color="auto" w:fill="CFF0FC"/>
          </w:tcPr>
          <w:p>
            <w:pPr>
              <w:spacing w:after="0"/>
              <w:rPr>
                <w:sz w:val="21"/>
                <w:szCs w:val="21"/>
                <w:color w:val="auto"/>
              </w:rPr>
            </w:pPr>
          </w:p>
        </w:tc>
      </w:tr>
      <w:tr>
        <w:trPr>
          <w:trHeight w:val="239"/>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shares repurchased and retired</w:t>
            </w:r>
          </w:p>
        </w:tc>
        <w:tc>
          <w:tcPr>
            <w:tcW w:w="3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(7,713 )</w:t>
            </w:r>
          </w:p>
        </w:tc>
        <w:tc>
          <w:tcPr>
            <w:tcW w:w="2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(1,739 )</w:t>
            </w:r>
          </w:p>
        </w:tc>
      </w:tr>
      <w:tr>
        <w:trPr>
          <w:trHeight w:val="20"/>
        </w:trPr>
        <w:tc>
          <w:tcPr>
            <w:tcW w:w="8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(297,284 )</w:t>
            </w:r>
          </w:p>
        </w:tc>
        <w:tc>
          <w:tcPr>
            <w:tcW w:w="2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(292,409 )</w:t>
            </w:r>
          </w:p>
        </w:tc>
      </w:tr>
      <w:tr>
        <w:trPr>
          <w:trHeight w:val="238"/>
        </w:trPr>
        <w:tc>
          <w:tcPr>
            <w:tcW w:w="8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accumulated other comprehensive (loss) income:</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(12,081 )</w:t>
            </w:r>
          </w:p>
        </w:tc>
        <w:tc>
          <w:tcPr>
            <w:tcW w:w="2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(9,846 )</w:t>
            </w:r>
          </w:p>
        </w:tc>
      </w:tr>
      <w:tr>
        <w:trPr>
          <w:trHeight w:val="239"/>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(1,239 )</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00" w:type="dxa"/>
            <w:vAlign w:val="bottom"/>
          </w:tcPr>
          <w:p>
            <w:pPr>
              <w:spacing w:after="0"/>
              <w:rPr>
                <w:sz w:val="20"/>
                <w:szCs w:val="20"/>
                <w:color w:val="auto"/>
              </w:rPr>
            </w:pPr>
          </w:p>
        </w:tc>
      </w:tr>
      <w:tr>
        <w:trPr>
          <w:trHeight w:val="20"/>
        </w:trPr>
        <w:tc>
          <w:tcPr>
            <w:tcW w:w="8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(13,320 )</w:t>
            </w:r>
          </w:p>
        </w:tc>
        <w:tc>
          <w:tcPr>
            <w:tcW w:w="2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(7,876 )</w:t>
            </w:r>
          </w:p>
        </w:tc>
      </w:tr>
      <w:tr>
        <w:trPr>
          <w:trHeight w:val="239"/>
        </w:trPr>
        <w:tc>
          <w:tcPr>
            <w:tcW w:w="8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non-controlling interests:</w:t>
            </w: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71,790</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65,691</w:t>
            </w:r>
          </w:p>
        </w:tc>
        <w:tc>
          <w:tcPr>
            <w:tcW w:w="100" w:type="dxa"/>
            <w:vAlign w:val="bottom"/>
            <w:shd w:val="clear" w:color="auto" w:fill="CFF0FC"/>
          </w:tcPr>
          <w:p>
            <w:pPr>
              <w:spacing w:after="0"/>
              <w:rPr>
                <w:sz w:val="21"/>
                <w:szCs w:val="21"/>
                <w:color w:val="auto"/>
              </w:rPr>
            </w:pPr>
          </w:p>
        </w:tc>
      </w:tr>
      <w:tr>
        <w:trPr>
          <w:trHeight w:val="239"/>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100" w:type="dxa"/>
            <w:vAlign w:val="bottom"/>
          </w:tcPr>
          <w:p>
            <w:pPr>
              <w:spacing w:after="0"/>
              <w:rPr>
                <w:sz w:val="20"/>
                <w:szCs w:val="20"/>
                <w:color w:val="auto"/>
              </w:rPr>
            </w:pPr>
          </w:p>
        </w:tc>
      </w:tr>
      <w:tr>
        <w:trPr>
          <w:trHeight w:val="247"/>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(154 )</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shd w:val="clear" w:color="auto" w:fill="CFF0FC"/>
          </w:tcPr>
          <w:p>
            <w:pPr>
              <w:spacing w:after="0"/>
              <w:rPr>
                <w:sz w:val="21"/>
                <w:szCs w:val="21"/>
                <w:color w:val="auto"/>
              </w:rPr>
            </w:pPr>
          </w:p>
        </w:tc>
      </w:tr>
      <w:tr>
        <w:trPr>
          <w:trHeight w:val="239"/>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 attributable to non-controlling interests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r>
      <w:tr>
        <w:trPr>
          <w:trHeight w:val="243"/>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ownership interest related to IMAX China</w:t>
            </w:r>
          </w:p>
        </w:tc>
        <w:tc>
          <w:tcPr>
            <w:tcW w:w="3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3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73,928</w:t>
            </w:r>
          </w:p>
        </w:tc>
        <w:tc>
          <w:tcPr>
            <w:tcW w:w="32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69,090</w:t>
            </w:r>
          </w:p>
        </w:tc>
        <w:tc>
          <w:tcPr>
            <w:tcW w:w="100" w:type="dxa"/>
            <w:vAlign w:val="bottom"/>
            <w:tcBorders>
              <w:top w:val="single" w:sz="8" w:color="CFF0FC"/>
            </w:tcBorders>
          </w:tcPr>
          <w:p>
            <w:pPr>
              <w:spacing w:after="0"/>
              <w:rPr>
                <w:sz w:val="20"/>
                <w:szCs w:val="20"/>
                <w:color w:val="auto"/>
              </w:rPr>
            </w:pPr>
          </w:p>
        </w:tc>
      </w:tr>
      <w:tr>
        <w:trPr>
          <w:trHeight w:val="279"/>
        </w:trPr>
        <w:tc>
          <w:tcPr>
            <w:tcW w:w="8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332,730</w:t>
            </w:r>
          </w:p>
        </w:tc>
        <w:tc>
          <w:tcPr>
            <w:tcW w:w="3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333,108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6250305</wp:posOffset>
            </wp:positionH>
            <wp:positionV relativeFrom="paragraph">
              <wp:posOffset>-4615180</wp:posOffset>
            </wp:positionV>
            <wp:extent cx="93980" cy="1968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-4615180</wp:posOffset>
            </wp:positionV>
            <wp:extent cx="93980" cy="1968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6250305</wp:posOffset>
            </wp:positionH>
            <wp:positionV relativeFrom="paragraph">
              <wp:posOffset>-3363595</wp:posOffset>
            </wp:positionV>
            <wp:extent cx="93980" cy="1968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-3363595</wp:posOffset>
            </wp:positionV>
            <wp:extent cx="93980" cy="1968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6250305</wp:posOffset>
            </wp:positionH>
            <wp:positionV relativeFrom="paragraph">
              <wp:posOffset>-2884170</wp:posOffset>
            </wp:positionV>
            <wp:extent cx="93980" cy="1968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-2884170</wp:posOffset>
            </wp:positionV>
            <wp:extent cx="93980" cy="1968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-1919605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-1285240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-350520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-8255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(Tabular amounts in thousands of U.S. Dollars,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r>
        <w:rPr>
          <w:rFonts w:ascii="Times New Roman" w:cs="Times New Roman" w:eastAsia="Times New Roman" w:hAnsi="Times New Roman"/>
          <w:sz w:val="18"/>
          <w:szCs w:val="18"/>
          <w:b w:val="1"/>
          <w:bCs w:val="1"/>
          <w:i w:val="1"/>
          <w:iCs w:val="1"/>
          <w:color w:val="auto"/>
        </w:rPr>
        <w:t>)</w:t>
      </w:r>
    </w:p>
    <w:p>
      <w:pPr>
        <w:spacing w:after="0" w:line="9" w:lineRule="exact"/>
        <w:rPr>
          <w:sz w:val="20"/>
          <w:szCs w:val="20"/>
          <w:color w:val="auto"/>
        </w:rPr>
      </w:pPr>
    </w:p>
    <w:p>
      <w:pPr>
        <w:jc w:val="both"/>
        <w:ind w:left="240" w:right="9400" w:hanging="232"/>
        <w:spacing w:after="0" w:line="477" w:lineRule="auto"/>
        <w:tabs>
          <w:tab w:leader="none" w:pos="241"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Basis of Presentation </w:t>
      </w:r>
      <w:r>
        <w:rPr>
          <w:rFonts w:ascii="Times New Roman" w:cs="Times New Roman" w:eastAsia="Times New Roman" w:hAnsi="Times New Roman"/>
          <w:sz w:val="17"/>
          <w:szCs w:val="17"/>
          <w:i w:val="1"/>
          <w:iCs w:val="1"/>
          <w:color w:val="auto"/>
        </w:rPr>
        <w:t>Accounting Principles</w:t>
      </w:r>
    </w:p>
    <w:p>
      <w:pPr>
        <w:spacing w:after="0" w:line="1"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IMAX Corporation, together with its consolidated subsidiaries (the “Company” or “IMAX”), prepares its financial statements in accordance with United States Generally Accepted Accounting Principles (“U.S. GAAP”) and pursuant to the rules and regulations of the Securities and Exchange Commission (the “SEC”). Certain information and footnote disclosures normally included in financial statements prepared in accordance with U.S. GAAP have been condensed or omitted from this report, as is permitted by such rules and regulations. In the Company’s opinion, the unaudited Condensed Consolidated Financial Statements reflect all adjustments of a normal recurring nature that are necessary for a fair statement of the results for the interim periods presented. The Condensed Consolidated Balance Sheet at December 31, 2023 was derived from the Company’s audited annual Consolidated Financial Statements, but does not contain all of the footnote disclosures included in the annual financial statements. The interim results presented in the Company’s Condensed Consolidated Statements of Operations are not necessarily indicative of results for a full year.</w:t>
      </w:r>
    </w:p>
    <w:p>
      <w:pPr>
        <w:spacing w:after="0" w:line="151"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audited Consolidated Financial Statements included in the Company’s 2023 Annual Report on Form 10-K (the “2023 Form 10-K”), which should be consulted for a summary of the significant accounting policies utilized by the Company. These Condensed Consolidated Financial Statements are prepared following the same accounting policies disclosed in the 2023 Form 10-K.</w:t>
      </w:r>
    </w:p>
    <w:p>
      <w:pPr>
        <w:spacing w:after="0" w:line="1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87"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These Condensed Consolidated Financial Statements include the accounts of IMAX Corporation together with its consolidated subsidiaries, except for subsidiaries which have been identified as variable interest entities (“VIEs”) where the Company is not the primary beneficiary. All intercompany accounts and transactions have been eliminated. The Company has evaluated its various variable interests to determine whether they are VIEs as required by U.S. GAAP.</w:t>
      </w:r>
    </w:p>
    <w:p>
      <w:pPr>
        <w:spacing w:after="0" w:line="139"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The Company has interests in ten film production companies, which have been identified as VIEs. The Company is the primary beneficiary of and consolidates five of these entities as it has the power to direct the activities that most significantly impact the economic performance of the VIE, and it has the obligation to absorb losses or the right to receive benefits from the respective VIE that could potentially be significant. The majority of the assets relating to these production companies are held by the IMAX Original Film Fund (the “Original Film Fund”) as described in Note 17(b). The Company does not consolidate the other five film production companies because it does not have the power to direct their activities and it does not have the obligation to absorb the majority of the expected losses or the right to receive expected residual returns. The Company uses the equity method of accounting for these entities, which are not material to the Company’s Condensed Consolidated Financial Statements. A loss in the value of an equity method investment that is other than temporary is recognized as a charge in the Condensed Consolidated Statements of Operations.</w:t>
      </w:r>
    </w:p>
    <w:p>
      <w:pPr>
        <w:spacing w:after="0" w:line="1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March 31, 2024 and December 31, 2023, total assets and liabilities of the Company’s consolidated VIEs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2"/>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4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3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4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1,410</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1,425</w:t>
            </w:r>
          </w:p>
        </w:tc>
      </w:tr>
      <w:tr>
        <w:trPr>
          <w:trHeight w:val="234"/>
        </w:trPr>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4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246</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246</w:t>
            </w:r>
          </w:p>
        </w:tc>
      </w:tr>
      <w:tr>
        <w:trPr>
          <w:trHeight w:val="873"/>
        </w:trPr>
        <w:tc>
          <w:tcPr>
            <w:tcW w:w="3680" w:type="dxa"/>
            <w:vAlign w:val="bottom"/>
          </w:tcPr>
          <w:p>
            <w:pPr>
              <w:spacing w:after="0"/>
              <w:rPr>
                <w:sz w:val="24"/>
                <w:szCs w:val="24"/>
                <w:color w:val="auto"/>
              </w:rPr>
            </w:pPr>
          </w:p>
        </w:tc>
        <w:tc>
          <w:tcPr>
            <w:tcW w:w="404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736"/>
        </w:trPr>
        <w:tc>
          <w:tcPr>
            <w:tcW w:w="368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9" w:name="page10"/>
    <w:bookmarkEnd w:id="9"/>
    <w:p>
      <w:pPr>
        <w:ind w:left="240"/>
        <w:spacing w:after="0"/>
        <w:rPr>
          <w:sz w:val="20"/>
          <w:szCs w:val="20"/>
          <w:color w:val="auto"/>
        </w:rPr>
      </w:pPr>
      <w:r>
        <w:rPr>
          <w:rFonts w:ascii="Times New Roman" w:cs="Times New Roman" w:eastAsia="Times New Roman" w:hAnsi="Times New Roman"/>
          <w:sz w:val="18"/>
          <w:szCs w:val="18"/>
          <w:i w:val="1"/>
          <w:iCs w:val="1"/>
          <w:color w:val="auto"/>
        </w:rPr>
        <w:t>Estimates and Assumptions</w:t>
      </w:r>
    </w:p>
    <w:p>
      <w:pPr>
        <w:spacing w:after="0" w:line="200" w:lineRule="exact"/>
        <w:rPr>
          <w:sz w:val="20"/>
          <w:szCs w:val="20"/>
          <w:color w:val="auto"/>
        </w:rPr>
      </w:pPr>
    </w:p>
    <w:p>
      <w:pPr>
        <w:jc w:val="both"/>
        <w:ind w:firstLine="224"/>
        <w:spacing w:after="0" w:line="252" w:lineRule="auto"/>
        <w:rPr>
          <w:sz w:val="20"/>
          <w:szCs w:val="20"/>
          <w:color w:val="auto"/>
        </w:rPr>
      </w:pPr>
      <w:r>
        <w:rPr>
          <w:rFonts w:ascii="Times New Roman" w:cs="Times New Roman" w:eastAsia="Times New Roman" w:hAnsi="Times New Roman"/>
          <w:sz w:val="18"/>
          <w:szCs w:val="18"/>
          <w:color w:val="auto"/>
        </w:rPr>
        <w:t>In preparing the Company’s Condensed Consolidated Financial Statements, management makes judgments in applying various accounting policies. The areas of policy judgment are consistent with those reported in Note 2(b) of the Company’s audited Consolidated Financial Statements included in its 2023 Form 10-K. Management also considers that its determination of operating and reporting segments represents an area of judgment, and has made this conclusion on the basis of what comprises the discrete financial information produced, but not provided to or used by its Chief Operating Decision Maker (“CODM”) to carry out this function. In addition, management makes assumptions about the Company’s future operating results and cash flows in deriving critical accounting estimates used in preparing the Condensed Consolidated Financial Statements. The significant estimates made by management include, but are not limited to: (i) the allocation of the transaction price in an IMAX System arrangement to distinct performance obligations; (ii) the amount of variable consideration to be earned on sales of IMAX Systems based on projections of future box office performance; (iii) expected credit losses on accounts receivable, financing receivables, and variable consideration receivables; (iv) provisions for the write-down of excess and obsolete inventory; (v) the fair values of the reporting units used in assessing the recoverability of goodwill; (vi) the cash flow projections used in testing the recoverability of long-lived assets such as the system equipment supporting joint revenue sharing arrangements; (vii) the economic lives of the system equipment supporting joint revenue sharing arrangements; (viii) the useful lives of intangible assets; (ix) the ultimate revenue forecasts used to test the recoverability of film assets; (x) the discount rates used to determine the present value of financing receivables and lease liabilities, as well as to determine the fair values of the Company’s reporting units for the purpose of assessing the recoverability of goodwill; (xi) pension plan assumptions; (xii) estimates related to the fair value and projected vesting of share-based payment awards; (xiii) the valuation of deferred income tax assets; and (xiv) reserves related to uncertain tax positions.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New Accounting Standards and Accounting Changes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Standards</w:t>
      </w:r>
    </w:p>
    <w:p>
      <w:pPr>
        <w:spacing w:after="0" w:line="202"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In October 2023, the Financial Accounting Standards Board (“FASB”) issued Accounting Standards Update No. 2023-06, “Disclosure Improvements: Codification Amendments in response to the SEC’s Disclosure Update and Simplification Initiative” (“ASU 2023-06”). ASU 2023-06 incorporates into U.S. GAAP certain presentation and disclosure requirements currently included in the SEC’s regulations. Each amendment will become effective prospectively from the date the SEC withdrawals the corresponding SEC regulatory requirement. The Company adopted ASU 2023-06 on January 1, 2024. The adoption of ASU 2023-06 did not have a material impact on the Company’s Consolidated Financial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FASB Accounting Standard Codification Updates Not Yet Adopted</w:t>
      </w:r>
    </w:p>
    <w:p>
      <w:pPr>
        <w:spacing w:after="0" w:line="189"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In March 2020, the FASB issued Accounting Standards Update No. 2020-04, “Reference Rate Reform (Topic 848): Facilitation of the Effects of Reference Rate Reform on Financial Reporting” (“ASU 2020-04”). The purpose of ASU 2020-04 is to provide optional expedients and exceptions for applying U.S. GAAP to contracts, hedging relationships, and other transactions affected by reference rate reform if certain criteria are met. ASU 2020-04 is effective for all entities from the beginning of an interim period that includes the issuance date of the ASU 2020-04. In October 2022, the FASB extended the temporary accounting relief to December 31, 2024 from the current sunset date of December 31, 2022. As of March 31, 2024, the Company is not party to any third party contracts that reference the London Interbank Offered Rate (“LIBOR”). Accordingly, the Company does not expect ASU 2020-04 to have a material effect on its Consolidated Financial Statements.</w:t>
      </w:r>
    </w:p>
    <w:p>
      <w:pPr>
        <w:spacing w:after="0" w:line="162"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No. 2023-07, Segment Reporting (Topic 820): Improvements to Reportable Segment Disclosures (“ASU 2023-07”). The purpose of ASU 2023-07 is to enhance the interim disclosure requirements by more closely aligning them with the annual requirements. ASU 2023-07 requires interim and annual disclosures to include information about the company's significant segment expenses. ASU 2023-07 will be effective for the Company’s year ended December 31, 2024 and all interim periods thereafter. The Company is in the process of evaluating the impact of ASU 2023-07 on its financial statements.</w:t>
      </w:r>
    </w:p>
    <w:p>
      <w:pPr>
        <w:spacing w:after="0" w:line="143"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Accounting Standard Update 2023-09, Income Taxes (Topic 740): Improvements to Income Tax Disclosures (“ASU 2023-09”). The amendments in ASU 2023-09 improve the transparency of income tax disclosures by requiring (i) consistent categories and greater disaggregation of information in the rate reconciliation, and (ii) income taxes paid disaggregated by jurisdiction. ASU 2023-09 will be effective for the Company’s year ended December 31, 2025. The Company is in the process of evaluating the impact of ASU 2023-09 on its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10" w:name="page11"/>
    <w:bookmarkEnd w:id="10"/>
    <w:p>
      <w:pPr>
        <w:spacing w:after="0" w:line="5"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In March 2024, the FASB issued Accounting Standard Update 2024-01, Compensation - Stock Compensation (Topic 718): Scope Application of Profits Interest and Similar Awards (“ASU 2024-01”). ASU 2024-01 amends the guidance in Accounting Standard Codification 718 (“ASC 718”) by adding an illustrative example to demonstrate and clarify how to apply the scope guidance to determine whether profits interests and similar awards should be accounted for as share-based payment arrangement under ASC 718 or another standard. ASU 2024-01 will be effective for the Company’s period ended March 31, 2025. The Company is in the process of evaluating the impact of ASU 2024-01 on its financial statements.</w:t>
      </w:r>
    </w:p>
    <w:p>
      <w:pPr>
        <w:spacing w:after="0" w:line="143"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Company considers the applicability and impact of all recently issued FASB accounting standard codification updates. Accounting standard updates that are not noted above were assessed and determined to be not applicable or not significant to the Company’s Condensed Consolidated Financial Statements for the period ended March 31,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Receivables</w:t>
      </w:r>
    </w:p>
    <w:p>
      <w:pPr>
        <w:spacing w:after="0" w:line="202"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ability of the Company to collect its receivables is principally dependent on the viability and solvency of individual theater operators which is significantly influenced by consumer behavior and general economic conditions. Theater operators, or other customers, may experience financial difficulties that could result in them being unable to fulfill their payment obligations to the Company.</w:t>
      </w:r>
    </w:p>
    <w:p>
      <w:pPr>
        <w:spacing w:after="0" w:line="135"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In order to mitigate the credit risk associated with its receivables, management performs an initial credit evaluation prior to entering into an arrangement with a customer and then regularly monitors the credit quality of each customer through an analysis of collections history and aging. This monitoring process includes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 The Company’s internal credit quality classifications are as follows:</w:t>
      </w:r>
    </w:p>
    <w:p>
      <w:pPr>
        <w:spacing w:after="0" w:line="147" w:lineRule="exact"/>
        <w:rPr>
          <w:sz w:val="20"/>
          <w:szCs w:val="20"/>
          <w:color w:val="auto"/>
        </w:rPr>
      </w:pPr>
    </w:p>
    <w:p>
      <w:pPr>
        <w:ind w:left="980" w:hanging="373"/>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Standing — The theater operator continues to be in good standing as payments and reporting are received on a regular basis.</w:t>
      </w:r>
    </w:p>
    <w:p>
      <w:pPr>
        <w:spacing w:after="0" w:line="198" w:lineRule="exact"/>
        <w:rPr>
          <w:rFonts w:ascii="Times New Roman" w:cs="Times New Roman" w:eastAsia="Times New Roman" w:hAnsi="Times New Roman"/>
          <w:sz w:val="18"/>
          <w:szCs w:val="18"/>
          <w:color w:val="auto"/>
        </w:rPr>
      </w:pPr>
    </w:p>
    <w:p>
      <w:pPr>
        <w:jc w:val="both"/>
        <w:ind w:left="980" w:hanging="373"/>
        <w:spacing w:after="0" w:line="258"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Watch — The theater operator has demonstrated a delay in payments, but continues to be in active communication with the Company. Theater operators placed on Credit Watch are subject to enhanced monitoring. In addition, depending on the size of the outstanding balance, length of time in arrears, and other factors, future transactions may need to be approved by management. These receivables are in better condition than those in the Pre-Approved Transactions Only category, but are not in as good condition as the receivables in the Good Standing category.</w:t>
      </w:r>
    </w:p>
    <w:p>
      <w:pPr>
        <w:spacing w:after="0" w:line="142" w:lineRule="exact"/>
        <w:rPr>
          <w:rFonts w:ascii="Times New Roman" w:cs="Times New Roman" w:eastAsia="Times New Roman" w:hAnsi="Times New Roman"/>
          <w:sz w:val="18"/>
          <w:szCs w:val="18"/>
          <w:color w:val="auto"/>
        </w:rPr>
      </w:pPr>
    </w:p>
    <w:p>
      <w:pPr>
        <w:jc w:val="both"/>
        <w:ind w:left="980" w:hanging="373"/>
        <w:spacing w:after="0" w:line="258"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Pre-Approved Transactions Only — The theater operator has demonstrated a delay in payments with little or no communication with the Company. All services and shipments to the theater operator must be reviewed and approved by management. These receivables are in better condition than those in the All Transactions Suspended category, but are not in as good condition as the receivables in the Credit Watch category. In certain situations, a theater operator may be placed on nonaccrual status and all revenue recognition related to the theater may be suspended, including the accretion of Finance Income for Financing Receivables.</w:t>
      </w:r>
    </w:p>
    <w:p>
      <w:pPr>
        <w:spacing w:after="0" w:line="142" w:lineRule="exact"/>
        <w:rPr>
          <w:rFonts w:ascii="Times New Roman" w:cs="Times New Roman" w:eastAsia="Times New Roman" w:hAnsi="Times New Roman"/>
          <w:sz w:val="18"/>
          <w:szCs w:val="18"/>
          <w:color w:val="auto"/>
        </w:rPr>
      </w:pPr>
    </w:p>
    <w:p>
      <w:pPr>
        <w:jc w:val="both"/>
        <w:ind w:left="980" w:hanging="373"/>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Transactions Suspended — The theater operator is severely delinquent, non-responsive or not negotiating in good faith with the Company. Once a theater operator is classified within the All Transactions Suspended category, the theater is placed on nonaccrual status and all revenue recognitions related to the theater are suspended, including the accretion of Finance Income for Financing Receivables.</w:t>
      </w:r>
    </w:p>
    <w:p>
      <w:pPr>
        <w:spacing w:after="0" w:line="14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During the period when the accretion of Finance Income is suspended for Financing Receivables, any payments received from a customer are applied against the outstanding balance owed. If payments are sufficient to cover any unreserved receivables, a reversal of the provision is recorded to the extent of the residual cash received. Once the collectability issues are resolved and the customer has returned to being in good standing, the Company will resume recognition of Finance Income.</w:t>
      </w:r>
    </w:p>
    <w:p>
      <w:pPr>
        <w:spacing w:after="0" w:line="139" w:lineRule="exact"/>
        <w:rPr>
          <w:sz w:val="20"/>
          <w:szCs w:val="20"/>
          <w:color w:val="auto"/>
        </w:rPr>
      </w:pPr>
    </w:p>
    <w:p>
      <w:pPr>
        <w:jc w:val="both"/>
        <w:ind w:right="20" w:firstLine="224"/>
        <w:spacing w:after="0" w:line="266" w:lineRule="auto"/>
        <w:rPr>
          <w:sz w:val="20"/>
          <w:szCs w:val="20"/>
          <w:color w:val="auto"/>
        </w:rPr>
      </w:pPr>
      <w:r>
        <w:rPr>
          <w:rFonts w:ascii="Times New Roman" w:cs="Times New Roman" w:eastAsia="Times New Roman" w:hAnsi="Times New Roman"/>
          <w:sz w:val="18"/>
          <w:szCs w:val="18"/>
          <w:color w:val="auto"/>
        </w:rPr>
        <w:t>When a customer’s aging exceeds 90 days, the Company’s policy is to perform an enhanced review to assess collectability of the theater’s past due accounts. The over 90 days past due category may be an indicator of potential impairment as up to 90 days outstanding is considered to be a reasonable time to resolve any issues.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5"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Company develops an estimate of expected credit losses by class of receivable and customer type through a calculation that utilizes historical loss rates, which are then adjusted for specific receivables that are judged to have a higher-than-normal risk profile after considering management’s internal credit quality classifications. Additional credit loss provisions are also recorded taking into account macro-economic and industry risk factors. The write-off of any billed receivable balance requires the approval of management.</w:t>
      </w:r>
    </w:p>
    <w:p>
      <w:pPr>
        <w:spacing w:after="0" w:line="13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Management’s judgments regarding expected credit losses are based on the facts available to management and involve estimates about the future. As a result, the Company’s judgments and associated estimates of credit losses may ultimately prove, with the benefit of hindsight, to be incorrect. The impacts of inflation, and rising interest rates may impact future credit losses. The Company will continue to monitor economic trends and conditions and portfolio performance and adjust its allowance for credit loss accordingly.</w:t>
      </w:r>
    </w:p>
    <w:p>
      <w:pPr>
        <w:spacing w:after="0" w:line="1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87"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Accounts receivable principally includes amounts currently due to the Company under IMAX System sale and sales-type lease arrangements, contingent fees owed by theater operators as a result of box office performance, and fees for maintenance services. Accounts receivable also includes amounts due to the Company from movie studios and other content creators principally for digitally remastering films into IMAX formats, as well as for film distribution and post-production services.</w:t>
      </w:r>
    </w:p>
    <w:p>
      <w:pPr>
        <w:spacing w:after="0" w:line="139" w:lineRule="exact"/>
        <w:rPr>
          <w:sz w:val="20"/>
          <w:szCs w:val="20"/>
          <w:color w:val="auto"/>
        </w:rPr>
      </w:pPr>
    </w:p>
    <w:p>
      <w:pPr>
        <w:ind w:firstLine="2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activity in the allowance for credit losses related to Accounts Receivable for the three months ended March 31, 2024 and 2023: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Three Months Ended March 31,2024</w:t>
            </w:r>
          </w:p>
        </w:tc>
        <w:tc>
          <w:tcPr>
            <w:tcW w:w="2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4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80" w:type="dxa"/>
            <w:vAlign w:val="bottom"/>
            <w:gridSpan w:val="2"/>
          </w:tcPr>
          <w:p>
            <w:pPr>
              <w:jc w:val="center"/>
              <w:ind w:right="580"/>
              <w:spacing w:after="0" w:line="131" w:lineRule="exact"/>
              <w:rPr>
                <w:sz w:val="20"/>
                <w:szCs w:val="20"/>
                <w:color w:val="auto"/>
              </w:rPr>
            </w:pPr>
            <w:r>
              <w:rPr>
                <w:rFonts w:ascii="Times New Roman" w:cs="Times New Roman" w:eastAsia="Times New Roman" w:hAnsi="Times New Roman"/>
                <w:sz w:val="14"/>
                <w:szCs w:val="14"/>
                <w:b w:val="1"/>
                <w:bCs w:val="1"/>
                <w:color w:val="auto"/>
              </w:rPr>
              <w:t>Theater</w:t>
            </w: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Studios</w:t>
            </w: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r>
      <w:tr>
        <w:trPr>
          <w:trHeight w:val="236"/>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14,355</w:t>
            </w: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6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6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15,977</w:t>
            </w:r>
          </w:p>
        </w:tc>
        <w:tc>
          <w:tcPr>
            <w:tcW w:w="100" w:type="dxa"/>
            <w:vAlign w:val="bottom"/>
            <w:shd w:val="clear" w:color="auto" w:fill="CFF0FC"/>
          </w:tcPr>
          <w:p>
            <w:pPr>
              <w:spacing w:after="0"/>
              <w:rPr>
                <w:sz w:val="20"/>
                <w:szCs w:val="20"/>
                <w:color w:val="auto"/>
              </w:rPr>
            </w:pPr>
          </w:p>
        </w:tc>
      </w:tr>
      <w:tr>
        <w:trPr>
          <w:trHeight w:val="239"/>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period (reversal) provision, net</w:t>
            </w:r>
          </w:p>
        </w:tc>
        <w:tc>
          <w:tcPr>
            <w:tcW w:w="280" w:type="dxa"/>
            <w:vAlign w:val="bottom"/>
          </w:tcPr>
          <w:p>
            <w:pPr>
              <w:spacing w:after="0"/>
              <w:rPr>
                <w:sz w:val="20"/>
                <w:szCs w:val="20"/>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(94 )</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r>
      <w:tr>
        <w:trPr>
          <w:trHeight w:val="247"/>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exchange</w:t>
            </w: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(14 )</w:t>
            </w: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r>
      <w:tr>
        <w:trPr>
          <w:trHeight w:val="237"/>
        </w:trPr>
        <w:tc>
          <w:tcPr>
            <w:tcW w:w="41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14,247</w:t>
            </w:r>
          </w:p>
        </w:tc>
        <w:tc>
          <w:tcPr>
            <w:tcW w:w="32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8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15,956</w:t>
            </w:r>
          </w:p>
        </w:tc>
        <w:tc>
          <w:tcPr>
            <w:tcW w:w="100" w:type="dxa"/>
            <w:vAlign w:val="bottom"/>
            <w:tcBorders>
              <w:top w:val="single" w:sz="8" w:color="CFF0FC"/>
            </w:tcBorders>
          </w:tcPr>
          <w:p>
            <w:pPr>
              <w:spacing w:after="0"/>
              <w:rPr>
                <w:sz w:val="20"/>
                <w:szCs w:val="20"/>
                <w:color w:val="auto"/>
              </w:rPr>
            </w:pPr>
          </w:p>
        </w:tc>
      </w:tr>
      <w:tr>
        <w:trPr>
          <w:trHeight w:val="20"/>
        </w:trPr>
        <w:tc>
          <w:tcPr>
            <w:tcW w:w="4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4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1"/>
        </w:trPr>
        <w:tc>
          <w:tcPr>
            <w:tcW w:w="4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80" w:type="dxa"/>
            <w:vAlign w:val="bottom"/>
            <w:gridSpan w:val="2"/>
          </w:tcPr>
          <w:p>
            <w:pPr>
              <w:jc w:val="center"/>
              <w:ind w:right="580"/>
              <w:spacing w:after="0" w:line="131" w:lineRule="exact"/>
              <w:rPr>
                <w:sz w:val="20"/>
                <w:szCs w:val="20"/>
                <w:color w:val="auto"/>
              </w:rPr>
            </w:pPr>
            <w:r>
              <w:rPr>
                <w:rFonts w:ascii="Times New Roman" w:cs="Times New Roman" w:eastAsia="Times New Roman" w:hAnsi="Times New Roman"/>
                <w:sz w:val="14"/>
                <w:szCs w:val="14"/>
                <w:b w:val="1"/>
                <w:bCs w:val="1"/>
                <w:color w:val="auto"/>
              </w:rPr>
              <w:t>Theater</w:t>
            </w: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Pr>
          <w:p>
            <w:pPr>
              <w:spacing w:after="0"/>
              <w:rPr>
                <w:sz w:val="16"/>
                <w:szCs w:val="16"/>
                <w:color w:val="auto"/>
              </w:rPr>
            </w:pPr>
          </w:p>
        </w:tc>
        <w:tc>
          <w:tcPr>
            <w:tcW w:w="15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280" w:type="dxa"/>
            <w:vAlign w:val="bottom"/>
          </w:tcPr>
          <w:p>
            <w:pPr>
              <w:spacing w:after="0"/>
              <w:rPr>
                <w:sz w:val="16"/>
                <w:szCs w:val="16"/>
                <w:color w:val="auto"/>
              </w:rPr>
            </w:pPr>
          </w:p>
        </w:tc>
        <w:tc>
          <w:tcPr>
            <w:tcW w:w="12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Studios</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2"/>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11,144</w:t>
            </w:r>
          </w:p>
        </w:tc>
        <w:tc>
          <w:tcPr>
            <w:tcW w:w="3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28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28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14,119</w:t>
            </w:r>
          </w:p>
        </w:tc>
        <w:tc>
          <w:tcPr>
            <w:tcW w:w="100" w:type="dxa"/>
            <w:vAlign w:val="bottom"/>
          </w:tcPr>
          <w:p>
            <w:pPr>
              <w:spacing w:after="0"/>
              <w:rPr>
                <w:sz w:val="20"/>
                <w:szCs w:val="20"/>
                <w:color w:val="auto"/>
              </w:rPr>
            </w:pPr>
          </w:p>
        </w:tc>
      </w:tr>
      <w:tr>
        <w:trPr>
          <w:trHeight w:val="247"/>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Current period provision, net</w:t>
            </w: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(265 )</w:t>
            </w:r>
          </w:p>
        </w:tc>
        <w:tc>
          <w:tcPr>
            <w:tcW w:w="2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(241 )</w:t>
            </w:r>
          </w:p>
        </w:tc>
      </w:tr>
      <w:tr>
        <w:trPr>
          <w:trHeight w:val="239"/>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Write-offs</w:t>
            </w:r>
          </w:p>
        </w:tc>
        <w:tc>
          <w:tcPr>
            <w:tcW w:w="280" w:type="dxa"/>
            <w:vAlign w:val="bottom"/>
          </w:tcPr>
          <w:p>
            <w:pPr>
              <w:spacing w:after="0"/>
              <w:rPr>
                <w:sz w:val="20"/>
                <w:szCs w:val="20"/>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(115 )</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(115 )</w:t>
            </w:r>
          </w:p>
        </w:tc>
      </w:tr>
      <w:tr>
        <w:trPr>
          <w:trHeight w:val="247"/>
        </w:trPr>
        <w:tc>
          <w:tcPr>
            <w:tcW w:w="4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exchange</w:t>
            </w:r>
          </w:p>
        </w:tc>
        <w:tc>
          <w:tcPr>
            <w:tcW w:w="2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10,824</w:t>
            </w:r>
          </w:p>
        </w:tc>
        <w:tc>
          <w:tcPr>
            <w:tcW w:w="3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6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13,828</w:t>
            </w:r>
          </w:p>
        </w:tc>
        <w:tc>
          <w:tcPr>
            <w:tcW w:w="100" w:type="dxa"/>
            <w:vAlign w:val="bottom"/>
          </w:tcPr>
          <w:p>
            <w:pPr>
              <w:spacing w:after="0"/>
              <w:rPr>
                <w:sz w:val="20"/>
                <w:szCs w:val="20"/>
                <w:color w:val="auto"/>
              </w:rPr>
            </w:pPr>
          </w:p>
        </w:tc>
      </w:tr>
      <w:tr>
        <w:trPr>
          <w:trHeight w:val="20"/>
        </w:trPr>
        <w:tc>
          <w:tcPr>
            <w:tcW w:w="4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-1508125</wp:posOffset>
            </wp:positionV>
            <wp:extent cx="768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-1508125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-1508125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-187960</wp:posOffset>
            </wp:positionV>
            <wp:extent cx="768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-187960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-187960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the Company’s allowance for current expected credit losses related to Accounts Receivable decreased less than $0.1 million. There were no write-offs in the allowance for credit losses for the three months ended March 31, 2024.</w:t>
      </w:r>
    </w:p>
    <w:p>
      <w:pPr>
        <w:spacing w:after="0" w:line="121"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2023, the Company’s allowance for current expected credit losses related to Accounts Receivable decreased by $0.4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Financing Receivables</w:t>
      </w:r>
    </w:p>
    <w:p>
      <w:pPr>
        <w:spacing w:after="0" w:line="187" w:lineRule="exact"/>
        <w:rPr>
          <w:sz w:val="20"/>
          <w:szCs w:val="20"/>
          <w:color w:val="auto"/>
        </w:rPr>
      </w:pPr>
    </w:p>
    <w:p>
      <w:pPr>
        <w:ind w:right="20" w:firstLine="224"/>
        <w:spacing w:after="0" w:line="282" w:lineRule="auto"/>
        <w:rPr>
          <w:sz w:val="20"/>
          <w:szCs w:val="20"/>
          <w:color w:val="auto"/>
        </w:rPr>
      </w:pPr>
      <w:r>
        <w:rPr>
          <w:rFonts w:ascii="Times New Roman" w:cs="Times New Roman" w:eastAsia="Times New Roman" w:hAnsi="Times New Roman"/>
          <w:sz w:val="18"/>
          <w:szCs w:val="18"/>
          <w:color w:val="auto"/>
        </w:rPr>
        <w:t>Financing receivables are due from theater operators and consist of the Company’s net investment in sales-type leases and receivables associated with financed sales of IMAX Systems. As of March 31, 2024 and December 31, 2023, financing receivables consist of the following: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6"/>
                <w:szCs w:val="16"/>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2"/>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in leases</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minimum payments due under sales-type leases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30,215</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30,459</w:t>
            </w:r>
          </w:p>
        </w:tc>
        <w:tc>
          <w:tcPr>
            <w:tcW w:w="100" w:type="dxa"/>
            <w:vAlign w:val="bottom"/>
          </w:tcPr>
          <w:p>
            <w:pPr>
              <w:spacing w:after="0"/>
              <w:rPr>
                <w:sz w:val="20"/>
                <w:szCs w:val="20"/>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Unearned finance income</w:t>
            </w:r>
          </w:p>
        </w:tc>
        <w:tc>
          <w:tcPr>
            <w:tcW w:w="28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(441 )</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(467 )</w:t>
            </w:r>
          </w:p>
        </w:tc>
      </w:tr>
      <w:tr>
        <w:trPr>
          <w:trHeight w:val="236"/>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Present value of minimum payments due under sales-type leases</w:t>
            </w: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29,774</w:t>
            </w:r>
          </w:p>
        </w:tc>
        <w:tc>
          <w:tcPr>
            <w:tcW w:w="30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29,992</w:t>
            </w:r>
          </w:p>
        </w:tc>
        <w:tc>
          <w:tcPr>
            <w:tcW w:w="100" w:type="dxa"/>
            <w:vAlign w:val="bottom"/>
            <w:tcBorders>
              <w:top w:val="single" w:sz="8" w:color="CFF0FC"/>
            </w:tcBorders>
          </w:tcPr>
          <w:p>
            <w:pPr>
              <w:spacing w:after="0"/>
              <w:rPr>
                <w:sz w:val="20"/>
                <w:szCs w:val="20"/>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8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(451 )</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(453 )</w:t>
            </w:r>
          </w:p>
        </w:tc>
      </w:tr>
      <w:tr>
        <w:trPr>
          <w:trHeight w:val="236"/>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2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29,323</w:t>
            </w:r>
          </w:p>
        </w:tc>
        <w:tc>
          <w:tcPr>
            <w:tcW w:w="30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29,539</w:t>
            </w:r>
          </w:p>
        </w:tc>
        <w:tc>
          <w:tcPr>
            <w:tcW w:w="100" w:type="dxa"/>
            <w:vAlign w:val="bottom"/>
            <w:tcBorders>
              <w:top w:val="single" w:sz="8" w:color="CFF0FC"/>
            </w:tcBorders>
          </w:tcPr>
          <w:p>
            <w:pPr>
              <w:spacing w:after="0"/>
              <w:rPr>
                <w:sz w:val="20"/>
                <w:szCs w:val="20"/>
                <w:color w:val="auto"/>
              </w:rPr>
            </w:pPr>
          </w:p>
        </w:tc>
      </w:tr>
      <w:tr>
        <w:trPr>
          <w:trHeight w:val="241"/>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Financed sales receivables</w:t>
            </w: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minimum payments due under financed sales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133,511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135,684</w:t>
            </w:r>
          </w:p>
        </w:tc>
        <w:tc>
          <w:tcPr>
            <w:tcW w:w="100" w:type="dxa"/>
            <w:vAlign w:val="bottom"/>
          </w:tcPr>
          <w:p>
            <w:pPr>
              <w:spacing w:after="0"/>
              <w:rPr>
                <w:sz w:val="20"/>
                <w:szCs w:val="20"/>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Unearned finance income</w:t>
            </w:r>
          </w:p>
        </w:tc>
        <w:tc>
          <w:tcPr>
            <w:tcW w:w="28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(27,604 )</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(28,452 )</w:t>
            </w:r>
          </w:p>
        </w:tc>
      </w:tr>
      <w:tr>
        <w:trPr>
          <w:trHeight w:val="237"/>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Present value of minimum payments due under financed sales</w:t>
            </w: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105,907</w:t>
            </w:r>
          </w:p>
        </w:tc>
        <w:tc>
          <w:tcPr>
            <w:tcW w:w="30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107,232</w:t>
            </w:r>
          </w:p>
        </w:tc>
        <w:tc>
          <w:tcPr>
            <w:tcW w:w="100" w:type="dxa"/>
            <w:vAlign w:val="bottom"/>
            <w:tcBorders>
              <w:top w:val="single" w:sz="8" w:color="CFF0FC"/>
            </w:tcBorders>
          </w:tcPr>
          <w:p>
            <w:pPr>
              <w:spacing w:after="0"/>
              <w:rPr>
                <w:sz w:val="20"/>
                <w:szCs w:val="20"/>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8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(9,616 )</w:t>
            </w:r>
          </w:p>
        </w:tc>
        <w:tc>
          <w:tcPr>
            <w:tcW w:w="24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(9,617 )</w:t>
            </w:r>
          </w:p>
        </w:tc>
      </w:tr>
      <w:tr>
        <w:trPr>
          <w:trHeight w:val="236"/>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w:t>
            </w:r>
          </w:p>
        </w:tc>
        <w:tc>
          <w:tcPr>
            <w:tcW w:w="2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96,291</w:t>
            </w:r>
          </w:p>
        </w:tc>
        <w:tc>
          <w:tcPr>
            <w:tcW w:w="30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97,615</w:t>
            </w:r>
          </w:p>
        </w:tc>
        <w:tc>
          <w:tcPr>
            <w:tcW w:w="100" w:type="dxa"/>
            <w:vAlign w:val="bottom"/>
            <w:tcBorders>
              <w:top w:val="single" w:sz="8" w:color="CFF0FC"/>
            </w:tcBorders>
          </w:tcPr>
          <w:p>
            <w:pPr>
              <w:spacing w:after="0"/>
              <w:rPr>
                <w:sz w:val="20"/>
                <w:szCs w:val="20"/>
                <w:color w:val="auto"/>
              </w:rPr>
            </w:pPr>
          </w:p>
        </w:tc>
      </w:tr>
      <w:tr>
        <w:trPr>
          <w:trHeight w:val="277"/>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financing receivables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125,614</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127,154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6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 due within one year</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31,700</w:t>
            </w:r>
          </w:p>
        </w:tc>
        <w:tc>
          <w:tcPr>
            <w:tcW w:w="3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32,031</w:t>
            </w:r>
          </w:p>
        </w:tc>
        <w:tc>
          <w:tcPr>
            <w:tcW w:w="100" w:type="dxa"/>
            <w:vAlign w:val="bottom"/>
          </w:tcPr>
          <w:p>
            <w:pPr>
              <w:spacing w:after="0"/>
              <w:rPr>
                <w:sz w:val="24"/>
                <w:szCs w:val="24"/>
                <w:color w:val="auto"/>
              </w:rPr>
            </w:pPr>
          </w:p>
        </w:tc>
      </w:tr>
      <w:tr>
        <w:trPr>
          <w:trHeight w:val="245"/>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 due after one year</w:t>
            </w:r>
          </w:p>
        </w:tc>
        <w:tc>
          <w:tcPr>
            <w:tcW w:w="2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64,591</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65,584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financed sales receivables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96,291</w:t>
            </w:r>
          </w:p>
        </w:tc>
        <w:tc>
          <w:tcPr>
            <w:tcW w:w="3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97,615</w:t>
            </w:r>
          </w:p>
        </w:tc>
        <w:tc>
          <w:tcPr>
            <w:tcW w:w="100" w:type="dxa"/>
            <w:vAlign w:val="bottom"/>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-2271395</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-2271395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-1953895</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-1953895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-1319530</wp:posOffset>
            </wp:positionV>
            <wp:extent cx="768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-1002030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-676910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-659130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-676910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-187960</wp:posOffset>
            </wp:positionV>
            <wp:extent cx="768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March 31, 2024 and December 31, 2023, the weighted-average remaining lease term and weighted-average interest rate associated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sales-type lease arrangements and financed sale receivables, as applicable,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122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13"/>
        </w:trPr>
        <w:tc>
          <w:tcPr>
            <w:tcW w:w="7520" w:type="dxa"/>
            <w:vAlign w:val="bottom"/>
          </w:tcPr>
          <w:p>
            <w:pPr>
              <w:spacing w:after="0"/>
              <w:rPr>
                <w:sz w:val="18"/>
                <w:szCs w:val="18"/>
                <w:color w:val="auto"/>
              </w:rPr>
            </w:pPr>
          </w:p>
        </w:tc>
        <w:tc>
          <w:tcPr>
            <w:tcW w:w="12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r>
      <w:tr>
        <w:trPr>
          <w:trHeight w:val="236"/>
        </w:trPr>
        <w:tc>
          <w:tcPr>
            <w:tcW w:w="8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4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Sales-type lease arrangements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1"/>
                <w:szCs w:val="21"/>
                <w:color w:val="auto"/>
              </w:rPr>
            </w:pPr>
          </w:p>
        </w:tc>
      </w:tr>
      <w:tr>
        <w:trPr>
          <w:trHeight w:val="20"/>
        </w:trPr>
        <w:tc>
          <w:tcPr>
            <w:tcW w:w="75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8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interest rate</w:t>
            </w:r>
          </w:p>
        </w:tc>
        <w:tc>
          <w:tcPr>
            <w:tcW w:w="4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Sales-type lease arrangements</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7.56 %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21"/>
                <w:szCs w:val="21"/>
                <w:color w:val="auto"/>
              </w:rPr>
            </w:pPr>
          </w:p>
        </w:tc>
      </w:tr>
      <w:tr>
        <w:trPr>
          <w:trHeight w:val="20"/>
        </w:trPr>
        <w:tc>
          <w:tcPr>
            <w:tcW w:w="75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8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9.01 %</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shd w:val="clear" w:color="auto" w:fill="CFF0FC"/>
          </w:tcPr>
          <w:p>
            <w:pPr>
              <w:spacing w:after="0"/>
              <w:rPr>
                <w:sz w:val="22"/>
                <w:szCs w:val="22"/>
                <w:color w:val="auto"/>
              </w:rPr>
            </w:pPr>
          </w:p>
        </w:tc>
      </w:tr>
      <w:tr>
        <w:trPr>
          <w:trHeight w:val="845"/>
        </w:trPr>
        <w:tc>
          <w:tcPr>
            <w:tcW w:w="7520" w:type="dxa"/>
            <w:vAlign w:val="bottom"/>
            <w:tcBorders>
              <w:top w:val="single" w:sz="8" w:color="CFF0FC"/>
            </w:tcBorders>
          </w:tcPr>
          <w:p>
            <w:pPr>
              <w:ind w:left="5540"/>
              <w:spacing w:after="0"/>
              <w:rPr>
                <w:sz w:val="20"/>
                <w:szCs w:val="20"/>
                <w:color w:val="auto"/>
              </w:rPr>
            </w:pPr>
            <w:r>
              <w:rPr>
                <w:rFonts w:ascii="Times New Roman" w:cs="Times New Roman" w:eastAsia="Times New Roman" w:hAnsi="Times New Roman"/>
                <w:sz w:val="18"/>
                <w:szCs w:val="18"/>
                <w:color w:val="auto"/>
              </w:rPr>
              <w:t>13</w:t>
            </w:r>
          </w:p>
        </w:tc>
        <w:tc>
          <w:tcPr>
            <w:tcW w:w="12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0" w:type="dxa"/>
            <w:vAlign w:val="bottom"/>
            <w:tcBorders>
              <w:top w:val="single" w:sz="8" w:color="CFF0FC"/>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9"/>
        </w:trPr>
        <w:tc>
          <w:tcPr>
            <w:tcW w:w="75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-1062355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-1045210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5"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tables below provide information on the Company’s net investment in leases by credit quality indicator as of March 31, 2024 and December 31, 2023. The amounts disclosed for each credit quality classification are determined on a customer-by-customer basis and include both billed and unbilled amounts.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200" w:type="dxa"/>
            <w:vAlign w:val="bottom"/>
          </w:tcPr>
          <w:p>
            <w:pPr>
              <w:spacing w:after="0"/>
              <w:rPr>
                <w:sz w:val="19"/>
                <w:szCs w:val="19"/>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34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in leases:</w:t>
            </w:r>
          </w:p>
        </w:tc>
        <w:tc>
          <w:tcPr>
            <w:tcW w:w="20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 good standing</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20,173</w:t>
            </w:r>
          </w:p>
        </w:tc>
        <w:tc>
          <w:tcPr>
            <w:tcW w:w="100" w:type="dxa"/>
            <w:vAlign w:val="bottom"/>
            <w:shd w:val="clear" w:color="auto" w:fill="CFF0FC"/>
          </w:tcPr>
          <w:p>
            <w:pPr>
              <w:spacing w:after="0"/>
              <w:rPr>
                <w:sz w:val="21"/>
                <w:szCs w:val="21"/>
                <w:color w:val="auto"/>
              </w:rPr>
            </w:pPr>
          </w:p>
        </w:tc>
      </w:tr>
      <w:tr>
        <w:trPr>
          <w:trHeight w:val="239"/>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Watch</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00" w:type="dxa"/>
            <w:vAlign w:val="bottom"/>
            <w:shd w:val="clear" w:color="auto" w:fill="CFF0FC"/>
          </w:tcPr>
          <w:p>
            <w:pPr>
              <w:spacing w:after="0"/>
              <w:rPr>
                <w:sz w:val="21"/>
                <w:szCs w:val="21"/>
                <w:color w:val="auto"/>
              </w:rPr>
            </w:pPr>
          </w:p>
        </w:tc>
      </w:tr>
      <w:tr>
        <w:trPr>
          <w:trHeight w:val="239"/>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Transactions suspended</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20"/>
                <w:szCs w:val="20"/>
                <w:color w:val="auto"/>
              </w:rPr>
            </w:pPr>
          </w:p>
        </w:tc>
      </w:tr>
      <w:tr>
        <w:trPr>
          <w:trHeight w:val="281"/>
        </w:trPr>
        <w:tc>
          <w:tcPr>
            <w:tcW w:w="3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investment in leases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13,088</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29,774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99"/>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00" w:type="dxa"/>
            <w:vAlign w:val="bottom"/>
          </w:tcPr>
          <w:p>
            <w:pPr>
              <w:spacing w:after="0"/>
              <w:rPr>
                <w:sz w:val="19"/>
                <w:szCs w:val="19"/>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34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in leases:</w:t>
            </w:r>
          </w:p>
        </w:tc>
        <w:tc>
          <w:tcPr>
            <w:tcW w:w="20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 good standing</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6,241</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16,926</w:t>
            </w:r>
          </w:p>
        </w:tc>
        <w:tc>
          <w:tcPr>
            <w:tcW w:w="100" w:type="dxa"/>
            <w:vAlign w:val="bottom"/>
            <w:shd w:val="clear" w:color="auto" w:fill="CFF0FC"/>
          </w:tcPr>
          <w:p>
            <w:pPr>
              <w:spacing w:after="0"/>
              <w:rPr>
                <w:sz w:val="21"/>
                <w:szCs w:val="21"/>
                <w:color w:val="auto"/>
              </w:rPr>
            </w:pPr>
          </w:p>
        </w:tc>
      </w:tr>
      <w:tr>
        <w:trPr>
          <w:trHeight w:val="239"/>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Watch</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Pr>
          <w:p>
            <w:pPr>
              <w:spacing w:after="0"/>
              <w:rPr>
                <w:sz w:val="20"/>
                <w:szCs w:val="20"/>
                <w:color w:val="auto"/>
              </w:rPr>
            </w:pPr>
          </w:p>
        </w:tc>
      </w:tr>
      <w:tr>
        <w:trPr>
          <w:trHeight w:val="247"/>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100" w:type="dxa"/>
            <w:vAlign w:val="bottom"/>
            <w:shd w:val="clear" w:color="auto" w:fill="CFF0FC"/>
          </w:tcPr>
          <w:p>
            <w:pPr>
              <w:spacing w:after="0"/>
              <w:rPr>
                <w:sz w:val="21"/>
                <w:szCs w:val="21"/>
                <w:color w:val="auto"/>
              </w:rPr>
            </w:pPr>
          </w:p>
        </w:tc>
      </w:tr>
      <w:tr>
        <w:trPr>
          <w:trHeight w:val="239"/>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Transactions suspended</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20"/>
                <w:szCs w:val="20"/>
                <w:color w:val="auto"/>
              </w:rPr>
            </w:pPr>
          </w:p>
        </w:tc>
      </w:tr>
      <w:tr>
        <w:trPr>
          <w:trHeight w:val="281"/>
        </w:trPr>
        <w:tc>
          <w:tcPr>
            <w:tcW w:w="3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investment in leases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9,703</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6,898</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-1567815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-1550670</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-1567815</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-1550670</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-1567815</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-1550670</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-1567815</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-1550670</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-1567815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-1550670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-1567815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-1550670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-1550670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-24765</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-7620</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-24765</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-7620</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-24765</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-7620</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-24765</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tables below provide information on the Company’s financed sales receivables by credit quality indicator as of March 31, 2024 and December 31, 2023. The amounts disclosed for each credit quality classification are determined on a customer-by-customer basis and include both billed and unbilled amounts.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200" w:type="dxa"/>
            <w:vAlign w:val="bottom"/>
          </w:tcPr>
          <w:p>
            <w:pPr>
              <w:spacing w:after="0"/>
              <w:rPr>
                <w:sz w:val="19"/>
                <w:szCs w:val="19"/>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34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Financed sales receivables:</w:t>
            </w:r>
          </w:p>
        </w:tc>
        <w:tc>
          <w:tcPr>
            <w:tcW w:w="20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 good standing</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10,849</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49,560</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77,876</w:t>
            </w:r>
          </w:p>
        </w:tc>
        <w:tc>
          <w:tcPr>
            <w:tcW w:w="100" w:type="dxa"/>
            <w:vAlign w:val="bottom"/>
            <w:shd w:val="clear" w:color="auto" w:fill="CFF0FC"/>
          </w:tcPr>
          <w:p>
            <w:pPr>
              <w:spacing w:after="0"/>
              <w:rPr>
                <w:sz w:val="21"/>
                <w:szCs w:val="21"/>
                <w:color w:val="auto"/>
              </w:rPr>
            </w:pPr>
          </w:p>
        </w:tc>
      </w:tr>
      <w:tr>
        <w:trPr>
          <w:trHeight w:val="239"/>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Watch</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Pr>
          <w:p>
            <w:pPr>
              <w:spacing w:after="0"/>
              <w:rPr>
                <w:sz w:val="20"/>
                <w:szCs w:val="20"/>
                <w:color w:val="auto"/>
              </w:rPr>
            </w:pPr>
          </w:p>
        </w:tc>
      </w:tr>
      <w:tr>
        <w:trPr>
          <w:trHeight w:val="247"/>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8,968</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14,198</w:t>
            </w:r>
          </w:p>
        </w:tc>
        <w:tc>
          <w:tcPr>
            <w:tcW w:w="100" w:type="dxa"/>
            <w:vAlign w:val="bottom"/>
            <w:shd w:val="clear" w:color="auto" w:fill="CFF0FC"/>
          </w:tcPr>
          <w:p>
            <w:pPr>
              <w:spacing w:after="0"/>
              <w:rPr>
                <w:sz w:val="21"/>
                <w:szCs w:val="21"/>
                <w:color w:val="auto"/>
              </w:rPr>
            </w:pPr>
          </w:p>
        </w:tc>
      </w:tr>
      <w:tr>
        <w:trPr>
          <w:trHeight w:val="239"/>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Transactions suspended</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11,805</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12,744</w:t>
            </w:r>
          </w:p>
        </w:tc>
        <w:tc>
          <w:tcPr>
            <w:tcW w:w="100" w:type="dxa"/>
            <w:vAlign w:val="bottom"/>
          </w:tcPr>
          <w:p>
            <w:pPr>
              <w:spacing w:after="0"/>
              <w:rPr>
                <w:sz w:val="20"/>
                <w:szCs w:val="20"/>
                <w:color w:val="auto"/>
              </w:rPr>
            </w:pPr>
          </w:p>
        </w:tc>
      </w:tr>
      <w:tr>
        <w:trPr>
          <w:trHeight w:val="281"/>
        </w:trPr>
        <w:tc>
          <w:tcPr>
            <w:tcW w:w="3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financed sales receivables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11,483</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6,126</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9,535</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6,992</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71,422</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105,907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99"/>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00" w:type="dxa"/>
            <w:vAlign w:val="bottom"/>
          </w:tcPr>
          <w:p>
            <w:pPr>
              <w:spacing w:after="0"/>
              <w:rPr>
                <w:sz w:val="19"/>
                <w:szCs w:val="19"/>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34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Financed sales receivables:</w:t>
            </w:r>
          </w:p>
        </w:tc>
        <w:tc>
          <w:tcPr>
            <w:tcW w:w="20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 good standing</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6,660</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8,058</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44,870</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76,885</w:t>
            </w:r>
          </w:p>
        </w:tc>
        <w:tc>
          <w:tcPr>
            <w:tcW w:w="100" w:type="dxa"/>
            <w:vAlign w:val="bottom"/>
            <w:shd w:val="clear" w:color="auto" w:fill="CFF0FC"/>
          </w:tcPr>
          <w:p>
            <w:pPr>
              <w:spacing w:after="0"/>
              <w:rPr>
                <w:sz w:val="21"/>
                <w:szCs w:val="21"/>
                <w:color w:val="auto"/>
              </w:rPr>
            </w:pPr>
          </w:p>
        </w:tc>
      </w:tr>
      <w:tr>
        <w:trPr>
          <w:trHeight w:val="239"/>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Watch</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Pr>
          <w:p>
            <w:pPr>
              <w:spacing w:after="0"/>
              <w:rPr>
                <w:sz w:val="20"/>
                <w:szCs w:val="20"/>
                <w:color w:val="auto"/>
              </w:rPr>
            </w:pPr>
          </w:p>
        </w:tc>
      </w:tr>
      <w:tr>
        <w:trPr>
          <w:trHeight w:val="247"/>
        </w:trPr>
        <w:tc>
          <w:tcPr>
            <w:tcW w:w="3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8,508</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15,586</w:t>
            </w:r>
          </w:p>
        </w:tc>
        <w:tc>
          <w:tcPr>
            <w:tcW w:w="100" w:type="dxa"/>
            <w:vAlign w:val="bottom"/>
            <w:shd w:val="clear" w:color="auto" w:fill="CFF0FC"/>
          </w:tcPr>
          <w:p>
            <w:pPr>
              <w:spacing w:after="0"/>
              <w:rPr>
                <w:sz w:val="21"/>
                <w:szCs w:val="21"/>
                <w:color w:val="auto"/>
              </w:rPr>
            </w:pPr>
          </w:p>
        </w:tc>
      </w:tr>
      <w:tr>
        <w:trPr>
          <w:trHeight w:val="239"/>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Transactions suspended</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10,999</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13,618</w:t>
            </w:r>
          </w:p>
        </w:tc>
        <w:tc>
          <w:tcPr>
            <w:tcW w:w="100" w:type="dxa"/>
            <w:vAlign w:val="bottom"/>
          </w:tcPr>
          <w:p>
            <w:pPr>
              <w:spacing w:after="0"/>
              <w:rPr>
                <w:sz w:val="20"/>
                <w:szCs w:val="20"/>
                <w:color w:val="auto"/>
              </w:rPr>
            </w:pPr>
          </w:p>
        </w:tc>
      </w:tr>
      <w:tr>
        <w:trPr>
          <w:trHeight w:val="281"/>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financed sales receivables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7,267</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9,308</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7,215</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12,005</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65,173</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107,232</w:t>
            </w:r>
          </w:p>
        </w:tc>
        <w:tc>
          <w:tcPr>
            <w:tcW w:w="100" w:type="dxa"/>
            <w:vAlign w:val="bottom"/>
            <w:shd w:val="clear" w:color="auto" w:fill="CFF0FC"/>
          </w:tcPr>
          <w:p>
            <w:pPr>
              <w:spacing w:after="0"/>
              <w:rPr>
                <w:sz w:val="24"/>
                <w:szCs w:val="24"/>
                <w:color w:val="auto"/>
              </w:rPr>
            </w:pPr>
          </w:p>
        </w:tc>
      </w:tr>
      <w:tr>
        <w:trPr>
          <w:trHeight w:val="844"/>
        </w:trPr>
        <w:tc>
          <w:tcPr>
            <w:tcW w:w="34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36"/>
        </w:trPr>
        <w:tc>
          <w:tcPr>
            <w:tcW w:w="3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-2596515</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-2579370</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-2596515</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-2579370</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-2596515</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-2579370</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-2596515</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-2579370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-2596515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-2579370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-2596515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-2579370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-2596515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-2579370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-1053465</wp:posOffset>
            </wp:positionV>
            <wp:extent cx="768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-1036320</wp:posOffset>
            </wp:positionV>
            <wp:extent cx="768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-1053465</wp:posOffset>
            </wp:positionV>
            <wp:extent cx="774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-1036320</wp:posOffset>
            </wp:positionV>
            <wp:extent cx="774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-1053465</wp:posOffset>
            </wp:positionV>
            <wp:extent cx="774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-1036320</wp:posOffset>
            </wp:positionV>
            <wp:extent cx="774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-1053465</wp:posOffset>
            </wp:positionV>
            <wp:extent cx="768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-1036320</wp:posOffset>
            </wp:positionV>
            <wp:extent cx="768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-1053465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-1036320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-1053465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-1036320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tables provide an aging analysis for the Company’s net investment in leases and financed sales receivables as of March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39"/>
              <w:spacing w:after="0" w:line="131" w:lineRule="exact"/>
              <w:rPr>
                <w:sz w:val="20"/>
                <w:szCs w:val="20"/>
                <w:color w:val="auto"/>
              </w:rPr>
            </w:pPr>
            <w:r>
              <w:rPr>
                <w:rFonts w:ascii="Times New Roman" w:cs="Times New Roman" w:eastAsia="Times New Roman" w:hAnsi="Times New Roman"/>
                <w:sz w:val="14"/>
                <w:szCs w:val="14"/>
                <w:b w:val="1"/>
                <w:bCs w:val="1"/>
                <w:color w:val="auto"/>
              </w:rPr>
              <w:t>Accrued</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30-89</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90+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220" w:type="dxa"/>
            <w:vAlign w:val="bottom"/>
          </w:tcPr>
          <w:p>
            <w:pPr>
              <w:spacing w:after="0"/>
              <w:rPr>
                <w:sz w:val="11"/>
                <w:szCs w:val="11"/>
                <w:color w:val="auto"/>
              </w:rPr>
            </w:pPr>
          </w:p>
        </w:tc>
        <w:tc>
          <w:tcPr>
            <w:tcW w:w="1020" w:type="dxa"/>
            <w:vAlign w:val="bottom"/>
            <w:gridSpan w:val="3"/>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for Credit</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Days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200" w:type="dxa"/>
            <w:vAlign w:val="bottom"/>
          </w:tcPr>
          <w:p>
            <w:pPr>
              <w:spacing w:after="0"/>
              <w:rPr>
                <w:sz w:val="16"/>
                <w:szCs w:val="16"/>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24,073</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29,774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(451 )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92,818</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105,907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(9,616 )</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14,967</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18,790</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116,891</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135,681</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(10,067 )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125,614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30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39"/>
              <w:spacing w:after="0" w:line="131" w:lineRule="exact"/>
              <w:rPr>
                <w:sz w:val="20"/>
                <w:szCs w:val="20"/>
                <w:color w:val="auto"/>
              </w:rPr>
            </w:pPr>
            <w:r>
              <w:rPr>
                <w:rFonts w:ascii="Times New Roman" w:cs="Times New Roman" w:eastAsia="Times New Roman" w:hAnsi="Times New Roman"/>
                <w:sz w:val="14"/>
                <w:szCs w:val="14"/>
                <w:b w:val="1"/>
                <w:bCs w:val="1"/>
                <w:color w:val="auto"/>
              </w:rPr>
              <w:t>Accrued</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30-89</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90+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220" w:type="dxa"/>
            <w:vAlign w:val="bottom"/>
          </w:tcPr>
          <w:p>
            <w:pPr>
              <w:spacing w:after="0"/>
              <w:rPr>
                <w:sz w:val="11"/>
                <w:szCs w:val="11"/>
                <w:color w:val="auto"/>
              </w:rPr>
            </w:pPr>
          </w:p>
        </w:tc>
        <w:tc>
          <w:tcPr>
            <w:tcW w:w="1020" w:type="dxa"/>
            <w:vAlign w:val="bottom"/>
            <w:gridSpan w:val="3"/>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for Credit</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Days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200" w:type="dxa"/>
            <w:vAlign w:val="bottom"/>
          </w:tcPr>
          <w:p>
            <w:pPr>
              <w:spacing w:after="0"/>
              <w:rPr>
                <w:sz w:val="16"/>
                <w:szCs w:val="16"/>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24,889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(453 )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93,797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107,232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(9,617 )</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15,302</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18,538</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118,686</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137,224</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(10,070 )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127,154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-1139190</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-1122045</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-1139190</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-1122045</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-1139190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-1122045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-1139190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-1122045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-1139190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-1122045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-1139190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-1122045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-1139190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-1122045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-25400</wp:posOffset>
            </wp:positionV>
            <wp:extent cx="768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-7620</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-25400</wp:posOffset>
            </wp:positionV>
            <wp:extent cx="774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-7620</wp:posOffset>
            </wp:positionV>
            <wp:extent cx="77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-25400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-25400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-25400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-25400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-25400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following tables provide information about the Company’s net investment in leases and financed sales receivables with billed amounts past due for which it continues to accrue finance income as of March 31, 2024 and December 31, 2023. The amounts disclosed for each credit quality classification are determined on a customer-by-customer basis and include both billed and unbilled amounts.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3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59"/>
              <w:spacing w:after="0" w:line="131" w:lineRule="exact"/>
              <w:rPr>
                <w:sz w:val="20"/>
                <w:szCs w:val="20"/>
                <w:color w:val="auto"/>
              </w:rPr>
            </w:pPr>
            <w:r>
              <w:rPr>
                <w:rFonts w:ascii="Times New Roman" w:cs="Times New Roman" w:eastAsia="Times New Roman" w:hAnsi="Times New Roman"/>
                <w:sz w:val="14"/>
                <w:szCs w:val="14"/>
                <w:b w:val="1"/>
                <w:bCs w:val="1"/>
                <w:color w:val="auto"/>
              </w:rPr>
              <w:t>Accrued</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for Credit</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7"/>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30-89 Days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6"/>
                <w:szCs w:val="16"/>
                <w:color w:val="auto"/>
              </w:rPr>
            </w:pPr>
          </w:p>
        </w:tc>
      </w:tr>
      <w:tr>
        <w:trPr>
          <w:trHeight w:val="236"/>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22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22,036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(10 )</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27,651</w:t>
            </w:r>
          </w:p>
        </w:tc>
        <w:tc>
          <w:tcPr>
            <w:tcW w:w="100" w:type="dxa"/>
            <w:vAlign w:val="bottom"/>
            <w:shd w:val="clear" w:color="auto" w:fill="CFF0FC"/>
          </w:tcPr>
          <w:p>
            <w:pPr>
              <w:spacing w:after="0"/>
              <w:rPr>
                <w:sz w:val="20"/>
                <w:szCs w:val="20"/>
                <w:color w:val="auto"/>
              </w:rPr>
            </w:pPr>
          </w:p>
        </w:tc>
      </w:tr>
      <w:tr>
        <w:trPr>
          <w:trHeight w:val="23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(1,046 )</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46,780</w:t>
            </w:r>
          </w:p>
        </w:tc>
        <w:tc>
          <w:tcPr>
            <w:tcW w:w="100" w:type="dxa"/>
            <w:vAlign w:val="bottom"/>
          </w:tcPr>
          <w:p>
            <w:pPr>
              <w:spacing w:after="0"/>
              <w:rPr>
                <w:sz w:val="20"/>
                <w:szCs w:val="20"/>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1"/>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14,635</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17,215</w:t>
            </w:r>
          </w:p>
        </w:tc>
        <w:tc>
          <w:tcPr>
            <w:tcW w:w="220" w:type="dxa"/>
            <w:vAlign w:val="bottom"/>
            <w:tcBorders>
              <w:right w:val="single" w:sz="8" w:color="CFF0FC"/>
            </w:tcBorders>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58,272</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(1,056 )</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74,431</w:t>
            </w:r>
          </w:p>
        </w:tc>
        <w:tc>
          <w:tcPr>
            <w:tcW w:w="100" w:type="dxa"/>
            <w:vAlign w:val="bottom"/>
            <w:shd w:val="clear" w:color="auto" w:fill="CFF0FC"/>
          </w:tcPr>
          <w:p>
            <w:pPr>
              <w:spacing w:after="0"/>
              <w:rPr>
                <w:sz w:val="22"/>
                <w:szCs w:val="22"/>
                <w:color w:val="auto"/>
              </w:rPr>
            </w:pPr>
          </w:p>
        </w:tc>
      </w:tr>
      <w:tr>
        <w:trPr>
          <w:trHeight w:val="20"/>
        </w:trPr>
        <w:tc>
          <w:tcPr>
            <w:tcW w:w="33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53"/>
        </w:trPr>
        <w:tc>
          <w:tcPr>
            <w:tcW w:w="3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1"/>
        </w:trPr>
        <w:tc>
          <w:tcPr>
            <w:tcW w:w="3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59"/>
              <w:spacing w:after="0" w:line="131" w:lineRule="exact"/>
              <w:rPr>
                <w:sz w:val="20"/>
                <w:szCs w:val="20"/>
                <w:color w:val="auto"/>
              </w:rPr>
            </w:pPr>
            <w:r>
              <w:rPr>
                <w:rFonts w:ascii="Times New Roman" w:cs="Times New Roman" w:eastAsia="Times New Roman" w:hAnsi="Times New Roman"/>
                <w:sz w:val="14"/>
                <w:szCs w:val="14"/>
                <w:b w:val="1"/>
                <w:bCs w:val="1"/>
                <w:color w:val="auto"/>
              </w:rPr>
              <w:t>Accrued</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for Credit</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7"/>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30-89 Days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6"/>
                <w:szCs w:val="16"/>
                <w:color w:val="auto"/>
              </w:rPr>
            </w:pPr>
          </w:p>
        </w:tc>
      </w:tr>
      <w:tr>
        <w:trPr>
          <w:trHeight w:val="237"/>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22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22,651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(9 )</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27,711</w:t>
            </w:r>
          </w:p>
        </w:tc>
        <w:tc>
          <w:tcPr>
            <w:tcW w:w="100" w:type="dxa"/>
            <w:vAlign w:val="bottom"/>
            <w:shd w:val="clear" w:color="auto" w:fill="CFF0FC"/>
          </w:tcPr>
          <w:p>
            <w:pPr>
              <w:spacing w:after="0"/>
              <w:rPr>
                <w:sz w:val="20"/>
                <w:szCs w:val="20"/>
                <w:color w:val="auto"/>
              </w:rPr>
            </w:pPr>
          </w:p>
        </w:tc>
      </w:tr>
      <w:tr>
        <w:trPr>
          <w:trHeight w:val="23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(1,198 )</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44,451</w:t>
            </w:r>
          </w:p>
        </w:tc>
        <w:tc>
          <w:tcPr>
            <w:tcW w:w="100" w:type="dxa"/>
            <w:vAlign w:val="bottom"/>
          </w:tcPr>
          <w:p>
            <w:pPr>
              <w:spacing w:after="0"/>
              <w:rPr>
                <w:sz w:val="20"/>
                <w:szCs w:val="20"/>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1"/>
        </w:trPr>
        <w:tc>
          <w:tcPr>
            <w:tcW w:w="3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15,115</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17,166</w:t>
            </w:r>
          </w:p>
        </w:tc>
        <w:tc>
          <w:tcPr>
            <w:tcW w:w="220" w:type="dxa"/>
            <w:vAlign w:val="bottom"/>
            <w:tcBorders>
              <w:right w:val="single" w:sz="8" w:color="CFF0FC"/>
            </w:tcBorders>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56,203</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(1,207 )</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72,162</w:t>
            </w:r>
          </w:p>
        </w:tc>
        <w:tc>
          <w:tcPr>
            <w:tcW w:w="100" w:type="dxa"/>
            <w:vAlign w:val="bottom"/>
            <w:shd w:val="clear" w:color="auto" w:fill="CFF0FC"/>
          </w:tcPr>
          <w:p>
            <w:pPr>
              <w:spacing w:after="0"/>
              <w:rPr>
                <w:sz w:val="22"/>
                <w:szCs w:val="22"/>
                <w:color w:val="auto"/>
              </w:rPr>
            </w:pPr>
          </w:p>
        </w:tc>
      </w:tr>
      <w:tr>
        <w:trPr>
          <w:trHeight w:val="20"/>
        </w:trPr>
        <w:tc>
          <w:tcPr>
            <w:tcW w:w="33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-1139190</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-1122045</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-1139190</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-1122045</wp:posOffset>
            </wp:positionV>
            <wp:extent cx="774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-1139190</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-1122045</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-1139190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-1122045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-1139190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-1122045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-1139190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-1122045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-24765</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-8255</wp:posOffset>
            </wp:positionV>
            <wp:extent cx="768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-24765</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-8255</wp:posOffset>
            </wp:positionV>
            <wp:extent cx="7747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-24765</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-8255</wp:posOffset>
            </wp:positionV>
            <wp:extent cx="768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-8255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-24765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-8255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-8255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1"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Company’s net investment in leases and financed sales receivables that are on nonaccrual status as of March 31, 2024 and December 31, 2023:</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for Credit</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for Credit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Net</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w w:val="99"/>
              </w:rPr>
              <w:t>Receivable</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(401 )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(401 )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(8,882 )</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(8,884 )</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27,343</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(9,283 )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29,605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(9,285 )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-24765</wp:posOffset>
            </wp:positionV>
            <wp:extent cx="768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-8255</wp:posOffset>
            </wp:positionV>
            <wp:extent cx="7683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-24765</wp:posOffset>
            </wp:positionV>
            <wp:extent cx="768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-8255</wp:posOffset>
            </wp:positionV>
            <wp:extent cx="768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-8255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2024, the Company recognized $0.6 million (2023 — less than $0.1 million) in Finance Income related to the net investment in leases with billed amounts past due. For the three months ended March 31, 2024 and 2023, the Company recognized $nil (2023 - $nil) in Finance Income related to the net investment in leases on nonaccrual status. For the three months ended March 31, 2024, the Company recognized $0.5 million (2023 — $0.8 million) in Finance Income related to the financed sales receivables with billed amounts past due. For the three months ended March 31, 2024, the Company recognized $0.4 million (2023 — $0.1 million) in Finance Income related to the financed sales receivables in nonaccrual status.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5" w:lineRule="exact"/>
        <w:rPr>
          <w:sz w:val="20"/>
          <w:szCs w:val="20"/>
          <w:color w:val="auto"/>
        </w:rPr>
      </w:pPr>
    </w:p>
    <w:p>
      <w:pPr>
        <w:ind w:right="460" w:firstLine="2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activity in the allowance for credit losses related to the Company’s net investment in leases and financed sales receivables for the three months ended March 31, 2024 and 2023:</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00" w:type="dxa"/>
            <w:vAlign w:val="bottom"/>
          </w:tcPr>
          <w:p>
            <w:pPr>
              <w:spacing w:after="0"/>
              <w:rPr>
                <w:sz w:val="16"/>
                <w:szCs w:val="16"/>
                <w:color w:val="auto"/>
              </w:rPr>
            </w:pPr>
          </w:p>
        </w:tc>
        <w:tc>
          <w:tcPr>
            <w:tcW w:w="4200" w:type="dxa"/>
            <w:vAlign w:val="bottom"/>
            <w:tcBorders>
              <w:bottom w:val="single" w:sz="8" w:color="auto"/>
            </w:tcBorders>
            <w:gridSpan w:val="4"/>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6400" w:type="dxa"/>
            <w:vAlign w:val="bottom"/>
          </w:tcPr>
          <w:p>
            <w:pPr>
              <w:spacing w:after="0"/>
              <w:rPr>
                <w:sz w:val="13"/>
                <w:szCs w:val="13"/>
                <w:color w:val="auto"/>
              </w:rPr>
            </w:pPr>
          </w:p>
        </w:tc>
        <w:tc>
          <w:tcPr>
            <w:tcW w:w="1760" w:type="dxa"/>
            <w:vAlign w:val="bottom"/>
          </w:tcPr>
          <w:p>
            <w:pPr>
              <w:jc w:val="center"/>
              <w:ind w:left="381"/>
              <w:spacing w:after="0" w:line="158" w:lineRule="exact"/>
              <w:rPr>
                <w:sz w:val="20"/>
                <w:szCs w:val="20"/>
                <w:color w:val="auto"/>
              </w:rPr>
            </w:pPr>
            <w:r>
              <w:rPr>
                <w:rFonts w:ascii="Times New Roman" w:cs="Times New Roman" w:eastAsia="Times New Roman" w:hAnsi="Times New Roman"/>
                <w:sz w:val="14"/>
                <w:szCs w:val="14"/>
                <w:b w:val="1"/>
                <w:bCs w:val="1"/>
                <w:color w:val="auto"/>
              </w:rPr>
              <w:t>Net Investment</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center"/>
              <w:ind w:left="439"/>
              <w:spacing w:after="0" w:line="158" w:lineRule="exact"/>
              <w:rPr>
                <w:sz w:val="20"/>
                <w:szCs w:val="20"/>
                <w:color w:val="auto"/>
              </w:rPr>
            </w:pPr>
            <w:r>
              <w:rPr>
                <w:rFonts w:ascii="Times New Roman" w:cs="Times New Roman" w:eastAsia="Times New Roman" w:hAnsi="Times New Roman"/>
                <w:sz w:val="14"/>
                <w:szCs w:val="14"/>
                <w:b w:val="1"/>
                <w:bCs w:val="1"/>
                <w:color w:val="auto"/>
              </w:rPr>
              <w:t>Financed</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760" w:type="dxa"/>
            <w:vAlign w:val="bottom"/>
            <w:tcBorders>
              <w:bottom w:val="single" w:sz="8" w:color="auto"/>
            </w:tcBorders>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in Leases</w:t>
            </w:r>
          </w:p>
        </w:tc>
        <w:tc>
          <w:tcPr>
            <w:tcW w:w="4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Borders>
              <w:bottom w:val="single" w:sz="8" w:color="auto"/>
            </w:tcBorders>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Sales Receivables</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7"/>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760" w:type="dxa"/>
            <w:vAlign w:val="bottom"/>
            <w:shd w:val="clear" w:color="auto" w:fill="CFF0FC"/>
          </w:tcPr>
          <w:p>
            <w:pPr>
              <w:jc w:val="right"/>
              <w:ind w:right="158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80" w:type="dxa"/>
            <w:vAlign w:val="bottom"/>
            <w:shd w:val="clear" w:color="auto" w:fill="CFF0FC"/>
          </w:tcPr>
          <w:p>
            <w:pPr>
              <w:spacing w:after="0"/>
              <w:rPr>
                <w:sz w:val="20"/>
                <w:szCs w:val="20"/>
                <w:color w:val="auto"/>
              </w:rPr>
            </w:pPr>
          </w:p>
        </w:tc>
        <w:tc>
          <w:tcPr>
            <w:tcW w:w="1680" w:type="dxa"/>
            <w:vAlign w:val="bottom"/>
            <w:shd w:val="clear" w:color="auto" w:fill="CFF0FC"/>
          </w:tcPr>
          <w:p>
            <w:pPr>
              <w:jc w:val="right"/>
              <w:ind w:right="14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100" w:type="dxa"/>
            <w:vAlign w:val="bottom"/>
            <w:shd w:val="clear" w:color="auto" w:fill="CFF0FC"/>
          </w:tcPr>
          <w:p>
            <w:pPr>
              <w:spacing w:after="0"/>
              <w:rPr>
                <w:sz w:val="20"/>
                <w:szCs w:val="20"/>
                <w:color w:val="auto"/>
              </w:rPr>
            </w:pPr>
          </w:p>
        </w:tc>
      </w:tr>
      <w:tr>
        <w:trPr>
          <w:trHeight w:val="239"/>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period (reversal) provision, net</w:t>
            </w:r>
          </w:p>
        </w:tc>
        <w:tc>
          <w:tcPr>
            <w:tcW w:w="17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6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exchange</w:t>
            </w:r>
          </w:p>
        </w:tc>
        <w:tc>
          <w:tcPr>
            <w:tcW w:w="17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(6 )</w:t>
            </w:r>
          </w:p>
        </w:tc>
        <w:tc>
          <w:tcPr>
            <w:tcW w:w="168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r>
      <w:tr>
        <w:trPr>
          <w:trHeight w:val="236"/>
        </w:trPr>
        <w:tc>
          <w:tcPr>
            <w:tcW w:w="64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760" w:type="dxa"/>
            <w:vAlign w:val="bottom"/>
            <w:tcBorders>
              <w:top w:val="single" w:sz="8" w:color="auto"/>
              <w:bottom w:val="single" w:sz="8" w:color="auto"/>
            </w:tcBorders>
          </w:tcPr>
          <w:p>
            <w:pPr>
              <w:jc w:val="right"/>
              <w:ind w:right="158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80" w:type="dxa"/>
            <w:vAlign w:val="bottom"/>
            <w:tcBorders>
              <w:top w:val="single" w:sz="8" w:color="CFF0FC"/>
            </w:tcBorders>
          </w:tcPr>
          <w:p>
            <w:pPr>
              <w:spacing w:after="0"/>
              <w:rPr>
                <w:sz w:val="20"/>
                <w:szCs w:val="20"/>
                <w:color w:val="auto"/>
              </w:rPr>
            </w:pPr>
          </w:p>
        </w:tc>
        <w:tc>
          <w:tcPr>
            <w:tcW w:w="1680" w:type="dxa"/>
            <w:vAlign w:val="bottom"/>
            <w:tcBorders>
              <w:top w:val="single" w:sz="8" w:color="auto"/>
              <w:bottom w:val="single" w:sz="8" w:color="auto"/>
            </w:tcBorders>
          </w:tcPr>
          <w:p>
            <w:pPr>
              <w:jc w:val="right"/>
              <w:ind w:right="14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9,616</w:t>
            </w:r>
          </w:p>
        </w:tc>
        <w:tc>
          <w:tcPr>
            <w:tcW w:w="100" w:type="dxa"/>
            <w:vAlign w:val="bottom"/>
            <w:tcBorders>
              <w:top w:val="single" w:sz="8" w:color="CFF0FC"/>
            </w:tcBorders>
          </w:tcPr>
          <w:p>
            <w:pPr>
              <w:spacing w:after="0"/>
              <w:rPr>
                <w:sz w:val="20"/>
                <w:szCs w:val="20"/>
                <w:color w:val="auto"/>
              </w:rPr>
            </w:pPr>
          </w:p>
        </w:tc>
      </w:tr>
      <w:tr>
        <w:trPr>
          <w:trHeight w:val="20"/>
        </w:trPr>
        <w:tc>
          <w:tcPr>
            <w:tcW w:w="6400" w:type="dxa"/>
            <w:vAlign w:val="bottom"/>
          </w:tcPr>
          <w:p>
            <w:pPr>
              <w:spacing w:after="0" w:line="20" w:lineRule="exact"/>
              <w:rPr>
                <w:sz w:val="1"/>
                <w:szCs w:val="1"/>
                <w:color w:val="auto"/>
              </w:rPr>
            </w:pPr>
          </w:p>
        </w:tc>
        <w:tc>
          <w:tcPr>
            <w:tcW w:w="22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3"/>
        </w:trPr>
        <w:tc>
          <w:tcPr>
            <w:tcW w:w="6400" w:type="dxa"/>
            <w:vAlign w:val="bottom"/>
          </w:tcPr>
          <w:p>
            <w:pPr>
              <w:spacing w:after="0"/>
              <w:rPr>
                <w:sz w:val="24"/>
                <w:szCs w:val="24"/>
                <w:color w:val="auto"/>
              </w:rPr>
            </w:pPr>
          </w:p>
        </w:tc>
        <w:tc>
          <w:tcPr>
            <w:tcW w:w="4200" w:type="dxa"/>
            <w:vAlign w:val="bottom"/>
            <w:tcBorders>
              <w:bottom w:val="single" w:sz="8" w:color="auto"/>
            </w:tcBorders>
            <w:gridSpan w:val="4"/>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8"/>
        </w:trPr>
        <w:tc>
          <w:tcPr>
            <w:tcW w:w="6400" w:type="dxa"/>
            <w:vAlign w:val="bottom"/>
          </w:tcPr>
          <w:p>
            <w:pPr>
              <w:spacing w:after="0"/>
              <w:rPr>
                <w:sz w:val="13"/>
                <w:szCs w:val="13"/>
                <w:color w:val="auto"/>
              </w:rPr>
            </w:pPr>
          </w:p>
        </w:tc>
        <w:tc>
          <w:tcPr>
            <w:tcW w:w="1760" w:type="dxa"/>
            <w:vAlign w:val="bottom"/>
          </w:tcPr>
          <w:p>
            <w:pPr>
              <w:jc w:val="center"/>
              <w:ind w:left="381"/>
              <w:spacing w:after="0" w:line="158" w:lineRule="exact"/>
              <w:rPr>
                <w:sz w:val="20"/>
                <w:szCs w:val="20"/>
                <w:color w:val="auto"/>
              </w:rPr>
            </w:pPr>
            <w:r>
              <w:rPr>
                <w:rFonts w:ascii="Times New Roman" w:cs="Times New Roman" w:eastAsia="Times New Roman" w:hAnsi="Times New Roman"/>
                <w:sz w:val="14"/>
                <w:szCs w:val="14"/>
                <w:b w:val="1"/>
                <w:bCs w:val="1"/>
                <w:color w:val="auto"/>
              </w:rPr>
              <w:t>Net Investment</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center"/>
              <w:ind w:left="459"/>
              <w:spacing w:after="0" w:line="158" w:lineRule="exact"/>
              <w:rPr>
                <w:sz w:val="20"/>
                <w:szCs w:val="20"/>
                <w:color w:val="auto"/>
              </w:rPr>
            </w:pPr>
            <w:r>
              <w:rPr>
                <w:rFonts w:ascii="Times New Roman" w:cs="Times New Roman" w:eastAsia="Times New Roman" w:hAnsi="Times New Roman"/>
                <w:sz w:val="14"/>
                <w:szCs w:val="14"/>
                <w:b w:val="1"/>
                <w:bCs w:val="1"/>
                <w:color w:val="auto"/>
              </w:rPr>
              <w:t>Net Financed</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760" w:type="dxa"/>
            <w:vAlign w:val="bottom"/>
            <w:tcBorders>
              <w:bottom w:val="single" w:sz="8" w:color="auto"/>
            </w:tcBorders>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in Leases</w:t>
            </w:r>
          </w:p>
        </w:tc>
        <w:tc>
          <w:tcPr>
            <w:tcW w:w="4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Borders>
              <w:bottom w:val="single" w:sz="8" w:color="auto"/>
            </w:tcBorders>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Sales Receivables</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7"/>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760" w:type="dxa"/>
            <w:vAlign w:val="bottom"/>
            <w:shd w:val="clear" w:color="auto" w:fill="CFF0FC"/>
          </w:tcPr>
          <w:p>
            <w:pPr>
              <w:jc w:val="right"/>
              <w:ind w:right="158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80" w:type="dxa"/>
            <w:vAlign w:val="bottom"/>
            <w:shd w:val="clear" w:color="auto" w:fill="CFF0FC"/>
          </w:tcPr>
          <w:p>
            <w:pPr>
              <w:spacing w:after="0"/>
              <w:rPr>
                <w:sz w:val="20"/>
                <w:szCs w:val="20"/>
                <w:color w:val="auto"/>
              </w:rPr>
            </w:pPr>
          </w:p>
        </w:tc>
        <w:tc>
          <w:tcPr>
            <w:tcW w:w="1680" w:type="dxa"/>
            <w:vAlign w:val="bottom"/>
            <w:shd w:val="clear" w:color="auto" w:fill="CFF0FC"/>
          </w:tcPr>
          <w:p>
            <w:pPr>
              <w:jc w:val="right"/>
              <w:ind w:right="14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10,945</w:t>
            </w:r>
          </w:p>
        </w:tc>
        <w:tc>
          <w:tcPr>
            <w:tcW w:w="100" w:type="dxa"/>
            <w:vAlign w:val="bottom"/>
            <w:shd w:val="clear" w:color="auto" w:fill="CFF0FC"/>
          </w:tcPr>
          <w:p>
            <w:pPr>
              <w:spacing w:after="0"/>
              <w:rPr>
                <w:sz w:val="20"/>
                <w:szCs w:val="20"/>
                <w:color w:val="auto"/>
              </w:rPr>
            </w:pPr>
          </w:p>
        </w:tc>
      </w:tr>
      <w:tr>
        <w:trPr>
          <w:trHeight w:val="239"/>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period (reversal) provision, net</w:t>
            </w:r>
          </w:p>
        </w:tc>
        <w:tc>
          <w:tcPr>
            <w:tcW w:w="176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(2 )</w:t>
            </w:r>
          </w:p>
        </w:tc>
        <w:tc>
          <w:tcPr>
            <w:tcW w:w="16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20"/>
                <w:szCs w:val="20"/>
                <w:color w:val="auto"/>
              </w:rPr>
            </w:pPr>
          </w:p>
        </w:tc>
      </w:tr>
      <w:tr>
        <w:trPr>
          <w:trHeight w:val="243"/>
        </w:trPr>
        <w:tc>
          <w:tcPr>
            <w:tcW w:w="64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exchange</w:t>
            </w:r>
          </w:p>
        </w:tc>
        <w:tc>
          <w:tcPr>
            <w:tcW w:w="176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bottom w:val="single" w:sz="8" w:color="CFF0FC"/>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760" w:type="dxa"/>
            <w:vAlign w:val="bottom"/>
            <w:tcBorders>
              <w:bottom w:val="single" w:sz="8" w:color="auto"/>
            </w:tcBorders>
          </w:tcPr>
          <w:p>
            <w:pPr>
              <w:jc w:val="right"/>
              <w:ind w:right="158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80" w:type="dxa"/>
            <w:vAlign w:val="bottom"/>
          </w:tcPr>
          <w:p>
            <w:pPr>
              <w:spacing w:after="0"/>
              <w:rPr>
                <w:sz w:val="20"/>
                <w:szCs w:val="20"/>
                <w:color w:val="auto"/>
              </w:rPr>
            </w:pPr>
          </w:p>
        </w:tc>
        <w:tc>
          <w:tcPr>
            <w:tcW w:w="1680" w:type="dxa"/>
            <w:vAlign w:val="bottom"/>
            <w:tcBorders>
              <w:bottom w:val="single" w:sz="8" w:color="auto"/>
            </w:tcBorders>
          </w:tcPr>
          <w:p>
            <w:pPr>
              <w:jc w:val="right"/>
              <w:ind w:right="14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11,533</w:t>
            </w:r>
          </w:p>
        </w:tc>
        <w:tc>
          <w:tcPr>
            <w:tcW w:w="100" w:type="dxa"/>
            <w:vAlign w:val="bottom"/>
          </w:tcPr>
          <w:p>
            <w:pPr>
              <w:spacing w:after="0"/>
              <w:rPr>
                <w:sz w:val="20"/>
                <w:szCs w:val="20"/>
                <w:color w:val="auto"/>
              </w:rPr>
            </w:pPr>
          </w:p>
        </w:tc>
      </w:tr>
      <w:tr>
        <w:trPr>
          <w:trHeight w:val="20"/>
        </w:trPr>
        <w:tc>
          <w:tcPr>
            <w:tcW w:w="64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-1344930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-187960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the Company’s allowance for current expected credit losses related to its net investment in leases decreased by less than $0.1 million (2023 — increased less than $0.1 million), and financed sales receivables decreased by less than $0.1 million (2023 — increased by $0.6 million).</w:t>
      </w:r>
    </w:p>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Variable Consideration Receivables</w:t>
      </w:r>
    </w:p>
    <w:p>
      <w:pPr>
        <w:spacing w:after="0" w:line="187"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In sale arrangements, variable consideration may become due to the Company from theater operators if certain annual minimum box office receipt thresholds are exceeded. Such variable consideration is recorded as revenue in the period when the sale is recognized and adjusted in future periods based on actual results and changes in estimates. Variable consideration is only recognized to the extent the Company believes there is not a risk of significant revenue reversal.</w:t>
      </w:r>
    </w:p>
    <w:p>
      <w:pPr>
        <w:spacing w:after="0" w:line="153"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in the Allowance for Credit Losses related to Variable Consideration Receivables for the three months ended March 31, 2024 and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40" w:type="dxa"/>
            <w:vAlign w:val="bottom"/>
          </w:tcPr>
          <w:p>
            <w:pPr>
              <w:spacing w:after="0"/>
              <w:rPr>
                <w:sz w:val="16"/>
                <w:szCs w:val="16"/>
                <w:color w:val="auto"/>
              </w:rPr>
            </w:pPr>
          </w:p>
        </w:tc>
        <w:tc>
          <w:tcPr>
            <w:tcW w:w="3120" w:type="dxa"/>
            <w:vAlign w:val="bottom"/>
            <w:tcBorders>
              <w:bottom w:val="single" w:sz="8" w:color="auto"/>
            </w:tcBorders>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7640" w:type="dxa"/>
            <w:vAlign w:val="bottom"/>
          </w:tcPr>
          <w:p>
            <w:pPr>
              <w:spacing w:after="0"/>
              <w:rPr>
                <w:sz w:val="19"/>
                <w:szCs w:val="19"/>
                <w:color w:val="auto"/>
              </w:rPr>
            </w:pPr>
          </w:p>
        </w:tc>
        <w:tc>
          <w:tcPr>
            <w:tcW w:w="1240" w:type="dxa"/>
            <w:vAlign w:val="bottom"/>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9"/>
                <w:szCs w:val="19"/>
                <w:color w:val="auto"/>
              </w:rPr>
            </w:pPr>
          </w:p>
        </w:tc>
        <w:tc>
          <w:tcPr>
            <w:tcW w:w="1500" w:type="dxa"/>
            <w:vAlign w:val="bottom"/>
            <w:gridSpan w:val="2"/>
          </w:tcPr>
          <w:p>
            <w:pPr>
              <w:jc w:val="center"/>
              <w:ind w:left="5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31"/>
        </w:trPr>
        <w:tc>
          <w:tcPr>
            <w:tcW w:w="7640" w:type="dxa"/>
            <w:vAlign w:val="bottom"/>
          </w:tcPr>
          <w:p>
            <w:pPr>
              <w:spacing w:after="0"/>
              <w:rPr>
                <w:sz w:val="11"/>
                <w:szCs w:val="11"/>
                <w:color w:val="auto"/>
              </w:rPr>
            </w:pPr>
          </w:p>
        </w:tc>
        <w:tc>
          <w:tcPr>
            <w:tcW w:w="1240" w:type="dxa"/>
            <w:vAlign w:val="bottom"/>
            <w:tcBorders>
              <w:top w:val="single" w:sz="8" w:color="auto"/>
            </w:tcBorders>
          </w:tcPr>
          <w:p>
            <w:pPr>
              <w:jc w:val="center"/>
              <w:ind w:left="302"/>
              <w:spacing w:after="0" w:line="131" w:lineRule="exact"/>
              <w:rPr>
                <w:sz w:val="20"/>
                <w:szCs w:val="20"/>
                <w:color w:val="auto"/>
              </w:rPr>
            </w:pPr>
            <w:r>
              <w:rPr>
                <w:rFonts w:ascii="Times New Roman" w:cs="Times New Roman" w:eastAsia="Times New Roman" w:hAnsi="Times New Roman"/>
                <w:sz w:val="14"/>
                <w:szCs w:val="14"/>
                <w:b w:val="1"/>
                <w:bCs w:val="1"/>
                <w:color w:val="auto"/>
              </w:rPr>
              <w:t>Theater</w:t>
            </w:r>
          </w:p>
        </w:tc>
        <w:tc>
          <w:tcPr>
            <w:tcW w:w="3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Borders>
              <w:top w:val="single" w:sz="8" w:color="auto"/>
            </w:tcBorders>
          </w:tcPr>
          <w:p>
            <w:pPr>
              <w:jc w:val="center"/>
              <w:ind w:left="308"/>
              <w:spacing w:after="0" w:line="131" w:lineRule="exact"/>
              <w:rPr>
                <w:sz w:val="20"/>
                <w:szCs w:val="20"/>
                <w:color w:val="auto"/>
              </w:rPr>
            </w:pPr>
            <w:r>
              <w:rPr>
                <w:rFonts w:ascii="Times New Roman" w:cs="Times New Roman" w:eastAsia="Times New Roman" w:hAnsi="Times New Roman"/>
                <w:sz w:val="14"/>
                <w:szCs w:val="14"/>
                <w:b w:val="1"/>
                <w:bCs w:val="1"/>
                <w:color w:val="auto"/>
              </w:rPr>
              <w:t>Theater</w:t>
            </w: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40" w:type="dxa"/>
            <w:vAlign w:val="bottom"/>
            <w:tcBorders>
              <w:bottom w:val="single" w:sz="8" w:color="auto"/>
            </w:tcBorders>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3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Borders>
              <w:bottom w:val="single" w:sz="8" w:color="auto"/>
            </w:tcBorders>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40" w:type="dxa"/>
            <w:vAlign w:val="bottom"/>
            <w:shd w:val="clear" w:color="auto" w:fill="CFF0FC"/>
          </w:tcPr>
          <w:p>
            <w:pPr>
              <w:jc w:val="right"/>
              <w:ind w:right="104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500" w:type="dxa"/>
            <w:vAlign w:val="bottom"/>
            <w:gridSpan w:val="2"/>
            <w:shd w:val="clear" w:color="auto" w:fill="CFF0FC"/>
          </w:tcPr>
          <w:p>
            <w:pPr>
              <w:jc w:val="right"/>
              <w:ind w:right="104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shd w:val="clear" w:color="auto" w:fill="CFF0FC"/>
          </w:tcPr>
          <w:p>
            <w:pPr>
              <w:spacing w:after="0"/>
              <w:rPr>
                <w:sz w:val="20"/>
                <w:szCs w:val="20"/>
                <w:color w:val="auto"/>
              </w:rPr>
            </w:pPr>
          </w:p>
        </w:tc>
      </w:tr>
      <w:tr>
        <w:trPr>
          <w:trHeight w:val="239"/>
        </w:trPr>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period reversal, net</w:t>
            </w:r>
          </w:p>
        </w:tc>
        <w:tc>
          <w:tcPr>
            <w:tcW w:w="12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(86 )</w:t>
            </w:r>
          </w:p>
        </w:tc>
      </w:tr>
      <w:tr>
        <w:trPr>
          <w:trHeight w:val="247"/>
        </w:trPr>
        <w:tc>
          <w:tcPr>
            <w:tcW w:w="7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exchange</w:t>
            </w:r>
          </w:p>
        </w:tc>
        <w:tc>
          <w:tcPr>
            <w:tcW w:w="124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40" w:type="dxa"/>
            <w:vAlign w:val="bottom"/>
          </w:tcPr>
          <w:p>
            <w:pPr>
              <w:jc w:val="right"/>
              <w:ind w:right="104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500" w:type="dxa"/>
            <w:vAlign w:val="bottom"/>
            <w:gridSpan w:val="2"/>
          </w:tcPr>
          <w:p>
            <w:pPr>
              <w:jc w:val="right"/>
              <w:ind w:right="104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20"/>
                <w:szCs w:val="20"/>
                <w:color w:val="auto"/>
              </w:rPr>
            </w:pPr>
          </w:p>
        </w:tc>
      </w:tr>
      <w:tr>
        <w:trPr>
          <w:trHeight w:val="20"/>
        </w:trPr>
        <w:tc>
          <w:tcPr>
            <w:tcW w:w="76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-187960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the Company’s allowance for current expected credit losses related to Variable Consideration Receivables increased by less than $0.1 million (2023 — decreased by $0.1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 w:lineRule="exact"/>
        <w:rPr>
          <w:sz w:val="20"/>
          <w:szCs w:val="20"/>
          <w:color w:val="auto"/>
        </w:rPr>
      </w:pPr>
    </w:p>
    <w:p>
      <w:pPr>
        <w:ind w:left="240" w:hanging="232"/>
        <w:spacing w:after="0"/>
        <w:tabs>
          <w:tab w:leader="none" w:pos="2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 Arrangements</w:t>
      </w:r>
    </w:p>
    <w:p>
      <w:pPr>
        <w:spacing w:after="0" w:line="184" w:lineRule="exact"/>
        <w:rPr>
          <w:rFonts w:ascii="Times New Roman" w:cs="Times New Roman" w:eastAsia="Times New Roman" w:hAnsi="Times New Roman"/>
          <w:sz w:val="18"/>
          <w:szCs w:val="18"/>
          <w:b w:val="1"/>
          <w:bCs w:val="1"/>
          <w:color w:val="auto"/>
        </w:rPr>
      </w:pPr>
    </w:p>
    <w:p>
      <w:pPr>
        <w:ind w:left="600" w:hanging="368"/>
        <w:spacing w:after="0"/>
        <w:tabs>
          <w:tab w:leader="none" w:pos="600" w:val="left"/>
        </w:tabs>
        <w:numPr>
          <w:ilvl w:val="1"/>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IMAX Corporation as a Lessee</w:t>
      </w:r>
    </w:p>
    <w:p>
      <w:pPr>
        <w:spacing w:after="0" w:line="189"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The Company’s operating lease arrangements principally involve office and warehouse space. Office equipment is generally purchased outright. Leases with an initial term of less than 12 months are not recorded on the Condensed Consolidated Balance Sheets and the related lease expense is recognized on a straight-line basis over the lease term. Most of the Company’s leases include one or more options to renew, with renewal terms that can extend the lease term from one to five years or more. The Company has determined that it is reasonably certain that the renewal options on its warehouse leases will be exercised based on previous history, its current understanding of future business needs and its level of investment in leasehold improvements, among other factors. The incremental borrowing rate used in the calculation of the Company’s lease liabilities is based on the location of each leased property. None of the Company’s leases include options to purchase the leased property. The depreciable lives of right-of-use assets and related leasehold improvements are limited by the expected lease term. The Company’s lease agreements do not contain any material residual value guarantees or material restrictive covenants.</w:t>
      </w:r>
    </w:p>
    <w:p>
      <w:pPr>
        <w:spacing w:after="0" w:line="161"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In 2022, the Company entered into a finance lease arrangement involving equipment used to facilitate the delivery of live events to certain IMAX locations. The lease arrangement includes an option for the Company to purchase the equipment at the end of the lease term that is reasonably certain to be exercised. The resulting right-of-use assets are being depreciated from the lease commencement dates over the useful life of the underlying equipment. The incremental borrowing rate used in the calculation of the lease liabilities is based on the rate of interest the Company would have to pay to borrow on a collateralized basis over a similar term.</w:t>
      </w:r>
    </w:p>
    <w:p>
      <w:pPr>
        <w:spacing w:after="0" w:line="143"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and 2023, the components of lease expense recorded within Selling, General and Administrative Expenses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6"/>
                <w:szCs w:val="16"/>
                <w:color w:val="auto"/>
              </w:rPr>
            </w:pPr>
          </w:p>
        </w:tc>
      </w:tr>
      <w:tr>
        <w:trPr>
          <w:trHeight w:val="209"/>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8"/>
                <w:szCs w:val="18"/>
                <w:color w:val="auto"/>
              </w:rPr>
            </w:pPr>
          </w:p>
        </w:tc>
      </w:tr>
      <w:tr>
        <w:trPr>
          <w:trHeight w:val="236"/>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9"/>
        </w:trPr>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operating lease assets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20"/>
                <w:szCs w:val="20"/>
                <w:color w:val="auto"/>
              </w:rPr>
            </w:pPr>
          </w:p>
        </w:tc>
      </w:tr>
      <w:tr>
        <w:trPr>
          <w:trHeight w:val="247"/>
        </w:trPr>
        <w:tc>
          <w:tcPr>
            <w:tcW w:w="7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on operating lease liabilities</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4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shd w:val="clear" w:color="auto" w:fill="CFF0FC"/>
          </w:tcPr>
          <w:p>
            <w:pPr>
              <w:spacing w:after="0"/>
              <w:rPr>
                <w:sz w:val="21"/>
                <w:szCs w:val="21"/>
                <w:color w:val="auto"/>
              </w:rPr>
            </w:pPr>
          </w:p>
        </w:tc>
      </w:tr>
      <w:tr>
        <w:trPr>
          <w:trHeight w:val="239"/>
        </w:trPr>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and variable lease costs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20"/>
                <w:szCs w:val="20"/>
                <w:color w:val="auto"/>
              </w:rPr>
            </w:pPr>
          </w:p>
        </w:tc>
      </w:tr>
      <w:tr>
        <w:trPr>
          <w:trHeight w:val="247"/>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9"/>
        </w:trPr>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finance lease assets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r>
      <w:tr>
        <w:trPr>
          <w:trHeight w:val="243"/>
        </w:trPr>
        <w:tc>
          <w:tcPr>
            <w:tcW w:w="75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on finance lease liabilities</w:t>
            </w: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7"/>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20" w:type="dxa"/>
            <w:vAlign w:val="bottom"/>
          </w:tcPr>
          <w:p>
            <w:pPr>
              <w:spacing w:after="0"/>
              <w:rPr>
                <w:sz w:val="20"/>
                <w:szCs w:val="20"/>
                <w:color w:val="auto"/>
              </w:rPr>
            </w:pPr>
          </w:p>
        </w:tc>
      </w:tr>
      <w:tr>
        <w:trPr>
          <w:trHeight w:val="20"/>
        </w:trPr>
        <w:tc>
          <w:tcPr>
            <w:tcW w:w="7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-187960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-187960</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the three months ended March 31, 2024 and 2023, supplemental cash and non-cash information related to leases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40" w:type="dxa"/>
            <w:vAlign w:val="bottom"/>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0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24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7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248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70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leasing activities:</w:t>
            </w:r>
          </w:p>
        </w:tc>
        <w:tc>
          <w:tcPr>
            <w:tcW w:w="2040" w:type="dxa"/>
            <w:vAlign w:val="bottom"/>
            <w:tcBorders>
              <w:top w:val="single" w:sz="8" w:color="CFF0FC"/>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54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204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6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 obtained in exchange for finance lease obligations</w:t>
            </w:r>
          </w:p>
        </w:tc>
        <w:tc>
          <w:tcPr>
            <w:tcW w:w="24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040" w:type="dxa"/>
            <w:vAlign w:val="bottom"/>
            <w:vMerge w:val="restart"/>
          </w:tcPr>
          <w:p>
            <w:pPr>
              <w:jc w:val="right"/>
              <w:ind w:right="1650"/>
              <w:spacing w:after="0"/>
              <w:rPr>
                <w:sz w:val="20"/>
                <w:szCs w:val="20"/>
                <w:color w:val="auto"/>
              </w:rPr>
            </w:pPr>
            <w:r>
              <w:rPr>
                <w:rFonts w:ascii="Times New Roman" w:cs="Times New Roman" w:eastAsia="Times New Roman" w:hAnsi="Times New Roman"/>
                <w:sz w:val="18"/>
                <w:szCs w:val="18"/>
                <w:color w:val="auto"/>
              </w:rPr>
              <w:t>17</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542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6"/>
        </w:trPr>
        <w:tc>
          <w:tcPr>
            <w:tcW w:w="54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-1567815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-1550670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-1550670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-1233805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-1216660</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March 31, 2024 and December 31, 2023, supplemental balance sheet information related to leases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6"/>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4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56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30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r>
      <w:tr>
        <w:trPr>
          <w:trHeight w:val="23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10,263</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10,599</w:t>
            </w:r>
          </w:p>
        </w:tc>
      </w:tr>
      <w:tr>
        <w:trPr>
          <w:trHeight w:val="20"/>
        </w:trPr>
        <w:tc>
          <w:tcPr>
            <w:tcW w:w="31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63"/>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456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1,320</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1,420</w:t>
            </w:r>
          </w:p>
        </w:tc>
      </w:tr>
      <w:tr>
        <w:trPr>
          <w:trHeight w:val="225"/>
        </w:trPr>
        <w:tc>
          <w:tcPr>
            <w:tcW w:w="31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560" w:type="dxa"/>
            <w:vAlign w:val="bottom"/>
            <w:tcBorders>
              <w:top w:val="single" w:sz="8" w:color="CFF0FC"/>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3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r>
      <w:tr>
        <w:trPr>
          <w:trHeight w:val="281"/>
        </w:trPr>
        <w:tc>
          <w:tcPr>
            <w:tcW w:w="3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560" w:type="dxa"/>
            <w:vAlign w:val="bottom"/>
            <w:tcBorders>
              <w:bottom w:val="single" w:sz="8" w:color="CFF0FC"/>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12,353</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12,702</w:t>
            </w:r>
          </w:p>
        </w:tc>
      </w:tr>
      <w:tr>
        <w:trPr>
          <w:trHeight w:val="224"/>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497</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518</w:t>
            </w:r>
          </w:p>
        </w:tc>
      </w:tr>
      <w:tr>
        <w:trPr>
          <w:trHeight w:val="20"/>
        </w:trPr>
        <w:tc>
          <w:tcPr>
            <w:tcW w:w="31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-539115</wp:posOffset>
            </wp:positionV>
            <wp:extent cx="1371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-521970</wp:posOffset>
            </wp:positionV>
            <wp:extent cx="1371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-205105</wp:posOffset>
            </wp:positionV>
            <wp:extent cx="13716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-187960</wp:posOffset>
            </wp:positionV>
            <wp:extent cx="1371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March 31, 2024 and December 31, 2023, the weighted-average remaining lease term and weighted-average interest rate associated with the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leases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13"/>
        </w:trPr>
        <w:tc>
          <w:tcPr>
            <w:tcW w:w="76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5.83 %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5.85 %</w:t>
            </w:r>
          </w:p>
        </w:tc>
        <w:tc>
          <w:tcPr>
            <w:tcW w:w="0" w:type="dxa"/>
            <w:vAlign w:val="bottom"/>
          </w:tcPr>
          <w:p>
            <w:pPr>
              <w:spacing w:after="0"/>
              <w:rPr>
                <w:sz w:val="1"/>
                <w:szCs w:val="1"/>
                <w:color w:val="auto"/>
              </w:rPr>
            </w:pPr>
          </w:p>
        </w:tc>
      </w:tr>
      <w:tr>
        <w:trPr>
          <w:trHeight w:val="20"/>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76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40" w:type="dxa"/>
            <w:vAlign w:val="bottom"/>
            <w:tcBorders>
              <w:bottom w:val="single" w:sz="8" w:color="auto"/>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auto"/>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6.00 %</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56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As of March 31, 2024, the maturities of the Company’s operating and finance lease liabilities are as follows: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(nine months remaining)</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1,998</w:t>
            </w:r>
          </w:p>
        </w:tc>
        <w:tc>
          <w:tcPr>
            <w:tcW w:w="16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2,528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2,469</w:t>
            </w: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2,468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2,472</w:t>
            </w:r>
          </w:p>
        </w:tc>
        <w:tc>
          <w:tcPr>
            <w:tcW w:w="1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14,364</w:t>
            </w: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interest expense</w:t>
            </w: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(2,011 )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12,353</w:t>
            </w:r>
          </w:p>
        </w:tc>
        <w:tc>
          <w:tcPr>
            <w:tcW w:w="16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Borders>
              <w:bottom w:val="single" w:sz="8" w:color="auto"/>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-2691130</wp:posOffset>
            </wp:positionV>
            <wp:extent cx="7132320" cy="1797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-2202815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-2185670</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-2202815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-2185670</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33"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IMAX Corporation as a Lessor</w:t>
      </w:r>
    </w:p>
    <w:p>
      <w:pPr>
        <w:spacing w:after="0" w:line="189" w:lineRule="exact"/>
        <w:rPr>
          <w:sz w:val="20"/>
          <w:szCs w:val="20"/>
          <w:color w:val="auto"/>
        </w:rPr>
      </w:pPr>
    </w:p>
    <w:p>
      <w:pPr>
        <w:jc w:val="both"/>
        <w:ind w:right="60" w:firstLine="224"/>
        <w:spacing w:after="0" w:line="253" w:lineRule="auto"/>
        <w:rPr>
          <w:sz w:val="20"/>
          <w:szCs w:val="20"/>
          <w:color w:val="auto"/>
        </w:rPr>
      </w:pPr>
      <w:r>
        <w:rPr>
          <w:rFonts w:ascii="Times New Roman" w:cs="Times New Roman" w:eastAsia="Times New Roman" w:hAnsi="Times New Roman"/>
          <w:sz w:val="18"/>
          <w:szCs w:val="18"/>
          <w:color w:val="auto"/>
        </w:rPr>
        <w:t>The Company provides IMAX Systems to customers through long-term lease arrangements that for accounting purposes are classified as sales-type leases. Under these arrangements, in exchange for providing the IMAX System, the Company earns fixed upfront and ongoing consideration. Certain arrangements that are legal sales are also classified as sales-type leases as certain clauses within the arrangements limit transfer of title or provide the Company with conditional rights to the system. The customer’s rights under the Company’s sales-type lease arrangements are described in Note 2(o) of the Company’s audited Consolidated Financial Statements included in its 2023 Form 10-K. Under the Company’s sales-type lease arrangements, the customer has the ability and the right to operate the hardware components or direct others to operate them in a manner determined by the customer. The Company’s lease portfolio terms are typically non-cancellable for 10 to 20 years with renewal provisions from inception. The Company’s sales-type lease arrangements do not contain a guarantee of residual value at the end of the lease term. The customer is required to pay for executory costs such as insurance and taxes and is required to pay the Company for maintenance and an extended warranty generally after the first year of the lease until the end of the lease term. The customer is responsible for obtaining insurance coverage for the IMAX System commencing on the date specified in the arrangement’s shipping terms and ending on the date the IMAX System is returned to the Company.</w:t>
      </w:r>
    </w:p>
    <w:p>
      <w:pPr>
        <w:spacing w:after="0" w:line="200" w:lineRule="exact"/>
        <w:rPr>
          <w:sz w:val="20"/>
          <w:szCs w:val="20"/>
          <w:color w:val="auto"/>
        </w:rPr>
      </w:pPr>
    </w:p>
    <w:p>
      <w:pPr>
        <w:spacing w:after="0" w:line="2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40" w:right="279" w:bottom="1440" w:gutter="0" w:footer="0" w:header="0"/>
        </w:sectPr>
      </w:pPr>
    </w:p>
    <w:bookmarkStart w:id="18" w:name="page19"/>
    <w:bookmarkEnd w:id="18"/>
    <w:p>
      <w:pPr>
        <w:spacing w:after="0" w:line="5"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The Company also provides IMAX Systems to customers through joint revenue sharing arrangements. Under the traditional form of these arrangements, in exchange for providing the IMAX System under a long-term lease, the Company earns rent based on a percentage of contingent box office receipts and, in some cases, concession revenues, rather than a fixed upfront fee or annual minimum payments. Under certain other joint revenue sharing arrangements, known as hybrid arrangements, the customer is responsible for making fixed upfront payments prior to the delivery and installation of the IMAX System. Under joint revenue sharing arrangements, the customer has the ability and the right to operate the hardware components or direct others to operate them in a manner determined by the customer. The Company’s joint revenue sharing arrangements are typically non-cancellable for 10 years or longer with renewal provisions. Title to the IMAX System under a joint revenue sharing arrangement generally does not transfer to the customer. The Company’s joint revenue sharing arrangements do not contain a guarantee of residual value at the end of the lease term. The customer is required to pay for executory costs such as insurance and taxes and is required to pay the Company for maintenance and an extended warranty throughout the term. The customer is responsible for obtaining insurance coverage for the IMAX System commencing on the date specified in the arrangement’s shipping terms and ending on the date the IMAX System is returned to the Company.</w:t>
      </w:r>
    </w:p>
    <w:p>
      <w:pPr>
        <w:spacing w:after="0" w:line="151"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following lease payments are expected to be received by the Company for its sales-type leases and joint revenue sharing arrangements in each of the next five years and thereafter following the March 31, 2024 balance sheet date: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Sales-Type</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Joint Revenue</w:t>
            </w:r>
          </w:p>
        </w:tc>
      </w:tr>
      <w:tr>
        <w:trPr>
          <w:trHeight w:val="187"/>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6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Sharing Arrangements</w:t>
            </w:r>
          </w:p>
        </w:tc>
        <w:tc>
          <w:tcPr>
            <w:tcW w:w="100" w:type="dxa"/>
            <w:vAlign w:val="bottom"/>
          </w:tcPr>
          <w:p>
            <w:pPr>
              <w:spacing w:after="0"/>
              <w:rPr>
                <w:sz w:val="16"/>
                <w:szCs w:val="16"/>
                <w:color w:val="auto"/>
              </w:rPr>
            </w:pPr>
          </w:p>
        </w:tc>
      </w:tr>
      <w:tr>
        <w:trPr>
          <w:trHeight w:val="236"/>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(nine months remaining)</w:t>
            </w:r>
          </w:p>
        </w:tc>
        <w:tc>
          <w:tcPr>
            <w:tcW w:w="1400" w:type="dxa"/>
            <w:vAlign w:val="bottom"/>
            <w:shd w:val="clear" w:color="auto" w:fill="CFF0FC"/>
          </w:tcPr>
          <w:p>
            <w:pPr>
              <w:jc w:val="right"/>
              <w:ind w:right="11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20"/>
                <w:szCs w:val="20"/>
                <w:color w:val="auto"/>
              </w:rPr>
            </w:pPr>
          </w:p>
        </w:tc>
      </w:tr>
      <w:tr>
        <w:trPr>
          <w:trHeight w:val="23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r>
      <w:tr>
        <w:trPr>
          <w:trHeight w:val="24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15,664</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7"/>
        </w:trPr>
        <w:tc>
          <w:tcPr>
            <w:tcW w:w="69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bottom w:val="single" w:sz="8" w:color="auto"/>
            </w:tcBorders>
            <w:shd w:val="clear" w:color="auto" w:fill="CFF0FC"/>
          </w:tcPr>
          <w:p>
            <w:pPr>
              <w:jc w:val="right"/>
              <w:ind w:right="11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30,018</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-24765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240" w:hanging="232"/>
        <w:spacing w:after="0"/>
        <w:tabs>
          <w:tab w:leader="none" w:pos="2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02" w:lineRule="exact"/>
        <w:rPr>
          <w:rFonts w:ascii="Times New Roman" w:cs="Times New Roman" w:eastAsia="Times New Roman" w:hAnsi="Times New Roman"/>
          <w:sz w:val="18"/>
          <w:szCs w:val="18"/>
          <w:b w:val="1"/>
          <w:bCs w:val="1"/>
          <w:color w:val="auto"/>
        </w:rPr>
      </w:pPr>
    </w:p>
    <w:p>
      <w:pPr>
        <w:ind w:left="2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March 31, 2024 and December 31, 2023, Inventories consist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31,980</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27,660</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36,153</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31,584</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As of March 31, 2024, Inventories include finished goods of $0.6 million (December 31, 2023 — $0.6 million) for which title had passed to customers, but the criteria for revenue recognition were not met as of the balance sheet date.</w:t>
      </w:r>
    </w:p>
    <w:p>
      <w:pPr>
        <w:spacing w:after="0" w:line="121"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had recorded write-downs of less than $0.1 million, respectively, in Costs and Expenses Applicable to Revenues ― Technology Sales.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 w:lineRule="exact"/>
        <w:rPr>
          <w:sz w:val="20"/>
          <w:szCs w:val="20"/>
          <w:color w:val="auto"/>
        </w:rPr>
      </w:pPr>
    </w:p>
    <w:p>
      <w:pPr>
        <w:ind w:left="240" w:hanging="232"/>
        <w:spacing w:after="0"/>
        <w:tabs>
          <w:tab w:leader="none" w:pos="2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Borrowings</w:t>
      </w:r>
    </w:p>
    <w:p>
      <w:pPr>
        <w:spacing w:after="0" w:line="184" w:lineRule="exact"/>
        <w:rPr>
          <w:rFonts w:ascii="Times New Roman" w:cs="Times New Roman" w:eastAsia="Times New Roman" w:hAnsi="Times New Roman"/>
          <w:sz w:val="18"/>
          <w:szCs w:val="18"/>
          <w:b w:val="1"/>
          <w:bCs w:val="1"/>
          <w:color w:val="auto"/>
        </w:rPr>
      </w:pPr>
    </w:p>
    <w:p>
      <w:pPr>
        <w:ind w:left="600" w:hanging="368"/>
        <w:spacing w:after="0"/>
        <w:tabs>
          <w:tab w:leader="none" w:pos="600" w:val="left"/>
        </w:tabs>
        <w:numPr>
          <w:ilvl w:val="1"/>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Revolving Credit Facility Borrowings, Net</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March 31, 2024 and December 31, 2023, Revolving Credit Facility Borrowings, Net includes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Wells Fargo Credit Facility borrowings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69,000</w:t>
            </w: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100" w:type="dxa"/>
            <w:vAlign w:val="bottom"/>
            <w:shd w:val="clear" w:color="auto" w:fill="CFF0FC"/>
          </w:tcPr>
          <w:p>
            <w:pPr>
              <w:spacing w:after="0"/>
              <w:rPr>
                <w:sz w:val="20"/>
                <w:szCs w:val="20"/>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30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(966 )</w:t>
            </w:r>
          </w:p>
        </w:tc>
        <w:tc>
          <w:tcPr>
            <w:tcW w:w="24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(1,076 )</w:t>
            </w:r>
          </w:p>
        </w:tc>
      </w:tr>
      <w:tr>
        <w:trPr>
          <w:trHeight w:val="277"/>
        </w:trPr>
        <w:tc>
          <w:tcPr>
            <w:tcW w:w="7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Revolving Credit Facility Borrowings, net</w:t>
            </w: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68,034</w:t>
            </w:r>
          </w:p>
        </w:tc>
        <w:tc>
          <w:tcPr>
            <w:tcW w:w="3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-24765</wp:posOffset>
            </wp:positionV>
            <wp:extent cx="7747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774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Wells Fargo Credit Agreement</w:t>
      </w:r>
    </w:p>
    <w:p>
      <w:pPr>
        <w:spacing w:after="0" w:line="187"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On March 25, 2022, the Company entered into a Sixth Amended and Restated Credit Agreement with Wells Fargo Bank, National Association, as agent (the “Agent”), and a syndicate of lenders party thereto (the “Credit Agreement”), which extended the maturity date of the credit facility under the Credit Agreement (the “Credit Facility”) from June 28, 2023 to March 25, 2027. The Company’s obligations under the Credit Agreement are guaranteed by certain of the Company’s subsidiaries (the “Guarantors”), and are secured by first-priority security interests in substantially all of the assets of the Company and the Guarantors.</w:t>
      </w:r>
    </w:p>
    <w:p>
      <w:pPr>
        <w:spacing w:after="0" w:line="156"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Credit Agreement has a revolving borrowing capacity of $300.0 million, and contains an uncommitted accordion feature allowing the Company to further increase its borrowing capacity by the greater of $140.0 million, for a total of $440.0 million, or by the Company’s EBITDA for the sum of the four most recently ended fiscal quarters, subject to certain conditions, depending on the mix of revolving loans and/or term loans under the incremental facility and subject to conditions set forth in the Credit Agreement.</w:t>
      </w:r>
    </w:p>
    <w:p>
      <w:pPr>
        <w:spacing w:after="0" w:line="139"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Credit Facility requires that the Company maintain a maximum Senior Secured Net Leverage Ratio (as defined in the Credit Agreement) of no greater than 3.25:1.00, on the last day of each Fiscal Quarter. The Senior Secured Net Leverage Ratio is the ratio of Total Debt (as defined in the Credit Agreement), secured by liens, net of unrestricted cash and cash equivalents held outside of the People’s Republic of China (“the PRC”) up to a maximum of $75.0 million, relative to Adjusted EBITDA per Credit Facility for the four prior quarters. The Senior Secured Net Leverage Ratio is calculated using Adjusted EBITDA per Credit Facility determined on a trailing twelve-month basis. The Company was in compliance with this requirement as of March 31, 2024 as the Senior Secured Net Leverage Ratio was 0.16:1.00.</w:t>
      </w:r>
    </w:p>
    <w:p>
      <w:pPr>
        <w:spacing w:after="0" w:line="147"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Loans under the Credit Facility bear interest, at the Company’s option, at (i) Term Secure Overnight Financing Rate (“SOFR”), Eurocurrency Rate or Canadian Dollar Offered Rate (“CDOR”) plus a margin ranging from 1.00% to 1.75% per annum; or (ii) the U.S. base rate or the Canadian prime rate plus a margin ranging from 0.25% to 1.00% per annum, in each case depending on the Company’s total leverage ratio. In no event will Term SOFR, Eurocurrency Rate or CDOR Rate be less than 0.00% per annum.</w:t>
      </w:r>
    </w:p>
    <w:p>
      <w:pPr>
        <w:spacing w:after="0" w:line="153"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As of March 31, 2024, borrowings under the Credit Facility were $69.0 million (December 31, 2023 — $24.0 million) and bear interest at Term SOFR, plus a margin of 1.50% per annum (December 31, 2023 — 1.75%) based on the Company’s total leverage ratio. The effective interest rate for the three months ended March 31, 2024 was 6.93% (2023 — 6.83%).</w:t>
      </w:r>
    </w:p>
    <w:p>
      <w:pPr>
        <w:spacing w:after="0" w:line="135"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covenants that limit indebtedness, liens, asset sales, investments and restricted payments, in each case subject to negotiated exceptions and baskets. The Credit Agreement also contains customary representations, warranties and event of default provisions.</w:t>
      </w:r>
    </w:p>
    <w:p>
      <w:pPr>
        <w:spacing w:after="0" w:line="135"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the Company had no letters of credit or advance payment guarantees outstanding under the Credit Facility. As of March 31, 2024, the amount available for future borrowings under the Credit Facility was $231.0 million (December 31, 2023 — $276.0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Foreign Exchange Facility</w:t>
      </w:r>
    </w:p>
    <w:p>
      <w:pPr>
        <w:spacing w:after="0" w:line="187"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Within the Credit Facility, the Company is able to purchase foreign currency forward contracts and/or other swap arrangements. As of March 31, 2024, the net unrealized loss on the Company’s outstanding foreign currency forward contracts was less than $0.1 million, representing the amount by which the notional value of these forward contracts exceeded their fair value (December 31, 2023 — net unrealized gain of $0.8 million). As of March 31, 2024, the notional value of the Company’s outstanding foreign currency forward contracts was $34.8 million (December 31, 2023 — $40.6 million).</w:t>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Bank of China Facility</w:t>
      </w:r>
    </w:p>
    <w:p>
      <w:pPr>
        <w:spacing w:after="0" w:line="200"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In June 2022, IMAX (Shanghai) Multimedia Technology Co., Ltd. (“IMAX Shanghai”), one of the Company’s majority-owned subsidiaries in China, renewed its unsecured revolving facility with Bank of China for up to 200.0 million Chinese Renminbi (“RMB”) ($28.2 million), including RMB 10.0 million ($1.4 million) for letters of guarantee, to fund ongoing working capital requirements (the “Bank of China Facility”). The Bank of China Facility expires on February 21, 2025.</w:t>
      </w:r>
    </w:p>
    <w:p>
      <w:pPr>
        <w:spacing w:after="0" w:line="139"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no borrowings were outstanding under the Bank of China Facility and outstanding letters of guarantee were less than $0.1 million.</w:t>
      </w:r>
    </w:p>
    <w:p>
      <w:pPr>
        <w:spacing w:after="0" w:line="121"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As of March 31, 2024, the amount available for future borrowings under the Bank of China Facility was RMB 190.0 million ($26.8 million) and the amount available for letters of guarantee was RMB 9.8 million ($1.4 million). The amount available for future borrowings under the Bank of China Facility is not subject to a standby fee. The effective interest rate for the three months ended March 31, 2024 was 0% (2023 — 3.85%).</w:t>
      </w:r>
    </w:p>
    <w:p>
      <w:pPr>
        <w:spacing w:after="0" w:line="1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HSBC China Facility</w:t>
      </w:r>
    </w:p>
    <w:p>
      <w:pPr>
        <w:spacing w:after="0" w:line="187"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In June 2022, IMAX Shanghai entered into an unsecured revolving facility for up to RMB 200.0 million ($28.2 million) with HSBC Bank (China) Company Limited, Shanghai Branch to fund ongoing working capital requirements (the “HSBC China Facility”). As of March 31, 2024 and December 31, 2023, no borrowings were outstanding under the HSBC China Facility. As of March 31, 2024 and December 31, 2023, the amount available for future borrowings under the HSBC China Facility was RMB 200.0 million ($28.2 million). The effective interest rate for the three months ended March 31, 2024 was 0% (2023 — 3.88%).</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NBC Facility</w:t>
      </w:r>
    </w:p>
    <w:p>
      <w:pPr>
        <w:spacing w:after="0" w:line="200"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In October 2019, the Company entered into a $5.0 million facility with National Bank of Canada (the “NBC Facility”) fully insured by Export Development Canada for use solely in conjunction with the issuance of performance guarantees and letters of credit. The NBC Facility has been renewed to August 21, 2024. The NBC Facility is renewable on the same terms and conditions on an annual basis. The Company did not have any letters of credit or advance payment guarantees outstanding as of March 31, 2024 and December 31, 2023 under the NBC Facility.</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 Convertible Notes and Other Borrowings, Net</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As of March 31, 2024 and December 31, 2023, Convertible Notes and Other Borrowings, Net includes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3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00" w:type="dxa"/>
            <w:vAlign w:val="bottom"/>
            <w:shd w:val="clear" w:color="auto" w:fill="CFF0FC"/>
          </w:tcPr>
          <w:p>
            <w:pPr>
              <w:spacing w:after="0"/>
              <w:rPr>
                <w:sz w:val="20"/>
                <w:szCs w:val="20"/>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discounts and debt issuance costs</w:t>
            </w:r>
          </w:p>
        </w:tc>
        <w:tc>
          <w:tcPr>
            <w:tcW w:w="3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(2,991 )</w:t>
            </w:r>
          </w:p>
        </w:tc>
        <w:tc>
          <w:tcPr>
            <w:tcW w:w="24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(3,367 )</w:t>
            </w:r>
          </w:p>
        </w:tc>
      </w:tr>
      <w:tr>
        <w:trPr>
          <w:trHeight w:val="236"/>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Notes, net</w:t>
            </w:r>
          </w:p>
        </w:tc>
        <w:tc>
          <w:tcPr>
            <w:tcW w:w="3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227,009</w:t>
            </w:r>
          </w:p>
        </w:tc>
        <w:tc>
          <w:tcPr>
            <w:tcW w:w="3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226,633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1"/>
        </w:trPr>
        <w:tc>
          <w:tcPr>
            <w:tcW w:w="44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Economic Development Loan</w:t>
            </w:r>
          </w:p>
        </w:tc>
        <w:tc>
          <w:tcPr>
            <w:tcW w:w="3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shd w:val="clear" w:color="auto" w:fill="CFF0FC"/>
          </w:tcPr>
          <w:p>
            <w:pPr>
              <w:spacing w:after="0"/>
              <w:rPr>
                <w:sz w:val="21"/>
                <w:szCs w:val="2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Unaccreted interest benefit</w:t>
            </w:r>
          </w:p>
        </w:tc>
        <w:tc>
          <w:tcPr>
            <w:tcW w:w="3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(536 )</w:t>
            </w:r>
          </w:p>
        </w:tc>
        <w:tc>
          <w:tcPr>
            <w:tcW w:w="24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(702 )</w:t>
            </w:r>
          </w:p>
        </w:tc>
      </w:tr>
      <w:tr>
        <w:trPr>
          <w:trHeight w:val="236"/>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Economic Development Loan, net</w:t>
            </w:r>
          </w:p>
        </w:tc>
        <w:tc>
          <w:tcPr>
            <w:tcW w:w="3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3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1"/>
        </w:trPr>
        <w:tc>
          <w:tcPr>
            <w:tcW w:w="44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72"/>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Notes and Other Borrowings, net</w:t>
            </w:r>
          </w:p>
        </w:tc>
        <w:tc>
          <w:tcPr>
            <w:tcW w:w="3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229,435</w:t>
            </w:r>
          </w:p>
        </w:tc>
        <w:tc>
          <w:tcPr>
            <w:tcW w:w="320" w:type="dxa"/>
            <w:vAlign w:val="bottom"/>
            <w:shd w:val="clear" w:color="auto" w:fill="CFF0FC"/>
          </w:tcPr>
          <w:p>
            <w:pPr>
              <w:spacing w:after="0"/>
              <w:rPr>
                <w:sz w:val="23"/>
                <w:szCs w:val="23"/>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229,131</w:t>
            </w:r>
          </w:p>
        </w:tc>
        <w:tc>
          <w:tcPr>
            <w:tcW w:w="100" w:type="dxa"/>
            <w:vAlign w:val="bottom"/>
            <w:shd w:val="clear" w:color="auto" w:fill="CFF0FC"/>
          </w:tcPr>
          <w:p>
            <w:pPr>
              <w:spacing w:after="0"/>
              <w:rPr>
                <w:sz w:val="23"/>
                <w:szCs w:val="23"/>
                <w:color w:val="auto"/>
              </w:rPr>
            </w:pPr>
          </w:p>
        </w:tc>
      </w:tr>
      <w:tr>
        <w:trPr>
          <w:trHeight w:val="849"/>
        </w:trPr>
        <w:tc>
          <w:tcPr>
            <w:tcW w:w="4460" w:type="dxa"/>
            <w:vAlign w:val="bottom"/>
            <w:tcBorders>
              <w:top w:val="single" w:sz="8" w:color="CFF0FC"/>
            </w:tcBorders>
          </w:tcPr>
          <w:p>
            <w:pPr>
              <w:spacing w:after="0"/>
              <w:rPr>
                <w:sz w:val="24"/>
                <w:szCs w:val="24"/>
                <w:color w:val="auto"/>
              </w:rPr>
            </w:pPr>
          </w:p>
        </w:tc>
        <w:tc>
          <w:tcPr>
            <w:tcW w:w="3180" w:type="dxa"/>
            <w:vAlign w:val="bottom"/>
            <w:tcBorders>
              <w:top w:val="single" w:sz="8" w:color="CFF0FC"/>
            </w:tcBorders>
          </w:tcPr>
          <w:p>
            <w:pPr>
              <w:jc w:val="right"/>
              <w:ind w:right="1830"/>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36"/>
        </w:trPr>
        <w:tc>
          <w:tcPr>
            <w:tcW w:w="44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-2013585</wp:posOffset>
            </wp:positionV>
            <wp:extent cx="7747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-2013585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-1379220</wp:posOffset>
            </wp:positionV>
            <wp:extent cx="7747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-1053465</wp:posOffset>
            </wp:positionV>
            <wp:extent cx="7747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-1036320</wp:posOffset>
            </wp:positionV>
            <wp:extent cx="7747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187"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On March 19, 2021, the Company issued $230.0 million of 0.500% Convertible Senior Notes due 2026 (the “Convertible Notes”) in a private placement conducted pursuant to Rule 144A under the Securities Act of 1933, as amended. The net proceeds from the issuance of the Convertible Notes were $223.7 million, after deducting the initial purchasers’ discounts and commissions.</w:t>
      </w:r>
    </w:p>
    <w:p>
      <w:pPr>
        <w:spacing w:after="0" w:line="135"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Convertible Notes are senior unsecured obligations of the Company and bear interest at a rate of 0.500% per annum on the principal of $230.0 million, payable semi-annually in arrears on April 1 and October 1 of each year, beginning on October 1, 2021. The Convertible Notes will mature on April 1, 2026, unless they are redeemed or repurchased by the Company or converted on an earlier date.</w:t>
      </w:r>
    </w:p>
    <w:p>
      <w:pPr>
        <w:spacing w:after="0" w:line="149"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Holders of the Convertible Notes have the right to convert their Convertible Notes in certain circumstances and during specified periods. Before January 1, 2026, holders of the Convertible Notes have the right to convert their Convertible Notes only upon the occurrence of certain events. From and after January 1, 2026, holders of the Convertible Notes may convert their Convertible Notes at any time at their election until the close of business on the second scheduled trading day immediately before the maturity date. Upon conversion, the Company will pay or deliver, as applicable, cash or a combination of cash (in an amount no less than the principal amount of the Convertible Notes being converted) and common shares, at its election, based on the applicable conversion rates. The initial conversion rate is 34.7766 common shares per $1,000 principal amount of Convertible Notes, which represents an initial conversion price of approximately $28.75 per common share, and is subject to adjustment upon the occurrence of certain events.</w:t>
      </w:r>
    </w:p>
    <w:p>
      <w:pPr>
        <w:spacing w:after="0" w:line="148"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Convertible Notes are redeemable, in whole or in part, at the Company’s option at any time, and from time to time, on or after April 6, 2024 and on or before the 40th scheduled trading day immediately before the maturity date, at a cash redemption price equal to the principal amount of the Convertible Notes to be redeemed, plus accrued and unpaid interest, if any, but only if the last reported sale price per share of the Company’s common stock exceeds 130% of the conversion price for a specified period of time. In addition, calling any Convertible Notes for redemption will constitute a “make-whole fundamental change” with respect to such notes, in which case the conversion rate applicable to the conversion of such notes will be increased in certain circumstances if such notes are converted after they are called for redemption.</w:t>
      </w:r>
    </w:p>
    <w:p>
      <w:pPr>
        <w:spacing w:after="0" w:line="147"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In connection with the pricing of the Convertible Notes, the Company entered into privately negotiated capped call transactions (the “Capped Call Transactions”) with certain financial institutions. The Capped Call Transactions are expected to reduce potential dilution resulting from the common shares the Company is required to issue and/or to offset any potential cash payments the Company is required to make in excess of the principal amount of the Convertible Notes in the event that the market price per share of the Company’s common shares is greater than the strike price of the Capped Call Transactions with such reduction and/or offset subject to a cap. The Capped Call Transactions have an initial cap price of $37.2750 per share of the Company’s common shares, which represents a premium of 75% over the last reported sale price of the common shares when they were priced on March 16, 2021, and are subject to certain adjustments under the terms of the Capped Call Transactions. Collectively, the Capped Call Transactions cover, subject to anti-dilution adjustments substantially similar to those applicable to the Convertible Notes, the number of the Company’s common shares underlying the Convertible Notes. The cost of the Capped Call Transactions was approximately $19.1 million.</w:t>
      </w:r>
    </w:p>
    <w:p>
      <w:pPr>
        <w:spacing w:after="0" w:line="161"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Capped Call Transactions are separate transactions, are not part of the terms of the Convertible Notes and will not affect any holder’s rights under the Convertible Notes. Holders of the Convertible Notes will not have any rights with respect to the Capped Call Transactions.</w:t>
      </w:r>
    </w:p>
    <w:p>
      <w:pPr>
        <w:spacing w:after="0" w:line="121"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Capped Call Transactions meet all of the applicable criteria for equity classification in accordance with ASC 815-10-15-74(a), “Derivatives and Hedging—Embedded Derivatives—Certain Contracts Involving an Entity’s Own Equity,” and, as a result, the related $19.1 million cost was recorded as a reduction to Other Equity within Shareholders’ Equity on the Company’s Condensed Consolidated Statements of Shareholders’ Equity and Condensed Consolidated Balance Sheets.</w:t>
      </w:r>
    </w:p>
    <w:p>
      <w:pPr>
        <w:spacing w:after="0" w:line="139"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In addition, upon the occurrence of a “fundamental change” (as defined below), holders may require the Company to repurchase their Convertible Notes at a cash repurchase price equal to the principal amount of the Convertible Notes to be repurchased, plus accrued and unpaid interest, if any. Subject to the terms and conditions of the indenture governing the Convertible Notes, a “fundamental change” means, among other things, an event resulting in (i) a change of control, (ii) a transfer of all or substantially all of the assets of the Company, (iii) a merger, (iv) liquidation or dissolution of the Company, or (v) delisting of the Company’s common shares from a national securities exchange.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5"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Company continues to record the Convertible Notes entirely as a liability in the Condensed Consolidated Balance Sheets, net of initial purchasers’ discounts and commissions and other debt issuance costs, with interest expense reflecting the cash coupon plus the amortization of the discounts and capitalized costs. Additionally, under the “if-converted” method, because the principal amount of the Convertible Notes is settled in cash and the conversion spread is settleable in the Company’s common shares, diluted earnings per share is calculated by including the net number of incremental shares that would be issued upon conversion of the Convertible Notes, using the average market price during the period. Accordingly, the application of the “if-converted” method may reduce the Company’s reported diluted earnings per share.</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Federal Economic Development Loan</w:t>
      </w:r>
    </w:p>
    <w:p>
      <w:pPr>
        <w:spacing w:after="0" w:line="187"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Company’s wholly-owned subsidiary, SSIMWAVE, entered into a contribution agreement with the Federal Economic Development Agency for Southern Ontario (the “Federal Economic Development Loan”) on May 29, 2019, under which SSIMWAVE received $4.2 million Canadian Dollars ($3.1 million) by way of repayable contributions toward certain eligible projects costs. The contributions under the agreement covered 35% of the eligible and supported costs of SSIMWAVE between January 10, 2019 and December 31, 2022. The contributions were repayable over 60 months, with repayments to begin in January 2024 and an annual interest rate of 0%.</w:t>
      </w:r>
    </w:p>
    <w:p>
      <w:pPr>
        <w:spacing w:after="0" w:line="156"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On January 1, 2024, SSIMWAVE was amalgamated into the Company. On January 4, 2024, the Federal Economic Development Loan was assigned to the Company with amendment to the repayment term. The contributions under the assigned agreement are repayable over 36 months beginning January 2024, with an annual interest rate of 0%.</w:t>
      </w:r>
    </w:p>
    <w:p>
      <w:pPr>
        <w:spacing w:after="0" w:line="135"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benefit of the interest-free loan has been determined by calculating the present value of the payments using a market-based interest rate and comparing this to the proceeds received. The benefit is recorded as the interest free benefit of government funding within Interest Income on the Condensed Consolidated Statements of Operations. The obligation is being accreted to its maturity amount, resulting in an interest accretion expense of $0.1 million for the three months ended March 31, 2024 (2023 — less than $0.1 million), which is being recorded within Interest Expense on the Company’s Consolidated Statement of Operations.</w:t>
      </w:r>
    </w:p>
    <w:p>
      <w:pPr>
        <w:spacing w:after="0" w:line="143"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As of March 31, 2024, the Federal Economic Development Loan has a carrying value of $2.4 million, net of unaccreted interest benefit and is recorded within Convertible Notes and Other Borrowings, Net on the Company’s Condensed Consolidated Balance Sheets.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Contingencies and Guarantees</w:t>
      </w:r>
    </w:p>
    <w:p>
      <w:pPr>
        <w:spacing w:after="0" w:line="185"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(a)</w:t>
        <w:tab/>
        <w:t>Commitments</w:t>
      </w:r>
    </w:p>
    <w:p>
      <w:pPr>
        <w:spacing w:after="0" w:line="189" w:lineRule="exact"/>
        <w:rPr>
          <w:sz w:val="20"/>
          <w:szCs w:val="20"/>
          <w:color w:val="auto"/>
        </w:rPr>
      </w:pPr>
    </w:p>
    <w:p>
      <w:pPr>
        <w:jc w:val="both"/>
        <w:ind w:firstLine="223"/>
        <w:spacing w:after="0" w:line="266" w:lineRule="auto"/>
        <w:rPr>
          <w:sz w:val="20"/>
          <w:szCs w:val="20"/>
          <w:color w:val="auto"/>
        </w:rPr>
      </w:pPr>
      <w:r>
        <w:rPr>
          <w:rFonts w:ascii="Times New Roman" w:cs="Times New Roman" w:eastAsia="Times New Roman" w:hAnsi="Times New Roman"/>
          <w:sz w:val="18"/>
          <w:szCs w:val="18"/>
          <w:color w:val="auto"/>
        </w:rPr>
        <w:t>In the ordinary course of its business, the Company enters into contractual agreements with third parties that include non-cancelable payment obligations, for which it is liable in future periods. These arrangements can include terms binding the Company to minimum payments and/or penalties if it terminates the agreement for any reason other than an event of default as described by the agreement.</w:t>
      </w:r>
    </w:p>
    <w:p>
      <w:pPr>
        <w:spacing w:after="0" w:line="145"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(b)</w:t>
        <w:tab/>
        <w:t>Contingencies and guarantees</w:t>
      </w:r>
    </w:p>
    <w:p>
      <w:pPr>
        <w:spacing w:after="0" w:line="189" w:lineRule="exact"/>
        <w:rPr>
          <w:sz w:val="20"/>
          <w:szCs w:val="20"/>
          <w:color w:val="auto"/>
        </w:rPr>
      </w:pPr>
    </w:p>
    <w:p>
      <w:pPr>
        <w:jc w:val="both"/>
        <w:ind w:firstLine="223"/>
        <w:spacing w:after="0" w:line="253" w:lineRule="auto"/>
        <w:rPr>
          <w:sz w:val="20"/>
          <w:szCs w:val="20"/>
          <w:color w:val="auto"/>
        </w:rPr>
      </w:pPr>
      <w:r>
        <w:rPr>
          <w:rFonts w:ascii="Times New Roman" w:cs="Times New Roman" w:eastAsia="Times New Roman" w:hAnsi="Times New Roman"/>
          <w:sz w:val="18"/>
          <w:szCs w:val="18"/>
          <w:color w:val="auto"/>
        </w:rPr>
        <w:t>The Company is involved in lawsuits, claims, and proceedings, including those identified below, which arise in the ordinary course of business. Management is required to assess the likelihood of any adverse judgments or outcomes related to these legal contingencies, as well as potential ranges of probable or reasonably possible losses. The Company records a provision for a liability when it is probable that a loss has been incurred and the amount of the loss can be reasonably estimated. The determination of the amount of any liability recorded or disclosed is reviewed at least quarterly based on a careful analysis of each individual exposure with, in some cases, the assistance of outside legal counsel, taking into account the impact of negotiations, settlements, rulings, and other pertinent information related to the case. The amount of liabilities recorded or disclosed for these contingencies may change in the future due to changes in management’s judgments resulting from new developments or changes in settlement strategy. Any resulting adjustment to the liabilities recorded by the Company could have a material adverse effect on its results of operations, cash flows, and financial position in the period or periods in which such changes in judgment occur. The Company believes it has adequate provisions for any such matters. The Company expenses legal costs relating to its lawsuits, claims and proceedings as incurred.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5" w:lineRule="exact"/>
        <w:rPr>
          <w:sz w:val="20"/>
          <w:szCs w:val="20"/>
          <w:color w:val="auto"/>
        </w:rPr>
      </w:pPr>
    </w:p>
    <w:p>
      <w:pPr>
        <w:jc w:val="both"/>
        <w:ind w:firstLine="231"/>
        <w:spacing w:after="0" w:line="253" w:lineRule="auto"/>
        <w:tabs>
          <w:tab w:leader="none" w:pos="43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2004, the Company and IMAX Theatre Services Ltd., a subsidiary of the Company, commenced an arbitration seeking damages before the International Court of Arbitration of the International Chamber of Commerce (the “ICC”) with respect to the breach by Electronic Media Limited (“EML”) of its December 2000 agreement with the Company. In June 2004, the Company commenced a related arbitration before the ICC against EML’s affiliate, E-City Entertainment (I) PVT Limited (“E-City”). On March 27, 2008, the arbitration panel issued a final award in favor of the Company in the amount of $11.3 million, as well as an additional $2,512 each day in interest from October 1, 2007 until the date the award is paid. In July 2008, E-City commenced a proceeding in Mumbai, India seeking to prevent recognition of the ICC award in India. On March 10, 2017, the Supreme Court of India dismissed E-City’s petition. On March 29, 2017, the Company filed an Execution Application in the Bombay High Court seeking to enforce the ICC award against E-City and several related parties, which award the Company calculates to be $26.4 million, inclusive of interest, as of March 31, 2024. That matter is currently pending. The Company has also taken steps to enforce the ICC final award outside of India. In December 2011, the Ontario Superior Court of Justice issued an order recognizing the final award and requiring E-City to pay the Company $30,000 to cover the costs of the application, and in May 2012, the New York Supreme Court recognized the Canadian judgment and entered it as a New York judgment. The Company intends to continue pursuing its rights and seeking to enforce the award, although no assurances can be given with respect to the ultimate outcome.</w:t>
      </w:r>
    </w:p>
    <w:p>
      <w:pPr>
        <w:spacing w:after="0" w:line="149" w:lineRule="exact"/>
        <w:rPr>
          <w:rFonts w:ascii="Times New Roman" w:cs="Times New Roman" w:eastAsia="Times New Roman" w:hAnsi="Times New Roman"/>
          <w:sz w:val="18"/>
          <w:szCs w:val="18"/>
          <w:color w:val="auto"/>
        </w:rPr>
      </w:pPr>
    </w:p>
    <w:p>
      <w:pPr>
        <w:jc w:val="both"/>
        <w:ind w:firstLine="231"/>
        <w:spacing w:after="0" w:line="266"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matters described above, the Company is currently involved in other legal proceedings or governmental inquiries which, in the opinion of the Company’s management, will not materially affect the Company’s financial position or future operating results, although no assurance can be given with respect to the ultimate outcome of any such proceedings.</w:t>
      </w:r>
    </w:p>
    <w:p>
      <w:pPr>
        <w:spacing w:after="0" w:line="135" w:lineRule="exact"/>
        <w:rPr>
          <w:rFonts w:ascii="Times New Roman" w:cs="Times New Roman" w:eastAsia="Times New Roman" w:hAnsi="Times New Roman"/>
          <w:sz w:val="18"/>
          <w:szCs w:val="18"/>
          <w:color w:val="auto"/>
        </w:rPr>
      </w:pPr>
    </w:p>
    <w:p>
      <w:pPr>
        <w:jc w:val="both"/>
        <w:ind w:firstLine="231"/>
        <w:spacing w:after="0" w:line="258" w:lineRule="auto"/>
        <w:tabs>
          <w:tab w:leader="none" w:pos="53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normal course of business, the Company enters into agreements that may contain features that meet the definition of a guarantee. A guarantee is a contract (including an indemnity) that contingently requires the Company to make payments (either in cash, financial instruments, other assets, shares of its stock, or provision of services) to a third party based on (a) changes in an underlying interest rate, foreign exchange rate, equity or commodity instrument, index or other variable, that is related to an asset, a liability or an equity security of the counterparty, (b) failure of another party to perform under an obligating agreement or (c) failure of another third party to pay its indebtedness when due.</w:t>
      </w:r>
    </w:p>
    <w:p>
      <w:pPr>
        <w:spacing w:after="0" w:line="152"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(c)</w:t>
        <w:tab/>
        <w:t>Financial Guarantees</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Certain subsidiaries of the Company have provided significant financial guarantees to third parties under the Credit Agreement.</w:t>
      </w:r>
    </w:p>
    <w:p>
      <w:pPr>
        <w:spacing w:after="0" w:line="181"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(d)</w:t>
      </w:r>
      <w:r>
        <w:rPr>
          <w:sz w:val="20"/>
          <w:szCs w:val="20"/>
          <w:color w:val="auto"/>
        </w:rPr>
        <w:tab/>
      </w:r>
      <w:r>
        <w:rPr>
          <w:rFonts w:ascii="Times New Roman" w:cs="Times New Roman" w:eastAsia="Times New Roman" w:hAnsi="Times New Roman"/>
          <w:sz w:val="17"/>
          <w:szCs w:val="17"/>
          <w:b w:val="1"/>
          <w:bCs w:val="1"/>
          <w:i w:val="1"/>
          <w:iCs w:val="1"/>
          <w:color w:val="auto"/>
        </w:rPr>
        <w:t>Product Warranties</w:t>
      </w:r>
    </w:p>
    <w:p>
      <w:pPr>
        <w:spacing w:after="0" w:line="202" w:lineRule="exact"/>
        <w:rPr>
          <w:sz w:val="20"/>
          <w:szCs w:val="20"/>
          <w:color w:val="auto"/>
        </w:rPr>
      </w:pPr>
    </w:p>
    <w:p>
      <w:pPr>
        <w:jc w:val="both"/>
        <w:ind w:firstLine="223"/>
        <w:spacing w:after="0" w:line="282" w:lineRule="auto"/>
        <w:rPr>
          <w:sz w:val="20"/>
          <w:szCs w:val="20"/>
          <w:color w:val="auto"/>
        </w:rPr>
      </w:pPr>
      <w:r>
        <w:rPr>
          <w:rFonts w:ascii="Times New Roman" w:cs="Times New Roman" w:eastAsia="Times New Roman" w:hAnsi="Times New Roman"/>
          <w:sz w:val="18"/>
          <w:szCs w:val="18"/>
          <w:color w:val="auto"/>
        </w:rPr>
        <w:t>The Company’s accrual for product warranties, which is recorded within Accrued and Other Liabilities in the Condensed Consolidated Balance Sheets, was $0.2 million and less than $0.1 million as of March 31, 2024 and December 31, 2023, respectively.</w:t>
      </w:r>
    </w:p>
    <w:p>
      <w:pPr>
        <w:spacing w:after="0" w:line="117"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(e)</w:t>
        <w:tab/>
        <w:t>Director and Officer Indemnifications</w:t>
      </w:r>
    </w:p>
    <w:p>
      <w:pPr>
        <w:spacing w:after="0" w:line="189"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 xml:space="preserve">The Company’s by-laws contain an indemnification of its directors/officers, former directors/officers, and persons who have acted at its request to be a director/officer of an entity in which the Company is a shareholder or creditor, to indemnify them, to the extent permitted by the </w:t>
      </w:r>
      <w:r>
        <w:rPr>
          <w:rFonts w:ascii="Times New Roman" w:cs="Times New Roman" w:eastAsia="Times New Roman" w:hAnsi="Times New Roman"/>
          <w:sz w:val="18"/>
          <w:szCs w:val="18"/>
          <w:i w:val="1"/>
          <w:iCs w:val="1"/>
          <w:color w:val="auto"/>
        </w:rPr>
        <w:t>Canada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Corporations Act</w:t>
      </w:r>
      <w:r>
        <w:rPr>
          <w:rFonts w:ascii="Times New Roman" w:cs="Times New Roman" w:eastAsia="Times New Roman" w:hAnsi="Times New Roman"/>
          <w:sz w:val="18"/>
          <w:szCs w:val="18"/>
          <w:color w:val="auto"/>
        </w:rPr>
        <w:t>, against expenses (including legal fees), judgments, fines and any amounts actually and reasonably incurred by them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action, suit or proceeding in which the directors and/or officers are sued as a result of their service, if they acted honestly and in good faith with a view to the best interests of the Company. In addition, the Company has entered into indemnification agreements with each of its directors in order to effectuate the foregoing. The nature of the indemnification prevents the Company from making a reasonable estimate of the maximum potential amount it could be required to pay to counterparties. The Company has purchased directors’ and officers’ liability insurance. No amount has been accrued in the Company’s Condensed Consolidated Balance Sheets as of March 31, 2024 and December 31, 2023, with respect to this indemnity.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 w:lineRule="exact"/>
        <w:rPr>
          <w:sz w:val="20"/>
          <w:szCs w:val="20"/>
          <w:color w:val="auto"/>
        </w:rPr>
      </w:pPr>
    </w:p>
    <w:p>
      <w:pPr>
        <w:ind w:left="600" w:hanging="368"/>
        <w:spacing w:after="0"/>
        <w:tabs>
          <w:tab w:leader="none" w:pos="60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Other Indemnification Agreements</w:t>
      </w:r>
    </w:p>
    <w:p>
      <w:pPr>
        <w:spacing w:after="0" w:line="189"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In the normal course of its operations, the Company provides indemnifications to counterparties in transactions such as: IMAX System lease and sale agreements and the supervision of installation or servicing of IMAX Systems; film production, exhibition and distribution agreements; real property lease agreements; and employment agreements. These indemnification agreements require the Company to compensate the counterparties for costs incurred as a result of litigation claims that may be suffered by the counterparty as a consequence of the transaction or the Company’s breach or non-performance under these agreements. While the terms of these indemnification agreements vary based upon the contract, they normally extend for the life of the agreements. A small number of agreements do not provide for any limit on the maximum potential amount of indemnification; however, virtually all of the IMAX System lease and sale agreements limit such maximum potential liability to the purchase price of the system. The fact that the maximum potential amount of indemnification required by the Company is not specified in some cases prevents the Company from making a reasonable estimate of the maximum potential amount it could be required to pay to counterparties. Historically, the Company has not made any significant payments under such indemnifications and no amounts have been accrued in the Condensed Consolidated Financial Statements with respect to the contingent aspect of these indemnities.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Condensed Consolidated Statements of Operations – Supplemental Information</w:t>
      </w:r>
    </w:p>
    <w:p>
      <w:pPr>
        <w:spacing w:after="0" w:line="198"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(a)</w:t>
        <w:tab/>
        <w:t>Selling Expenses</w:t>
      </w:r>
    </w:p>
    <w:p>
      <w:pPr>
        <w:spacing w:after="0" w:line="189"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Company’s selling expenses, including sales commissions and marketing and other, which are recognized within Costs and Expenses Applicable to Revenues in the Condensed Consolidated Statements of Operations, for the three months ended March 31, 2024 and 2023: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6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436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31"/>
        </w:trPr>
        <w:tc>
          <w:tcPr>
            <w:tcW w:w="4360" w:type="dxa"/>
            <w:vAlign w:val="bottom"/>
          </w:tcPr>
          <w:p>
            <w:pPr>
              <w:spacing w:after="0"/>
              <w:rPr>
                <w:sz w:val="11"/>
                <w:szCs w:val="11"/>
                <w:color w:val="auto"/>
              </w:rPr>
            </w:pPr>
          </w:p>
        </w:tc>
        <w:tc>
          <w:tcPr>
            <w:tcW w:w="1180" w:type="dxa"/>
            <w:vAlign w:val="bottom"/>
          </w:tcPr>
          <w:p>
            <w:pPr>
              <w:jc w:val="right"/>
              <w:ind w:right="219"/>
              <w:spacing w:after="0" w:line="131" w:lineRule="exact"/>
              <w:rPr>
                <w:sz w:val="20"/>
                <w:szCs w:val="20"/>
                <w:color w:val="auto"/>
              </w:rPr>
            </w:pPr>
            <w:r>
              <w:rPr>
                <w:rFonts w:ascii="Times New Roman" w:cs="Times New Roman" w:eastAsia="Times New Roman" w:hAnsi="Times New Roman"/>
                <w:sz w:val="14"/>
                <w:szCs w:val="14"/>
                <w:b w:val="1"/>
                <w:bCs w:val="1"/>
                <w:color w:val="auto"/>
              </w:rPr>
              <w:t>Sales</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Marketing</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jc w:val="right"/>
              <w:ind w:right="208"/>
              <w:spacing w:after="0" w:line="131" w:lineRule="exact"/>
              <w:rPr>
                <w:sz w:val="20"/>
                <w:szCs w:val="20"/>
                <w:color w:val="auto"/>
              </w:rPr>
            </w:pPr>
            <w:r>
              <w:rPr>
                <w:rFonts w:ascii="Times New Roman" w:cs="Times New Roman" w:eastAsia="Times New Roman" w:hAnsi="Times New Roman"/>
                <w:sz w:val="14"/>
                <w:szCs w:val="14"/>
                <w:b w:val="1"/>
                <w:bCs w:val="1"/>
                <w:color w:val="auto"/>
              </w:rPr>
              <w:t>Sales</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ind w:right="336"/>
              <w:spacing w:after="0" w:line="131" w:lineRule="exact"/>
              <w:rPr>
                <w:sz w:val="20"/>
                <w:szCs w:val="20"/>
                <w:color w:val="auto"/>
              </w:rPr>
            </w:pPr>
            <w:r>
              <w:rPr>
                <w:rFonts w:ascii="Times New Roman" w:cs="Times New Roman" w:eastAsia="Times New Roman" w:hAnsi="Times New Roman"/>
                <w:sz w:val="14"/>
                <w:szCs w:val="14"/>
                <w:b w:val="1"/>
                <w:bCs w:val="1"/>
                <w:color w:val="auto"/>
              </w:rPr>
              <w:t>Marketing</w:t>
            </w:r>
          </w:p>
        </w:tc>
        <w:tc>
          <w:tcPr>
            <w:tcW w:w="100" w:type="dxa"/>
            <w:vAlign w:val="bottom"/>
          </w:tcPr>
          <w:p>
            <w:pPr>
              <w:spacing w:after="0"/>
              <w:rPr>
                <w:sz w:val="11"/>
                <w:szCs w:val="11"/>
                <w:color w:val="auto"/>
              </w:rPr>
            </w:pPr>
          </w:p>
        </w:tc>
      </w:tr>
      <w:tr>
        <w:trPr>
          <w:trHeight w:val="187"/>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3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4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3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00" w:type="dxa"/>
            <w:vAlign w:val="bottom"/>
          </w:tcPr>
          <w:p>
            <w:pPr>
              <w:spacing w:after="0"/>
              <w:rPr>
                <w:sz w:val="16"/>
                <w:szCs w:val="16"/>
                <w:color w:val="auto"/>
              </w:rPr>
            </w:pPr>
          </w:p>
        </w:tc>
      </w:tr>
      <w:tr>
        <w:trPr>
          <w:trHeight w:val="236"/>
        </w:trPr>
        <w:tc>
          <w:tcPr>
            <w:tcW w:w="436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Technology sales</w:t>
            </w:r>
            <w:r>
              <w:rPr>
                <w:rFonts w:ascii="Times New Roman" w:cs="Times New Roman" w:eastAsia="Times New Roman" w:hAnsi="Times New Roman"/>
                <w:sz w:val="24"/>
                <w:szCs w:val="24"/>
                <w:color w:val="auto"/>
                <w:vertAlign w:val="superscript"/>
              </w:rPr>
              <w:t>(1)</w:t>
            </w:r>
          </w:p>
        </w:tc>
        <w:tc>
          <w:tcPr>
            <w:tcW w:w="1180" w:type="dxa"/>
            <w:vAlign w:val="bottom"/>
            <w:shd w:val="clear" w:color="auto" w:fill="CFF0FC"/>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36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460" w:type="dxa"/>
            <w:vAlign w:val="bottom"/>
            <w:gridSpan w:val="2"/>
            <w:shd w:val="clear" w:color="auto" w:fill="CFF0FC"/>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20"/>
                <w:szCs w:val="20"/>
                <w:color w:val="auto"/>
              </w:rPr>
            </w:pPr>
          </w:p>
        </w:tc>
      </w:tr>
      <w:tr>
        <w:trPr>
          <w:trHeight w:val="243"/>
        </w:trPr>
        <w:tc>
          <w:tcPr>
            <w:tcW w:w="43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Image enhancement and maintenance services</w:t>
            </w:r>
            <w:r>
              <w:rPr>
                <w:rFonts w:ascii="Times New Roman" w:cs="Times New Roman" w:eastAsia="Times New Roman" w:hAnsi="Times New Roman"/>
                <w:sz w:val="24"/>
                <w:szCs w:val="24"/>
                <w:color w:val="auto"/>
                <w:vertAlign w:val="superscript"/>
              </w:rPr>
              <w:t>(2)</w:t>
            </w:r>
          </w:p>
        </w:tc>
        <w:tc>
          <w:tcPr>
            <w:tcW w:w="11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2,575</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6,772</w:t>
            </w:r>
          </w:p>
        </w:tc>
        <w:tc>
          <w:tcPr>
            <w:tcW w:w="100" w:type="dxa"/>
            <w:vAlign w:val="bottom"/>
          </w:tcPr>
          <w:p>
            <w:pPr>
              <w:spacing w:after="0"/>
              <w:rPr>
                <w:sz w:val="21"/>
                <w:szCs w:val="21"/>
                <w:color w:val="auto"/>
              </w:rPr>
            </w:pPr>
          </w:p>
        </w:tc>
      </w:tr>
      <w:tr>
        <w:trPr>
          <w:trHeight w:val="243"/>
        </w:trPr>
        <w:tc>
          <w:tcPr>
            <w:tcW w:w="4360" w:type="dxa"/>
            <w:vAlign w:val="bottom"/>
            <w:tcBorders>
              <w:bottom w:val="single" w:sz="8" w:color="CFF0FC"/>
            </w:tcBorders>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Technology rentals</w:t>
            </w:r>
            <w:r>
              <w:rPr>
                <w:rFonts w:ascii="Times New Roman" w:cs="Times New Roman" w:eastAsia="Times New Roman" w:hAnsi="Times New Roman"/>
                <w:sz w:val="24"/>
                <w:szCs w:val="24"/>
                <w:color w:val="auto"/>
                <w:vertAlign w:val="superscript"/>
              </w:rPr>
              <w:t>(3)</w:t>
            </w:r>
          </w:p>
        </w:tc>
        <w:tc>
          <w:tcPr>
            <w:tcW w:w="118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3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360" w:type="dxa"/>
            <w:vAlign w:val="bottom"/>
            <w:gridSpan w:val="2"/>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3,181</w:t>
            </w:r>
          </w:p>
        </w:tc>
        <w:tc>
          <w:tcPr>
            <w:tcW w:w="1460" w:type="dxa"/>
            <w:vAlign w:val="bottom"/>
            <w:gridSpan w:val="2"/>
          </w:tcPr>
          <w:p>
            <w:pPr>
              <w:jc w:val="right"/>
              <w:ind w:right="98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7,048</w:t>
            </w:r>
          </w:p>
        </w:tc>
        <w:tc>
          <w:tcPr>
            <w:tcW w:w="100" w:type="dxa"/>
            <w:vAlign w:val="bottom"/>
          </w:tcPr>
          <w:p>
            <w:pPr>
              <w:spacing w:after="0"/>
              <w:rPr>
                <w:sz w:val="20"/>
                <w:szCs w:val="20"/>
                <w:color w:val="auto"/>
              </w:rPr>
            </w:pPr>
          </w:p>
        </w:tc>
      </w:tr>
      <w:tr>
        <w:trPr>
          <w:trHeight w:val="20"/>
        </w:trPr>
        <w:tc>
          <w:tcPr>
            <w:tcW w:w="43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-187960</wp:posOffset>
            </wp:positionV>
            <wp:extent cx="774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-187960</wp:posOffset>
            </wp:positionV>
            <wp:extent cx="7747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-187960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commissions paid prior to the recognition of the related revenue are deferred and recognized upon the client acceptance of the IMAX System. Direct advertising and marketing costs for each IMAX System are expensed as incurred.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Film exploitation costs, including advertising and marketing costs, are expensed as incurred.</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commissions related to joint revenue sharing arrangements accounted for operating leases are recognized in the month earned by the salesperson, which is typically the month in which the IMAX System is installed, and are subject to subsequent performance-based adjustments. Direct advertising and marketing costs for each IMAX System are expensed as incurred.</w:t>
      </w:r>
    </w:p>
    <w:p>
      <w:pPr>
        <w:spacing w:after="0" w:line="144" w:lineRule="exact"/>
        <w:rPr>
          <w:rFonts w:ascii="Times New Roman" w:cs="Times New Roman" w:eastAsia="Times New Roman" w:hAnsi="Times New Roman"/>
          <w:sz w:val="18"/>
          <w:szCs w:val="18"/>
          <w:color w:val="auto"/>
        </w:rPr>
      </w:pPr>
    </w:p>
    <w:p>
      <w:pPr>
        <w:ind w:left="580" w:hanging="378"/>
        <w:spacing w:after="0"/>
        <w:tabs>
          <w:tab w:leader="none" w:pos="580" w:val="left"/>
        </w:tabs>
        <w:numPr>
          <w:ilvl w:val="1"/>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Foreign Exchange</w:t>
      </w:r>
    </w:p>
    <w:p>
      <w:pPr>
        <w:spacing w:after="0" w:line="189"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Included in Selling, General and Administrative Expenses for the three months ended March 31, 2024 is a foreign currency net loss of $0.3 million (2023 — net loss of $0.1 million) resulting from changes in exchange rates related to foreign currency denominated monetary assets and liabilities. See Note 15(c) for additional information.</w:t>
      </w:r>
    </w:p>
    <w:p>
      <w:pPr>
        <w:spacing w:after="0" w:line="131" w:lineRule="exact"/>
        <w:rPr>
          <w:sz w:val="20"/>
          <w:szCs w:val="20"/>
          <w:color w:val="auto"/>
        </w:rPr>
      </w:pPr>
    </w:p>
    <w:p>
      <w:pPr>
        <w:ind w:left="200"/>
        <w:spacing w:after="0"/>
        <w:tabs>
          <w:tab w:leader="none" w:pos="560" w:val="left"/>
        </w:tabs>
        <w:rPr>
          <w:sz w:val="20"/>
          <w:szCs w:val="20"/>
          <w:color w:val="auto"/>
        </w:rPr>
      </w:pPr>
      <w:r>
        <w:rPr>
          <w:rFonts w:ascii="Times New Roman" w:cs="Times New Roman" w:eastAsia="Times New Roman" w:hAnsi="Times New Roman"/>
          <w:sz w:val="18"/>
          <w:szCs w:val="18"/>
          <w:b w:val="1"/>
          <w:bCs w:val="1"/>
          <w:i w:val="1"/>
          <w:iCs w:val="1"/>
          <w:color w:val="auto"/>
        </w:rPr>
        <w:t>(c)</w:t>
      </w:r>
      <w:r>
        <w:rPr>
          <w:sz w:val="20"/>
          <w:szCs w:val="20"/>
          <w:color w:val="auto"/>
        </w:rPr>
        <w:tab/>
      </w:r>
      <w:r>
        <w:rPr>
          <w:rFonts w:ascii="Times New Roman" w:cs="Times New Roman" w:eastAsia="Times New Roman" w:hAnsi="Times New Roman"/>
          <w:sz w:val="17"/>
          <w:szCs w:val="17"/>
          <w:b w:val="1"/>
          <w:bCs w:val="1"/>
          <w:i w:val="1"/>
          <w:iCs w:val="1"/>
          <w:color w:val="auto"/>
        </w:rPr>
        <w:t>Collaborative Arrangements</w:t>
      </w:r>
    </w:p>
    <w:p>
      <w:pPr>
        <w:spacing w:after="0" w:line="2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Joint Revenue Sharing Arrangements</w:t>
      </w:r>
    </w:p>
    <w:p>
      <w:pPr>
        <w:spacing w:after="0" w:line="187"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The accounting policy for the Company’s joint revenue sharing arrangements is disclosed in Note 2(o) of the Company’s audited Consolidated Financial Statements in its 2023 Form 10-K.</w:t>
      </w:r>
    </w:p>
    <w:p>
      <w:pPr>
        <w:spacing w:after="0" w:line="121"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Revenue attributable to transactions arising between the Company and its customers under joint revenue sharing arrangements are recorded within Revenues — Technology Sales (for hybrid joint revenue sharing arrangements) and Revenues — Technology Rentals (for traditional joint revenue sharing arrangements). For the three months ended March 31, 2024, such revenues totaled $19.3 million (2023 —$20.1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IMAX Film Remastering and Distribution</w:t>
      </w:r>
    </w:p>
    <w:p>
      <w:pPr>
        <w:spacing w:after="0" w:line="187"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In an IMAX Film Remastering and distribution arrangement, the Company receives a percentage of the box office receipts from a third party who owns the copyright to a film in exchange for converting the film into IMAX format and distributing it through the IMAX network. The fee earned by the Company in a typical IMAX Film Remastering and distribution arrangement averages approximately 12.5% of box office receipts (i.e. gross box office receipts less applicable sales taxes), except for within mainland China, where the Company receives a lower percentage of net box office receipts for certain Hollywood films. The accounting policy for the Company’s IMAX Film Remastering and distribution arrangements is disclosed in Note 2(o) of the Company’s audited Consolidated Financial Statements in its 2023 Form 10-K.</w:t>
      </w:r>
    </w:p>
    <w:p>
      <w:pPr>
        <w:spacing w:after="0" w:line="147"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Revenue attributable to transactions arising between the Company and its customers under IMAX Film Remastering and distribution arrangements are included in Revenues – Image Enhancement and Maintenance Services. For the three months ended March 31, 2024, such revenues totaled $29.7 million (2023 — $30.1 million). See Note 12(a) for a disaggregated presentation of the Company’s revenues.</w:t>
      </w:r>
    </w:p>
    <w:p>
      <w:pPr>
        <w:spacing w:after="0" w:line="1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Co-Produced Film Arrangements</w:t>
      </w:r>
    </w:p>
    <w:p>
      <w:pPr>
        <w:spacing w:after="0" w:line="187" w:lineRule="exact"/>
        <w:rPr>
          <w:sz w:val="20"/>
          <w:szCs w:val="20"/>
          <w:color w:val="auto"/>
        </w:rPr>
      </w:pPr>
    </w:p>
    <w:p>
      <w:pPr>
        <w:jc w:val="both"/>
        <w:ind w:right="20" w:firstLine="224"/>
        <w:spacing w:after="0" w:line="266" w:lineRule="auto"/>
        <w:rPr>
          <w:sz w:val="20"/>
          <w:szCs w:val="20"/>
          <w:color w:val="auto"/>
        </w:rPr>
      </w:pPr>
      <w:r>
        <w:rPr>
          <w:rFonts w:ascii="Times New Roman" w:cs="Times New Roman" w:eastAsia="Times New Roman" w:hAnsi="Times New Roman"/>
          <w:sz w:val="18"/>
          <w:szCs w:val="18"/>
          <w:color w:val="auto"/>
        </w:rPr>
        <w:t>In certain film arrangements, the Company co-produces a film with a third party whereby the third party retains the copyright and certain other rights to the film. In some cases, the Company obtains exclusive theatrical distribution rights to the film. Under these arrangements, both parties contribute to the funding of the production, distribution and exploitation costs associated with the film.</w:t>
      </w:r>
    </w:p>
    <w:p>
      <w:pPr>
        <w:spacing w:after="0" w:line="135"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As of March 31, 2024, the Company is party to one co-produced film arrangement, which represents the VIE total assets balance of $1.4 million and liabilities balance of $0.2 million, and four other co-produced film arrangements, the terms of which are similar. The accounting policies relating to co-produced film arrangements are disclosed in Notes 2(a) and 3(o) of the Company’s 2023 Form 10-K.</w:t>
      </w:r>
    </w:p>
    <w:p>
      <w:pPr>
        <w:spacing w:after="0" w:line="149"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an expense of $0.1 million, (2023 — $0.1 million) attributable to transactions between the Company and other parties involved in the production of the films have been included in Costs and Expenses Applicable to Revenues ― Image Enhancement and Maintenance Services.</w:t>
      </w:r>
    </w:p>
    <w:p>
      <w:pPr>
        <w:spacing w:after="0" w:line="131" w:lineRule="exact"/>
        <w:rPr>
          <w:sz w:val="20"/>
          <w:szCs w:val="20"/>
          <w:color w:val="auto"/>
        </w:rPr>
      </w:pPr>
    </w:p>
    <w:p>
      <w:pPr>
        <w:ind w:left="240" w:hanging="232"/>
        <w:spacing w:after="0"/>
        <w:tabs>
          <w:tab w:leader="none" w:pos="2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Condensed Consolidated Statements of Cash Flows – Supplemental Information</w:t>
      </w:r>
    </w:p>
    <w:p>
      <w:pPr>
        <w:spacing w:after="0" w:line="184" w:lineRule="exact"/>
        <w:rPr>
          <w:rFonts w:ascii="Times New Roman" w:cs="Times New Roman" w:eastAsia="Times New Roman" w:hAnsi="Times New Roman"/>
          <w:sz w:val="18"/>
          <w:szCs w:val="18"/>
          <w:b w:val="1"/>
          <w:bCs w:val="1"/>
          <w:color w:val="auto"/>
        </w:rPr>
      </w:pPr>
    </w:p>
    <w:p>
      <w:pPr>
        <w:ind w:left="600" w:hanging="368"/>
        <w:spacing w:after="0"/>
        <w:tabs>
          <w:tab w:leader="none" w:pos="600" w:val="left"/>
        </w:tabs>
        <w:numPr>
          <w:ilvl w:val="1"/>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Changes in other operating assets and liabilities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6"/>
        </w:trPr>
        <w:tc>
          <w:tcPr>
            <w:tcW w:w="40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4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0"/>
                <w:szCs w:val="20"/>
                <w:color w:val="auto"/>
              </w:rPr>
            </w:pPr>
          </w:p>
        </w:tc>
      </w:tr>
      <w:tr>
        <w:trPr>
          <w:trHeight w:val="236"/>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Decrease in:</w:t>
            </w:r>
          </w:p>
        </w:tc>
        <w:tc>
          <w:tcPr>
            <w:tcW w:w="34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receivables</w:t>
            </w:r>
          </w:p>
        </w:tc>
        <w:tc>
          <w:tcPr>
            <w:tcW w:w="38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260" w:type="dxa"/>
            <w:vAlign w:val="bottom"/>
          </w:tcPr>
          <w:p>
            <w:pPr>
              <w:spacing w:after="0"/>
              <w:rPr>
                <w:sz w:val="20"/>
                <w:szCs w:val="20"/>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(1,625 )</w:t>
            </w:r>
          </w:p>
        </w:tc>
      </w:tr>
      <w:tr>
        <w:trPr>
          <w:trHeight w:val="247"/>
        </w:trPr>
        <w:tc>
          <w:tcPr>
            <w:tcW w:w="4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34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(525 )</w:t>
            </w:r>
          </w:p>
        </w:tc>
        <w:tc>
          <w:tcPr>
            <w:tcW w:w="6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(2,406 )</w:t>
            </w:r>
          </w:p>
        </w:tc>
      </w:tr>
      <w:tr>
        <w:trPr>
          <w:trHeight w:val="239"/>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Variable consideration receivables</w:t>
            </w:r>
          </w:p>
        </w:tc>
        <w:tc>
          <w:tcPr>
            <w:tcW w:w="3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(168 )</w:t>
            </w:r>
          </w:p>
        </w:tc>
        <w:tc>
          <w:tcPr>
            <w:tcW w:w="64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(3,440 )</w:t>
            </w:r>
          </w:p>
        </w:tc>
      </w:tr>
      <w:tr>
        <w:trPr>
          <w:trHeight w:val="247"/>
        </w:trPr>
        <w:tc>
          <w:tcPr>
            <w:tcW w:w="4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34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FF0FC"/>
          </w:tcPr>
          <w:p>
            <w:pPr>
              <w:spacing w:after="0"/>
              <w:rPr>
                <w:sz w:val="21"/>
                <w:szCs w:val="21"/>
                <w:color w:val="auto"/>
              </w:rPr>
            </w:pPr>
          </w:p>
        </w:tc>
      </w:tr>
      <w:tr>
        <w:trPr>
          <w:trHeight w:val="23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w:t>
            </w:r>
          </w:p>
        </w:tc>
        <w:tc>
          <w:tcPr>
            <w:tcW w:w="3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4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(7,547 )</w:t>
            </w:r>
          </w:p>
        </w:tc>
        <w:tc>
          <w:tcPr>
            <w:tcW w:w="6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FF0FC"/>
          </w:tcPr>
          <w:p>
            <w:pPr>
              <w:spacing w:after="0"/>
              <w:rPr>
                <w:sz w:val="21"/>
                <w:szCs w:val="21"/>
                <w:color w:val="auto"/>
              </w:rPr>
            </w:pPr>
          </w:p>
        </w:tc>
      </w:tr>
      <w:tr>
        <w:trPr>
          <w:trHeight w:val="243"/>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(10,978 )</w:t>
            </w:r>
          </w:p>
        </w:tc>
        <w:tc>
          <w:tcPr>
            <w:tcW w:w="64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(1,466 )</w:t>
            </w:r>
          </w:p>
        </w:tc>
      </w:tr>
      <w:tr>
        <w:trPr>
          <w:trHeight w:val="20"/>
        </w:trPr>
        <w:tc>
          <w:tcPr>
            <w:tcW w:w="40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2"/>
        </w:trPr>
        <w:tc>
          <w:tcPr>
            <w:tcW w:w="4060" w:type="dxa"/>
            <w:vAlign w:val="bottom"/>
            <w:shd w:val="clear" w:color="auto" w:fill="CFF0FC"/>
          </w:tcPr>
          <w:p>
            <w:pPr>
              <w:spacing w:after="0"/>
              <w:rPr>
                <w:sz w:val="23"/>
                <w:szCs w:val="23"/>
                <w:color w:val="auto"/>
              </w:rPr>
            </w:pPr>
          </w:p>
        </w:tc>
        <w:tc>
          <w:tcPr>
            <w:tcW w:w="3400" w:type="dxa"/>
            <w:vAlign w:val="bottom"/>
            <w:shd w:val="clear" w:color="auto" w:fill="CFF0FC"/>
          </w:tcPr>
          <w:p>
            <w:pPr>
              <w:spacing w:after="0"/>
              <w:rPr>
                <w:sz w:val="23"/>
                <w:szCs w:val="23"/>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(17,384 )</w:t>
            </w: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(8,344 )</w:t>
            </w:r>
          </w:p>
        </w:tc>
      </w:tr>
      <w:tr>
        <w:trPr>
          <w:trHeight w:val="849"/>
        </w:trPr>
        <w:tc>
          <w:tcPr>
            <w:tcW w:w="4060" w:type="dxa"/>
            <w:vAlign w:val="bottom"/>
            <w:tcBorders>
              <w:top w:val="single" w:sz="8" w:color="CFF0FC"/>
            </w:tcBorders>
          </w:tcPr>
          <w:p>
            <w:pPr>
              <w:spacing w:after="0"/>
              <w:rPr>
                <w:sz w:val="24"/>
                <w:szCs w:val="24"/>
                <w:color w:val="auto"/>
              </w:rPr>
            </w:pPr>
          </w:p>
        </w:tc>
        <w:tc>
          <w:tcPr>
            <w:tcW w:w="3400" w:type="dxa"/>
            <w:vAlign w:val="bottom"/>
            <w:tcBorders>
              <w:top w:val="single" w:sz="8" w:color="CFF0FC"/>
            </w:tcBorders>
          </w:tcPr>
          <w:p>
            <w:pPr>
              <w:jc w:val="right"/>
              <w:ind w:right="1650"/>
              <w:spacing w:after="0"/>
              <w:rPr>
                <w:sz w:val="20"/>
                <w:szCs w:val="20"/>
                <w:color w:val="auto"/>
              </w:rPr>
            </w:pPr>
            <w:r>
              <w:rPr>
                <w:rFonts w:ascii="Times New Roman" w:cs="Times New Roman" w:eastAsia="Times New Roman" w:hAnsi="Times New Roman"/>
                <w:sz w:val="18"/>
                <w:szCs w:val="18"/>
                <w:color w:val="auto"/>
              </w:rPr>
              <w:t>26</w:t>
            </w:r>
          </w:p>
        </w:tc>
        <w:tc>
          <w:tcPr>
            <w:tcW w:w="4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36"/>
        </w:trPr>
        <w:tc>
          <w:tcPr>
            <w:tcW w:w="406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-1053465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-1036320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(b)</w:t>
        <w:tab/>
        <w:t>Depreciation and amortization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0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6"/>
        </w:trPr>
        <w:tc>
          <w:tcPr>
            <w:tcW w:w="150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69"/>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4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Film assets</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92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100" w:type="dxa"/>
            <w:vAlign w:val="bottom"/>
            <w:shd w:val="clear" w:color="auto" w:fill="CFF0FC"/>
          </w:tcPr>
          <w:p>
            <w:pPr>
              <w:spacing w:after="0"/>
              <w:rPr>
                <w:sz w:val="20"/>
                <w:szCs w:val="20"/>
                <w:color w:val="auto"/>
              </w:rPr>
            </w:pPr>
          </w:p>
        </w:tc>
      </w:tr>
      <w:tr>
        <w:trPr>
          <w:trHeight w:val="239"/>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Equipment supporting joint revenue sharing arrangements</w:t>
            </w:r>
          </w:p>
        </w:tc>
        <w:tc>
          <w:tcPr>
            <w:tcW w:w="4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5,695</w:t>
            </w: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100" w:type="dxa"/>
            <w:vAlign w:val="bottom"/>
            <w:shd w:val="clear" w:color="auto" w:fill="CFF0FC"/>
          </w:tcPr>
          <w:p>
            <w:pPr>
              <w:spacing w:after="0"/>
              <w:rPr>
                <w:sz w:val="21"/>
                <w:szCs w:val="21"/>
                <w:color w:val="auto"/>
              </w:rPr>
            </w:pPr>
          </w:p>
        </w:tc>
      </w:tr>
      <w:tr>
        <w:trPr>
          <w:trHeight w:val="243"/>
        </w:trPr>
        <w:tc>
          <w:tcPr>
            <w:tcW w:w="7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18"/>
                <w:szCs w:val="18"/>
                <w:color w:val="auto"/>
              </w:rPr>
              <w:t>Other property, plant and equipment</w:t>
            </w:r>
            <w:r>
              <w:rPr>
                <w:rFonts w:ascii="Times New Roman" w:cs="Times New Roman" w:eastAsia="Times New Roman" w:hAnsi="Times New Roman"/>
                <w:sz w:val="24"/>
                <w:szCs w:val="24"/>
                <w:color w:val="auto"/>
                <w:vertAlign w:val="superscript"/>
              </w:rPr>
              <w:t>(1)</w:t>
            </w: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tcPr>
          <w:p>
            <w:pPr>
              <w:spacing w:after="0"/>
              <w:rPr>
                <w:sz w:val="21"/>
                <w:szCs w:val="21"/>
                <w:color w:val="auto"/>
              </w:rPr>
            </w:pPr>
          </w:p>
        </w:tc>
      </w:tr>
      <w:tr>
        <w:trPr>
          <w:trHeight w:val="243"/>
        </w:trPr>
        <w:tc>
          <w:tcPr>
            <w:tcW w:w="7480" w:type="dxa"/>
            <w:vAlign w:val="bottom"/>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Other intangible assets</w:t>
            </w:r>
            <w:r>
              <w:rPr>
                <w:rFonts w:ascii="Times New Roman" w:cs="Times New Roman" w:eastAsia="Times New Roman" w:hAnsi="Times New Roman"/>
                <w:sz w:val="24"/>
                <w:szCs w:val="24"/>
                <w:color w:val="auto"/>
                <w:vertAlign w:val="superscript"/>
              </w:rPr>
              <w:t>(2)</w:t>
            </w:r>
          </w:p>
        </w:tc>
        <w:tc>
          <w:tcPr>
            <w:tcW w:w="4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2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shd w:val="clear" w:color="auto" w:fill="CFF0FC"/>
          </w:tcPr>
          <w:p>
            <w:pPr>
              <w:spacing w:after="0"/>
              <w:rPr>
                <w:sz w:val="21"/>
                <w:szCs w:val="21"/>
                <w:color w:val="auto"/>
              </w:rPr>
            </w:pPr>
          </w:p>
        </w:tc>
      </w:tr>
      <w:tr>
        <w:trPr>
          <w:trHeight w:val="243"/>
        </w:trPr>
        <w:tc>
          <w:tcPr>
            <w:tcW w:w="748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Other assets</w:t>
            </w:r>
            <w:r>
              <w:rPr>
                <w:rFonts w:ascii="Times New Roman" w:cs="Times New Roman" w:eastAsia="Times New Roman" w:hAnsi="Times New Roman"/>
                <w:sz w:val="24"/>
                <w:szCs w:val="24"/>
                <w:color w:val="auto"/>
                <w:vertAlign w:val="superscript"/>
              </w:rPr>
              <w:t>(3)</w:t>
            </w:r>
          </w:p>
        </w:tc>
        <w:tc>
          <w:tcPr>
            <w:tcW w:w="4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8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21"/>
                <w:szCs w:val="21"/>
                <w:color w:val="auto"/>
              </w:rPr>
            </w:pPr>
          </w:p>
        </w:tc>
      </w:tr>
      <w:tr>
        <w:trPr>
          <w:trHeight w:val="272"/>
        </w:trPr>
        <w:tc>
          <w:tcPr>
            <w:tcW w:w="1500" w:type="dxa"/>
            <w:vAlign w:val="bottom"/>
            <w:shd w:val="clear" w:color="auto" w:fill="CFF0FC"/>
          </w:tcPr>
          <w:p>
            <w:pPr>
              <w:spacing w:after="0"/>
              <w:rPr>
                <w:sz w:val="23"/>
                <w:szCs w:val="23"/>
                <w:color w:val="auto"/>
              </w:rPr>
            </w:pPr>
          </w:p>
        </w:tc>
        <w:tc>
          <w:tcPr>
            <w:tcW w:w="5980" w:type="dxa"/>
            <w:vAlign w:val="bottom"/>
            <w:shd w:val="clear" w:color="auto" w:fill="CFF0FC"/>
          </w:tcPr>
          <w:p>
            <w:pPr>
              <w:spacing w:after="0"/>
              <w:rPr>
                <w:sz w:val="23"/>
                <w:szCs w:val="23"/>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15,164</w:t>
            </w:r>
          </w:p>
        </w:tc>
        <w:tc>
          <w:tcPr>
            <w:tcW w:w="92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13,320</w:t>
            </w:r>
          </w:p>
        </w:tc>
        <w:tc>
          <w:tcPr>
            <w:tcW w:w="100" w:type="dxa"/>
            <w:vAlign w:val="bottom"/>
            <w:shd w:val="clear" w:color="auto" w:fill="CFF0FC"/>
          </w:tcPr>
          <w:p>
            <w:pPr>
              <w:spacing w:after="0"/>
              <w:rPr>
                <w:sz w:val="23"/>
                <w:szCs w:val="23"/>
                <w:color w:val="auto"/>
              </w:rPr>
            </w:pPr>
          </w:p>
        </w:tc>
      </w:tr>
      <w:tr>
        <w:trPr>
          <w:trHeight w:val="120"/>
        </w:trPr>
        <w:tc>
          <w:tcPr>
            <w:tcW w:w="1500" w:type="dxa"/>
            <w:vAlign w:val="bottom"/>
            <w:tcBorders>
              <w:top w:val="single" w:sz="8" w:color="CFF0FC"/>
              <w:bottom w:val="single" w:sz="8" w:color="auto"/>
            </w:tcBorders>
          </w:tcPr>
          <w:p>
            <w:pPr>
              <w:spacing w:after="0"/>
              <w:rPr>
                <w:sz w:val="10"/>
                <w:szCs w:val="10"/>
                <w:color w:val="auto"/>
              </w:rPr>
            </w:pPr>
          </w:p>
        </w:tc>
        <w:tc>
          <w:tcPr>
            <w:tcW w:w="5980" w:type="dxa"/>
            <w:vAlign w:val="bottom"/>
            <w:tcBorders>
              <w:top w:val="single" w:sz="8" w:color="CFF0FC"/>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280" w:type="dxa"/>
            <w:vAlign w:val="bottom"/>
            <w:tcBorders>
              <w:top w:val="single" w:sz="8" w:color="CFF0FC"/>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-119380</wp:posOffset>
            </wp:positionV>
            <wp:extent cx="7747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-102235</wp:posOffset>
            </wp:positionV>
            <wp:extent cx="774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hanging="372"/>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amortization of laser projection systems, camera, and lens upgrades recorded in Research and Development on the Condensed Consolidated Statements of Operations of $0.1 million for the three months ended March 31, 2024 (2023 — $0.1 million).</w:t>
      </w:r>
    </w:p>
    <w:p>
      <w:pPr>
        <w:spacing w:after="0" w:line="134"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amortization of licenses and intellectual property recorded in Research and Development on the Condensed Consolidated Statements of Operations of $0.3 million for the three months ended March 31, 2024 (2023 — $0.3 million).</w:t>
      </w:r>
    </w:p>
    <w:p>
      <w:pPr>
        <w:spacing w:after="0" w:line="12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amortization of lessee incentives provided by the Company to its customers under joint revenue sharing arrangements.</w:t>
      </w:r>
    </w:p>
    <w:p>
      <w:pPr>
        <w:spacing w:after="0" w:line="180" w:lineRule="exact"/>
        <w:rPr>
          <w:rFonts w:ascii="Times New Roman" w:cs="Times New Roman" w:eastAsia="Times New Roman" w:hAnsi="Times New Roman"/>
          <w:sz w:val="18"/>
          <w:szCs w:val="18"/>
          <w:color w:val="auto"/>
        </w:rPr>
      </w:pPr>
    </w:p>
    <w:p>
      <w:pPr>
        <w:ind w:left="600" w:hanging="368"/>
        <w:spacing w:after="0"/>
        <w:tabs>
          <w:tab w:leader="none" w:pos="600" w:val="left"/>
        </w:tabs>
        <w:numPr>
          <w:ilvl w:val="1"/>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Write-downs, including asset impairments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0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80" w:type="dxa"/>
            <w:vAlign w:val="bottom"/>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6"/>
        </w:trPr>
        <w:tc>
          <w:tcPr>
            <w:tcW w:w="150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69"/>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4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9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0"/>
                <w:szCs w:val="20"/>
                <w:color w:val="auto"/>
              </w:rPr>
            </w:pPr>
          </w:p>
        </w:tc>
      </w:tr>
      <w:tr>
        <w:trPr>
          <w:trHeight w:val="239"/>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900" w:type="dxa"/>
            <w:vAlign w:val="bottom"/>
            <w:gridSpan w:val="3"/>
            <w:shd w:val="clear" w:color="auto" w:fill="CFF0FC"/>
          </w:tcPr>
          <w:p>
            <w:pPr>
              <w:ind w:left="120"/>
              <w:spacing w:after="0" w:line="248" w:lineRule="exact"/>
              <w:rPr>
                <w:sz w:val="20"/>
                <w:szCs w:val="20"/>
                <w:color w:val="auto"/>
              </w:rPr>
            </w:pPr>
            <w:r>
              <w:rPr>
                <w:rFonts w:ascii="Times New Roman" w:cs="Times New Roman" w:eastAsia="Times New Roman" w:hAnsi="Times New Roman"/>
                <w:sz w:val="18"/>
                <w:szCs w:val="18"/>
                <w:color w:val="auto"/>
              </w:rPr>
              <w:t>Equipment supporting joint revenue sharing arrangements</w:t>
            </w:r>
            <w:r>
              <w:rPr>
                <w:rFonts w:ascii="Times New Roman" w:cs="Times New Roman" w:eastAsia="Times New Roman" w:hAnsi="Times New Roman"/>
                <w:sz w:val="24"/>
                <w:szCs w:val="24"/>
                <w:color w:val="auto"/>
                <w:vertAlign w:val="superscript"/>
              </w:rPr>
              <w:t>(1)</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FF0FC"/>
          </w:tcPr>
          <w:p>
            <w:pPr>
              <w:spacing w:after="0"/>
              <w:rPr>
                <w:sz w:val="21"/>
                <w:szCs w:val="21"/>
                <w:color w:val="auto"/>
              </w:rPr>
            </w:pPr>
          </w:p>
        </w:tc>
      </w:tr>
      <w:tr>
        <w:trPr>
          <w:trHeight w:val="239"/>
        </w:trPr>
        <w:tc>
          <w:tcPr>
            <w:tcW w:w="79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Other property, plant and equipment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(7 )</w:t>
            </w:r>
          </w:p>
        </w:tc>
        <w:tc>
          <w:tcPr>
            <w:tcW w:w="6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47"/>
        </w:trPr>
        <w:tc>
          <w:tcPr>
            <w:tcW w:w="79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Film assets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1500" w:type="dxa"/>
            <w:vAlign w:val="bottom"/>
            <w:tcBorders>
              <w:top w:val="single" w:sz="8" w:color="CFF0FC"/>
              <w:bottom w:val="single" w:sz="8" w:color="CFF0FC"/>
            </w:tcBorders>
            <w:shd w:val="clear" w:color="auto" w:fill="CFF0FC"/>
          </w:tcPr>
          <w:p>
            <w:pPr>
              <w:spacing w:after="0"/>
              <w:rPr>
                <w:sz w:val="24"/>
                <w:szCs w:val="24"/>
                <w:color w:val="auto"/>
              </w:rPr>
            </w:pPr>
          </w:p>
        </w:tc>
        <w:tc>
          <w:tcPr>
            <w:tcW w:w="5960" w:type="dxa"/>
            <w:vAlign w:val="bottom"/>
            <w:tcBorders>
              <w:top w:val="single" w:sz="8" w:color="CFF0FC"/>
              <w:bottom w:val="single" w:sz="8" w:color="CFF0FC"/>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tcBorders>
              <w:top w:val="single" w:sz="8" w:color="CFF0FC"/>
              <w:bottom w:val="single" w:sz="8" w:color="CFF0FC"/>
            </w:tcBorders>
            <w:shd w:val="clear" w:color="auto" w:fill="CFF0FC"/>
          </w:tcPr>
          <w:p>
            <w:pPr>
              <w:spacing w:after="0"/>
              <w:rPr>
                <w:sz w:val="24"/>
                <w:szCs w:val="24"/>
                <w:color w:val="auto"/>
              </w:rPr>
            </w:pPr>
          </w:p>
        </w:tc>
        <w:tc>
          <w:tcPr>
            <w:tcW w:w="640" w:type="dxa"/>
            <w:vAlign w:val="bottom"/>
            <w:tcBorders>
              <w:top w:val="single" w:sz="8" w:color="auto"/>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r>
      <w:tr>
        <w:trPr>
          <w:trHeight w:val="133"/>
        </w:trPr>
        <w:tc>
          <w:tcPr>
            <w:tcW w:w="1500" w:type="dxa"/>
            <w:vAlign w:val="bottom"/>
            <w:tcBorders>
              <w:bottom w:val="single" w:sz="8" w:color="auto"/>
            </w:tcBorders>
          </w:tcPr>
          <w:p>
            <w:pPr>
              <w:spacing w:after="0"/>
              <w:rPr>
                <w:sz w:val="11"/>
                <w:szCs w:val="11"/>
                <w:color w:val="auto"/>
              </w:rPr>
            </w:pPr>
          </w:p>
        </w:tc>
        <w:tc>
          <w:tcPr>
            <w:tcW w:w="5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-128270</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-110490</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-290830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left="380" w:hanging="372"/>
        <w:spacing w:after="0" w:line="266"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2024, the Company recorded $0.1 million in write-downs (2023 ― $0.3 million in write-downs) in Costs and Expenses Applicable to Revenues ― Technology Rentals. These write-downs were mostly related to the write-down of leased xenon-based digital systems which were taken out of service in connection with customer upgrades to laser-based digital systems.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(d)</w:t>
        <w:tab/>
        <w:t>Significant non-cash investing activities</w:t>
      </w:r>
    </w:p>
    <w:p>
      <w:pPr>
        <w:spacing w:after="0" w:line="304"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744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1448"/>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69"/>
        </w:trPr>
        <w:tc>
          <w:tcPr>
            <w:tcW w:w="74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3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Net (decrease) increase in accruals related to: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in equipment supporting joint revenue sharing arrangements</w:t>
            </w: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(469 )</w:t>
            </w: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(764 )</w:t>
            </w:r>
          </w:p>
        </w:tc>
      </w:tr>
      <w:tr>
        <w:trPr>
          <w:trHeight w:val="250"/>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Acquisition of other intangible assets</w:t>
            </w:r>
          </w:p>
        </w:tc>
        <w:tc>
          <w:tcPr>
            <w:tcW w:w="7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r>
      <w:tr>
        <w:trPr>
          <w:trHeight w:val="243"/>
        </w:trPr>
        <w:tc>
          <w:tcPr>
            <w:tcW w:w="7460" w:type="dxa"/>
            <w:vAlign w:val="bottom"/>
          </w:tcPr>
          <w:p>
            <w:pPr>
              <w:ind w:left="120"/>
              <w:spacing w:after="0" w:line="243" w:lineRule="exact"/>
              <w:rPr>
                <w:sz w:val="20"/>
                <w:szCs w:val="20"/>
                <w:color w:val="auto"/>
              </w:rPr>
            </w:pPr>
            <w:r>
              <w:rPr>
                <w:rFonts w:ascii="Times New Roman" w:cs="Times New Roman" w:eastAsia="Times New Roman" w:hAnsi="Times New Roman"/>
                <w:sz w:val="18"/>
                <w:szCs w:val="18"/>
                <w:color w:val="auto"/>
              </w:rPr>
              <w:t xml:space="preserve">Purchases of property, plant and equipment </w:t>
            </w:r>
            <w:r>
              <w:rPr>
                <w:rFonts w:ascii="Times New Roman" w:cs="Times New Roman" w:eastAsia="Times New Roman" w:hAnsi="Times New Roman"/>
                <w:sz w:val="24"/>
                <w:szCs w:val="24"/>
                <w:color w:val="auto"/>
                <w:vertAlign w:val="superscript"/>
              </w:rPr>
              <w:t>(1)</w:t>
            </w:r>
          </w:p>
        </w:tc>
        <w:tc>
          <w:tcPr>
            <w:tcW w:w="7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21"/>
                <w:szCs w:val="21"/>
                <w:color w:val="auto"/>
              </w:rPr>
            </w:pPr>
          </w:p>
        </w:tc>
      </w:tr>
      <w:tr>
        <w:trPr>
          <w:trHeight w:val="252"/>
        </w:trPr>
        <w:tc>
          <w:tcPr>
            <w:tcW w:w="746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(386 )</w:t>
            </w:r>
          </w:p>
        </w:tc>
        <w:tc>
          <w:tcPr>
            <w:tcW w:w="72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(238 )</w:t>
            </w:r>
          </w:p>
        </w:tc>
      </w:tr>
      <w:tr>
        <w:trPr>
          <w:trHeight w:val="20"/>
        </w:trPr>
        <w:tc>
          <w:tcPr>
            <w:tcW w:w="746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Refer to Note 4 for supplemental disclosure of non-cash leasing activities.</w:t>
      </w:r>
    </w:p>
    <w:p>
      <w:pPr>
        <w:spacing w:after="0" w:line="181"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5" w:lineRule="exact"/>
        <w:rPr>
          <w:rFonts w:ascii="Times New Roman" w:cs="Times New Roman" w:eastAsia="Times New Roman" w:hAnsi="Times New Roman"/>
          <w:sz w:val="18"/>
          <w:szCs w:val="18"/>
          <w:b w:val="1"/>
          <w:bCs w:val="1"/>
          <w:color w:val="auto"/>
        </w:rPr>
      </w:pPr>
    </w:p>
    <w:p>
      <w:pPr>
        <w:ind w:left="600" w:hanging="368"/>
        <w:spacing w:after="0"/>
        <w:tabs>
          <w:tab w:leader="none" w:pos="600" w:val="left"/>
        </w:tabs>
        <w:numPr>
          <w:ilvl w:val="1"/>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 Expense</w:t>
      </w:r>
    </w:p>
    <w:p>
      <w:pPr>
        <w:spacing w:after="0" w:line="202"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2024, the Company recorded income tax expense of $5.2 million (2023 — $4.9 million). The Company’s effective tax rate of 48.8% for the three months ended March 31, 2024 is comparable to the same quarter in 2023. The Company’s effective tax rate for the three months ended March 31, 2024 differs from the Canadian statutory rate of 26.5% primarily due to tax rate differences in foreign jurisdictions which was offset by an increase in the valuation allowance from continuing operations, withholding taxes and a shortfall in tax benefits related to share-based compensation. The Company’s effective tax rate of 48.8% for the three months ended March 31, 2023 differs from the Canadian statutory rate of 26.5% primarily due to tax rate differences in foreign jurisdictions which was offset by an increase in the valuation allowance and withholding taxes.</w:t>
      </w:r>
    </w:p>
    <w:p>
      <w:pPr>
        <w:spacing w:after="0" w:line="147"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As of March 31, 2024, the Company’s Condensed Consolidated Balance Sheets includes net deferred income tax assets of $7.7 million (December 31, 2023 — $8.0 million). Realization of net deferred tax assets is dependent upon generation of sufficient taxable income in future years to obtain benefit from the reversal of temporary differences, net operating loss carryforwards and tax credit carryforwards. The amount of net deferred tax assets considered realizable is subject to adjustment in future periods if estimates of future taxable income change.</w:t>
      </w:r>
    </w:p>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As of March 31, 2024, the Company’s Condensed Consolidated Balance Sheets also include deferred tax liabilities of $12.5 million (December 31, 2023</w:t>
      </w:r>
    </w:p>
    <w:p>
      <w:pPr>
        <w:spacing w:after="0" w:line="3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$12.5 million) primarily related to foreign withholding taxes associated with the remaining balance of unrepatriated historical earnings that will not be indefinitely reinvested outside of Canada.</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(b) Proposed Share Buyback Tax</w:t>
      </w:r>
    </w:p>
    <w:p>
      <w:pPr>
        <w:spacing w:after="0" w:line="189"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Bill C-59 includes draft legislation to introduce a 2% tax on the net value of certain share buybacks by publicly traded Canadian-resident corporations. The tax applies to repurchases from current shareholders on or after January 1, 2024 with certain exceptions. The tax is imposed on the repurchasing corporation itself and will be included in the cost basis of the repurchased treasury stock. Based on the draft legislation, the Company has estimated a potential impact of $0.4 million for the first quarter of 2024. Recognition of the impact will occur once legislation has been enacted for financial reporting purposes.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Capital Stock and Reserves</w:t>
      </w:r>
    </w:p>
    <w:p>
      <w:pPr>
        <w:spacing w:after="0" w:line="198" w:lineRule="exact"/>
        <w:rPr>
          <w:sz w:val="20"/>
          <w:szCs w:val="20"/>
          <w:color w:val="auto"/>
        </w:rPr>
      </w:pPr>
    </w:p>
    <w:p>
      <w:pPr>
        <w:ind w:left="22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(a)</w:t>
      </w:r>
      <w:r>
        <w:rPr>
          <w:sz w:val="20"/>
          <w:szCs w:val="20"/>
          <w:color w:val="auto"/>
        </w:rPr>
        <w:tab/>
      </w:r>
      <w:r>
        <w:rPr>
          <w:rFonts w:ascii="Times New Roman" w:cs="Times New Roman" w:eastAsia="Times New Roman" w:hAnsi="Times New Roman"/>
          <w:sz w:val="17"/>
          <w:szCs w:val="17"/>
          <w:b w:val="1"/>
          <w:bCs w:val="1"/>
          <w:i w:val="1"/>
          <w:iCs w:val="1"/>
          <w:color w:val="auto"/>
        </w:rPr>
        <w:t>Share-Based Compensation</w:t>
      </w:r>
    </w:p>
    <w:p>
      <w:pPr>
        <w:spacing w:after="0" w:line="189"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share-based compensation expense totaled $4.7 million (2023 — $5.1 million) and is reflected in the following accounts in the Condensed Consolidated Statements of Operations: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120" w:type="dxa"/>
            <w:vAlign w:val="bottom"/>
            <w:gridSpan w:val="3"/>
          </w:tcPr>
          <w:p>
            <w:pPr>
              <w:jc w:val="center"/>
              <w:ind w:left="39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6"/>
        </w:trPr>
        <w:tc>
          <w:tcPr>
            <w:tcW w:w="43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jc w:val="center"/>
              <w:ind w:left="77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69"/>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0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and expenses applicable to revenues</w:t>
            </w:r>
          </w:p>
        </w:tc>
        <w:tc>
          <w:tcPr>
            <w:tcW w:w="362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FF0FC"/>
          </w:tcPr>
          <w:p>
            <w:pPr>
              <w:spacing w:after="0"/>
              <w:rPr>
                <w:sz w:val="20"/>
                <w:szCs w:val="20"/>
                <w:color w:val="auto"/>
              </w:rPr>
            </w:pPr>
          </w:p>
        </w:tc>
      </w:tr>
      <w:tr>
        <w:trPr>
          <w:trHeight w:val="23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100" w:type="dxa"/>
            <w:vAlign w:val="bottom"/>
          </w:tcPr>
          <w:p>
            <w:pPr>
              <w:spacing w:after="0"/>
              <w:rPr>
                <w:sz w:val="20"/>
                <w:szCs w:val="20"/>
                <w:color w:val="auto"/>
              </w:rPr>
            </w:pPr>
          </w:p>
        </w:tc>
      </w:tr>
      <w:tr>
        <w:trPr>
          <w:trHeight w:val="247"/>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FF0FC"/>
          </w:tcPr>
          <w:p>
            <w:pPr>
              <w:spacing w:after="0"/>
              <w:rPr>
                <w:sz w:val="21"/>
                <w:szCs w:val="21"/>
                <w:color w:val="auto"/>
              </w:rPr>
            </w:pPr>
          </w:p>
        </w:tc>
      </w:tr>
      <w:tr>
        <w:trPr>
          <w:trHeight w:val="23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transition costs</w:t>
            </w:r>
          </w:p>
        </w:tc>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(499 )</w:t>
            </w:r>
          </w:p>
        </w:tc>
      </w:tr>
      <w:tr>
        <w:trPr>
          <w:trHeight w:val="276"/>
        </w:trPr>
        <w:tc>
          <w:tcPr>
            <w:tcW w:w="4380" w:type="dxa"/>
            <w:vAlign w:val="bottom"/>
            <w:tcBorders>
              <w:bottom w:val="single" w:sz="8" w:color="CFF0FC"/>
            </w:tcBorders>
            <w:shd w:val="clear" w:color="auto" w:fill="CFF0FC"/>
          </w:tcPr>
          <w:p>
            <w:pPr>
              <w:spacing w:after="0"/>
              <w:rPr>
                <w:sz w:val="24"/>
                <w:szCs w:val="24"/>
                <w:color w:val="auto"/>
              </w:rPr>
            </w:pPr>
          </w:p>
        </w:tc>
        <w:tc>
          <w:tcPr>
            <w:tcW w:w="308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2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849"/>
        </w:trPr>
        <w:tc>
          <w:tcPr>
            <w:tcW w:w="4380" w:type="dxa"/>
            <w:vAlign w:val="bottom"/>
          </w:tcPr>
          <w:p>
            <w:pPr>
              <w:spacing w:after="0"/>
              <w:rPr>
                <w:sz w:val="24"/>
                <w:szCs w:val="24"/>
                <w:color w:val="auto"/>
              </w:rPr>
            </w:pPr>
          </w:p>
        </w:tc>
        <w:tc>
          <w:tcPr>
            <w:tcW w:w="308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rPr>
              <w:t>28</w:t>
            </w:r>
          </w:p>
        </w:tc>
        <w:tc>
          <w:tcPr>
            <w:tcW w:w="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50"/>
        </w:trPr>
        <w:tc>
          <w:tcPr>
            <w:tcW w:w="438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-1062355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-1045210</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014" w:gutter="0" w:footer="0" w:header="0"/>
        </w:sectPr>
      </w:pPr>
    </w:p>
    <w:bookmarkStart w:id="28" w:name="page29"/>
    <w:bookmarkEnd w:id="28"/>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Company’s share-based compensation expense by each award type: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6"/>
        </w:trPr>
        <w:tc>
          <w:tcPr>
            <w:tcW w:w="75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9"/>
                <w:szCs w:val="19"/>
                <w:color w:val="auto"/>
              </w:rPr>
            </w:pPr>
          </w:p>
        </w:tc>
      </w:tr>
      <w:tr>
        <w:trPr>
          <w:trHeight w:val="237"/>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shd w:val="clear" w:color="auto" w:fill="CFF0FC"/>
          </w:tcPr>
          <w:p>
            <w:pPr>
              <w:spacing w:after="0"/>
              <w:rPr>
                <w:sz w:val="20"/>
                <w:szCs w:val="20"/>
                <w:color w:val="auto"/>
              </w:rPr>
            </w:pP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Share Units</w:t>
            </w:r>
          </w:p>
        </w:tc>
        <w:tc>
          <w:tcPr>
            <w:tcW w:w="360" w:type="dxa"/>
            <w:vAlign w:val="bottom"/>
          </w:tcPr>
          <w:p>
            <w:pPr>
              <w:spacing w:after="0"/>
              <w:rPr>
                <w:sz w:val="20"/>
                <w:szCs w:val="20"/>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2,742</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3,365</w:t>
            </w:r>
          </w:p>
        </w:tc>
        <w:tc>
          <w:tcPr>
            <w:tcW w:w="180" w:type="dxa"/>
            <w:vAlign w:val="bottom"/>
          </w:tcPr>
          <w:p>
            <w:pPr>
              <w:spacing w:after="0"/>
              <w:rPr>
                <w:sz w:val="20"/>
                <w:szCs w:val="20"/>
                <w:color w:val="auto"/>
              </w:rPr>
            </w:pPr>
          </w:p>
        </w:tc>
      </w:tr>
      <w:tr>
        <w:trPr>
          <w:trHeight w:val="247"/>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Performance Stock Units</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1,852</w:t>
            </w: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924</w:t>
            </w:r>
          </w:p>
        </w:tc>
        <w:tc>
          <w:tcPr>
            <w:tcW w:w="180" w:type="dxa"/>
            <w:vAlign w:val="bottom"/>
            <w:shd w:val="clear" w:color="auto" w:fill="CFF0FC"/>
          </w:tcPr>
          <w:p>
            <w:pPr>
              <w:spacing w:after="0"/>
              <w:rPr>
                <w:sz w:val="21"/>
                <w:szCs w:val="21"/>
                <w:color w:val="auto"/>
              </w:rPr>
            </w:pP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IMAX China Stock Options</w:t>
            </w:r>
          </w:p>
        </w:tc>
        <w:tc>
          <w:tcPr>
            <w:tcW w:w="360" w:type="dxa"/>
            <w:vAlign w:val="bottom"/>
          </w:tcPr>
          <w:p>
            <w:pPr>
              <w:spacing w:after="0"/>
              <w:rPr>
                <w:sz w:val="20"/>
                <w:szCs w:val="20"/>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0"/>
                <w:szCs w:val="20"/>
                <w:color w:val="auto"/>
              </w:rPr>
            </w:pPr>
          </w:p>
        </w:tc>
      </w:tr>
      <w:tr>
        <w:trPr>
          <w:trHeight w:val="247"/>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IMAX China Long Term Incentive Plan Restricted Share Units</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541</w:t>
            </w:r>
          </w:p>
        </w:tc>
        <w:tc>
          <w:tcPr>
            <w:tcW w:w="180" w:type="dxa"/>
            <w:vAlign w:val="bottom"/>
            <w:shd w:val="clear" w:color="auto" w:fill="CFF0FC"/>
          </w:tcPr>
          <w:p>
            <w:pPr>
              <w:spacing w:after="0"/>
              <w:rPr>
                <w:sz w:val="21"/>
                <w:szCs w:val="21"/>
                <w:color w:val="auto"/>
              </w:rPr>
            </w:pP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IMAX China Long Term Incentive Plan Performance Stock Units</w:t>
            </w: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Pr>
          <w:p>
            <w:pPr>
              <w:spacing w:after="0"/>
              <w:rPr>
                <w:sz w:val="20"/>
                <w:szCs w:val="20"/>
                <w:color w:val="auto"/>
              </w:rPr>
            </w:pPr>
          </w:p>
        </w:tc>
      </w:tr>
      <w:tr>
        <w:trPr>
          <w:trHeight w:val="277"/>
        </w:trPr>
        <w:tc>
          <w:tcPr>
            <w:tcW w:w="75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4,676</w:t>
            </w:r>
          </w:p>
        </w:tc>
        <w:tc>
          <w:tcPr>
            <w:tcW w:w="18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5,059</w:t>
            </w:r>
          </w:p>
        </w:tc>
        <w:tc>
          <w:tcPr>
            <w:tcW w:w="1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-24765</wp:posOffset>
            </wp:positionV>
            <wp:extent cx="12001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12001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37"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the Company's share-based compensation expense includes less than $0.1 million (2023 — $nil) related to restricted share units granted to non-employees which vested immediately upon granting.</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Stock Option Summary</w:t>
      </w:r>
    </w:p>
    <w:p>
      <w:pPr>
        <w:spacing w:after="0" w:line="2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activity under the Company’s Stock Option Plan (“SOP”) and the IMAX Corporation Second Amended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Restated Long-Term Incentive Plan (as may be amended, “IMAX LTIP”) for the three months ended March 31, 2024 and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2500" w:type="dxa"/>
            <w:vAlign w:val="bottom"/>
            <w:gridSpan w:val="3"/>
            <w:vMerge w:val="restart"/>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8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0" w:type="dxa"/>
            <w:vAlign w:val="bottom"/>
          </w:tcPr>
          <w:p>
            <w:pPr>
              <w:spacing w:after="0"/>
              <w:rPr>
                <w:sz w:val="1"/>
                <w:szCs w:val="1"/>
                <w:color w:val="auto"/>
              </w:rPr>
            </w:pPr>
          </w:p>
        </w:tc>
      </w:tr>
      <w:tr>
        <w:trPr>
          <w:trHeight w:val="187"/>
        </w:trPr>
        <w:tc>
          <w:tcPr>
            <w:tcW w:w="5960" w:type="dxa"/>
            <w:vAlign w:val="bottom"/>
          </w:tcPr>
          <w:p>
            <w:pPr>
              <w:spacing w:after="0"/>
              <w:rPr>
                <w:sz w:val="16"/>
                <w:szCs w:val="16"/>
                <w:color w:val="auto"/>
              </w:rPr>
            </w:pPr>
          </w:p>
        </w:tc>
        <w:tc>
          <w:tcPr>
            <w:tcW w:w="2500" w:type="dxa"/>
            <w:vAlign w:val="bottom"/>
            <w:tcBorders>
              <w:bottom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19"/>
                <w:szCs w:val="19"/>
                <w:color w:val="auto"/>
              </w:rPr>
            </w:pPr>
          </w:p>
        </w:tc>
        <w:tc>
          <w:tcPr>
            <w:tcW w:w="11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9"/>
                <w:szCs w:val="19"/>
                <w:color w:val="auto"/>
              </w:rPr>
            </w:pPr>
          </w:p>
        </w:tc>
        <w:tc>
          <w:tcPr>
            <w:tcW w:w="11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7"/>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outstanding, beginning of period</w:t>
            </w: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3,329,422</w:t>
            </w:r>
          </w:p>
        </w:tc>
        <w:tc>
          <w:tcPr>
            <w:tcW w:w="132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3,604,739</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26.23</w:t>
            </w:r>
          </w:p>
        </w:tc>
        <w:tc>
          <w:tcPr>
            <w:tcW w:w="5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26.36</w:t>
            </w:r>
          </w:p>
        </w:tc>
        <w:tc>
          <w:tcPr>
            <w:tcW w:w="0" w:type="dxa"/>
            <w:vAlign w:val="bottom"/>
          </w:tcPr>
          <w:p>
            <w:pPr>
              <w:spacing w:after="0"/>
              <w:rPr>
                <w:sz w:val="1"/>
                <w:szCs w:val="1"/>
                <w:color w:val="auto"/>
              </w:rPr>
            </w:pPr>
          </w:p>
        </w:tc>
      </w:tr>
      <w:tr>
        <w:trPr>
          <w:trHeight w:val="23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(607,114 )</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(144,366 )</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28.15</w:t>
            </w:r>
          </w:p>
        </w:tc>
        <w:tc>
          <w:tcPr>
            <w:tcW w:w="1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31.85</w:t>
            </w:r>
          </w:p>
        </w:tc>
        <w:tc>
          <w:tcPr>
            <w:tcW w:w="0" w:type="dxa"/>
            <w:vAlign w:val="bottom"/>
          </w:tcPr>
          <w:p>
            <w:pPr>
              <w:spacing w:after="0"/>
              <w:rPr>
                <w:sz w:val="1"/>
                <w:szCs w:val="1"/>
                <w:color w:val="auto"/>
              </w:rPr>
            </w:pPr>
          </w:p>
        </w:tc>
      </w:tr>
      <w:tr>
        <w:trPr>
          <w:trHeight w:val="24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5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outstanding, end of period</w:t>
            </w:r>
          </w:p>
        </w:tc>
        <w:tc>
          <w:tcPr>
            <w:tcW w:w="11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2,722,308</w:t>
            </w:r>
          </w:p>
        </w:tc>
        <w:tc>
          <w:tcPr>
            <w:tcW w:w="1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3,460,373</w:t>
            </w: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25.80</w:t>
            </w:r>
          </w:p>
        </w:tc>
        <w:tc>
          <w:tcPr>
            <w:tcW w:w="12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26.13</w:t>
            </w:r>
          </w:p>
        </w:tc>
        <w:tc>
          <w:tcPr>
            <w:tcW w:w="0" w:type="dxa"/>
            <w:vAlign w:val="bottom"/>
          </w:tcPr>
          <w:p>
            <w:pPr>
              <w:spacing w:after="0"/>
              <w:rPr>
                <w:sz w:val="1"/>
                <w:szCs w:val="1"/>
                <w:color w:val="auto"/>
              </w:rPr>
            </w:pPr>
          </w:p>
        </w:tc>
      </w:tr>
      <w:tr>
        <w:trPr>
          <w:trHeight w:val="22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exercisable, end of period</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2,722,308</w:t>
            </w:r>
          </w:p>
        </w:tc>
        <w:tc>
          <w:tcPr>
            <w:tcW w:w="132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3,460,373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25.80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26.13</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-205105</wp:posOffset>
            </wp:positionV>
            <wp:extent cx="7747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-187960</wp:posOffset>
            </wp:positionV>
            <wp:extent cx="7747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-205105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-187960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Stock options are no longer granted under the Company’s previously approved SOP.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IMAX LTIP Restricted Share Units (“RSU”) Summary</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activity in respect of RSUs issued under the IMAX LTIP for the three months ended March 31, 2024 and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2500" w:type="dxa"/>
            <w:vAlign w:val="bottom"/>
            <w:gridSpan w:val="3"/>
            <w:vMerge w:val="restart"/>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Number of Awards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4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Weighted Average Grant Date</w:t>
            </w:r>
          </w:p>
        </w:tc>
        <w:tc>
          <w:tcPr>
            <w:tcW w:w="0" w:type="dxa"/>
            <w:vAlign w:val="bottom"/>
          </w:tcPr>
          <w:p>
            <w:pPr>
              <w:spacing w:after="0"/>
              <w:rPr>
                <w:sz w:val="1"/>
                <w:szCs w:val="1"/>
                <w:color w:val="auto"/>
              </w:rPr>
            </w:pPr>
          </w:p>
        </w:tc>
      </w:tr>
      <w:tr>
        <w:trPr>
          <w:trHeight w:val="187"/>
        </w:trPr>
        <w:tc>
          <w:tcPr>
            <w:tcW w:w="5960" w:type="dxa"/>
            <w:vAlign w:val="bottom"/>
          </w:tcPr>
          <w:p>
            <w:pPr>
              <w:spacing w:after="0"/>
              <w:rPr>
                <w:sz w:val="16"/>
                <w:szCs w:val="16"/>
                <w:color w:val="auto"/>
              </w:rPr>
            </w:pPr>
          </w:p>
        </w:tc>
        <w:tc>
          <w:tcPr>
            <w:tcW w:w="2500" w:type="dxa"/>
            <w:vAlign w:val="bottom"/>
            <w:tcBorders>
              <w:bottom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19"/>
                <w:szCs w:val="19"/>
                <w:color w:val="auto"/>
              </w:rPr>
            </w:pPr>
          </w:p>
        </w:tc>
        <w:tc>
          <w:tcPr>
            <w:tcW w:w="11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9"/>
                <w:szCs w:val="19"/>
                <w:color w:val="auto"/>
              </w:rPr>
            </w:pPr>
          </w:p>
        </w:tc>
        <w:tc>
          <w:tcPr>
            <w:tcW w:w="11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7"/>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 outstanding, beginning of period</w:t>
            </w:r>
          </w:p>
        </w:tc>
        <w:tc>
          <w:tcPr>
            <w:tcW w:w="11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1,286,830</w:t>
            </w:r>
          </w:p>
        </w:tc>
        <w:tc>
          <w:tcPr>
            <w:tcW w:w="132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1,252,044</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18.53</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19.16</w:t>
            </w:r>
          </w:p>
        </w:tc>
        <w:tc>
          <w:tcPr>
            <w:tcW w:w="0" w:type="dxa"/>
            <w:vAlign w:val="bottom"/>
          </w:tcPr>
          <w:p>
            <w:pPr>
              <w:spacing w:after="0"/>
              <w:rPr>
                <w:sz w:val="1"/>
                <w:szCs w:val="1"/>
                <w:color w:val="auto"/>
              </w:rPr>
            </w:pPr>
          </w:p>
        </w:tc>
      </w:tr>
      <w:tr>
        <w:trPr>
          <w:trHeight w:val="23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846,677</w:t>
            </w:r>
          </w:p>
        </w:tc>
        <w:tc>
          <w:tcPr>
            <w:tcW w:w="1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811,529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16.46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17.73</w:t>
            </w:r>
          </w:p>
        </w:tc>
        <w:tc>
          <w:tcPr>
            <w:tcW w:w="0" w:type="dxa"/>
            <w:vAlign w:val="bottom"/>
          </w:tcPr>
          <w:p>
            <w:pPr>
              <w:spacing w:after="0"/>
              <w:rPr>
                <w:sz w:val="1"/>
                <w:szCs w:val="1"/>
                <w:color w:val="auto"/>
              </w:rPr>
            </w:pPr>
          </w:p>
        </w:tc>
      </w:tr>
      <w:tr>
        <w:trPr>
          <w:trHeight w:val="247"/>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and settled</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(609,016 )</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(677,611 )</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19.04</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18.70</w:t>
            </w:r>
          </w:p>
        </w:tc>
        <w:tc>
          <w:tcPr>
            <w:tcW w:w="0" w:type="dxa"/>
            <w:vAlign w:val="bottom"/>
          </w:tcPr>
          <w:p>
            <w:pPr>
              <w:spacing w:after="0"/>
              <w:rPr>
                <w:sz w:val="1"/>
                <w:szCs w:val="1"/>
                <w:color w:val="auto"/>
              </w:rPr>
            </w:pPr>
          </w:p>
        </w:tc>
      </w:tr>
      <w:tr>
        <w:trPr>
          <w:trHeight w:val="24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(16,315 )</w:t>
            </w:r>
          </w:p>
        </w:tc>
        <w:tc>
          <w:tcPr>
            <w:tcW w:w="140" w:type="dxa"/>
            <w:vAlign w:val="bottom"/>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(19,509 )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19.12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19.80</w:t>
            </w:r>
          </w:p>
        </w:tc>
        <w:tc>
          <w:tcPr>
            <w:tcW w:w="0" w:type="dxa"/>
            <w:vAlign w:val="bottom"/>
          </w:tcPr>
          <w:p>
            <w:pPr>
              <w:spacing w:after="0"/>
              <w:rPr>
                <w:sz w:val="1"/>
                <w:szCs w:val="1"/>
                <w:color w:val="auto"/>
              </w:rPr>
            </w:pPr>
          </w:p>
        </w:tc>
      </w:tr>
      <w:tr>
        <w:trPr>
          <w:trHeight w:val="277"/>
        </w:trPr>
        <w:tc>
          <w:tcPr>
            <w:tcW w:w="5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 outstanding, end of period</w:t>
            </w:r>
          </w:p>
        </w:tc>
        <w:tc>
          <w:tcPr>
            <w:tcW w:w="11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1,508,176</w:t>
            </w:r>
          </w:p>
        </w:tc>
        <w:tc>
          <w:tcPr>
            <w:tcW w:w="1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1,366,453</w:t>
            </w: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17.15</w:t>
            </w:r>
          </w:p>
        </w:tc>
        <w:tc>
          <w:tcPr>
            <w:tcW w:w="1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-25400</wp:posOffset>
            </wp:positionV>
            <wp:extent cx="7747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-7620</wp:posOffset>
            </wp:positionV>
            <wp:extent cx="774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-25400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IMAX LTIP Performance Stock Units (“PSU”) Summary</w:t>
      </w:r>
    </w:p>
    <w:p>
      <w:pPr>
        <w:spacing w:after="0" w:line="200"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Company grants two types of PSU awards, one which vests based on a combination of employee service and the achievement of certain Adjusted EBITDA targets and one which vests based on a combination of employee service and the achievement of total shareholder return (“TSR”) targets. The achievement of the Adjusted EBITDA and TSR targets in these PSUs is determined over a three-year performance period. At the conclusion of the three-year performance period, the number of PSUs that ultimately vest can range from 0% to a maximum vesting opportunity of 175% of the initial Adjusted EBITDA PSU award or 175% of the initial TSR PSU award for awards issued in 2022 and 150% of the initial TSR PSU award for awards issued in 2023, depending upon actual performance versus the established Adjusted EBITDA and TSR targets, respectively.</w:t>
      </w:r>
    </w:p>
    <w:p>
      <w:pPr>
        <w:spacing w:after="0" w:line="147"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grant date fair value of PSUs with Adjusted EBITDA targets is equal to the closing price of the Company’s common shares on the date of grant or the average closing price of the Company’s common shares for five days prior to the date of grant. The grant date fair value of PSUs with TSR targets is determined on the grant date using a Monte Carlo Model. The compensation expense attributable to each type of PSU is recognized on a straight-line basis over the requisite service period.</w:t>
      </w:r>
    </w:p>
    <w:p>
      <w:pPr>
        <w:spacing w:after="0" w:line="13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fair value determined by the Monte Carlo Model is affected by the Company’s share price, as well as assumptions regarding a number of complex and subjective variables. These variables include, but are not limited to, market conditions as of the grant date, the Company’s expected share price volatility over the term of the awards, and other relevant data. The compensation expense is fixed on the date of grant based on the fair value of the PSUs granted.</w:t>
      </w:r>
    </w:p>
    <w:p>
      <w:pPr>
        <w:spacing w:after="0" w:line="153"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amount and timing of compensation expense recognized for PSUs with Adjusted EBITDA targets is dependent upon management’s assessment of the likelihood of achieving these targets. If, as a result of management’s assessment, it is projected that a greater number of PSUs will vest than previously anticipated, a life-to-date adjustment to increase compensation expense is recorded in the period that such determination is made. Conversely, if, as a result of management’s assessment, it is projected that a lower number of PSUs will vest than previously anticipated, a life-to-date adjustment to decrease compensation expense is recorded in the period that such determination is made. The expense recognized in the three months ended March 31, 2024 and 2023 includes adjustments reflecting management’s estimate of the number of Adjusted EBITDA PSUs expected to vest.</w:t>
      </w:r>
    </w:p>
    <w:p>
      <w:pPr>
        <w:spacing w:after="0" w:line="1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activity in respect of PSUs issued under the IMAX LTIP for the three months ended March 31, 2024 and 2023: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2600" w:type="dxa"/>
            <w:vAlign w:val="bottom"/>
            <w:gridSpan w:val="4"/>
            <w:vMerge w:val="restart"/>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Number of Awards</w:t>
            </w:r>
          </w:p>
        </w:tc>
        <w:tc>
          <w:tcPr>
            <w:tcW w:w="240" w:type="dxa"/>
            <w:vAlign w:val="bottom"/>
          </w:tcPr>
          <w:p>
            <w:pPr>
              <w:spacing w:after="0"/>
              <w:rPr>
                <w:sz w:val="13"/>
                <w:szCs w:val="13"/>
                <w:color w:val="auto"/>
              </w:rPr>
            </w:pPr>
          </w:p>
        </w:tc>
        <w:tc>
          <w:tcPr>
            <w:tcW w:w="24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 Average Grant Date</w:t>
            </w:r>
          </w:p>
        </w:tc>
        <w:tc>
          <w:tcPr>
            <w:tcW w:w="0" w:type="dxa"/>
            <w:vAlign w:val="bottom"/>
          </w:tcPr>
          <w:p>
            <w:pPr>
              <w:spacing w:after="0"/>
              <w:rPr>
                <w:sz w:val="1"/>
                <w:szCs w:val="1"/>
                <w:color w:val="auto"/>
              </w:rPr>
            </w:pPr>
          </w:p>
        </w:tc>
      </w:tr>
      <w:tr>
        <w:trPr>
          <w:trHeight w:val="187"/>
        </w:trPr>
        <w:tc>
          <w:tcPr>
            <w:tcW w:w="15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600" w:type="dxa"/>
            <w:vAlign w:val="bottom"/>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PSUs outstanding, beginning of period</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922,621</w:t>
            </w: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931,716</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4"/>
                <w:szCs w:val="24"/>
                <w:color w:val="auto"/>
                <w:vertAlign w:val="superscript"/>
              </w:rPr>
              <w:t>(1)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578,855</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580,118</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Vested and settled</w:t>
            </w:r>
            <w:r>
              <w:rPr>
                <w:rFonts w:ascii="Times New Roman" w:cs="Times New Roman" w:eastAsia="Times New Roman" w:hAnsi="Times New Roman"/>
                <w:sz w:val="24"/>
                <w:szCs w:val="24"/>
                <w:color w:val="auto"/>
                <w:vertAlign w:val="superscript"/>
              </w:rPr>
              <w:t>(1)</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(316,226 )</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(368,602 )</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Forfeited</w:t>
            </w:r>
            <w:r>
              <w:rPr>
                <w:rFonts w:ascii="Times New Roman" w:cs="Times New Roman" w:eastAsia="Times New Roman" w:hAnsi="Times New Roman"/>
                <w:sz w:val="24"/>
                <w:szCs w:val="24"/>
                <w:color w:val="auto"/>
                <w:vertAlign w:val="superscript"/>
              </w:rPr>
              <w:t>(2)</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(78,489 )</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(208,648 )</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960" w:type="dxa"/>
            <w:vAlign w:val="bottom"/>
            <w:tcBorders>
              <w:top w:val="single" w:sz="8" w:color="CFF0FC"/>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PSUs outstanding, end of period</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1,106,761</w:t>
            </w:r>
          </w:p>
        </w:tc>
        <w:tc>
          <w:tcPr>
            <w:tcW w:w="260" w:type="dxa"/>
            <w:vAlign w:val="bottom"/>
            <w:tcBorders>
              <w:top w:val="single" w:sz="8" w:color="CFF0FC"/>
              <w:bottom w:val="single" w:sz="8" w:color="CFF0FC"/>
            </w:tcBorders>
            <w:shd w:val="clear" w:color="auto" w:fill="CFF0FC"/>
          </w:tcPr>
          <w:p>
            <w:pPr>
              <w:spacing w:after="0"/>
              <w:rPr>
                <w:sz w:val="24"/>
                <w:szCs w:val="24"/>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934,584</w:t>
            </w:r>
          </w:p>
        </w:tc>
        <w:tc>
          <w:tcPr>
            <w:tcW w:w="200" w:type="dxa"/>
            <w:vAlign w:val="bottom"/>
            <w:tcBorders>
              <w:top w:val="single" w:sz="8" w:color="CFF0FC"/>
              <w:bottom w:val="single" w:sz="8" w:color="CFF0FC"/>
            </w:tcBorders>
            <w:shd w:val="clear" w:color="auto" w:fill="CFF0FC"/>
          </w:tcPr>
          <w:p>
            <w:pPr>
              <w:spacing w:after="0"/>
              <w:rPr>
                <w:sz w:val="24"/>
                <w:szCs w:val="24"/>
                <w:color w:val="auto"/>
              </w:rPr>
            </w:pPr>
          </w:p>
        </w:tc>
        <w:tc>
          <w:tcPr>
            <w:tcW w:w="240" w:type="dxa"/>
            <w:vAlign w:val="bottom"/>
            <w:tcBorders>
              <w:top w:val="single" w:sz="8" w:color="CFF0FC"/>
              <w:bottom w:val="single" w:sz="8" w:color="CFF0FC"/>
            </w:tcBorders>
            <w:shd w:val="clear" w:color="auto" w:fill="CFF0FC"/>
          </w:tcPr>
          <w:p>
            <w:pPr>
              <w:spacing w:after="0"/>
              <w:rPr>
                <w:sz w:val="24"/>
                <w:szCs w:val="24"/>
                <w:color w:val="auto"/>
              </w:rPr>
            </w:pPr>
          </w:p>
        </w:tc>
        <w:tc>
          <w:tcPr>
            <w:tcW w:w="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220" w:type="dxa"/>
            <w:vAlign w:val="bottom"/>
            <w:tcBorders>
              <w:top w:val="single" w:sz="8" w:color="CFF0FC"/>
              <w:bottom w:val="single" w:sz="8" w:color="CFF0FC"/>
            </w:tcBorders>
            <w:shd w:val="clear" w:color="auto" w:fill="CFF0FC"/>
          </w:tcPr>
          <w:p>
            <w:pPr>
              <w:spacing w:after="0"/>
              <w:rPr>
                <w:sz w:val="24"/>
                <w:szCs w:val="24"/>
                <w:color w:val="auto"/>
              </w:rPr>
            </w:pPr>
          </w:p>
        </w:tc>
        <w:tc>
          <w:tcPr>
            <w:tcW w:w="300" w:type="dxa"/>
            <w:vAlign w:val="bottom"/>
            <w:tcBorders>
              <w:top w:val="single" w:sz="8" w:color="CFF0FC"/>
              <w:bottom w:val="single" w:sz="8" w:color="CFF0FC"/>
            </w:tcBorders>
            <w:shd w:val="clear" w:color="auto" w:fill="CFF0FC"/>
          </w:tcPr>
          <w:p>
            <w:pPr>
              <w:spacing w:after="0"/>
              <w:rPr>
                <w:sz w:val="24"/>
                <w:szCs w:val="24"/>
                <w:color w:val="auto"/>
              </w:rPr>
            </w:pP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500" w:type="dxa"/>
            <w:vAlign w:val="bottom"/>
            <w:tcBorders>
              <w:bottom w:val="single" w:sz="8" w:color="auto"/>
            </w:tcBorders>
          </w:tcPr>
          <w:p>
            <w:pPr>
              <w:spacing w:after="0"/>
              <w:rPr>
                <w:sz w:val="11"/>
                <w:szCs w:val="11"/>
                <w:color w:val="auto"/>
              </w:rPr>
            </w:pPr>
          </w:p>
        </w:tc>
        <w:tc>
          <w:tcPr>
            <w:tcW w:w="4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-128270</wp:posOffset>
            </wp:positionV>
            <wp:extent cx="768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-111125</wp:posOffset>
            </wp:positionV>
            <wp:extent cx="7683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-290830</wp:posOffset>
            </wp:positionV>
            <wp:extent cx="7683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-128270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-111125</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-290830</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380" w:hanging="372"/>
        <w:spacing w:after="0" w:line="282"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2024, the balance of shares granted includes 135,511 additional shares, at a weighted average grant date fair value per share of $19.71, as PSUs granted in 2021 with Adjusted EBITDA targets vested at 175% on account of full achievement of the targets.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5" w:lineRule="exact"/>
        <w:rPr>
          <w:sz w:val="20"/>
          <w:szCs w:val="20"/>
          <w:color w:val="auto"/>
        </w:rPr>
      </w:pPr>
    </w:p>
    <w:p>
      <w:pPr>
        <w:jc w:val="both"/>
        <w:ind w:left="380" w:hanging="372"/>
        <w:spacing w:after="0" w:line="266" w:lineRule="auto"/>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Forfeited PSUs include the TSR target awards issued in 2021 which did not vest as the market condition was not satisfied. For the three year period ending March 31, 2024, the Company recorded an expense of $1.5 million associated with these 68,850 shares which, despite the awards not vesting, will not be reversed into income.</w:t>
      </w:r>
    </w:p>
    <w:p>
      <w:pPr>
        <w:spacing w:after="0" w:line="176"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As of March 31, 2024, the maximum number of common shares that may be issued with respect to PSUs outstanding is 1,886,932, assuming full achievement of the Adjusted EBITDA and TSR targets.</w:t>
      </w:r>
    </w:p>
    <w:p>
      <w:pPr>
        <w:spacing w:after="0" w:line="117" w:lineRule="exact"/>
        <w:rPr>
          <w:sz w:val="20"/>
          <w:szCs w:val="20"/>
          <w:color w:val="auto"/>
        </w:rPr>
      </w:pPr>
    </w:p>
    <w:p>
      <w:pPr>
        <w:ind w:left="22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Issuer Purchases of Equity Securities</w:t>
      </w:r>
    </w:p>
    <w:p>
      <w:pPr>
        <w:spacing w:after="0" w:line="189"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On June 12, 2017, the Company announced that its Board of Directors approved a $200.0 million share repurchase program for its common shares that would have expired on June 30, 2020, which was subsequently extended for a 12-month period in 2020, 2021, and 2023 and increased in the total share repurchase authority to $400.0 million. In 2023, the Company’s Board of Directors approved a 36-month extension to its share repurchase program through June 30, 2026. As of March 31, 2024, the Company has $150.8 million available under the program. The repurchases may be made either in the open market or through private transactions, including repurchases made pursuant to a plan intended to comply with Rule 10b5-1 under the Securities Exchange Act of 1934, as amended, subject to market conditions, applicable legal requirements, and other relevant factors. The Company has no obligation to repurchase shares and the share repurchase program may be suspended or discontinued by the Company at any time.</w:t>
      </w:r>
    </w:p>
    <w:p>
      <w:pPr>
        <w:spacing w:after="0" w:line="162"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2024, the Company repurchased 1,158,724 at an average price of $13.99 per share, for a total of $16.2 million, excluding commissions. During the three months ended March 31, 2023, the Company repurchased 109,477 common shares at an average price of $14.87 per share for a total of $1.6 million excluding commissions. The repurchases for the three months ended March 31, 2024 excludes repurchases of 108,393 shares for a total of $1.6 million with trade dates in December 2023 (March 31, 2023 — 140,000 shares for a total of $2.0 million with trade dates in December 2022). During the three months ended March 31, 2024 and 2023, there were no shares purchases in the administration of employee share-based plans.</w:t>
      </w:r>
    </w:p>
    <w:p>
      <w:pPr>
        <w:spacing w:after="0" w:line="147"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IMAX LTIP trustee did not hold any shares. Any shares held with the trustee are recorded at cost and are reported as a reduction against Capital Stock on the Company’s Condensed Consolidated Balance Sheets.</w:t>
      </w:r>
    </w:p>
    <w:p>
      <w:pPr>
        <w:spacing w:after="0" w:line="121"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In 2022, IMAX China's shareholders granted its Board of Directors a general mandate authorizing the Board, subject to applicable laws, to repurchase shares of IMAX China not to exceed 10% of the total number of issued shares as of June 23, 2022 (34,063,480 shares). This program expired on the date of the 2023 Annual General Meeting of IMAX China on June 6, 2023. During the 2023 Annual General Meeting, shareholders approved the repurchase of shares of IMAX China not to exceed 10% of the total number of shares as of June 6, 2023 (33,959,314 shares). This program will be valid until the 2024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w:t>
      </w:r>
    </w:p>
    <w:p>
      <w:pPr>
        <w:spacing w:after="0" w:line="160"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and 2023, IMAX China did not repurchase any common shares. The change in the non-controlling interest attributable to IMAX China as a result of common shares repurchased is recorded as a reduction to Non-Controlling Interests in the Condensed Consolidated Balance Sheets and the Condensed Consolidated Statements of Shareholders’ Equity. The difference between the consideration paid and the ownership interest obtained as a result of IMAX China share repurchases is recorded within Other Equity in the Condensed Consolidated Balance Sheets and the Condensed Consolidated Statements of Shareholders’ Equity.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 w:lineRule="exact"/>
        <w:rPr>
          <w:sz w:val="20"/>
          <w:szCs w:val="20"/>
          <w:color w:val="auto"/>
        </w:rPr>
      </w:pPr>
    </w:p>
    <w:p>
      <w:pPr>
        <w:ind w:left="22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(c)</w:t>
      </w:r>
      <w:r>
        <w:rPr>
          <w:sz w:val="20"/>
          <w:szCs w:val="20"/>
          <w:color w:val="auto"/>
        </w:rPr>
        <w:tab/>
      </w:r>
      <w:r>
        <w:rPr>
          <w:rFonts w:ascii="Times New Roman" w:cs="Times New Roman" w:eastAsia="Times New Roman" w:hAnsi="Times New Roman"/>
          <w:sz w:val="17"/>
          <w:szCs w:val="17"/>
          <w:b w:val="1"/>
          <w:bCs w:val="1"/>
          <w:i w:val="1"/>
          <w:iCs w:val="1"/>
          <w:color w:val="auto"/>
        </w:rPr>
        <w:t>Basic and Diluted Weighted Average Shares Outstanding</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reconciles the denominator of the basic and diluted weighted average share computations: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3"/>
        </w:trPr>
        <w:tc>
          <w:tcPr>
            <w:tcW w:w="76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76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8"/>
                <w:szCs w:val="18"/>
                <w:color w:val="auto"/>
              </w:rPr>
            </w:pPr>
          </w:p>
        </w:tc>
      </w:tr>
      <w:tr>
        <w:trPr>
          <w:trHeight w:val="236"/>
        </w:trPr>
        <w:tc>
          <w:tcPr>
            <w:tcW w:w="8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r>
        <w:trPr>
          <w:trHeight w:val="239"/>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Issued and outstanding, beginning of period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53,260</w:t>
            </w: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54,149</w:t>
            </w:r>
          </w:p>
        </w:tc>
        <w:tc>
          <w:tcPr>
            <w:tcW w:w="220" w:type="dxa"/>
            <w:vAlign w:val="bottom"/>
          </w:tcPr>
          <w:p>
            <w:pPr>
              <w:spacing w:after="0"/>
              <w:rPr>
                <w:sz w:val="20"/>
                <w:szCs w:val="20"/>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repurchased, net</w:t>
            </w:r>
          </w:p>
        </w:tc>
        <w:tc>
          <w:tcPr>
            <w:tcW w:w="9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(759 )</w:t>
            </w:r>
          </w:p>
        </w:tc>
        <w:tc>
          <w:tcPr>
            <w:tcW w:w="4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(85 )</w:t>
            </w:r>
          </w:p>
        </w:tc>
      </w:tr>
      <w:tr>
        <w:trPr>
          <w:trHeight w:val="236"/>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9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52,501</w:t>
            </w:r>
          </w:p>
        </w:tc>
        <w:tc>
          <w:tcPr>
            <w:tcW w:w="480" w:type="dxa"/>
            <w:vAlign w:val="bottom"/>
            <w:tcBorders>
              <w:top w:val="single" w:sz="8" w:color="CFF0F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54,064</w:t>
            </w:r>
          </w:p>
        </w:tc>
        <w:tc>
          <w:tcPr>
            <w:tcW w:w="220" w:type="dxa"/>
            <w:vAlign w:val="bottom"/>
            <w:tcBorders>
              <w:top w:val="single" w:sz="8" w:color="CFF0FC"/>
            </w:tcBorders>
          </w:tcPr>
          <w:p>
            <w:pPr>
              <w:spacing w:after="0"/>
              <w:rPr>
                <w:sz w:val="20"/>
                <w:szCs w:val="20"/>
                <w:color w:val="auto"/>
              </w:rPr>
            </w:pPr>
          </w:p>
        </w:tc>
      </w:tr>
      <w:tr>
        <w:trPr>
          <w:trHeight w:val="24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effect of potential common shares, if dilutive</w:t>
            </w:r>
          </w:p>
        </w:tc>
        <w:tc>
          <w:tcPr>
            <w:tcW w:w="9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4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20" w:type="dxa"/>
            <w:vAlign w:val="bottom"/>
            <w:tcBorders>
              <w:bottom w:val="single" w:sz="8" w:color="CFF0FC"/>
            </w:tcBorders>
            <w:shd w:val="clear" w:color="auto" w:fill="CFF0FC"/>
          </w:tcPr>
          <w:p>
            <w:pPr>
              <w:spacing w:after="0"/>
              <w:rPr>
                <w:sz w:val="21"/>
                <w:szCs w:val="21"/>
                <w:color w:val="auto"/>
              </w:rPr>
            </w:pPr>
          </w:p>
        </w:tc>
      </w:tr>
      <w:tr>
        <w:trPr>
          <w:trHeight w:val="237"/>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53,406</w:t>
            </w: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54,991</w:t>
            </w:r>
          </w:p>
        </w:tc>
        <w:tc>
          <w:tcPr>
            <w:tcW w:w="220" w:type="dxa"/>
            <w:vAlign w:val="bottom"/>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-504825</wp:posOffset>
            </wp:positionV>
            <wp:extent cx="768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-504825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-187960</wp:posOffset>
            </wp:positionV>
            <wp:extent cx="768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-187960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the calculation of diluted weighted average shares outstanding excludes 3,824,411, respectively (2023 — 4,260,382) that are issuable upon the vesting or exercise of share-based compensation including: (i) 729,150 RSUs (2023 — 620,553), (ii) 372,953 PSUs (2023 — 179,456 ) and (iii) 2,722,308 stock options (2023 — 3,460,373), as the effect would be anti-dilutive.</w:t>
      </w:r>
    </w:p>
    <w:p>
      <w:pPr>
        <w:spacing w:after="0" w:line="135"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calculation of diluted weighted average shares outstanding for the three months ended March 31, 2024 and 2023 also excludes any shares potentially issuable upon the conversion of the Convertible Notes as the average market price of the Company’s common shares during the period of time they were outstanding was less than the approximate $28.75 per common share conversion price of the Convertible Notes.</w:t>
      </w:r>
    </w:p>
    <w:p>
      <w:pPr>
        <w:spacing w:after="0" w:line="145" w:lineRule="exact"/>
        <w:rPr>
          <w:sz w:val="20"/>
          <w:szCs w:val="20"/>
          <w:color w:val="auto"/>
        </w:rPr>
      </w:pPr>
    </w:p>
    <w:p>
      <w:pPr>
        <w:ind w:left="22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(d)</w:t>
      </w:r>
      <w:r>
        <w:rPr>
          <w:sz w:val="20"/>
          <w:szCs w:val="20"/>
          <w:color w:val="auto"/>
        </w:rPr>
        <w:tab/>
      </w:r>
      <w:r>
        <w:rPr>
          <w:rFonts w:ascii="Times New Roman" w:cs="Times New Roman" w:eastAsia="Times New Roman" w:hAnsi="Times New Roman"/>
          <w:sz w:val="17"/>
          <w:szCs w:val="17"/>
          <w:b w:val="1"/>
          <w:bCs w:val="1"/>
          <w:i w:val="1"/>
          <w:iCs w:val="1"/>
          <w:color w:val="auto"/>
        </w:rPr>
        <w:t>Statutory Surplus Reserve</w:t>
      </w:r>
    </w:p>
    <w:p>
      <w:pPr>
        <w:spacing w:after="0" w:line="189"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Pursuant to the corporate law of the PRC, entities registered in the PRC are required to maintain certain statutory reserves, which are appropriated from after-tax profits (after offsetting accumulated losses from prior years), as reported in their respective statutory financial statements, before the declaration or payment of dividends to equity holders. All statutory reserves are created for specific purposes.</w:t>
      </w:r>
    </w:p>
    <w:p>
      <w:pPr>
        <w:spacing w:after="0" w:line="135"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 xml:space="preserve">The Company’s PRC subsidiaries are required to appropriate 10% of statutory net profits to statutory surplus reserves, upon distribution of their after-tax profits. The Company’s PRC subsidiaries may discontinue the contribution when the aggregate sum of the statutory surplus reserve is more than 50% of their registered capital. </w:t>
      </w:r>
      <w:r>
        <w:rPr>
          <w:rFonts w:ascii="Times New Roman" w:cs="Times New Roman" w:eastAsia="Times New Roman" w:hAnsi="Times New Roman"/>
          <w:sz w:val="18"/>
          <w:szCs w:val="18"/>
          <w:color w:val="333333"/>
        </w:rPr>
        <w:t>The statutory surplus reserve is non-distributable other than during liquidation and may</w:t>
      </w:r>
      <w:r>
        <w:rPr>
          <w:rFonts w:ascii="Times New Roman" w:cs="Times New Roman" w:eastAsia="Times New Roman" w:hAnsi="Times New Roman"/>
          <w:sz w:val="18"/>
          <w:szCs w:val="18"/>
          <w:color w:val="auto"/>
        </w:rPr>
        <w:t xml:space="preserve"> only be used to fund losses from prior years, to expand production operations, or to increase the capital of the subsidiaries. In addition, the subsidiaries may make further contribution to the discretional surplus reserve using post-tax profits in accordance with resolutions of the Board of Directors.</w:t>
      </w:r>
    </w:p>
    <w:p>
      <w:pPr>
        <w:spacing w:after="0" w:line="156" w:lineRule="exact"/>
        <w:rPr>
          <w:sz w:val="20"/>
          <w:szCs w:val="20"/>
          <w:color w:val="auto"/>
        </w:rPr>
      </w:pPr>
    </w:p>
    <w:p>
      <w:pPr>
        <w:jc w:val="both"/>
        <w:ind w:firstLine="275"/>
        <w:spacing w:after="0" w:line="282" w:lineRule="auto"/>
        <w:rPr>
          <w:sz w:val="20"/>
          <w:szCs w:val="20"/>
          <w:color w:val="auto"/>
        </w:rPr>
      </w:pPr>
      <w:r>
        <w:rPr>
          <w:rFonts w:ascii="Times New Roman" w:cs="Times New Roman" w:eastAsia="Times New Roman" w:hAnsi="Times New Roman"/>
          <w:sz w:val="18"/>
          <w:szCs w:val="18"/>
          <w:color w:val="auto"/>
        </w:rPr>
        <w:t>The statutory surplus reserve of RMB 36.4 million ($5.6 million) has reached 50% of the Company’s PRC subsidiaries’ registered capital, and as such no further contributions to the reserve are required.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184" w:lineRule="exact"/>
        <w:rPr>
          <w:rFonts w:ascii="Times New Roman" w:cs="Times New Roman" w:eastAsia="Times New Roman" w:hAnsi="Times New Roman"/>
          <w:sz w:val="18"/>
          <w:szCs w:val="18"/>
          <w:b w:val="1"/>
          <w:bCs w:val="1"/>
          <w:color w:val="auto"/>
        </w:rPr>
      </w:pPr>
    </w:p>
    <w:p>
      <w:pPr>
        <w:ind w:left="600" w:hanging="368"/>
        <w:spacing w:after="0"/>
        <w:tabs>
          <w:tab w:leader="none" w:pos="600" w:val="left"/>
        </w:tabs>
        <w:numPr>
          <w:ilvl w:val="1"/>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Disaggregated Information About Revenue</w:t>
      </w:r>
    </w:p>
    <w:p>
      <w:pPr>
        <w:spacing w:after="0" w:line="189"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Revenues by reportable segment and revenue stream type for the three months ended March 31, 2024 and 2023: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center"/>
              <w:ind w:left="215"/>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6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center"/>
              <w:ind w:right="135"/>
              <w:spacing w:after="0" w:line="131" w:lineRule="exact"/>
              <w:rPr>
                <w:sz w:val="20"/>
                <w:szCs w:val="20"/>
                <w:color w:val="auto"/>
              </w:rPr>
            </w:pPr>
            <w:r>
              <w:rPr>
                <w:rFonts w:ascii="Times New Roman" w:cs="Times New Roman" w:eastAsia="Times New Roman" w:hAnsi="Times New Roman"/>
                <w:sz w:val="14"/>
                <w:szCs w:val="14"/>
                <w:b w:val="1"/>
                <w:bCs w:val="1"/>
                <w:color w:val="auto"/>
              </w:rPr>
              <w:t>Image</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Enhancement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Maintenance</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Technology Sales</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Rentals</w:t>
            </w:r>
          </w:p>
        </w:tc>
        <w:tc>
          <w:tcPr>
            <w:tcW w:w="26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Content Solutions Segment</w:t>
            </w: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Film Remastering and Distribution</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29,721</w:t>
            </w: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Content Solutions</w:t>
            </w:r>
          </w:p>
        </w:tc>
        <w:tc>
          <w:tcPr>
            <w:tcW w:w="38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3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4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34,013</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Technology Products and Services Segment</w:t>
            </w: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System Sales</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System Rentals</w:t>
            </w: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18,601</w:t>
            </w: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Maintenance</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15,161</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Finance Income</w:t>
            </w:r>
          </w:p>
        </w:tc>
        <w:tc>
          <w:tcPr>
            <w:tcW w:w="3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4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15,161</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18,601</w:t>
            </w:r>
          </w:p>
        </w:tc>
        <w:tc>
          <w:tcPr>
            <w:tcW w:w="2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Sub-total for reportable segments</w:t>
            </w:r>
          </w:p>
        </w:tc>
        <w:tc>
          <w:tcPr>
            <w:tcW w:w="38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3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49,174</w:t>
            </w:r>
          </w:p>
        </w:tc>
        <w:tc>
          <w:tcPr>
            <w:tcW w:w="3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18,601</w:t>
            </w:r>
          </w:p>
        </w:tc>
        <w:tc>
          <w:tcPr>
            <w:tcW w:w="26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77,163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7,904</w:t>
            </w:r>
          </w:p>
        </w:tc>
        <w:tc>
          <w:tcPr>
            <w:tcW w:w="3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50,348</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18,601</w:t>
            </w:r>
          </w:p>
        </w:tc>
        <w:tc>
          <w:tcPr>
            <w:tcW w:w="26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79,123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4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center"/>
              <w:ind w:left="215"/>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center"/>
              <w:ind w:right="135"/>
              <w:spacing w:after="0" w:line="131" w:lineRule="exact"/>
              <w:rPr>
                <w:sz w:val="20"/>
                <w:szCs w:val="20"/>
                <w:color w:val="auto"/>
              </w:rPr>
            </w:pPr>
            <w:r>
              <w:rPr>
                <w:rFonts w:ascii="Times New Roman" w:cs="Times New Roman" w:eastAsia="Times New Roman" w:hAnsi="Times New Roman"/>
                <w:sz w:val="14"/>
                <w:szCs w:val="14"/>
                <w:b w:val="1"/>
                <w:bCs w:val="1"/>
                <w:color w:val="auto"/>
              </w:rPr>
              <w:t>Image</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Enhancement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Maintenance</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Technology Sales</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Rentals</w:t>
            </w:r>
          </w:p>
        </w:tc>
        <w:tc>
          <w:tcPr>
            <w:tcW w:w="26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Content Solutions Segment</w:t>
            </w: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Film Remastering and Distribution</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30,073</w:t>
            </w: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Content Solutions</w:t>
            </w:r>
          </w:p>
        </w:tc>
        <w:tc>
          <w:tcPr>
            <w:tcW w:w="38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4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32,101</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Technology Products and Services Segment</w:t>
            </w: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System Sales</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16,119</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System Rentals</w:t>
            </w:r>
          </w:p>
        </w:tc>
        <w:tc>
          <w:tcPr>
            <w:tcW w:w="3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20,058</w:t>
            </w: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Maintenance</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13,551</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Finance Income</w:t>
            </w:r>
          </w:p>
        </w:tc>
        <w:tc>
          <w:tcPr>
            <w:tcW w:w="3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4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16,119</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13,551</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20,058</w:t>
            </w:r>
          </w:p>
        </w:tc>
        <w:tc>
          <w:tcPr>
            <w:tcW w:w="2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Sub-total for reportable segments</w:t>
            </w:r>
          </w:p>
        </w:tc>
        <w:tc>
          <w:tcPr>
            <w:tcW w:w="38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16,119</w:t>
            </w:r>
          </w:p>
        </w:tc>
        <w:tc>
          <w:tcPr>
            <w:tcW w:w="3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45,652</w:t>
            </w:r>
          </w:p>
        </w:tc>
        <w:tc>
          <w:tcPr>
            <w:tcW w:w="3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20,058</w:t>
            </w:r>
          </w:p>
        </w:tc>
        <w:tc>
          <w:tcPr>
            <w:tcW w:w="26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83,768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17,822</w:t>
            </w:r>
          </w:p>
        </w:tc>
        <w:tc>
          <w:tcPr>
            <w:tcW w:w="3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47,127</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20,058</w:t>
            </w:r>
          </w:p>
        </w:tc>
        <w:tc>
          <w:tcPr>
            <w:tcW w:w="26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86,946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-4499610</wp:posOffset>
            </wp:positionV>
            <wp:extent cx="7683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-4499610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-4499610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-4499610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-4499610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-3556635</wp:posOffset>
            </wp:positionV>
            <wp:extent cx="7683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-3556635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-3556635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-3556635</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-3556635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-3230880</wp:posOffset>
            </wp:positionV>
            <wp:extent cx="7683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-3230880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-3230880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-3230880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-3230880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-2905125</wp:posOffset>
            </wp:positionV>
            <wp:extent cx="768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-2887980</wp:posOffset>
            </wp:positionV>
            <wp:extent cx="768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-2905125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-2887980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-2905125</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-2887980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-2905125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-2887980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-2905125</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-2887980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-1619250</wp:posOffset>
            </wp:positionV>
            <wp:extent cx="7683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-1619250</wp:posOffset>
            </wp:positionV>
            <wp:extent cx="685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-1619250</wp:posOffset>
            </wp:positionV>
            <wp:extent cx="685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-1619250</wp:posOffset>
            </wp:positionV>
            <wp:extent cx="685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-676275</wp:posOffset>
            </wp:positionV>
            <wp:extent cx="768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-676275</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-676275</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-676275</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-350520</wp:posOffset>
            </wp:positionV>
            <wp:extent cx="7683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-350520</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-350520</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-350520</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-24765</wp:posOffset>
            </wp:positionV>
            <wp:extent cx="7683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-7620</wp:posOffset>
            </wp:positionV>
            <wp:extent cx="7683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685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revenues earned from Technology Sales include variable consideration of $1.7 million (2023 — $5.6 million). Variable consideration revenues represent an estimate of the contingent fees that may become due if certain annual minimum box office receipt thresholds are exceeded and are recorded as revenue in the period when the sale is recognized and may be adjusted in future periods based on actual results and changes in estimates over the term of the system agreement.</w:t>
      </w:r>
    </w:p>
    <w:p>
      <w:pPr>
        <w:spacing w:after="0" w:line="139"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revenues earned from leasing arrangements total $19.3 million (2023 — $22.4 million), including $18.6 million in Revenues ― Technology Rentals (2023 —$20.1 million), and $0.7 million in Revenues ― Technology Sales (2023 — $2.3 million).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(b)</w:t>
        <w:tab/>
        <w:t>Deferred Revenue</w:t>
      </w:r>
    </w:p>
    <w:p>
      <w:pPr>
        <w:spacing w:after="0" w:line="189" w:lineRule="exact"/>
        <w:rPr>
          <w:sz w:val="20"/>
          <w:szCs w:val="20"/>
          <w:color w:val="auto"/>
        </w:rPr>
      </w:pPr>
    </w:p>
    <w:p>
      <w:pPr>
        <w:jc w:val="both"/>
        <w:ind w:firstLine="281"/>
        <w:spacing w:after="0" w:line="255" w:lineRule="auto"/>
        <w:rPr>
          <w:sz w:val="20"/>
          <w:szCs w:val="20"/>
          <w:color w:val="auto"/>
        </w:rPr>
      </w:pPr>
      <w:r>
        <w:rPr>
          <w:rFonts w:ascii="Times New Roman" w:cs="Times New Roman" w:eastAsia="Times New Roman" w:hAnsi="Times New Roman"/>
          <w:sz w:val="18"/>
          <w:szCs w:val="18"/>
          <w:color w:val="auto"/>
        </w:rPr>
        <w:t>IMAX System sale and lease arrangements include a requirement for the Company to provide maintenance services over the life of the arrangement, some of which are subject to a consumer price index adjustment each year. In circumstances where customers prepay the entire term’s maintenance fee based on the original arrangement, additional payments are due to the Company for the years after its extended warranty and maintenance obligations expire. Payments, upon renewal each year, are either prepaid or made in arrears and can vary in frequency from monthly to annually. As of March 31, 2024, $20.9 million of consideration has been deferred in relation to outstanding maintenance services to be provided on existing maintenance contracts (December 31, 2023 — $22.8 million). Maintenance revenue is recognized evenly over the contract term, which coincides with the period over which maintenance services are provided. In the event of customer default, any payments made by the customer may be retained by the Company.</w:t>
      </w:r>
    </w:p>
    <w:p>
      <w:pPr>
        <w:spacing w:after="0" w:line="148"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In instances where the Company receives consideration prior to satisfying its performance obligations, the recognition of revenue is deferred. The majority of the deferred revenue balance relates to payments received by the Company for IMAX Systems where control of the system has not yet transferred to the customer. The deferred revenue balance related to an individual IMAX System increases as progress payments are made and is then derecognized when control of the system is transferred to the customer. Recognition dates are variable and depend on numerous factors, including some outside of the Company’s control.</w:t>
      </w:r>
    </w:p>
    <w:p>
      <w:pPr>
        <w:spacing w:after="0" w:line="156"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$12.1 million of revenue was recognized from the $67.1 million balance of deferred revenue as of December 31, 2023. During the three months ended March 31, 2023, $9.8 million of revenue was recognized from the $70.9 million balance of deferred revenue as of December 31,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229" w:lineRule="exact"/>
        <w:rPr>
          <w:sz w:val="20"/>
          <w:szCs w:val="20"/>
          <w:color w:val="auto"/>
        </w:rPr>
      </w:pPr>
    </w:p>
    <w:p>
      <w:pPr>
        <w:jc w:val="both"/>
        <w:ind w:firstLine="210"/>
        <w:spacing w:after="0" w:line="261" w:lineRule="auto"/>
        <w:rPr>
          <w:sz w:val="20"/>
          <w:szCs w:val="20"/>
          <w:color w:val="auto"/>
        </w:rPr>
      </w:pPr>
      <w:r>
        <w:rPr>
          <w:rFonts w:ascii="Times New Roman" w:cs="Times New Roman" w:eastAsia="Times New Roman" w:hAnsi="Times New Roman"/>
          <w:sz w:val="18"/>
          <w:szCs w:val="18"/>
          <w:color w:val="auto"/>
        </w:rPr>
        <w:t>The Company’s Chief Executive Officer (“CEO”) is its Chief Operating Decision Maker (“CODM”), as such term is defined under U.S. GAAP. The CODM assesses segment performance based on segment revenues and segment gross margins. Selling, general and administrative expenses, research and development costs, the amortization of intangible assets, provision for (reversal of) current expected credit losses, certain write-downs, interest income, interest expense, and income tax (expense) benefit are not allocated to the Company’s segments.</w:t>
      </w:r>
    </w:p>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 has the following reportable segments:</w:t>
      </w:r>
    </w:p>
    <w:p>
      <w:pPr>
        <w:spacing w:after="0" w:line="225" w:lineRule="exact"/>
        <w:rPr>
          <w:sz w:val="20"/>
          <w:szCs w:val="20"/>
          <w:color w:val="auto"/>
        </w:rPr>
      </w:pPr>
    </w:p>
    <w:p>
      <w:pPr>
        <w:jc w:val="both"/>
        <w:ind w:left="1140" w:hanging="758"/>
        <w:spacing w:after="0" w:line="261"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Content Solutions, which principally includes the digital remastering of films and other content into IMAX formats for distribution to the IMAX network. To a lesser extent, the Content Solutions segment also earns revenue from the distribution of large-format documentary films and exclusive experiences ranging from live performances to interactive events with leading artists and creators, as well as film post-production services.</w:t>
      </w:r>
    </w:p>
    <w:p>
      <w:pPr>
        <w:spacing w:after="0" w:line="179" w:lineRule="exact"/>
        <w:rPr>
          <w:rFonts w:ascii="Times New Roman" w:cs="Times New Roman" w:eastAsia="Times New Roman" w:hAnsi="Times New Roman"/>
          <w:sz w:val="18"/>
          <w:szCs w:val="18"/>
          <w:color w:val="auto"/>
        </w:rPr>
      </w:pPr>
    </w:p>
    <w:p>
      <w:pPr>
        <w:jc w:val="both"/>
        <w:ind w:left="1140" w:hanging="758"/>
        <w:spacing w:after="0" w:line="266"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Products and Services, which includes results from the sale or lease of IMAX Systems, as well as from the maintenance of IMAX Systems. To a lesser extent, the Technology Product and Services segment also earns revenue from certain ancillary theater business activities, including after-market sales of IMAX System parts and 3D glasses.</w:t>
      </w:r>
    </w:p>
    <w:p>
      <w:pPr>
        <w:spacing w:after="0" w:line="149" w:lineRule="exact"/>
        <w:rPr>
          <w:sz w:val="20"/>
          <w:szCs w:val="20"/>
          <w:color w:val="auto"/>
        </w:rPr>
      </w:pPr>
    </w:p>
    <w:p>
      <w:pPr>
        <w:ind w:firstLine="224"/>
        <w:spacing w:after="0" w:line="282" w:lineRule="auto"/>
        <w:rPr>
          <w:sz w:val="20"/>
          <w:szCs w:val="20"/>
          <w:color w:val="auto"/>
        </w:rPr>
      </w:pPr>
      <w:r>
        <w:rPr>
          <w:rFonts w:ascii="Times New Roman" w:cs="Times New Roman" w:eastAsia="Times New Roman" w:hAnsi="Times New Roman"/>
          <w:sz w:val="18"/>
          <w:szCs w:val="18"/>
          <w:color w:val="auto"/>
        </w:rPr>
        <w:t>Transactions between segments are valued at exchange value. Inter-segment profits are eliminated upon consolidation, as well as for the disclosures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the Company’s revenue and gross margin by reportable segment for the three months ended March 31, 2024 and 2023: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5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Revenue</w:t>
            </w:r>
            <w:r>
              <w:rPr>
                <w:rFonts w:ascii="Times New Roman" w:cs="Times New Roman" w:eastAsia="Times New Roman" w:hAnsi="Times New Roman"/>
                <w:sz w:val="19"/>
                <w:szCs w:val="19"/>
                <w:b w:val="1"/>
                <w:bCs w:val="1"/>
                <w:color w:val="auto"/>
                <w:vertAlign w:val="superscript"/>
              </w:rPr>
              <w:t>(1)</w:t>
            </w:r>
          </w:p>
        </w:tc>
        <w:tc>
          <w:tcPr>
            <w:tcW w:w="8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r>
      <w:tr>
        <w:trPr>
          <w:trHeight w:val="237"/>
        </w:trPr>
        <w:tc>
          <w:tcPr>
            <w:tcW w:w="5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Content Solutions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34,013</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32,101</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22,099</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17,995</w:t>
            </w: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43,150</w:t>
            </w:r>
          </w:p>
        </w:tc>
        <w:tc>
          <w:tcPr>
            <w:tcW w:w="26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51,667</w:t>
            </w:r>
          </w:p>
        </w:tc>
        <w:tc>
          <w:tcPr>
            <w:tcW w:w="2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23,584</w:t>
            </w:r>
          </w:p>
        </w:tc>
        <w:tc>
          <w:tcPr>
            <w:tcW w:w="24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29,891</w:t>
            </w:r>
          </w:p>
        </w:tc>
        <w:tc>
          <w:tcPr>
            <w:tcW w:w="100" w:type="dxa"/>
            <w:vAlign w:val="bottom"/>
            <w:tcBorders>
              <w:bottom w:val="single" w:sz="8" w:color="CFF0FC"/>
            </w:tcBorders>
          </w:tcPr>
          <w:p>
            <w:pPr>
              <w:spacing w:after="0"/>
              <w:rPr>
                <w:sz w:val="20"/>
                <w:szCs w:val="20"/>
                <w:color w:val="auto"/>
              </w:rPr>
            </w:pPr>
          </w:p>
        </w:tc>
      </w:tr>
      <w:tr>
        <w:trPr>
          <w:trHeight w:val="237"/>
        </w:trPr>
        <w:tc>
          <w:tcPr>
            <w:tcW w:w="582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2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77,163</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83,768</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45,683</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47,886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tcPr>
          <w:p>
            <w:pPr>
              <w:spacing w:after="0"/>
              <w:rPr>
                <w:sz w:val="20"/>
                <w:szCs w:val="20"/>
                <w:color w:val="auto"/>
              </w:rPr>
            </w:pPr>
          </w:p>
        </w:tc>
      </w:tr>
      <w:tr>
        <w:trPr>
          <w:trHeight w:val="281"/>
        </w:trPr>
        <w:tc>
          <w:tcPr>
            <w:tcW w:w="5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79,123</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86,946</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46,889</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50,051</w:t>
            </w:r>
          </w:p>
        </w:tc>
        <w:tc>
          <w:tcPr>
            <w:tcW w:w="100" w:type="dxa"/>
            <w:vAlign w:val="bottom"/>
            <w:shd w:val="clear" w:color="auto" w:fill="CFF0FC"/>
          </w:tcPr>
          <w:p>
            <w:pPr>
              <w:spacing w:after="0"/>
              <w:rPr>
                <w:sz w:val="24"/>
                <w:szCs w:val="24"/>
                <w:color w:val="auto"/>
              </w:rPr>
            </w:pPr>
          </w:p>
        </w:tc>
      </w:tr>
      <w:tr>
        <w:trPr>
          <w:trHeight w:val="129"/>
        </w:trPr>
        <w:tc>
          <w:tcPr>
            <w:tcW w:w="1500" w:type="dxa"/>
            <w:vAlign w:val="bottom"/>
            <w:tcBorders>
              <w:top w:val="single" w:sz="8" w:color="CFF0FC"/>
              <w:bottom w:val="single" w:sz="8" w:color="auto"/>
            </w:tcBorders>
          </w:tcPr>
          <w:p>
            <w:pPr>
              <w:spacing w:after="0"/>
              <w:rPr>
                <w:sz w:val="11"/>
                <w:szCs w:val="11"/>
                <w:color w:val="auto"/>
              </w:rPr>
            </w:pPr>
          </w:p>
        </w:tc>
        <w:tc>
          <w:tcPr>
            <w:tcW w:w="4320" w:type="dxa"/>
            <w:vAlign w:val="bottom"/>
            <w:tcBorders>
              <w:top w:val="single" w:sz="8" w:color="CFF0FC"/>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-629285</wp:posOffset>
            </wp:positionV>
            <wp:extent cx="102235" cy="1968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-629285</wp:posOffset>
            </wp:positionV>
            <wp:extent cx="93980" cy="1968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-629285</wp:posOffset>
            </wp:positionV>
            <wp:extent cx="93980" cy="1968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-629285</wp:posOffset>
            </wp:positionV>
            <wp:extent cx="93980" cy="1968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-128270</wp:posOffset>
            </wp:positionV>
            <wp:extent cx="7683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-111125</wp:posOffset>
            </wp:positionV>
            <wp:extent cx="7683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-128270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-111125</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-128270</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-111125</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-111125</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left="380" w:right="20" w:hanging="372"/>
        <w:spacing w:after="0" w:line="282"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largest customer represents 10% of total Revenues for the three months ended March 31, 2024 (2023 — 9%). No single customer comprises more than 10% of the Company’s total Accounts Receivable as of March 31, 2024 and December 31, 2023.</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8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Revenue by geographic area is based on the location of the customer. Revenue related to IMAX Film Remastering process is presented based upon the geographic location of the IMAX System that exhibits the remastered films. IMAX Film Remastering and distribution revenue is generated through contractual relationships with studios and other third parties that may not be in the same geographical location as the IMAX Systems that exhibit the remastered films.</w:t>
      </w:r>
    </w:p>
    <w:p>
      <w:pPr>
        <w:spacing w:after="0" w:line="1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Company’s revenues by geographic area for the three months ended March 31, 2024 and 2023:</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20" w:type="dxa"/>
            <w:vAlign w:val="bottom"/>
            <w:tcBorders>
              <w:bottom w:val="single" w:sz="8" w:color="auto"/>
            </w:tcBorders>
          </w:tcPr>
          <w:p>
            <w:pPr>
              <w:spacing w:after="0"/>
              <w:rPr>
                <w:sz w:val="16"/>
                <w:szCs w:val="16"/>
                <w:color w:val="auto"/>
              </w:rPr>
            </w:pP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6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1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62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26,604</w:t>
            </w:r>
          </w:p>
        </w:tc>
        <w:tc>
          <w:tcPr>
            <w:tcW w:w="124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26,753</w:t>
            </w: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Greater China</w:t>
            </w:r>
          </w:p>
        </w:tc>
        <w:tc>
          <w:tcPr>
            <w:tcW w:w="620" w:type="dxa"/>
            <w:vAlign w:val="bottom"/>
          </w:tcPr>
          <w:p>
            <w:pPr>
              <w:spacing w:after="0"/>
              <w:rPr>
                <w:sz w:val="20"/>
                <w:szCs w:val="20"/>
                <w:color w:val="auto"/>
              </w:rPr>
            </w:pPr>
          </w:p>
        </w:tc>
        <w:tc>
          <w:tcPr>
            <w:tcW w:w="2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21,453</w:t>
            </w: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26,566</w:t>
            </w: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620" w:type="dxa"/>
            <w:vAlign w:val="bottom"/>
            <w:shd w:val="clear" w:color="auto" w:fill="CFF0FC"/>
          </w:tcPr>
          <w:p>
            <w:pPr>
              <w:spacing w:after="0"/>
              <w:rPr>
                <w:sz w:val="21"/>
                <w:szCs w:val="21"/>
                <w:color w:val="auto"/>
              </w:rPr>
            </w:pPr>
          </w:p>
        </w:tc>
        <w:tc>
          <w:tcPr>
            <w:tcW w:w="2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14,191</w:t>
            </w:r>
          </w:p>
        </w:tc>
        <w:tc>
          <w:tcPr>
            <w:tcW w:w="5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10,168</w:t>
            </w: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620" w:type="dxa"/>
            <w:vAlign w:val="bottom"/>
          </w:tcPr>
          <w:p>
            <w:pPr>
              <w:spacing w:after="0"/>
              <w:rPr>
                <w:sz w:val="20"/>
                <w:szCs w:val="20"/>
                <w:color w:val="auto"/>
              </w:rPr>
            </w:pPr>
          </w:p>
        </w:tc>
        <w:tc>
          <w:tcPr>
            <w:tcW w:w="2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9,126</w:t>
            </w: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10,652</w:t>
            </w: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620" w:type="dxa"/>
            <w:vAlign w:val="bottom"/>
            <w:shd w:val="clear" w:color="auto" w:fill="CFF0FC"/>
          </w:tcPr>
          <w:p>
            <w:pPr>
              <w:spacing w:after="0"/>
              <w:rPr>
                <w:sz w:val="21"/>
                <w:szCs w:val="21"/>
                <w:color w:val="auto"/>
              </w:rPr>
            </w:pPr>
          </w:p>
        </w:tc>
        <w:tc>
          <w:tcPr>
            <w:tcW w:w="2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2,408</w:t>
            </w:r>
          </w:p>
        </w:tc>
        <w:tc>
          <w:tcPr>
            <w:tcW w:w="5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7,196</w:t>
            </w: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620" w:type="dxa"/>
            <w:vAlign w:val="bottom"/>
          </w:tcPr>
          <w:p>
            <w:pPr>
              <w:spacing w:after="0"/>
              <w:rPr>
                <w:sz w:val="20"/>
                <w:szCs w:val="20"/>
                <w:color w:val="auto"/>
              </w:rPr>
            </w:pPr>
          </w:p>
        </w:tc>
        <w:tc>
          <w:tcPr>
            <w:tcW w:w="2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1,460</w:t>
            </w: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1,603</w:t>
            </w:r>
          </w:p>
        </w:tc>
      </w:tr>
      <w:tr>
        <w:trPr>
          <w:trHeight w:val="24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620" w:type="dxa"/>
            <w:vAlign w:val="bottom"/>
            <w:tcBorders>
              <w:bottom w:val="single" w:sz="8" w:color="auto"/>
            </w:tcBorders>
            <w:shd w:val="clear" w:color="auto" w:fill="CFF0FC"/>
          </w:tcPr>
          <w:p>
            <w:pPr>
              <w:spacing w:after="0"/>
              <w:rPr>
                <w:sz w:val="21"/>
                <w:szCs w:val="21"/>
                <w:color w:val="auto"/>
              </w:rPr>
            </w:pPr>
          </w:p>
        </w:tc>
        <w:tc>
          <w:tcPr>
            <w:tcW w:w="20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3,881</w:t>
            </w:r>
          </w:p>
        </w:tc>
        <w:tc>
          <w:tcPr>
            <w:tcW w:w="58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4,008</w:t>
            </w: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79,123</w:t>
            </w: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86,946</w:t>
            </w:r>
          </w:p>
        </w:tc>
      </w:tr>
      <w:tr>
        <w:trPr>
          <w:trHeight w:val="20"/>
        </w:trPr>
        <w:tc>
          <w:tcPr>
            <w:tcW w:w="58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-187960</wp:posOffset>
            </wp:positionV>
            <wp:extent cx="19748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97485" cy="8890"/>
                    </a:xfrm>
                    <a:prstGeom prst="rect">
                      <a:avLst/>
                    </a:prstGeom>
                    <a:noFill/>
                  </pic:spPr>
                </pic:pic>
              </a:graphicData>
            </a:graphic>
          </wp:anchor>
        </w:drawing>
      </w:r>
    </w:p>
    <w:p>
      <w:pPr>
        <w:spacing w:after="0" w:line="137"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The United States and Greater China (which includes the mainland of the People’s Republic of China, Hong Kong, Macau, and Taiwan) each comprise greater than 10% of the Company’s total revenues for the three months ended March 31, 2024 and 2023,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Employee’s Pension and Postretirement Benefits</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(a) Defined Benefit Plan</w:t>
      </w:r>
    </w:p>
    <w:p>
      <w:pPr>
        <w:spacing w:after="0" w:line="189" w:lineRule="exact"/>
        <w:rPr>
          <w:sz w:val="20"/>
          <w:szCs w:val="20"/>
          <w:color w:val="auto"/>
        </w:rPr>
      </w:pPr>
    </w:p>
    <w:p>
      <w:pPr>
        <w:jc w:val="both"/>
        <w:ind w:firstLine="223"/>
        <w:spacing w:after="0" w:line="255" w:lineRule="auto"/>
        <w:rPr>
          <w:sz w:val="20"/>
          <w:szCs w:val="20"/>
          <w:color w:val="auto"/>
        </w:rPr>
      </w:pPr>
      <w:r>
        <w:rPr>
          <w:rFonts w:ascii="Times New Roman" w:cs="Times New Roman" w:eastAsia="Times New Roman" w:hAnsi="Times New Roman"/>
          <w:sz w:val="18"/>
          <w:szCs w:val="18"/>
          <w:color w:val="auto"/>
        </w:rPr>
        <w:t>The Company has an unfunded defined benefit pension plan, the Supplemental Executive Retirement Plan (the “SERP”), covering its CEO, Richard L. Gelfond. Under the terms of the SERP, if Mr. Gelfond’s employment is terminated other than for cause (as defined in his employment agreement), he is entitled to receive SERP benefits in the form of a lump sum payment. SERP benefit payments to Mr. Gelfond are subject to a deferral for six months after the termination of his employment, at which time Mr. Gelfond will be entitled to receive interest on the deferred amount credited at the applicable federal rate for short-term obligations. Pursuant to an amendment to his employment agreement dated September 19, 2022, the term of Mr. Gelfond’s employment was extended through December 31, 2025, although Mr. Gelfond has not informed the Company that he intends to retire at that time. Under the terms of his employment agreement, as amended, the total benefit payable to Mr. Gelfond under the SERP is fixed at $20.3 million.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5" w:lineRule="exact"/>
        <w:rPr>
          <w:sz w:val="20"/>
          <w:szCs w:val="20"/>
          <w:color w:val="auto"/>
        </w:rPr>
      </w:pPr>
    </w:p>
    <w:p>
      <w:pPr>
        <w:jc w:val="both"/>
        <w:ind w:firstLine="223"/>
        <w:spacing w:after="0" w:line="261" w:lineRule="auto"/>
        <w:rPr>
          <w:sz w:val="20"/>
          <w:szCs w:val="20"/>
          <w:color w:val="auto"/>
        </w:rPr>
      </w:pPr>
      <w:r>
        <w:rPr>
          <w:rFonts w:ascii="Times New Roman" w:cs="Times New Roman" w:eastAsia="Times New Roman" w:hAnsi="Times New Roman"/>
          <w:sz w:val="18"/>
          <w:szCs w:val="18"/>
          <w:color w:val="auto"/>
        </w:rPr>
        <w:t>As of March 31, 2024, the Company’s projected benefit obligation for the SERP is $18.4 million (December 31, 2023 — $18.2 million). For the three months ended March 31, 2024, the Company recorded interest costs of $0.2 million (2023 —$0.2 million) related to the SERP. The Company expects to recognize additional interest costs of $0.6 million related to the SERP during the remainder of 2024. No contributions are expected to be made to the SERP in 2024.</w:t>
      </w:r>
    </w:p>
    <w:p>
      <w:pPr>
        <w:spacing w:after="0" w:line="135"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(b)</w:t>
        <w:tab/>
        <w:t>Defined Contribution Pension Plan</w:t>
      </w:r>
    </w:p>
    <w:p>
      <w:pPr>
        <w:spacing w:after="0" w:line="18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Company also maintains defined contribution plans for its employees, including its executive officers. The Company makes contributions to these plans on behalf of employees in an amount up to 5% of their base salary subject to certain prescribed maximums. During the three months ended March 31, 2024, the Company contributed and recorded expense of $0.4 million (2023 — $0.3 million) to its Canadian defined contribution plan and $0.3 million (2023 — $0.3 million) to its defined contribution employee plan under Section 401(k) of the U.S. Internal Revenue Code.</w:t>
      </w:r>
    </w:p>
    <w:p>
      <w:pPr>
        <w:spacing w:after="0" w:line="149"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(c)</w:t>
        <w:tab/>
        <w:t>Postretirement Benefits – Executives</w:t>
      </w:r>
    </w:p>
    <w:p>
      <w:pPr>
        <w:spacing w:after="0" w:line="189" w:lineRule="exact"/>
        <w:rPr>
          <w:sz w:val="20"/>
          <w:szCs w:val="20"/>
          <w:color w:val="auto"/>
        </w:rPr>
      </w:pPr>
    </w:p>
    <w:p>
      <w:pPr>
        <w:jc w:val="both"/>
        <w:ind w:firstLine="223"/>
        <w:spacing w:after="0" w:line="258" w:lineRule="auto"/>
        <w:rPr>
          <w:sz w:val="20"/>
          <w:szCs w:val="20"/>
          <w:color w:val="auto"/>
        </w:rPr>
      </w:pPr>
      <w:r>
        <w:rPr>
          <w:rFonts w:ascii="Times New Roman" w:cs="Times New Roman" w:eastAsia="Times New Roman" w:hAnsi="Times New Roman"/>
          <w:sz w:val="18"/>
          <w:szCs w:val="18"/>
          <w:color w:val="auto"/>
        </w:rPr>
        <w:t>The Company has an unfunded postretirement plan for Mr. Gelfond and Bradley J. Wechsler, former Chairman of the Company’s Board of Directors (the “Executive Postretirement Benefit Plan”). The Executive Postretirement Benefit Plan provides that the Company will maintain health benefits for Messrs. Gelfond and Wechsler until they become eligible for Medicare and, thereafter, the Company will provide Medicare supplemental coverage as selected by Messrs. Gelfond and Wechsler. Mr. Wechsler retired from the Company’s Board of Directors on June 9, 2021, and the Company is providing him with Medicare supplemental coverage or its cash equivalent.</w:t>
      </w:r>
    </w:p>
    <w:p>
      <w:pPr>
        <w:spacing w:after="0" w:line="143" w:lineRule="exact"/>
        <w:rPr>
          <w:sz w:val="20"/>
          <w:szCs w:val="20"/>
          <w:color w:val="auto"/>
        </w:rPr>
      </w:pPr>
    </w:p>
    <w:p>
      <w:pPr>
        <w:jc w:val="both"/>
        <w:ind w:right="20" w:firstLine="223"/>
        <w:spacing w:after="0" w:line="282" w:lineRule="auto"/>
        <w:rPr>
          <w:sz w:val="20"/>
          <w:szCs w:val="20"/>
          <w:color w:val="auto"/>
        </w:rPr>
      </w:pPr>
      <w:r>
        <w:rPr>
          <w:rFonts w:ascii="Times New Roman" w:cs="Times New Roman" w:eastAsia="Times New Roman" w:hAnsi="Times New Roman"/>
          <w:sz w:val="18"/>
          <w:szCs w:val="18"/>
          <w:color w:val="auto"/>
        </w:rPr>
        <w:t>As of March 31, 2024, the Company’s postretirement benefits obligation under this plan is $0.5 million (December 31, 2023 — $0.5 million). For the three months ended March 31, 2024, the Company has recorded an expense of less than $0.1 million (2023 — less than $0.1 million) related to this plan.</w:t>
      </w:r>
    </w:p>
    <w:p>
      <w:pPr>
        <w:spacing w:after="0" w:line="131"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(d)</w:t>
      </w:r>
      <w:r>
        <w:rPr>
          <w:sz w:val="20"/>
          <w:szCs w:val="20"/>
          <w:color w:val="auto"/>
        </w:rPr>
        <w:tab/>
      </w:r>
      <w:r>
        <w:rPr>
          <w:rFonts w:ascii="Times New Roman" w:cs="Times New Roman" w:eastAsia="Times New Roman" w:hAnsi="Times New Roman"/>
          <w:sz w:val="17"/>
          <w:szCs w:val="17"/>
          <w:b w:val="1"/>
          <w:bCs w:val="1"/>
          <w:i w:val="1"/>
          <w:iCs w:val="1"/>
          <w:color w:val="auto"/>
        </w:rPr>
        <w:t>Postretirement Benefits – Canadian Employees</w:t>
      </w:r>
    </w:p>
    <w:p>
      <w:pPr>
        <w:spacing w:after="0" w:line="18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Company has an unfunded postretirement plan for its Canadian employees meeting specific eligibility requirements. The Company will provide eligible participants, upon retirement, with health and welfare benefits. As of March 31, 2024, the Company’s postretirement benefits obligation under this plan is $0.8 million (December 31, 2023 — $1.0 million). For the three months ended March 31, 2024, the Company has recorded an expense of less than $0.1 million (2023 — less than $0.1 million) related to this plan.</w:t>
      </w:r>
    </w:p>
    <w:p>
      <w:pPr>
        <w:spacing w:after="0" w:line="135"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(e)</w:t>
        <w:tab/>
        <w:t>Deferred Compensation Benefit Plan</w:t>
      </w:r>
    </w:p>
    <w:p>
      <w:pPr>
        <w:spacing w:after="0" w:line="202"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Company maintained a nonqualified deferred compensation benefit plan (the “Retirement Plan”) covering the former CEO of IMAX Entertainment and Senior Executive Vice President of the Company. Under the terms of the Retirement Plan, the benefits were due to vest in full if the executive incurred a separation from service from the Company (as defined therein). In 2018, the executive incurred a separation from service from the Company, and as such, the Retirement Plan benefits became fully vested as of December 31, 2018.</w:t>
      </w:r>
    </w:p>
    <w:p>
      <w:pPr>
        <w:spacing w:after="0" w:line="13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As of March 31, 2024, the benefit obligation related to the Retirement Plan was $4.1 million (December 31, 2023 — $4.1 million) and is recorded on the Company’s Condensed Consolidated Balance Sheets within Accrued and Other Liabilities. As the Retirement Plan is fully vested, the benefit obligation is measured at the present value of the benefits expected to be paid in the future with the accretion of interest recognized in the Condensed Consolidated Statements of Operations within Retirement Benefits Non-Service Expense.</w:t>
      </w:r>
    </w:p>
    <w:p>
      <w:pPr>
        <w:spacing w:after="0" w:line="13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Retirement Plan is funded by an investment in company-owned life insurance (“COLI”), which is recorded at its fair value on the Company’s Condensed Consolidated Balance Sheets within Prepaid Expenses. As of March 31, 2024, fair value of the COLI asset was $3.6 million (December 31, 2023 — $3.5 million). Gains and losses resulting from changes in the cash surrender value of the COLI asset are recognized in the Condensed Consolidated Statements of Operations within Realized and Unrealized Investment Gains.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184" w:lineRule="exact"/>
        <w:rPr>
          <w:rFonts w:ascii="Times New Roman" w:cs="Times New Roman" w:eastAsia="Times New Roman" w:hAnsi="Times New Roman"/>
          <w:sz w:val="18"/>
          <w:szCs w:val="18"/>
          <w:b w:val="1"/>
          <w:bCs w:val="1"/>
          <w:color w:val="auto"/>
        </w:rPr>
      </w:pPr>
    </w:p>
    <w:p>
      <w:pPr>
        <w:ind w:left="600" w:hanging="368"/>
        <w:spacing w:after="0"/>
        <w:tabs>
          <w:tab w:leader="none" w:pos="600" w:val="left"/>
        </w:tabs>
        <w:numPr>
          <w:ilvl w:val="1"/>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Financial Instruments</w:t>
      </w:r>
    </w:p>
    <w:p>
      <w:pPr>
        <w:spacing w:after="0" w:line="189"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Company’s cash is invested with various major financial institutions. The Company’s $81.0 million balance of cash and cash equivalents as of March 31, 2024 (December 31, 2023 — $76.2 million) includes $70.3 million in cash held outside of Canada (December 31, 2023 — $68.5 million), of which $31.8 million was held in the PRC (December 31, 2023 — $30.0 million).</w:t>
      </w:r>
    </w:p>
    <w:p>
      <w:pPr>
        <w:spacing w:after="0" w:line="145"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(b)</w:t>
      </w:r>
      <w:r>
        <w:rPr>
          <w:sz w:val="20"/>
          <w:szCs w:val="20"/>
          <w:color w:val="auto"/>
        </w:rPr>
        <w:tab/>
      </w:r>
      <w:r>
        <w:rPr>
          <w:rFonts w:ascii="Times New Roman" w:cs="Times New Roman" w:eastAsia="Times New Roman" w:hAnsi="Times New Roman"/>
          <w:sz w:val="17"/>
          <w:szCs w:val="17"/>
          <w:b w:val="1"/>
          <w:bCs w:val="1"/>
          <w:i w:val="1"/>
          <w:iCs w:val="1"/>
          <w:color w:val="auto"/>
        </w:rPr>
        <w:t>Fair Value Measurements</w:t>
      </w:r>
    </w:p>
    <w:p>
      <w:pPr>
        <w:spacing w:after="0" w:line="189"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carrying values of the Company’s Cash and Cash Equivalents, Accounts Receivable, Accounts Payable and Accrued Liabilities due within one year approximate their fair values due to the short-term maturity of these instruments. Including these instruments, the Company’s financial instruments consist of the following:</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131"/>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right"/>
              <w:ind w:right="315"/>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ind w:right="293"/>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ind w:right="295"/>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right"/>
              <w:ind w:right="273"/>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187"/>
        </w:trPr>
        <w:tc>
          <w:tcPr>
            <w:tcW w:w="5780" w:type="dxa"/>
            <w:vAlign w:val="bottom"/>
            <w:gridSpan w:val="4"/>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83"/>
        </w:trPr>
        <w:tc>
          <w:tcPr>
            <w:tcW w:w="20" w:type="dxa"/>
            <w:vAlign w:val="bottom"/>
            <w:shd w:val="clear" w:color="auto" w:fill="CFF0FC"/>
          </w:tcPr>
          <w:p>
            <w:pPr>
              <w:spacing w:after="0"/>
              <w:rPr>
                <w:sz w:val="15"/>
                <w:szCs w:val="15"/>
                <w:color w:val="auto"/>
              </w:rPr>
            </w:pPr>
          </w:p>
        </w:tc>
        <w:tc>
          <w:tcPr>
            <w:tcW w:w="5760" w:type="dxa"/>
            <w:vAlign w:val="bottom"/>
            <w:gridSpan w:val="3"/>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Level 1</w:t>
            </w: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auto"/>
            </w:tcBorders>
            <w:shd w:val="clear" w:color="auto" w:fill="CFF0FC"/>
          </w:tcPr>
          <w:p>
            <w:pPr>
              <w:spacing w:after="0"/>
              <w:rPr>
                <w:sz w:val="2"/>
                <w:szCs w:val="2"/>
                <w:color w:val="auto"/>
              </w:rPr>
            </w:pPr>
          </w:p>
        </w:tc>
        <w:tc>
          <w:tcPr>
            <w:tcW w:w="940" w:type="dxa"/>
            <w:vAlign w:val="bottom"/>
            <w:tcBorders>
              <w:top w:val="single" w:sz="8" w:color="CFF0FC"/>
            </w:tcBorders>
            <w:shd w:val="clear" w:color="auto" w:fill="CFF0FC"/>
          </w:tcPr>
          <w:p>
            <w:pPr>
              <w:spacing w:after="0"/>
              <w:rPr>
                <w:sz w:val="2"/>
                <w:szCs w:val="2"/>
                <w:color w:val="auto"/>
              </w:rPr>
            </w:pPr>
          </w:p>
        </w:tc>
        <w:tc>
          <w:tcPr>
            <w:tcW w:w="428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0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108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1060" w:type="dxa"/>
            <w:vAlign w:val="bottom"/>
            <w:tcBorders>
              <w:top w:val="single" w:sz="8" w:color="CFF0FC"/>
            </w:tcBorders>
            <w:shd w:val="clear" w:color="auto" w:fill="CFF0FC"/>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5760" w:type="dxa"/>
            <w:vAlign w:val="bottom"/>
            <w:gridSpan w:val="3"/>
          </w:tcPr>
          <w:p>
            <w:pPr>
              <w:spacing w:after="0" w:line="243" w:lineRule="exact"/>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4"/>
                <w:szCs w:val="24"/>
                <w:color w:val="auto"/>
                <w:vertAlign w:val="superscript"/>
              </w:rPr>
              <w:t>(1)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81,017</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81,017</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76,200</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76,200</w:t>
            </w:r>
          </w:p>
        </w:tc>
      </w:tr>
      <w:tr>
        <w:trPr>
          <w:trHeight w:val="189"/>
        </w:trPr>
        <w:tc>
          <w:tcPr>
            <w:tcW w:w="20" w:type="dxa"/>
            <w:vAlign w:val="bottom"/>
            <w:shd w:val="clear" w:color="auto" w:fill="CFF0FC"/>
          </w:tcPr>
          <w:p>
            <w:pPr>
              <w:spacing w:after="0"/>
              <w:rPr>
                <w:sz w:val="16"/>
                <w:szCs w:val="16"/>
                <w:color w:val="auto"/>
              </w:rPr>
            </w:pPr>
          </w:p>
        </w:tc>
        <w:tc>
          <w:tcPr>
            <w:tcW w:w="5760" w:type="dxa"/>
            <w:vAlign w:val="bottom"/>
            <w:gridSpan w:val="3"/>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Level 2</w:t>
            </w:r>
          </w:p>
        </w:tc>
        <w:tc>
          <w:tcPr>
            <w:tcW w:w="2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auto"/>
            </w:tcBorders>
            <w:shd w:val="clear" w:color="auto" w:fill="CFF0FC"/>
          </w:tcPr>
          <w:p>
            <w:pPr>
              <w:spacing w:after="0"/>
              <w:rPr>
                <w:sz w:val="2"/>
                <w:szCs w:val="2"/>
                <w:color w:val="auto"/>
              </w:rPr>
            </w:pPr>
          </w:p>
        </w:tc>
        <w:tc>
          <w:tcPr>
            <w:tcW w:w="940" w:type="dxa"/>
            <w:vAlign w:val="bottom"/>
            <w:tcBorders>
              <w:top w:val="single" w:sz="8" w:color="CFF0FC"/>
            </w:tcBorders>
            <w:shd w:val="clear" w:color="auto" w:fill="CFF0FC"/>
          </w:tcPr>
          <w:p>
            <w:pPr>
              <w:spacing w:after="0"/>
              <w:rPr>
                <w:sz w:val="2"/>
                <w:szCs w:val="2"/>
                <w:color w:val="auto"/>
              </w:rPr>
            </w:pPr>
          </w:p>
        </w:tc>
        <w:tc>
          <w:tcPr>
            <w:tcW w:w="428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0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108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1060" w:type="dxa"/>
            <w:vAlign w:val="bottom"/>
            <w:tcBorders>
              <w:top w:val="single" w:sz="8" w:color="CFF0FC"/>
            </w:tcBorders>
            <w:shd w:val="clear" w:color="auto" w:fill="CFF0FC"/>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5760" w:type="dxa"/>
            <w:vAlign w:val="bottom"/>
            <w:gridSpan w:val="3"/>
          </w:tcPr>
          <w:p>
            <w:pPr>
              <w:spacing w:after="0" w:line="243" w:lineRule="exact"/>
              <w:rPr>
                <w:sz w:val="20"/>
                <w:szCs w:val="20"/>
                <w:color w:val="auto"/>
              </w:rPr>
            </w:pPr>
            <w:r>
              <w:rPr>
                <w:rFonts w:ascii="Times New Roman" w:cs="Times New Roman" w:eastAsia="Times New Roman" w:hAnsi="Times New Roman"/>
                <w:sz w:val="18"/>
                <w:szCs w:val="18"/>
                <w:color w:val="auto"/>
              </w:rPr>
              <w:t>Net financed sales receivables</w:t>
            </w:r>
            <w:r>
              <w:rPr>
                <w:rFonts w:ascii="Times New Roman" w:cs="Times New Roman" w:eastAsia="Times New Roman" w:hAnsi="Times New Roman"/>
                <w:sz w:val="24"/>
                <w:szCs w:val="24"/>
                <w:color w:val="auto"/>
                <w:vertAlign w:val="superscript"/>
              </w:rPr>
              <w:t>(2)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96,291</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96,313</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97,615</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96,500</w:t>
            </w:r>
          </w:p>
        </w:tc>
      </w:tr>
      <w:tr>
        <w:trPr>
          <w:trHeight w:val="243"/>
        </w:trPr>
        <w:tc>
          <w:tcPr>
            <w:tcW w:w="5780" w:type="dxa"/>
            <w:vAlign w:val="bottom"/>
            <w:gridSpan w:val="4"/>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Net investment in sales-type leases</w:t>
            </w:r>
            <w:r>
              <w:rPr>
                <w:rFonts w:ascii="Times New Roman" w:cs="Times New Roman" w:eastAsia="Times New Roman" w:hAnsi="Times New Roman"/>
                <w:sz w:val="24"/>
                <w:szCs w:val="24"/>
                <w:color w:val="auto"/>
                <w:vertAlign w:val="superscript"/>
              </w:rPr>
              <w:t>(2)</w:t>
            </w: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29,323</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28,578</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29,539</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28,751</w:t>
            </w:r>
          </w:p>
        </w:tc>
      </w:tr>
      <w:tr>
        <w:trPr>
          <w:trHeight w:val="243"/>
        </w:trPr>
        <w:tc>
          <w:tcPr>
            <w:tcW w:w="5780" w:type="dxa"/>
            <w:vAlign w:val="bottom"/>
            <w:gridSpan w:val="4"/>
          </w:tcPr>
          <w:p>
            <w:pPr>
              <w:ind w:left="20"/>
              <w:spacing w:after="0" w:line="243" w:lineRule="exact"/>
              <w:rPr>
                <w:sz w:val="20"/>
                <w:szCs w:val="20"/>
                <w:color w:val="auto"/>
              </w:rPr>
            </w:pPr>
            <w:r>
              <w:rPr>
                <w:rFonts w:ascii="Times New Roman" w:cs="Times New Roman" w:eastAsia="Times New Roman" w:hAnsi="Times New Roman"/>
                <w:sz w:val="18"/>
                <w:szCs w:val="18"/>
                <w:color w:val="auto"/>
              </w:rPr>
              <w:t>Equity securities</w:t>
            </w:r>
            <w:r>
              <w:rPr>
                <w:rFonts w:ascii="Times New Roman" w:cs="Times New Roman" w:eastAsia="Times New Roman" w:hAnsi="Times New Roman"/>
                <w:sz w:val="24"/>
                <w:szCs w:val="24"/>
                <w:color w:val="auto"/>
                <w:vertAlign w:val="superscript"/>
              </w:rPr>
              <w:t>(1)</w:t>
            </w:r>
          </w:p>
        </w:tc>
        <w:tc>
          <w:tcPr>
            <w:tcW w:w="20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5780" w:type="dxa"/>
            <w:vAlign w:val="bottom"/>
            <w:gridSpan w:val="4"/>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COLI</w:t>
            </w:r>
            <w:r>
              <w:rPr>
                <w:rFonts w:ascii="Times New Roman" w:cs="Times New Roman" w:eastAsia="Times New Roman" w:hAnsi="Times New Roman"/>
                <w:sz w:val="24"/>
                <w:szCs w:val="24"/>
                <w:color w:val="auto"/>
                <w:vertAlign w:val="superscript"/>
              </w:rPr>
              <w:t>(4)</w:t>
            </w: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3,552</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3,552</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3,522</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3,522</w:t>
            </w:r>
          </w:p>
        </w:tc>
      </w:tr>
      <w:tr>
        <w:trPr>
          <w:trHeight w:val="243"/>
        </w:trPr>
        <w:tc>
          <w:tcPr>
            <w:tcW w:w="5780" w:type="dxa"/>
            <w:vAlign w:val="bottom"/>
            <w:gridSpan w:val="4"/>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Foreign exchange contracts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designated forwards</w:t>
            </w:r>
            <w:r>
              <w:rPr>
                <w:rFonts w:ascii="Times New Roman" w:cs="Times New Roman" w:eastAsia="Times New Roman" w:hAnsi="Times New Roman"/>
                <w:sz w:val="24"/>
                <w:szCs w:val="24"/>
                <w:color w:val="auto"/>
                <w:vertAlign w:val="superscript"/>
              </w:rPr>
              <w:t>(3)</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819</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819</w:t>
            </w:r>
          </w:p>
        </w:tc>
      </w:tr>
      <w:tr>
        <w:trPr>
          <w:trHeight w:val="243"/>
        </w:trPr>
        <w:tc>
          <w:tcPr>
            <w:tcW w:w="5780" w:type="dxa"/>
            <w:vAlign w:val="bottom"/>
            <w:gridSpan w:val="4"/>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Wells Fargo Credit Facility borrowings</w:t>
            </w:r>
            <w:r>
              <w:rPr>
                <w:rFonts w:ascii="Times New Roman" w:cs="Times New Roman" w:eastAsia="Times New Roman" w:hAnsi="Times New Roman"/>
                <w:sz w:val="24"/>
                <w:szCs w:val="24"/>
                <w:color w:val="auto"/>
                <w:vertAlign w:val="superscript"/>
              </w:rPr>
              <w:t>(1)</w:t>
            </w: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(69,000 )</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(69,000 )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(24,000 )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(24,000 )</w:t>
            </w:r>
          </w:p>
        </w:tc>
      </w:tr>
      <w:tr>
        <w:trPr>
          <w:trHeight w:val="243"/>
        </w:trPr>
        <w:tc>
          <w:tcPr>
            <w:tcW w:w="5780" w:type="dxa"/>
            <w:vAlign w:val="bottom"/>
            <w:gridSpan w:val="4"/>
          </w:tcPr>
          <w:p>
            <w:pPr>
              <w:ind w:left="20"/>
              <w:spacing w:after="0" w:line="243" w:lineRule="exact"/>
              <w:rPr>
                <w:sz w:val="20"/>
                <w:szCs w:val="20"/>
                <w:color w:val="auto"/>
              </w:rPr>
            </w:pPr>
            <w:r>
              <w:rPr>
                <w:rFonts w:ascii="Times New Roman" w:cs="Times New Roman" w:eastAsia="Times New Roman" w:hAnsi="Times New Roman"/>
                <w:sz w:val="18"/>
                <w:szCs w:val="18"/>
                <w:color w:val="auto"/>
              </w:rPr>
              <w:t>Federal Economic Development Loan</w:t>
            </w:r>
            <w:r>
              <w:rPr>
                <w:rFonts w:ascii="Times New Roman" w:cs="Times New Roman" w:eastAsia="Times New Roman" w:hAnsi="Times New Roman"/>
                <w:sz w:val="24"/>
                <w:szCs w:val="24"/>
                <w:color w:val="auto"/>
                <w:vertAlign w:val="superscript"/>
              </w:rPr>
              <w:t>(2)</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(2,426 )</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(2,426 )</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(2,498 )</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(2,498 )</w:t>
            </w:r>
          </w:p>
        </w:tc>
      </w:tr>
      <w:tr>
        <w:trPr>
          <w:trHeight w:val="243"/>
        </w:trPr>
        <w:tc>
          <w:tcPr>
            <w:tcW w:w="5780" w:type="dxa"/>
            <w:vAlign w:val="bottom"/>
            <w:gridSpan w:val="4"/>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Convertible Notes</w:t>
            </w:r>
            <w:r>
              <w:rPr>
                <w:rFonts w:ascii="Times New Roman" w:cs="Times New Roman" w:eastAsia="Times New Roman" w:hAnsi="Times New Roman"/>
                <w:sz w:val="24"/>
                <w:szCs w:val="24"/>
                <w:color w:val="auto"/>
                <w:vertAlign w:val="superscript"/>
              </w:rPr>
              <w:t>(5)</w:t>
            </w: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(230,000 )</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(213,571 )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(230,000 )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(205,850 )</w:t>
            </w:r>
          </w:p>
        </w:tc>
      </w:tr>
      <w:tr>
        <w:trPr>
          <w:trHeight w:val="135"/>
        </w:trPr>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4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r>
    </w:tbl>
    <w:p>
      <w:pPr>
        <w:spacing w:after="0" w:line="171" w:lineRule="exact"/>
        <w:rPr>
          <w:sz w:val="20"/>
          <w:szCs w:val="20"/>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at cost, which approximates fair value.</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is estimated based on discounting future cash flows at currently available interest rates with comparable terms.</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is determined using quoted prices in active markets.</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Measured at cash surrender value, which approximates fair value.</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is determined using quoted market prices that are observable in the market or that could be derived from observable market data.</w:t>
      </w:r>
    </w:p>
    <w:p>
      <w:pPr>
        <w:spacing w:after="0" w:line="180" w:lineRule="exact"/>
        <w:rPr>
          <w:rFonts w:ascii="Times New Roman" w:cs="Times New Roman" w:eastAsia="Times New Roman" w:hAnsi="Times New Roman"/>
          <w:sz w:val="18"/>
          <w:szCs w:val="18"/>
          <w:color w:val="auto"/>
        </w:rPr>
      </w:pPr>
    </w:p>
    <w:p>
      <w:pPr>
        <w:ind w:left="600" w:hanging="368"/>
        <w:spacing w:after="0"/>
        <w:tabs>
          <w:tab w:leader="none" w:pos="600" w:val="left"/>
        </w:tabs>
        <w:numPr>
          <w:ilvl w:val="1"/>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Foreign Exchange Risk Management</w:t>
      </w:r>
    </w:p>
    <w:p>
      <w:pPr>
        <w:spacing w:after="0" w:line="2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 is exposed to market risk from changes in foreign currency rates.</w:t>
      </w:r>
    </w:p>
    <w:p>
      <w:pPr>
        <w:spacing w:after="0" w:line="185"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A majority of the Company’s revenues is denominated in U.S. Dollars while a significant portion of its costs and expenses is denominated in Canadian Dollars. A portion of the Company’s net U.S. Dollar cash is converted to Canadian Dollars to fund Canadian Dollar expenses through the spot market. In China and Japan, the Company has ongoing operating expenses related to its operations in RMB and Japanese Yen, respectively. Net cash flows are converted to and from U.S. Dollars through the spot market. The Company also has cash receipts under leases denominated in RMB, Japanese Yen, Canadian Dollars and Euros which are converted to U.S. Dollars through the spot market. In addition, because IMAX films generate box office receipts in 89 different countries, unfavorable exchange rates between applicable local currencies and the U.S. Dollar could have an impact on box-office receipts and the Company’s revenues and results of operations. The Company’s policy is to not use any financial instruments for trading or other speculative purposes.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5"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FASB ASC at inception, and continue to meet hedge effectiveness tests as of March 31, 2024 (the “Foreign Currency Hedges”), with settlement dates throughout 2024 and 2025. Foreign currency derivatives are recognized and measured in the Condensed Consolidated Balance Sheets at fair value. Changes in the fair value (i.e., gains or losses) are recognized in the Condensed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in Accumulated Other Comprehensive (Loss) Income (“AOCI”) and reclassified to the Condensed Consolidated Statements of Operations when the forecasted transaction occurs. Any ineffective portion is recognized immediately in the Condensed Consolidated Statements of Operations.</w:t>
      </w:r>
    </w:p>
    <w:p>
      <w:pPr>
        <w:spacing w:after="0" w:line="154"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notional value of foreign currency cash flow hedging instruments that qualify for hedge accounting as of March 31, 2024 was $34.8 million (December 31, 2023 — $40.6 million).</w:t>
      </w:r>
    </w:p>
    <w:p>
      <w:pPr>
        <w:spacing w:after="0" w:line="121"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following tabular disclosures reflect the impact that derivative instruments and hedging activities have on the Company’s Condensed Consolidated Financial Statements:</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Notional value of derivatives in foreign exchange contracts</w:t>
      </w:r>
      <w:r>
        <w:rPr>
          <w:rFonts w:ascii="Times New Roman" w:cs="Times New Roman" w:eastAsia="Times New Roman" w:hAnsi="Times New Roman"/>
          <w:sz w:val="18"/>
          <w:szCs w:val="18"/>
          <w:color w:val="auto"/>
        </w:rPr>
        <w: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3"/>
          </w:tcPr>
          <w:p>
            <w:pPr>
              <w:jc w:val="center"/>
              <w:ind w:right="5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13"/>
        </w:trPr>
        <w:tc>
          <w:tcPr>
            <w:tcW w:w="442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3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4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Foreign exchange contracts — Forwards</w:t>
            </w: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34,820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20" w:type="dxa"/>
            <w:vAlign w:val="bottom"/>
            <w:gridSpan w:val="3"/>
            <w:vMerge w:val="restart"/>
          </w:tcPr>
          <w:p>
            <w:pPr>
              <w:ind w:left="240"/>
              <w:spacing w:after="0"/>
              <w:rPr>
                <w:sz w:val="20"/>
                <w:szCs w:val="20"/>
                <w:color w:val="auto"/>
              </w:rPr>
            </w:pPr>
            <w:r>
              <w:rPr>
                <w:rFonts w:ascii="Times New Roman" w:cs="Times New Roman" w:eastAsia="Times New Roman" w:hAnsi="Times New Roman"/>
                <w:sz w:val="18"/>
                <w:szCs w:val="18"/>
                <w:color w:val="auto"/>
              </w:rPr>
              <w:t>Fair value of derivatives in foreign exchange contracts:</w:t>
            </w: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420" w:type="dxa"/>
            <w:vAlign w:val="bottom"/>
            <w:gridSpan w:val="3"/>
            <w:vMerge w:val="continue"/>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240" w:type="dxa"/>
            <w:vAlign w:val="bottom"/>
          </w:tcPr>
          <w:p>
            <w:pPr>
              <w:spacing w:after="0"/>
              <w:rPr>
                <w:sz w:val="24"/>
                <w:szCs w:val="24"/>
                <w:color w:val="auto"/>
              </w:rPr>
            </w:pPr>
          </w:p>
        </w:tc>
        <w:tc>
          <w:tcPr>
            <w:tcW w:w="39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3"/>
          </w:tcPr>
          <w:p>
            <w:pPr>
              <w:jc w:val="center"/>
              <w:ind w:right="3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6"/>
        </w:trPr>
        <w:tc>
          <w:tcPr>
            <w:tcW w:w="442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31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Foreign exchange contracts — Forwards</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0"/>
                <w:szCs w:val="20"/>
                <w:color w:val="auto"/>
              </w:rPr>
            </w:pPr>
          </w:p>
        </w:tc>
        <w:tc>
          <w:tcPr>
            <w:tcW w:w="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0" w:type="dxa"/>
            <w:vAlign w:val="bottom"/>
            <w:shd w:val="clear" w:color="auto" w:fill="CFF0FC"/>
          </w:tcPr>
          <w:p>
            <w:pPr>
              <w:spacing w:after="0"/>
              <w:rPr>
                <w:sz w:val="21"/>
                <w:szCs w:val="21"/>
                <w:color w:val="auto"/>
              </w:rPr>
            </w:pPr>
          </w:p>
        </w:tc>
        <w:tc>
          <w:tcPr>
            <w:tcW w:w="3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4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(191 )</w:t>
            </w: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32"/>
        </w:trPr>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Derivatives in foreign currency hedging relationships are as follows</w:t>
      </w:r>
      <w:r>
        <w:rPr>
          <w:rFonts w:ascii="Times New Roman" w:cs="Times New Roman" w:eastAsia="Times New Roman" w:hAnsi="Times New Roman"/>
          <w:sz w:val="18"/>
          <w:szCs w:val="18"/>
          <w:color w:val="auto"/>
        </w:rPr>
        <w: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 (Loss) Gain</w:t>
            </w:r>
          </w:p>
        </w:tc>
        <w:tc>
          <w:tcPr>
            <w:tcW w:w="10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Forwards</w:t>
            </w:r>
          </w:p>
        </w:tc>
        <w:tc>
          <w:tcPr>
            <w:tcW w:w="3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Recognized in OCI</w:t>
            </w: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7"/>
        </w:trPr>
        <w:tc>
          <w:tcPr>
            <w:tcW w:w="4420" w:type="dxa"/>
            <w:vAlign w:val="bottom"/>
            <w:shd w:val="clear" w:color="auto" w:fill="CFF0FC"/>
          </w:tcPr>
          <w:p>
            <w:pPr>
              <w:spacing w:after="0"/>
              <w:rPr>
                <w:sz w:val="24"/>
                <w:szCs w:val="24"/>
                <w:color w:val="auto"/>
              </w:rPr>
            </w:pPr>
          </w:p>
        </w:tc>
        <w:tc>
          <w:tcPr>
            <w:tcW w:w="34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(Effective Portion)</w:t>
            </w:r>
          </w:p>
        </w:tc>
        <w:tc>
          <w:tcPr>
            <w:tcW w:w="1040" w:type="dxa"/>
            <w:vAlign w:val="bottom"/>
            <w:shd w:val="clear" w:color="auto" w:fill="CFF0FC"/>
          </w:tcPr>
          <w:p>
            <w:pPr>
              <w:jc w:val="right"/>
              <w:ind w:right="86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(916 )</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FF0FC"/>
          </w:tcPr>
          <w:p>
            <w:pPr>
              <w:spacing w:after="0"/>
              <w:rPr>
                <w:sz w:val="24"/>
                <w:szCs w:val="24"/>
                <w:color w:val="auto"/>
              </w:rPr>
            </w:pPr>
          </w:p>
        </w:tc>
      </w:tr>
      <w:tr>
        <w:trPr>
          <w:trHeight w:val="470"/>
        </w:trPr>
        <w:tc>
          <w:tcPr>
            <w:tcW w:w="4420" w:type="dxa"/>
            <w:vAlign w:val="bottom"/>
            <w:tcBorders>
              <w:top w:val="single" w:sz="8" w:color="CFF0FC"/>
            </w:tcBorders>
          </w:tcPr>
          <w:p>
            <w:pPr>
              <w:spacing w:after="0"/>
              <w:rPr>
                <w:sz w:val="24"/>
                <w:szCs w:val="24"/>
                <w:color w:val="auto"/>
              </w:rPr>
            </w:pPr>
          </w:p>
        </w:tc>
        <w:tc>
          <w:tcPr>
            <w:tcW w:w="340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of Derivative Loss</w:t>
            </w:r>
          </w:p>
        </w:tc>
        <w:tc>
          <w:tcPr>
            <w:tcW w:w="10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26"/>
        </w:trPr>
        <w:tc>
          <w:tcPr>
            <w:tcW w:w="4420" w:type="dxa"/>
            <w:vAlign w:val="bottom"/>
          </w:tcPr>
          <w:p>
            <w:pPr>
              <w:spacing w:after="0"/>
              <w:rPr>
                <w:sz w:val="19"/>
                <w:szCs w:val="19"/>
                <w:color w:val="auto"/>
              </w:rPr>
            </w:pPr>
          </w:p>
        </w:tc>
        <w:tc>
          <w:tcPr>
            <w:tcW w:w="3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Reclassified from AOCI</w:t>
            </w:r>
          </w:p>
        </w:tc>
        <w:tc>
          <w:tcPr>
            <w:tcW w:w="284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(Effective Portion)</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4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w:t>
            </w:r>
          </w:p>
        </w:tc>
        <w:tc>
          <w:tcPr>
            <w:tcW w:w="10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4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Forwards</w:t>
            </w:r>
          </w:p>
        </w:tc>
        <w:tc>
          <w:tcPr>
            <w:tcW w:w="3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administrative expenses</w:t>
            </w:r>
          </w:p>
        </w:tc>
        <w:tc>
          <w:tcPr>
            <w:tcW w:w="1040" w:type="dxa"/>
            <w:vAlign w:val="bottom"/>
          </w:tcPr>
          <w:p>
            <w:pPr>
              <w:jc w:val="right"/>
              <w:ind w:right="86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(11 )</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(339 )</w:t>
            </w:r>
          </w:p>
        </w:tc>
      </w:tr>
      <w:tr>
        <w:trPr>
          <w:trHeight w:val="20"/>
        </w:trPr>
        <w:tc>
          <w:tcPr>
            <w:tcW w:w="44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-976630</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-959485</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Company’s estimated net amount of the existing loss as of March 31, 2024 is $0.1 million, which is expected to be reclassified to the Condensed Consolidated Statements of Operations within the next twelve months.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(d)</w:t>
        <w:tab/>
        <w:t>Investments in Equity Securities</w:t>
      </w:r>
    </w:p>
    <w:p>
      <w:pPr>
        <w:spacing w:after="0" w:line="189"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Company held an investment in the preferred shares of enterprises which meets the criteria for classification as an equity security carried at historical cost, net of impairment charges. The carrying value of the equity security investment was $1.0 million as of March 31, 2024 (December 31, 2023 — $1.0 million) and is recorded within Other Assets in the Condensed Consolidated Balance Sheets.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Executive Transition Costs</w:t>
      </w:r>
    </w:p>
    <w:p>
      <w:pPr>
        <w:spacing w:after="0" w:line="202" w:lineRule="exact"/>
        <w:rPr>
          <w:sz w:val="20"/>
          <w:szCs w:val="20"/>
          <w:color w:val="auto"/>
        </w:rPr>
      </w:pPr>
    </w:p>
    <w:p>
      <w:pPr>
        <w:ind w:right="20" w:firstLine="224"/>
        <w:spacing w:after="0" w:line="282" w:lineRule="auto"/>
        <w:rPr>
          <w:sz w:val="20"/>
          <w:szCs w:val="20"/>
          <w:color w:val="auto"/>
        </w:rPr>
      </w:pPr>
      <w:r>
        <w:rPr>
          <w:rFonts w:ascii="Times New Roman" w:cs="Times New Roman" w:eastAsia="Times New Roman" w:hAnsi="Times New Roman"/>
          <w:sz w:val="18"/>
          <w:szCs w:val="18"/>
          <w:color w:val="auto"/>
        </w:rPr>
        <w:t>In the first quarter of 2023, the Company recognized executive transition costs of $1.4 million related to the departure of the President, IMAX Entertainment and Executive Vice President. No such costs were incurred in the first quarter of 2024.</w:t>
      </w:r>
    </w:p>
    <w:p>
      <w:pPr>
        <w:spacing w:after="0" w:line="117"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Non-Controlling Interests</w:t>
      </w:r>
    </w:p>
    <w:p>
      <w:pPr>
        <w:spacing w:after="0" w:line="184" w:lineRule="exact"/>
        <w:rPr>
          <w:rFonts w:ascii="Times New Roman" w:cs="Times New Roman" w:eastAsia="Times New Roman" w:hAnsi="Times New Roman"/>
          <w:sz w:val="18"/>
          <w:szCs w:val="18"/>
          <w:b w:val="1"/>
          <w:bCs w:val="1"/>
          <w:color w:val="auto"/>
        </w:rPr>
      </w:pPr>
    </w:p>
    <w:p>
      <w:pPr>
        <w:ind w:left="600" w:hanging="368"/>
        <w:spacing w:after="0"/>
        <w:tabs>
          <w:tab w:leader="none" w:pos="600" w:val="left"/>
        </w:tabs>
        <w:numPr>
          <w:ilvl w:val="1"/>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IMAX China Non-Controlling Interest</w:t>
      </w:r>
    </w:p>
    <w:p>
      <w:pPr>
        <w:spacing w:after="0" w:line="202"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Company indirectly owns 71.52% of IMAX China, whose shares trade on the Hong Kong Stock Exchange (December 31, 2023 — 71.55%). IMAX China remains a consolidated subsidiary of the Company. As of March 31, 2024, the balance of the Company’s non-controlling interest in IMAX China is $73.9 million (December 31, 2023 — $71.8 million). For the three months ended March 31, 2024, the net income attributable to the non-controlling interest in IMAX China is $2.2 million (2023 — $2.7 million).</w:t>
      </w:r>
    </w:p>
    <w:p>
      <w:pPr>
        <w:spacing w:after="0" w:line="135"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(b)</w:t>
        <w:tab/>
        <w:t>Other Non-Controlling Interest</w:t>
      </w:r>
    </w:p>
    <w:p>
      <w:pPr>
        <w:spacing w:after="0" w:line="189"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Company’s Original Film Fund was established in 2014 to co-finance a portfolio of 10 original large-format films. The initial investment in the Original Film Fund was committed by a third party in the amount of $25.0 million, with the possibility of contributing additional funds. The Company has contributed $9.0 million to the Original Film Fund since 2014 and has reached its maximum contribution. As of March 31, 2024, the Original Film Fund has invested $22.3 million toward the development of original films. The related production, financing and distribution agreement includes put and call rights relating to change of control of the rights, title and interest in the co-financed pictures.</w:t>
      </w:r>
    </w:p>
    <w:p>
      <w:pPr>
        <w:spacing w:after="0" w:line="152"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(c)</w:t>
      </w:r>
      <w:r>
        <w:rPr>
          <w:sz w:val="20"/>
          <w:szCs w:val="20"/>
          <w:color w:val="auto"/>
        </w:rPr>
        <w:tab/>
      </w:r>
      <w:r>
        <w:rPr>
          <w:rFonts w:ascii="Times New Roman" w:cs="Times New Roman" w:eastAsia="Times New Roman" w:hAnsi="Times New Roman"/>
          <w:sz w:val="17"/>
          <w:szCs w:val="17"/>
          <w:b w:val="1"/>
          <w:bCs w:val="1"/>
          <w:i w:val="1"/>
          <w:iCs w:val="1"/>
          <w:color w:val="auto"/>
        </w:rPr>
        <w:t>Non-Controlling Interest in Temporary Equity</w:t>
      </w:r>
    </w:p>
    <w:p>
      <w:pPr>
        <w:spacing w:after="0" w:line="189"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movement of the non-controlling interest in temporary equity related to the Original Film Fund for the three months ended March 31, 2024 and 2023:</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r>
      <w:tr>
        <w:trPr>
          <w:trHeight w:val="237"/>
        </w:trPr>
        <w:tc>
          <w:tcPr>
            <w:tcW w:w="8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shd w:val="clear" w:color="auto" w:fill="CFF0FC"/>
          </w:tcPr>
          <w:p>
            <w:pPr>
              <w:spacing w:after="0"/>
              <w:rPr>
                <w:sz w:val="20"/>
                <w:szCs w:val="20"/>
                <w:color w:val="auto"/>
              </w:rPr>
            </w:pPr>
          </w:p>
        </w:tc>
      </w:tr>
      <w:tr>
        <w:trPr>
          <w:trHeight w:val="23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(9 )</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r>
      <w:tr>
        <w:trPr>
          <w:trHeight w:val="276"/>
        </w:trPr>
        <w:tc>
          <w:tcPr>
            <w:tcW w:w="8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202"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 xml:space="preserve">On January 13, 2023, the Company, China International Communications Group (“CICG”), and Beach House Pictures Pte Ltd (“Beach House”) entered into an agreement to co-finance a documentary film, </w:t>
      </w:r>
      <w:r>
        <w:rPr>
          <w:rFonts w:ascii="Times New Roman" w:cs="Times New Roman" w:eastAsia="Times New Roman" w:hAnsi="Times New Roman"/>
          <w:sz w:val="18"/>
          <w:szCs w:val="18"/>
          <w:i w:val="1"/>
          <w:iCs w:val="1"/>
          <w:color w:val="auto"/>
        </w:rPr>
        <w:t>The Elephant Odyssey</w:t>
      </w:r>
      <w:r>
        <w:rPr>
          <w:rFonts w:ascii="Times New Roman" w:cs="Times New Roman" w:eastAsia="Times New Roman" w:hAnsi="Times New Roman"/>
          <w:sz w:val="18"/>
          <w:szCs w:val="18"/>
          <w:color w:val="auto"/>
        </w:rPr>
        <w:t>. A member of the Company’s Board of Directors and its Audit Committee, is the ultimate controlling shareholder of Blue Ant Media (“Blue Ant”), a media company that he co-founded in 2011. Blue Ant owns 70% of Beach House. The total budget for the film is approximately $2.6 million, of which CICG is responsible for $0.3 million or 10%. The Company and Beach House have agreed to finance $1.7 million or 75% and $0.6 million or 25% of the remaining budget, respectively. On February 8, 2024, Blue Ant sold 100% of its interest in Beach House. The Company made payments of $1.0 million under the agreement up to March 31, 2024.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Discussion and Analysis of Financial Condition and Results of Operations</w:t>
      </w:r>
    </w:p>
    <w:p>
      <w:pPr>
        <w:spacing w:after="0" w:line="189" w:lineRule="exact"/>
        <w:rPr>
          <w:sz w:val="20"/>
          <w:szCs w:val="20"/>
          <w:color w:val="auto"/>
        </w:rPr>
      </w:pPr>
    </w:p>
    <w:p>
      <w:pPr>
        <w:jc w:val="both"/>
        <w:ind w:right="20" w:firstLine="224"/>
        <w:spacing w:after="0" w:line="266" w:lineRule="auto"/>
        <w:rPr>
          <w:sz w:val="20"/>
          <w:szCs w:val="20"/>
          <w:color w:val="auto"/>
        </w:rPr>
      </w:pPr>
      <w:r>
        <w:rPr>
          <w:rFonts w:ascii="Times New Roman" w:cs="Times New Roman" w:eastAsia="Times New Roman" w:hAnsi="Times New Roman"/>
          <w:sz w:val="18"/>
          <w:szCs w:val="18"/>
          <w:color w:val="auto"/>
        </w:rPr>
        <w:t>Presented below is Management’s Discussion and Analysis of Financial Condition and Results of Operations (or “MD&amp;A”) for IMAX Corporation and its consolidated subsidiaries (“IMAX” or the “Company”) for the three months ended March 31, 2024 and 2023. MD&amp;A should be read in conjunction with Note 13, “Segment Reporting,” in the accompanying Condensed Consolidated Financial Statements in Item 1.</w:t>
      </w:r>
    </w:p>
    <w:p>
      <w:pPr>
        <w:spacing w:after="0" w:line="135"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As of March 31, 2024, the Company indirectly owns 71.52% of IMAX China Holding, Inc. (“IMAX China”), whose shares trade on the Hong Kong Stock Exchange. IMAX China is a consolidated subsidiary of the Company. For the three months ended March 31, 2024, net income attributable to IMAX China is $7.5 million, of which $5.4 million is attributable to the shareholders of the Company (2023 — net income of $9.4 million and $6.7 million,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INFORMATION</w:t>
      </w:r>
    </w:p>
    <w:p>
      <w:pPr>
        <w:spacing w:after="0" w:line="189" w:lineRule="exact"/>
        <w:rPr>
          <w:sz w:val="20"/>
          <w:szCs w:val="20"/>
          <w:color w:val="auto"/>
        </w:rPr>
      </w:pPr>
    </w:p>
    <w:p>
      <w:pPr>
        <w:jc w:val="both"/>
        <w:ind w:firstLine="223"/>
        <w:spacing w:after="0" w:line="249" w:lineRule="auto"/>
        <w:rPr>
          <w:sz w:val="20"/>
          <w:szCs w:val="20"/>
          <w:color w:val="auto"/>
        </w:rPr>
      </w:pPr>
      <w:r>
        <w:rPr>
          <w:rFonts w:ascii="Times New Roman" w:cs="Times New Roman" w:eastAsia="Times New Roman" w:hAnsi="Times New Roman"/>
          <w:sz w:val="18"/>
          <w:szCs w:val="18"/>
          <w:color w:val="auto"/>
        </w:rPr>
        <w:t>Certain statements included in this quarterly report may constitute “forward-looking statements” within the meaning of the United States Private Securities Litigation Reform Act of 1995 or “forward-looking information” within the meaning of Canadian securities laws. These forward-looking statements include, but are not limited to, references to business and technology strategies and measures to implement strategies, competitive strengths, goals, expansion and growth of business, operations and technology, future capital expenditures (including the amount and nature thereof), industry prospects and consumer behavior, plans and references to the future success of the Company and expectations regarding its future operating, financial and technological results.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However, whether actual results and developments will conform with the expectations and predictions of the Company is subject to a number of risks and uncertainties, including, but not limited to, risks associated with investments and operations in foreign jurisdictions and any future international expansion, including those related to economic, political and regulatory policies of local governments and laws and policies of the United States and Canada, as well as geopolitical conflicts; risks related to the Company’s growth and operations in China; the performance of IMAX DMR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films and other films released to the IMAX network; the signing of IMAX System agreements; conditions, changes and developments in the commercial exhibition industry; risks related to currency fluctuations; the potential impact of increased competition in the markets within which the Company operates, including competitive actions by other companies; the failure to respond to change and advancements in digital technology; risks relating to consolidation among commercial exhibitors and studios; risks related to brand extensions and new business initiatives; conditions in the in-home and out-of-home entertainment industries; the opportunities (or lack thereof) that may be presented to and pursued by the Company; risks related to cyber-security and data privacy; risks related to the Company’s inability to protect its intellectual property; risks associated with the Company’s use of artificial intelligence (“AI”) and exploration of additional use cases of AI; risks related to climate change; risks related to weather conditions and natural disasters that may disrupt or harm the Company’s business; risks related to the Company’s indebtedness and compliance with its debt agreements; general economic, market or business conditions; risks related to political, economic and social instability; the failure to convert system backlog into revenue; changes in laws or regulations; any statements of belief and any statements of assumptions underlying any of the foregoing; other factors and risks outlined in the Company’s periodic filings with the United States Securities and Exchange Commission (the “SEC”) or in Canada, the System for Electronic Document Analysis and Retrieval (“SEDAR+”); and other factors, many of which are beyond the control of the Company. Consequently, all of the forward-looking statements made in this quarterly report are qualified by these cautionary statements, and actual results or anticipated developments by the Company may not be realized, and even if substantially realized, may not have the expected consequences to, or effects on, the Company. The forward-looking statements herein are made only as of the date hereof and the Company undertakes no obligation to update publicly or otherwise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0"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IMAX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IMAX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3D, Experience It In IMAX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DMR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Filmed For IMAX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IMAX Live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IMAX Enhanced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IMAX StreamSmart</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and SSIMWAVE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are trademarks and trade names of the Company or its subsidiaries that are registered or otherwise protected under laws of various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5"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Company makes available, free of charge, its Annual Reports on Form 10-K, Quarterly Reports on Form 10-Q and Current Reports on Form 8-K, and any amendments to such reports, as soon as reasonably practicable after such filings have been made with the SEC and Canadian securities regulators. Reports may be obtained free of charge through the SEC’s website at www.sec.gov or the SEDAR+’s website at www.sedarplus.ca and through the Company’s website at www.imax.com or by calling the Company’s Investor Relations Department at 212-821-0154. No information included on the Company’s website shall be deemed included or otherwise incorporated into this filing, except where expressly indicated.</w:t>
      </w:r>
    </w:p>
    <w:p>
      <w:pPr>
        <w:spacing w:after="0" w:line="143"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information posted on the Company’s Corporate and Investor Relations websites may be deemed material to investors. Accordingly, investors, media and others interested in the Company should monitor the Company’s investor relations websites in addition to the Company’s press releases, SEC and SEDAR+ filings and public conference calls and webcasts.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jc w:val="both"/>
        <w:ind w:firstLine="224"/>
        <w:spacing w:after="0" w:line="244" w:lineRule="auto"/>
        <w:rPr>
          <w:sz w:val="20"/>
          <w:szCs w:val="20"/>
          <w:color w:val="auto"/>
        </w:rPr>
      </w:pPr>
      <w:r>
        <w:rPr>
          <w:rFonts w:ascii="Times New Roman" w:cs="Times New Roman" w:eastAsia="Times New Roman" w:hAnsi="Times New Roman"/>
          <w:sz w:val="18"/>
          <w:szCs w:val="18"/>
          <w:color w:val="auto"/>
        </w:rPr>
        <w:t>IMAX is a premier global technology platform for entertainment and events. Through its proprietary software, auditorium, architecture, patented intellectual property, and specialized equipment, IMAX offers a unique end-to-end solution to create superior, awe-inspiring immersive content experiences for which the IMAX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is globally renowned. Top filmmakers, movie studios, artists, and creators utilize the cutting-edge visual and sound technology of IMAX to connect with audiences in innovative ways. As a result, IMAX is among the most important and successful global distribution platforms for domestic and international tentpole films. The Company’s global content portfolio includes blockbuster films, both from Hollywood and local language film industries worldwide; IMAX documentaries, both original and acquired; and IMAX events and experiences in emerging verticals, including music, gaming, and sports.</w:t>
      </w:r>
    </w:p>
    <w:p>
      <w:pPr>
        <w:spacing w:after="0" w:line="158"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Company leverages its proprietary technology and engineering in all aspects of its business, which principally consists of the digital remastering of films and other content into the IMAX format for distribution across the IMAX network (“IMAX Film Remastering”) and the sale or lease of premium IMAX theater systems (“IMAX System(s)”).</w:t>
      </w:r>
    </w:p>
    <w:p>
      <w:pPr>
        <w:spacing w:after="0" w:line="135"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IMAX Systems are based on proprietary and patented image, audio and other technology developed over the course of the Company’s history since its founding in 1967. The customers for IMAX Systems are principally theater exhibitors that operate commercial multiplex theaters, and, to a much lesser extent, museums, science centers and destination entertainment sites. The Company does not own the locations in the IMAX network, except for one, and is not an exhibitor, but instead sells or leases IMAX System to exhibitor customers along with licenses to use its trademarks and ongoing maintenance services for which there are annual payments by the exhibitors to IMAX.</w:t>
      </w:r>
    </w:p>
    <w:p>
      <w:pPr>
        <w:spacing w:after="0" w:line="156"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IMAX has the largest global premium format network, more than double the size of its nearest competitor. As of March 31, 2024, there were 1,772 IMAX Systems in 89 countries and territories, including 1,697 commercial multiplexes, 12 commercial destinations, and 63 institutional locations in the Company’s global network. This compares to 1,711 IMAX Systems in 87 countries and territories as of March 31, 2023, including 1,631 commercial multiplexes, 12 commercial destinations, and 68 institutional locations in the Company’s global network. Additional information on the composition of the IMAX network is provided in the discussion of Marketing and Customers.</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IMAX Systems provide the Company’s exhibitor customers with a combination of the following benefits:</w:t>
      </w:r>
    </w:p>
    <w:p>
      <w:pPr>
        <w:spacing w:after="0" w:line="185" w:lineRule="exact"/>
        <w:rPr>
          <w:sz w:val="20"/>
          <w:szCs w:val="20"/>
          <w:color w:val="auto"/>
        </w:rPr>
      </w:pPr>
    </w:p>
    <w:p>
      <w:pPr>
        <w:ind w:left="600" w:hanging="368"/>
        <w:spacing w:after="0" w:line="282" w:lineRule="auto"/>
        <w:tabs>
          <w:tab w:leader="none" w:pos="6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exhibit content that has been enhanced through the IMAX Film Remastering (formerly known as “IMAX DMR”) process, which results in higher image and sound fidelity than conventional cinema experiences;</w:t>
      </w:r>
    </w:p>
    <w:p>
      <w:pPr>
        <w:spacing w:after="0" w:line="134" w:lineRule="exact"/>
        <w:rPr>
          <w:rFonts w:ascii="Times New Roman" w:cs="Times New Roman" w:eastAsia="Times New Roman" w:hAnsi="Times New Roman"/>
          <w:sz w:val="18"/>
          <w:szCs w:val="18"/>
          <w:color w:val="auto"/>
        </w:rPr>
      </w:pPr>
    </w:p>
    <w:p>
      <w:pPr>
        <w:ind w:left="600" w:right="20" w:hanging="368"/>
        <w:spacing w:after="0" w:line="282" w:lineRule="auto"/>
        <w:tabs>
          <w:tab w:leader="none" w:pos="6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high-resolution projectors with specialized equipment and automated theater control systems, which generate significantly more contrast and brightness than conventional theater systems;</w:t>
      </w:r>
    </w:p>
    <w:p>
      <w:pPr>
        <w:spacing w:after="0" w:line="121" w:lineRule="exact"/>
        <w:rPr>
          <w:rFonts w:ascii="Times New Roman" w:cs="Times New Roman" w:eastAsia="Times New Roman" w:hAnsi="Times New Roman"/>
          <w:sz w:val="18"/>
          <w:szCs w:val="18"/>
          <w:color w:val="auto"/>
        </w:rPr>
      </w:pPr>
    </w:p>
    <w:p>
      <w:pPr>
        <w:ind w:left="600" w:hanging="368"/>
        <w:spacing w:after="0" w:line="282" w:lineRule="auto"/>
        <w:tabs>
          <w:tab w:leader="none" w:pos="6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screens and proprietary auditorium geometry, which result in a substantially larger field of view so that the screen extends to the edge of a viewer’s peripheral vision and creates more realistic images;</w:t>
      </w:r>
    </w:p>
    <w:p>
      <w:pPr>
        <w:spacing w:after="0" w:line="121" w:lineRule="exact"/>
        <w:rPr>
          <w:rFonts w:ascii="Times New Roman" w:cs="Times New Roman" w:eastAsia="Times New Roman" w:hAnsi="Times New Roman"/>
          <w:sz w:val="18"/>
          <w:szCs w:val="18"/>
          <w:color w:val="auto"/>
        </w:rPr>
      </w:pPr>
    </w:p>
    <w:p>
      <w:pPr>
        <w:ind w:left="600" w:hanging="368"/>
        <w:spacing w:after="0" w:line="282" w:lineRule="auto"/>
        <w:tabs>
          <w:tab w:leader="none" w:pos="6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sound system components, which deliver more expansive sound imagery and pinpointed origination of sound to any specific spot in an auditorium equipped with an IMAX System;</w:t>
      </w:r>
    </w:p>
    <w:p>
      <w:pPr>
        <w:spacing w:after="0" w:line="134" w:lineRule="exact"/>
        <w:rPr>
          <w:rFonts w:ascii="Times New Roman" w:cs="Times New Roman" w:eastAsia="Times New Roman" w:hAnsi="Times New Roman"/>
          <w:sz w:val="18"/>
          <w:szCs w:val="18"/>
          <w:color w:val="auto"/>
        </w:rPr>
      </w:pPr>
    </w:p>
    <w:p>
      <w:pPr>
        <w:ind w:left="600" w:hanging="368"/>
        <w:spacing w:after="0"/>
        <w:tabs>
          <w:tab w:leader="none" w:pos="6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specialized theater acoustics, which result in a four-fold reduction in background noise;</w:t>
      </w:r>
    </w:p>
    <w:p>
      <w:pPr>
        <w:spacing w:after="0" w:line="184" w:lineRule="exact"/>
        <w:rPr>
          <w:rFonts w:ascii="Times New Roman" w:cs="Times New Roman" w:eastAsia="Times New Roman" w:hAnsi="Times New Roman"/>
          <w:sz w:val="18"/>
          <w:szCs w:val="18"/>
          <w:color w:val="auto"/>
        </w:rPr>
      </w:pPr>
    </w:p>
    <w:p>
      <w:pPr>
        <w:ind w:left="600" w:hanging="368"/>
        <w:spacing w:after="0"/>
        <w:tabs>
          <w:tab w:leader="none" w:pos="6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maintenance and extended warranty services,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5" w:lineRule="exact"/>
        <w:rPr>
          <w:sz w:val="20"/>
          <w:szCs w:val="20"/>
          <w:color w:val="auto"/>
        </w:rPr>
      </w:pPr>
    </w:p>
    <w:p>
      <w:pPr>
        <w:ind w:left="600" w:hanging="368"/>
        <w:spacing w:after="0" w:line="282" w:lineRule="auto"/>
        <w:tabs>
          <w:tab w:leader="none" w:pos="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license to the globally recognized IMAX brand as well as benefits from IMAX marketing of films being shown in its network and IMAX’s growing social media followership.</w:t>
      </w:r>
    </w:p>
    <w:p>
      <w:pPr>
        <w:spacing w:after="0" w:line="121"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In addition, select movies shown in the IMAX network are filmed using proprietary IMAX film cameras or IMAX certified digital cameras, which along with IMAX’s customized guidance and a workflow process provide filmmakers enhanced and differentiated image quality and an IMAX-exclusive film aspect ratio that delivers up to 26% more image onto a standard IMAX movie screen. In select IMAX locations worldwide, movies filmed with IMAX cameras have an IMAX-exclusive 1.43 film aspect ratio, delivering up to 67% more image.</w:t>
      </w:r>
    </w:p>
    <w:p>
      <w:pPr>
        <w:spacing w:after="0" w:line="139"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Together, these components cause audiences in IMAX locations to feel as if they are a part of the on-screen action, creating a more intense, immersive, and awe-inspiring exciting experience than a conventional cinematic format.</w:t>
      </w:r>
    </w:p>
    <w:p>
      <w:pPr>
        <w:spacing w:after="0" w:line="142" w:lineRule="exact"/>
        <w:rPr>
          <w:sz w:val="20"/>
          <w:szCs w:val="20"/>
          <w:color w:val="auto"/>
        </w:rPr>
      </w:pPr>
    </w:p>
    <w:p>
      <w:pPr>
        <w:jc w:val="both"/>
        <w:ind w:firstLine="224"/>
        <w:spacing w:after="0"/>
        <w:rPr>
          <w:sz w:val="20"/>
          <w:szCs w:val="20"/>
          <w:color w:val="auto"/>
        </w:rPr>
      </w:pPr>
      <w:r>
        <w:rPr>
          <w:rFonts w:ascii="Times New Roman" w:cs="Times New Roman" w:eastAsia="Times New Roman" w:hAnsi="Times New Roman"/>
          <w:sz w:val="18"/>
          <w:szCs w:val="18"/>
          <w:color w:val="auto"/>
        </w:rPr>
        <w:t xml:space="preserve">As a result of the engineering and scientific achievements that are a hallmark of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the Company’s exhibitor customers typically charge a premium for films released in IMAX’s format versus films exhibited in their other auditoriums. The premium pricing, combined with the higher attendance levels associated with IMAX films, generates incremental box office for the Company’s exhibitor customers and for the movie studios releasing their films to the IMAX network. The incremental box office generated by IMAX films combined with IMAX’s unmatched global network footprint and scale has helped establish IMAX as a key premium distribution and marketing platform for Hollywood and foreign local language movie studios.</w:t>
      </w:r>
    </w:p>
    <w:p>
      <w:pPr>
        <w:spacing w:after="0" w:line="158"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The Company also continues to evolve its platform to bring new, innovative events and experiences to audiences worldwide. The Company has a footprint of connected IMAX Systems capable of delivering live, interactive content with low latency and superior sight and sound.</w:t>
      </w:r>
    </w:p>
    <w:p>
      <w:pPr>
        <w:spacing w:after="0" w:line="121"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As a premier global technology platform for entertainment and events, the Company strives to remain at the forefront of advancements in technology. The Company offers a suite of laser-based digital projection systems (“IMAX Laser Systems”), which deliver increased resolution, sharper and brighter images, deeper contrast, and the widest range of colors available to filmmakers today. The Company further believes that its suite of IMAX Laser Systems are helping facilitate the next major renewal and upgrade cycle for the global IMAX network.</w:t>
      </w:r>
    </w:p>
    <w:p>
      <w:pPr>
        <w:spacing w:after="0" w:line="180"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Company utilizes AI for image enhancement, streaming technology, and data analysis to improve various aspects of its business. It is actively exploring other global use cases for AI to save costs, and to improve its products, operations, and efficiency.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REVENUE</w:t>
      </w:r>
    </w:p>
    <w:p>
      <w:pPr>
        <w:spacing w:after="0" w:line="18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Company has organized its operating segments into the following two reportable segments: (i) Content Solutions, which principally includes content enhancement and distribution services, and (ii) Technology Products and Services, which principally includes the sale, lease, and maintenance of IMAX Systems. The Company’s activities that do not meet the criteria to be considered a reportable segment are disclosed within All Other. See Note 13 of Notes to Condensed Consolidated Financial Statements in Part I, Item 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Content Solutions</w:t>
      </w:r>
    </w:p>
    <w:p>
      <w:pPr>
        <w:spacing w:after="0" w:line="202"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Content Solutions segment earns revenue principally from the digital remastering of films and other content into IMAX formats for distribution across the IMAX network. To a lesser extent, the Content Solutions segment also earns revenue from the distribution of large-format documentary films and IMAX events and experiences including music, gaming, and sports, as well as the provision of film post-production services.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Film Remastering and Distribution</w:t>
      </w:r>
    </w:p>
    <w:p>
      <w:pPr>
        <w:spacing w:after="0" w:line="187"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IMAX Film Remastering is a proprietary technology that digitally remasters films and other content into IMAX formats for distribution across the IMAX network. In a typical IMAX Film Remastering and distribution arrangement, the Company receives a percentage of the box office receipts from a movie studio in exchange for converting a commercial film into the IMAX format and distributing it through the IMAX network. The fee earned by the Company in a typical IMAX film remastering and distribution arrangement averages approximately 12.5% of box office receipts (i.e., global box office (“GBO”) less applicable sales taxes), except for within Greater China, where the Company receives a lower percentage of net box office receipts for certain Hollywood films due to an import tax.</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5"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 xml:space="preserve">IMAX Film Remastering digitally enhances the image resolution of films for projection on IMAX screens while maintaining or enhancing the visual clarity and sound quality to levels for which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is known. In addition, the original soundtrack of a film to be exhibited across the IMAX network is remastered for IMAX digital sound systems. IMAX remastered soundtracks are uncompressed for full fidelity. IMAX sound systems use proprietary loudspeaker systems and proprietary surround sound configurations that ensure every seat in an auditorium is an optimal listening position.</w:t>
      </w:r>
    </w:p>
    <w:p>
      <w:pPr>
        <w:spacing w:after="0" w:line="139" w:lineRule="exact"/>
        <w:rPr>
          <w:sz w:val="20"/>
          <w:szCs w:val="20"/>
          <w:color w:val="auto"/>
        </w:rPr>
      </w:pPr>
    </w:p>
    <w:p>
      <w:pPr>
        <w:jc w:val="both"/>
        <w:ind w:firstLine="224"/>
        <w:spacing w:after="0" w:line="245" w:lineRule="auto"/>
        <w:rPr>
          <w:sz w:val="20"/>
          <w:szCs w:val="20"/>
          <w:color w:val="auto"/>
        </w:rPr>
      </w:pPr>
      <w:r>
        <w:rPr>
          <w:rFonts w:ascii="Times New Roman" w:cs="Times New Roman" w:eastAsia="Times New Roman" w:hAnsi="Times New Roman"/>
          <w:sz w:val="18"/>
          <w:szCs w:val="18"/>
          <w:color w:val="auto"/>
        </w:rPr>
        <w:t>IMAX films also benefit from enhancements made by individual filmmakers exclusively for the IMAX release of the film. Collectively, the Company refers to these enhancements as “IMAX DNA.” Filmmakers and movie studios have sought IMAX-specific enhancements in recent years to generate interest in and excitement for their films. Such enhancements include shooting films with IMAX cameras to increase the audience’s immersion in the film and to take advantage of the unique dimensions of the IMAX screen by projecting the film in a larger aspect ratio that delivers up to 26% more image onto a standard IMAX movie screen. In select IMAX locations worldwide, movies filmed with IMAX cameras have an IMAX-exclusive 1.43 film aspect ratio, delivering up to 67% more image. The Company has a Filmed For IMAX</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program for select films under which filmmakers craft films from their inception in numerous ways to optimize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The program includes incremental and bespoke marketing support, which box office metrics demonstrate audiences respond extremely favorably to, and drives higher market share for IMAX.</w:t>
      </w:r>
    </w:p>
    <w:p>
      <w:pPr>
        <w:spacing w:after="0" w:line="156"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Management believes that growth in international box office remains an important driver of growth for the Company. To support continued growth in international markets, the Company is focused on the expansion of the IMAX network and has sought to elevate its international film strategy, supplementing its slate of Hollywood films with appealing local language films released in select markets, including China, Japan, India, France and South Korea. More recently, the Company has further expanded its strategy by distributing local language films in both native and foreign markets.</w:t>
      </w:r>
    </w:p>
    <w:p>
      <w:pPr>
        <w:spacing w:after="0" w:line="1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detailed information about the films that were released to the Company’s global network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and 2023:</w:t>
      </w:r>
    </w:p>
    <w:p>
      <w:pPr>
        <w:spacing w:after="0" w:line="268"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9"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16510</wp:posOffset>
            </wp:positionV>
            <wp:extent cx="20402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20" w:type="dxa"/>
            <w:vAlign w:val="bottom"/>
            <w:gridSpan w:val="2"/>
          </w:tcPr>
          <w:p>
            <w:pPr>
              <w:spacing w:after="0"/>
              <w:rPr>
                <w:sz w:val="16"/>
                <w:szCs w:val="16"/>
                <w:color w:val="auto"/>
              </w:rPr>
            </w:pPr>
          </w:p>
        </w:tc>
        <w:tc>
          <w:tcPr>
            <w:tcW w:w="11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240" w:type="dxa"/>
            <w:vAlign w:val="bottom"/>
            <w:gridSpan w:val="2"/>
          </w:tcPr>
          <w:p>
            <w:pPr>
              <w:spacing w:after="0"/>
              <w:rPr>
                <w:sz w:val="16"/>
                <w:szCs w:val="16"/>
                <w:color w:val="auto"/>
              </w:rPr>
            </w:pPr>
          </w:p>
        </w:tc>
        <w:tc>
          <w:tcPr>
            <w:tcW w:w="14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920" w:type="dxa"/>
            <w:vAlign w:val="bottom"/>
            <w:tcBorders>
              <w:bottom w:val="single" w:sz="8" w:color="CFF0FC"/>
            </w:tcBorders>
            <w:gridSpan w:val="2"/>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Hollywood film releases</w:t>
            </w:r>
            <w:r>
              <w:rPr>
                <w:rFonts w:ascii="Times New Roman" w:cs="Times New Roman" w:eastAsia="Times New Roman" w:hAnsi="Times New Roman"/>
                <w:sz w:val="24"/>
                <w:szCs w:val="24"/>
                <w:color w:val="auto"/>
                <w:vertAlign w:val="superscript"/>
              </w:rPr>
              <w:t>(1)</w:t>
            </w:r>
          </w:p>
        </w:tc>
        <w:tc>
          <w:tcPr>
            <w:tcW w:w="1100" w:type="dxa"/>
            <w:vAlign w:val="bottom"/>
            <w:tcBorders>
              <w:bottom w:val="single" w:sz="8" w:color="auto"/>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bottom w:val="single" w:sz="8" w:color="CFF0FC"/>
            </w:tcBorders>
            <w:gridSpan w:val="2"/>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9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Local language film releases: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90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r>
      <w:tr>
        <w:trPr>
          <w:trHeight w:val="239"/>
        </w:trPr>
        <w:tc>
          <w:tcPr>
            <w:tcW w:w="9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India</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247"/>
        </w:trPr>
        <w:tc>
          <w:tcPr>
            <w:tcW w:w="90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r>
      <w:tr>
        <w:trPr>
          <w:trHeight w:val="239"/>
        </w:trPr>
        <w:tc>
          <w:tcPr>
            <w:tcW w:w="9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South Korea</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36"/>
        </w:trPr>
        <w:tc>
          <w:tcPr>
            <w:tcW w:w="7920" w:type="dxa"/>
            <w:vAlign w:val="bottom"/>
            <w:tcBorders>
              <w:top w:val="single" w:sz="8" w:color="CFF0FC"/>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local language film releases</w:t>
            </w:r>
          </w:p>
        </w:tc>
        <w:tc>
          <w:tcPr>
            <w:tcW w:w="1100" w:type="dxa"/>
            <w:vAlign w:val="bottom"/>
            <w:tcBorders>
              <w:top w:val="single" w:sz="8" w:color="auto"/>
              <w:bottom w:val="single" w:sz="8" w:color="auto"/>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37"/>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Alternative content experiences</w:t>
            </w:r>
          </w:p>
        </w:tc>
        <w:tc>
          <w:tcPr>
            <w:tcW w:w="1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78"/>
        </w:trPr>
        <w:tc>
          <w:tcPr>
            <w:tcW w:w="90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film releases and alternative content experiences</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shd w:val="clear" w:color="auto" w:fill="CFF0FC"/>
          </w:tcPr>
          <w:p>
            <w:pPr>
              <w:spacing w:after="0"/>
              <w:rPr>
                <w:sz w:val="24"/>
                <w:szCs w:val="24"/>
                <w:color w:val="auto"/>
              </w:rPr>
            </w:pPr>
          </w:p>
        </w:tc>
      </w:tr>
      <w:tr>
        <w:trPr>
          <w:trHeight w:val="118"/>
        </w:trPr>
        <w:tc>
          <w:tcPr>
            <w:tcW w:w="1500" w:type="dxa"/>
            <w:vAlign w:val="bottom"/>
            <w:tcBorders>
              <w:top w:val="single" w:sz="8" w:color="CFF0FC"/>
              <w:bottom w:val="single" w:sz="8" w:color="auto"/>
            </w:tcBorders>
          </w:tcPr>
          <w:p>
            <w:pPr>
              <w:spacing w:after="0"/>
              <w:rPr>
                <w:sz w:val="10"/>
                <w:szCs w:val="10"/>
                <w:color w:val="auto"/>
              </w:rPr>
            </w:pPr>
          </w:p>
        </w:tc>
        <w:tc>
          <w:tcPr>
            <w:tcW w:w="6420" w:type="dxa"/>
            <w:vAlign w:val="bottom"/>
            <w:tcBorders>
              <w:top w:val="single" w:sz="8" w:color="CFF0FC"/>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4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-1388110</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-620395</wp:posOffset>
            </wp:positionV>
            <wp:extent cx="7145020" cy="34671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45020" cy="34671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-119380</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-102235</wp:posOffset>
            </wp:positionV>
            <wp:extent cx="6858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For the three months ended March 31, 2024, the films released to the Company’s global network include two with IMAX DNA (2023 — two).</w:t>
      </w:r>
    </w:p>
    <w:p>
      <w:pPr>
        <w:spacing w:after="0" w:line="198"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 xml:space="preserve">The films distributed through the Company’s global network during the three months ended March 31, 2024 that generated the highest IMAX box office totals were </w:t>
      </w:r>
      <w:r>
        <w:rPr>
          <w:rFonts w:ascii="Times New Roman" w:cs="Times New Roman" w:eastAsia="Times New Roman" w:hAnsi="Times New Roman"/>
          <w:sz w:val="18"/>
          <w:szCs w:val="18"/>
          <w:i w:val="1"/>
          <w:iCs w:val="1"/>
          <w:color w:val="auto"/>
        </w:rPr>
        <w:t>Dune: Part Two, Godzilla x Kong: The New Empire, and Pegasus 2</w:t>
      </w:r>
      <w:r>
        <w:rPr>
          <w:rFonts w:ascii="Times New Roman" w:cs="Times New Roman" w:eastAsia="Times New Roman" w:hAnsi="Times New Roman"/>
          <w:sz w:val="18"/>
          <w:szCs w:val="18"/>
          <w:color w:val="auto"/>
        </w:rPr>
        <w:t>, a Chinese local language film.</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5"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In addition to the 20 IMAX films and alternative content experiences released on the Company’s global network during the three months ended March 31, 2024, the Company has announced the following additional 31 films, alternative content and experiences to be released throughout the remainder of 2024:</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Scheduled</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72"/>
        </w:trPr>
        <w:tc>
          <w:tcPr>
            <w:tcW w:w="150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tcPr>
          <w:p>
            <w:pPr>
              <w:jc w:val="center"/>
              <w:ind w:right="1417"/>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160" w:type="dxa"/>
            <w:vAlign w:val="bottom"/>
          </w:tcPr>
          <w:p>
            <w:pPr>
              <w:spacing w:after="0"/>
              <w:rPr>
                <w:sz w:val="23"/>
                <w:szCs w:val="23"/>
                <w:color w:val="auto"/>
              </w:rPr>
            </w:pPr>
          </w:p>
        </w:tc>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Studio</w:t>
            </w:r>
          </w:p>
        </w:tc>
        <w:tc>
          <w:tcPr>
            <w:tcW w:w="240" w:type="dxa"/>
            <w:vAlign w:val="bottom"/>
          </w:tcPr>
          <w:p>
            <w:pPr>
              <w:spacing w:after="0"/>
              <w:rPr>
                <w:sz w:val="23"/>
                <w:szCs w:val="23"/>
                <w:color w:val="auto"/>
              </w:rPr>
            </w:pPr>
          </w:p>
        </w:tc>
        <w:tc>
          <w:tcPr>
            <w:tcW w:w="1680" w:type="dxa"/>
            <w:vAlign w:val="bottom"/>
            <w:tcBorders>
              <w:bottom w:val="single" w:sz="8" w:color="auto"/>
            </w:tcBorders>
          </w:tcPr>
          <w:p>
            <w:pPr>
              <w:jc w:val="center"/>
              <w:spacing w:after="0" w:line="272" w:lineRule="exact"/>
              <w:rPr>
                <w:sz w:val="20"/>
                <w:szCs w:val="20"/>
                <w:color w:val="auto"/>
              </w:rPr>
            </w:pPr>
            <w:r>
              <w:rPr>
                <w:rFonts w:ascii="Times New Roman" w:cs="Times New Roman" w:eastAsia="Times New Roman" w:hAnsi="Times New Roman"/>
                <w:sz w:val="18"/>
                <w:szCs w:val="18"/>
                <w:b w:val="1"/>
                <w:bCs w:val="1"/>
                <w:color w:val="auto"/>
                <w:w w:val="95"/>
              </w:rPr>
              <w:t>Release Date</w:t>
            </w:r>
            <w:r>
              <w:rPr>
                <w:rFonts w:ascii="Times New Roman" w:cs="Times New Roman" w:eastAsia="Times New Roman" w:hAnsi="Times New Roman"/>
                <w:sz w:val="24"/>
                <w:szCs w:val="24"/>
                <w:b w:val="1"/>
                <w:bCs w:val="1"/>
                <w:color w:val="auto"/>
                <w:w w:val="95"/>
                <w:vertAlign w:val="superscript"/>
              </w:rPr>
              <w:t>(1)</w:t>
            </w:r>
          </w:p>
        </w:tc>
        <w:tc>
          <w:tcPr>
            <w:tcW w:w="100" w:type="dxa"/>
            <w:vAlign w:val="bottom"/>
          </w:tcPr>
          <w:p>
            <w:pPr>
              <w:spacing w:after="0"/>
              <w:rPr>
                <w:sz w:val="23"/>
                <w:szCs w:val="23"/>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IMAX DNA</w:t>
            </w:r>
          </w:p>
        </w:tc>
      </w:tr>
      <w:tr>
        <w:trPr>
          <w:trHeight w:val="223"/>
        </w:trPr>
        <w:tc>
          <w:tcPr>
            <w:tcW w:w="35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w w:val="98"/>
              </w:rPr>
              <w:t>Civil War</w:t>
            </w:r>
          </w:p>
        </w:tc>
        <w:tc>
          <w:tcPr>
            <w:tcW w:w="160" w:type="dxa"/>
            <w:vAlign w:val="bottom"/>
            <w:shd w:val="clear" w:color="auto" w:fill="CFF0FC"/>
          </w:tcPr>
          <w:p>
            <w:pPr>
              <w:spacing w:after="0"/>
              <w:rPr>
                <w:sz w:val="19"/>
                <w:szCs w:val="19"/>
                <w:color w:val="auto"/>
              </w:rPr>
            </w:pPr>
          </w:p>
        </w:tc>
        <w:tc>
          <w:tcPr>
            <w:tcW w:w="3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A24</w:t>
            </w:r>
          </w:p>
        </w:tc>
        <w:tc>
          <w:tcPr>
            <w:tcW w:w="240" w:type="dxa"/>
            <w:vAlign w:val="bottom"/>
            <w:shd w:val="clear" w:color="auto" w:fill="CFF0FC"/>
          </w:tcPr>
          <w:p>
            <w:pPr>
              <w:spacing w:after="0"/>
              <w:rPr>
                <w:sz w:val="19"/>
                <w:szCs w:val="19"/>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April 2024</w:t>
            </w: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21"/>
        </w:trPr>
        <w:tc>
          <w:tcPr>
            <w:tcW w:w="358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SUGA | Agust D TOUR 'D-DAY' THE FINAL</w:t>
            </w:r>
          </w:p>
        </w:tc>
        <w:tc>
          <w:tcPr>
            <w:tcW w:w="16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Hybe / Trafalgar</w:t>
            </w:r>
          </w:p>
        </w:tc>
        <w:tc>
          <w:tcPr>
            <w:tcW w:w="2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2024</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5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rPr>
              <w:t>Bade Miyan Chote Miyan</w:t>
            </w:r>
          </w:p>
        </w:tc>
        <w:tc>
          <w:tcPr>
            <w:tcW w:w="160" w:type="dxa"/>
            <w:vAlign w:val="bottom"/>
            <w:shd w:val="clear" w:color="auto" w:fill="CFF0FC"/>
          </w:tcPr>
          <w:p>
            <w:pPr>
              <w:spacing w:after="0"/>
              <w:rPr>
                <w:sz w:val="20"/>
                <w:szCs w:val="20"/>
                <w:color w:val="auto"/>
              </w:rPr>
            </w:pPr>
          </w:p>
        </w:tc>
        <w:tc>
          <w:tcPr>
            <w:tcW w:w="3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PVR Inox Pictures</w:t>
            </w:r>
          </w:p>
        </w:tc>
        <w:tc>
          <w:tcPr>
            <w:tcW w:w="240" w:type="dxa"/>
            <w:vAlign w:val="bottom"/>
            <w:shd w:val="clear" w:color="auto" w:fill="CFF0FC"/>
          </w:tcPr>
          <w:p>
            <w:pPr>
              <w:spacing w:after="0"/>
              <w:rPr>
                <w:sz w:val="20"/>
                <w:szCs w:val="20"/>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April 2024</w:t>
            </w:r>
          </w:p>
        </w:tc>
        <w:tc>
          <w:tcPr>
            <w:tcW w:w="100" w:type="dxa"/>
            <w:vAlign w:val="bottom"/>
            <w:shd w:val="clear" w:color="auto" w:fill="CFF0FC"/>
          </w:tcPr>
          <w:p>
            <w:pPr>
              <w:spacing w:after="0"/>
              <w:rPr>
                <w:sz w:val="20"/>
                <w:szCs w:val="20"/>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21"/>
        </w:trPr>
        <w:tc>
          <w:tcPr>
            <w:tcW w:w="358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Maidaan</w:t>
            </w:r>
          </w:p>
        </w:tc>
        <w:tc>
          <w:tcPr>
            <w:tcW w:w="16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Bayview Projects</w:t>
            </w:r>
          </w:p>
        </w:tc>
        <w:tc>
          <w:tcPr>
            <w:tcW w:w="2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2024</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5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rPr>
              <w:t>KKN 2: Badarawuhi di desa Penari</w:t>
            </w:r>
          </w:p>
        </w:tc>
        <w:tc>
          <w:tcPr>
            <w:tcW w:w="160" w:type="dxa"/>
            <w:vAlign w:val="bottom"/>
            <w:shd w:val="clear" w:color="auto" w:fill="CFF0FC"/>
          </w:tcPr>
          <w:p>
            <w:pPr>
              <w:spacing w:after="0"/>
              <w:rPr>
                <w:sz w:val="20"/>
                <w:szCs w:val="20"/>
                <w:color w:val="auto"/>
              </w:rPr>
            </w:pPr>
          </w:p>
        </w:tc>
        <w:tc>
          <w:tcPr>
            <w:tcW w:w="3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MD Pictures</w:t>
            </w:r>
          </w:p>
        </w:tc>
        <w:tc>
          <w:tcPr>
            <w:tcW w:w="240" w:type="dxa"/>
            <w:vAlign w:val="bottom"/>
            <w:shd w:val="clear" w:color="auto" w:fill="CFF0FC"/>
          </w:tcPr>
          <w:p>
            <w:pPr>
              <w:spacing w:after="0"/>
              <w:rPr>
                <w:sz w:val="20"/>
                <w:szCs w:val="20"/>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April 2024</w:t>
            </w:r>
          </w:p>
        </w:tc>
        <w:tc>
          <w:tcPr>
            <w:tcW w:w="100" w:type="dxa"/>
            <w:vAlign w:val="bottom"/>
            <w:shd w:val="clear" w:color="auto" w:fill="CFF0FC"/>
          </w:tcPr>
          <w:p>
            <w:pPr>
              <w:spacing w:after="0"/>
              <w:rPr>
                <w:sz w:val="20"/>
                <w:szCs w:val="20"/>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Filmed For IMAX</w:t>
            </w:r>
          </w:p>
        </w:tc>
      </w:tr>
      <w:tr>
        <w:trPr>
          <w:trHeight w:val="221"/>
        </w:trPr>
        <w:tc>
          <w:tcPr>
            <w:tcW w:w="358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Detective Conan: The Million-dollar Pentagram</w:t>
            </w:r>
          </w:p>
        </w:tc>
        <w:tc>
          <w:tcPr>
            <w:tcW w:w="16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Toho Studios</w:t>
            </w:r>
          </w:p>
        </w:tc>
        <w:tc>
          <w:tcPr>
            <w:tcW w:w="2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2024</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5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rPr>
              <w:t>Blue Lock: Episode Nagi</w:t>
            </w:r>
          </w:p>
        </w:tc>
        <w:tc>
          <w:tcPr>
            <w:tcW w:w="160" w:type="dxa"/>
            <w:vAlign w:val="bottom"/>
            <w:shd w:val="clear" w:color="auto" w:fill="CFF0FC"/>
          </w:tcPr>
          <w:p>
            <w:pPr>
              <w:spacing w:after="0"/>
              <w:rPr>
                <w:sz w:val="20"/>
                <w:szCs w:val="20"/>
                <w:color w:val="auto"/>
              </w:rPr>
            </w:pPr>
          </w:p>
        </w:tc>
        <w:tc>
          <w:tcPr>
            <w:tcW w:w="3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Bandai</w:t>
            </w:r>
          </w:p>
        </w:tc>
        <w:tc>
          <w:tcPr>
            <w:tcW w:w="240" w:type="dxa"/>
            <w:vAlign w:val="bottom"/>
            <w:shd w:val="clear" w:color="auto" w:fill="CFF0FC"/>
          </w:tcPr>
          <w:p>
            <w:pPr>
              <w:spacing w:after="0"/>
              <w:rPr>
                <w:sz w:val="20"/>
                <w:szCs w:val="20"/>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April 2024</w:t>
            </w:r>
          </w:p>
        </w:tc>
        <w:tc>
          <w:tcPr>
            <w:tcW w:w="100" w:type="dxa"/>
            <w:vAlign w:val="bottom"/>
            <w:shd w:val="clear" w:color="auto" w:fill="CFF0FC"/>
          </w:tcPr>
          <w:p>
            <w:pPr>
              <w:spacing w:after="0"/>
              <w:rPr>
                <w:sz w:val="20"/>
                <w:szCs w:val="20"/>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21"/>
        </w:trPr>
        <w:tc>
          <w:tcPr>
            <w:tcW w:w="358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Spy x Family Code:White</w:t>
            </w:r>
          </w:p>
        </w:tc>
        <w:tc>
          <w:tcPr>
            <w:tcW w:w="16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Sony Pictures/Crunchyroll</w:t>
            </w:r>
          </w:p>
        </w:tc>
        <w:tc>
          <w:tcPr>
            <w:tcW w:w="2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2024</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5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rPr>
              <w:t>The Roundup: Punishment</w:t>
            </w:r>
          </w:p>
        </w:tc>
        <w:tc>
          <w:tcPr>
            <w:tcW w:w="160" w:type="dxa"/>
            <w:vAlign w:val="bottom"/>
            <w:shd w:val="clear" w:color="auto" w:fill="CFF0FC"/>
          </w:tcPr>
          <w:p>
            <w:pPr>
              <w:spacing w:after="0"/>
              <w:rPr>
                <w:sz w:val="20"/>
                <w:szCs w:val="20"/>
                <w:color w:val="auto"/>
              </w:rPr>
            </w:pPr>
          </w:p>
        </w:tc>
        <w:tc>
          <w:tcPr>
            <w:tcW w:w="3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ABO Ent.</w:t>
            </w:r>
          </w:p>
        </w:tc>
        <w:tc>
          <w:tcPr>
            <w:tcW w:w="240" w:type="dxa"/>
            <w:vAlign w:val="bottom"/>
            <w:shd w:val="clear" w:color="auto" w:fill="CFF0FC"/>
          </w:tcPr>
          <w:p>
            <w:pPr>
              <w:spacing w:after="0"/>
              <w:rPr>
                <w:sz w:val="20"/>
                <w:szCs w:val="20"/>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April 2024</w:t>
            </w:r>
          </w:p>
        </w:tc>
        <w:tc>
          <w:tcPr>
            <w:tcW w:w="100" w:type="dxa"/>
            <w:vAlign w:val="bottom"/>
            <w:shd w:val="clear" w:color="auto" w:fill="CFF0FC"/>
          </w:tcPr>
          <w:p>
            <w:pPr>
              <w:spacing w:after="0"/>
              <w:rPr>
                <w:sz w:val="20"/>
                <w:szCs w:val="20"/>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21"/>
        </w:trPr>
        <w:tc>
          <w:tcPr>
            <w:tcW w:w="358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Howl's Moving Castle</w:t>
            </w:r>
          </w:p>
        </w:tc>
        <w:tc>
          <w:tcPr>
            <w:tcW w:w="16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Studio Ghibli</w:t>
            </w:r>
          </w:p>
        </w:tc>
        <w:tc>
          <w:tcPr>
            <w:tcW w:w="2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2024</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5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rPr>
              <w:t>Formed Police Unit</w:t>
            </w:r>
          </w:p>
        </w:tc>
        <w:tc>
          <w:tcPr>
            <w:tcW w:w="160" w:type="dxa"/>
            <w:vAlign w:val="bottom"/>
            <w:shd w:val="clear" w:color="auto" w:fill="CFF0FC"/>
          </w:tcPr>
          <w:p>
            <w:pPr>
              <w:spacing w:after="0"/>
              <w:rPr>
                <w:sz w:val="20"/>
                <w:szCs w:val="20"/>
                <w:color w:val="auto"/>
              </w:rPr>
            </w:pPr>
          </w:p>
        </w:tc>
        <w:tc>
          <w:tcPr>
            <w:tcW w:w="3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Alibaba</w:t>
            </w:r>
          </w:p>
        </w:tc>
        <w:tc>
          <w:tcPr>
            <w:tcW w:w="240" w:type="dxa"/>
            <w:vAlign w:val="bottom"/>
            <w:shd w:val="clear" w:color="auto" w:fill="CFF0FC"/>
          </w:tcPr>
          <w:p>
            <w:pPr>
              <w:spacing w:after="0"/>
              <w:rPr>
                <w:sz w:val="20"/>
                <w:szCs w:val="20"/>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May 2024</w:t>
            </w:r>
          </w:p>
        </w:tc>
        <w:tc>
          <w:tcPr>
            <w:tcW w:w="100" w:type="dxa"/>
            <w:vAlign w:val="bottom"/>
            <w:shd w:val="clear" w:color="auto" w:fill="CFF0FC"/>
          </w:tcPr>
          <w:p>
            <w:pPr>
              <w:spacing w:after="0"/>
              <w:rPr>
                <w:sz w:val="20"/>
                <w:szCs w:val="20"/>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21"/>
        </w:trPr>
        <w:tc>
          <w:tcPr>
            <w:tcW w:w="358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The Fall Guy</w:t>
            </w:r>
          </w:p>
        </w:tc>
        <w:tc>
          <w:tcPr>
            <w:tcW w:w="16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Universal Pictures</w:t>
            </w:r>
          </w:p>
        </w:tc>
        <w:tc>
          <w:tcPr>
            <w:tcW w:w="2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2024</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5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rPr>
              <w:t>Kingdom of The Planet of The Apes</w:t>
            </w:r>
          </w:p>
        </w:tc>
        <w:tc>
          <w:tcPr>
            <w:tcW w:w="160" w:type="dxa"/>
            <w:vAlign w:val="bottom"/>
            <w:shd w:val="clear" w:color="auto" w:fill="CFF0FC"/>
          </w:tcPr>
          <w:p>
            <w:pPr>
              <w:spacing w:after="0"/>
              <w:rPr>
                <w:sz w:val="20"/>
                <w:szCs w:val="20"/>
                <w:color w:val="auto"/>
              </w:rPr>
            </w:pPr>
          </w:p>
        </w:tc>
        <w:tc>
          <w:tcPr>
            <w:tcW w:w="3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Walt Disney Studios</w:t>
            </w:r>
          </w:p>
        </w:tc>
        <w:tc>
          <w:tcPr>
            <w:tcW w:w="240" w:type="dxa"/>
            <w:vAlign w:val="bottom"/>
            <w:shd w:val="clear" w:color="auto" w:fill="CFF0FC"/>
          </w:tcPr>
          <w:p>
            <w:pPr>
              <w:spacing w:after="0"/>
              <w:rPr>
                <w:sz w:val="20"/>
                <w:szCs w:val="20"/>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May 2024</w:t>
            </w:r>
          </w:p>
        </w:tc>
        <w:tc>
          <w:tcPr>
            <w:tcW w:w="100" w:type="dxa"/>
            <w:vAlign w:val="bottom"/>
            <w:shd w:val="clear" w:color="auto" w:fill="CFF0FC"/>
          </w:tcPr>
          <w:p>
            <w:pPr>
              <w:spacing w:after="0"/>
              <w:rPr>
                <w:sz w:val="20"/>
                <w:szCs w:val="20"/>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21"/>
        </w:trPr>
        <w:tc>
          <w:tcPr>
            <w:tcW w:w="1500" w:type="dxa"/>
            <w:vAlign w:val="bottom"/>
          </w:tcPr>
          <w:p>
            <w:pPr>
              <w:spacing w:after="0"/>
              <w:rPr>
                <w:sz w:val="19"/>
                <w:szCs w:val="19"/>
                <w:color w:val="auto"/>
              </w:rPr>
            </w:pPr>
          </w:p>
        </w:tc>
        <w:tc>
          <w:tcPr>
            <w:tcW w:w="2080" w:type="dxa"/>
            <w:vAlign w:val="bottom"/>
          </w:tcPr>
          <w:p>
            <w:pPr>
              <w:jc w:val="center"/>
              <w:ind w:right="1417"/>
              <w:spacing w:after="0"/>
              <w:rPr>
                <w:sz w:val="20"/>
                <w:szCs w:val="20"/>
                <w:color w:val="auto"/>
              </w:rPr>
            </w:pPr>
            <w:r>
              <w:rPr>
                <w:rFonts w:ascii="Times New Roman" w:cs="Times New Roman" w:eastAsia="Times New Roman" w:hAnsi="Times New Roman"/>
                <w:sz w:val="16"/>
                <w:szCs w:val="16"/>
                <w:i w:val="1"/>
                <w:iCs w:val="1"/>
                <w:color w:val="auto"/>
                <w:w w:val="98"/>
              </w:rPr>
              <w:t>Furiosa</w:t>
            </w:r>
          </w:p>
        </w:tc>
        <w:tc>
          <w:tcPr>
            <w:tcW w:w="16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Warner Bros. Pictures</w:t>
            </w:r>
          </w:p>
        </w:tc>
        <w:tc>
          <w:tcPr>
            <w:tcW w:w="2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2024</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5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w w:val="98"/>
              </w:rPr>
              <w:t>Twilight of Warriors: Walled In</w:t>
            </w:r>
          </w:p>
        </w:tc>
        <w:tc>
          <w:tcPr>
            <w:tcW w:w="160" w:type="dxa"/>
            <w:vAlign w:val="bottom"/>
            <w:shd w:val="clear" w:color="auto" w:fill="CFF0FC"/>
          </w:tcPr>
          <w:p>
            <w:pPr>
              <w:spacing w:after="0"/>
              <w:rPr>
                <w:sz w:val="20"/>
                <w:szCs w:val="20"/>
                <w:color w:val="auto"/>
              </w:rPr>
            </w:pPr>
          </w:p>
        </w:tc>
        <w:tc>
          <w:tcPr>
            <w:tcW w:w="3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Lian Ray</w:t>
            </w:r>
          </w:p>
        </w:tc>
        <w:tc>
          <w:tcPr>
            <w:tcW w:w="240" w:type="dxa"/>
            <w:vAlign w:val="bottom"/>
            <w:shd w:val="clear" w:color="auto" w:fill="CFF0FC"/>
          </w:tcPr>
          <w:p>
            <w:pPr>
              <w:spacing w:after="0"/>
              <w:rPr>
                <w:sz w:val="20"/>
                <w:szCs w:val="20"/>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May 2024</w:t>
            </w:r>
          </w:p>
        </w:tc>
        <w:tc>
          <w:tcPr>
            <w:tcW w:w="100" w:type="dxa"/>
            <w:vAlign w:val="bottom"/>
            <w:shd w:val="clear" w:color="auto" w:fill="CFF0FC"/>
          </w:tcPr>
          <w:p>
            <w:pPr>
              <w:spacing w:after="0"/>
              <w:rPr>
                <w:sz w:val="20"/>
                <w:szCs w:val="20"/>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21"/>
        </w:trPr>
        <w:tc>
          <w:tcPr>
            <w:tcW w:w="358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Bad Boys 4</w:t>
            </w:r>
          </w:p>
        </w:tc>
        <w:tc>
          <w:tcPr>
            <w:tcW w:w="16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Sony Pictures</w:t>
            </w:r>
          </w:p>
        </w:tc>
        <w:tc>
          <w:tcPr>
            <w:tcW w:w="2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2024</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5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rPr>
              <w:t>Inside Out 2</w:t>
            </w:r>
          </w:p>
        </w:tc>
        <w:tc>
          <w:tcPr>
            <w:tcW w:w="160" w:type="dxa"/>
            <w:vAlign w:val="bottom"/>
            <w:shd w:val="clear" w:color="auto" w:fill="CFF0FC"/>
          </w:tcPr>
          <w:p>
            <w:pPr>
              <w:spacing w:after="0"/>
              <w:rPr>
                <w:sz w:val="20"/>
                <w:szCs w:val="20"/>
                <w:color w:val="auto"/>
              </w:rPr>
            </w:pPr>
          </w:p>
        </w:tc>
        <w:tc>
          <w:tcPr>
            <w:tcW w:w="3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Walt Disney Studios/Pixar Animation Studios</w:t>
            </w:r>
          </w:p>
        </w:tc>
        <w:tc>
          <w:tcPr>
            <w:tcW w:w="240" w:type="dxa"/>
            <w:vAlign w:val="bottom"/>
            <w:shd w:val="clear" w:color="auto" w:fill="CFF0FC"/>
          </w:tcPr>
          <w:p>
            <w:pPr>
              <w:spacing w:after="0"/>
              <w:rPr>
                <w:sz w:val="20"/>
                <w:szCs w:val="20"/>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June 2024</w:t>
            </w:r>
          </w:p>
        </w:tc>
        <w:tc>
          <w:tcPr>
            <w:tcW w:w="100" w:type="dxa"/>
            <w:vAlign w:val="bottom"/>
            <w:shd w:val="clear" w:color="auto" w:fill="CFF0FC"/>
          </w:tcPr>
          <w:p>
            <w:pPr>
              <w:spacing w:after="0"/>
              <w:rPr>
                <w:sz w:val="20"/>
                <w:szCs w:val="20"/>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21"/>
        </w:trPr>
        <w:tc>
          <w:tcPr>
            <w:tcW w:w="358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A Quiet Place: Day One</w:t>
            </w:r>
          </w:p>
        </w:tc>
        <w:tc>
          <w:tcPr>
            <w:tcW w:w="16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Paramount Pictures</w:t>
            </w:r>
          </w:p>
        </w:tc>
        <w:tc>
          <w:tcPr>
            <w:tcW w:w="2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2024</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5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rPr>
              <w:t>Despicable Me 4</w:t>
            </w:r>
          </w:p>
        </w:tc>
        <w:tc>
          <w:tcPr>
            <w:tcW w:w="160" w:type="dxa"/>
            <w:vAlign w:val="bottom"/>
            <w:shd w:val="clear" w:color="auto" w:fill="CFF0FC"/>
          </w:tcPr>
          <w:p>
            <w:pPr>
              <w:spacing w:after="0"/>
              <w:rPr>
                <w:sz w:val="20"/>
                <w:szCs w:val="20"/>
                <w:color w:val="auto"/>
              </w:rPr>
            </w:pPr>
          </w:p>
        </w:tc>
        <w:tc>
          <w:tcPr>
            <w:tcW w:w="3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Universal Pictures</w:t>
            </w:r>
          </w:p>
        </w:tc>
        <w:tc>
          <w:tcPr>
            <w:tcW w:w="240" w:type="dxa"/>
            <w:vAlign w:val="bottom"/>
            <w:shd w:val="clear" w:color="auto" w:fill="CFF0FC"/>
          </w:tcPr>
          <w:p>
            <w:pPr>
              <w:spacing w:after="0"/>
              <w:rPr>
                <w:sz w:val="20"/>
                <w:szCs w:val="20"/>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July 2024</w:t>
            </w:r>
          </w:p>
        </w:tc>
        <w:tc>
          <w:tcPr>
            <w:tcW w:w="100" w:type="dxa"/>
            <w:vAlign w:val="bottom"/>
            <w:shd w:val="clear" w:color="auto" w:fill="CFF0FC"/>
          </w:tcPr>
          <w:p>
            <w:pPr>
              <w:spacing w:after="0"/>
              <w:rPr>
                <w:sz w:val="20"/>
                <w:szCs w:val="20"/>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21"/>
        </w:trPr>
        <w:tc>
          <w:tcPr>
            <w:tcW w:w="1500" w:type="dxa"/>
            <w:vAlign w:val="bottom"/>
          </w:tcPr>
          <w:p>
            <w:pPr>
              <w:spacing w:after="0"/>
              <w:rPr>
                <w:sz w:val="19"/>
                <w:szCs w:val="19"/>
                <w:color w:val="auto"/>
              </w:rPr>
            </w:pPr>
          </w:p>
        </w:tc>
        <w:tc>
          <w:tcPr>
            <w:tcW w:w="2080" w:type="dxa"/>
            <w:vAlign w:val="bottom"/>
          </w:tcPr>
          <w:p>
            <w:pPr>
              <w:jc w:val="center"/>
              <w:ind w:right="1417"/>
              <w:spacing w:after="0"/>
              <w:rPr>
                <w:sz w:val="20"/>
                <w:szCs w:val="20"/>
                <w:color w:val="auto"/>
              </w:rPr>
            </w:pPr>
            <w:r>
              <w:rPr>
                <w:rFonts w:ascii="Times New Roman" w:cs="Times New Roman" w:eastAsia="Times New Roman" w:hAnsi="Times New Roman"/>
                <w:sz w:val="16"/>
                <w:szCs w:val="16"/>
                <w:i w:val="1"/>
                <w:iCs w:val="1"/>
                <w:color w:val="auto"/>
                <w:w w:val="99"/>
              </w:rPr>
              <w:t>Twisters</w:t>
            </w:r>
          </w:p>
        </w:tc>
        <w:tc>
          <w:tcPr>
            <w:tcW w:w="16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Universal Pictures/Warner Bros. Pictures</w:t>
            </w:r>
          </w:p>
        </w:tc>
        <w:tc>
          <w:tcPr>
            <w:tcW w:w="2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2024</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5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w w:val="98"/>
              </w:rPr>
              <w:t>Kingdom 4</w:t>
            </w:r>
          </w:p>
        </w:tc>
        <w:tc>
          <w:tcPr>
            <w:tcW w:w="160" w:type="dxa"/>
            <w:vAlign w:val="bottom"/>
            <w:shd w:val="clear" w:color="auto" w:fill="CFF0FC"/>
          </w:tcPr>
          <w:p>
            <w:pPr>
              <w:spacing w:after="0"/>
              <w:rPr>
                <w:sz w:val="20"/>
                <w:szCs w:val="20"/>
                <w:color w:val="auto"/>
              </w:rPr>
            </w:pPr>
          </w:p>
        </w:tc>
        <w:tc>
          <w:tcPr>
            <w:tcW w:w="3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Toho Studios</w:t>
            </w:r>
          </w:p>
        </w:tc>
        <w:tc>
          <w:tcPr>
            <w:tcW w:w="240" w:type="dxa"/>
            <w:vAlign w:val="bottom"/>
            <w:shd w:val="clear" w:color="auto" w:fill="CFF0FC"/>
          </w:tcPr>
          <w:p>
            <w:pPr>
              <w:spacing w:after="0"/>
              <w:rPr>
                <w:sz w:val="20"/>
                <w:szCs w:val="20"/>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July 2024</w:t>
            </w:r>
          </w:p>
        </w:tc>
        <w:tc>
          <w:tcPr>
            <w:tcW w:w="100" w:type="dxa"/>
            <w:vAlign w:val="bottom"/>
            <w:shd w:val="clear" w:color="auto" w:fill="CFF0FC"/>
          </w:tcPr>
          <w:p>
            <w:pPr>
              <w:spacing w:after="0"/>
              <w:rPr>
                <w:sz w:val="20"/>
                <w:szCs w:val="20"/>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21"/>
        </w:trPr>
        <w:tc>
          <w:tcPr>
            <w:tcW w:w="358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Deadpool &amp; Wolverine</w:t>
            </w:r>
          </w:p>
        </w:tc>
        <w:tc>
          <w:tcPr>
            <w:tcW w:w="16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Marvel Studios/Walt Disney Studios</w:t>
            </w:r>
          </w:p>
        </w:tc>
        <w:tc>
          <w:tcPr>
            <w:tcW w:w="2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July 2024</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5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rPr>
              <w:t>Borderlands</w:t>
            </w:r>
          </w:p>
        </w:tc>
        <w:tc>
          <w:tcPr>
            <w:tcW w:w="160" w:type="dxa"/>
            <w:vAlign w:val="bottom"/>
            <w:shd w:val="clear" w:color="auto" w:fill="CFF0FC"/>
          </w:tcPr>
          <w:p>
            <w:pPr>
              <w:spacing w:after="0"/>
              <w:rPr>
                <w:sz w:val="20"/>
                <w:szCs w:val="20"/>
                <w:color w:val="auto"/>
              </w:rPr>
            </w:pPr>
          </w:p>
        </w:tc>
        <w:tc>
          <w:tcPr>
            <w:tcW w:w="3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Lionsgate</w:t>
            </w:r>
          </w:p>
        </w:tc>
        <w:tc>
          <w:tcPr>
            <w:tcW w:w="240" w:type="dxa"/>
            <w:vAlign w:val="bottom"/>
            <w:shd w:val="clear" w:color="auto" w:fill="CFF0FC"/>
          </w:tcPr>
          <w:p>
            <w:pPr>
              <w:spacing w:after="0"/>
              <w:rPr>
                <w:sz w:val="20"/>
                <w:szCs w:val="20"/>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August 2024</w:t>
            </w:r>
          </w:p>
        </w:tc>
        <w:tc>
          <w:tcPr>
            <w:tcW w:w="100" w:type="dxa"/>
            <w:vAlign w:val="bottom"/>
            <w:shd w:val="clear" w:color="auto" w:fill="CFF0FC"/>
          </w:tcPr>
          <w:p>
            <w:pPr>
              <w:spacing w:after="0"/>
              <w:rPr>
                <w:sz w:val="20"/>
                <w:szCs w:val="20"/>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21"/>
        </w:trPr>
        <w:tc>
          <w:tcPr>
            <w:tcW w:w="358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Alien: Romulus</w:t>
            </w:r>
          </w:p>
        </w:tc>
        <w:tc>
          <w:tcPr>
            <w:tcW w:w="16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Walt Disney Studios</w:t>
            </w:r>
          </w:p>
        </w:tc>
        <w:tc>
          <w:tcPr>
            <w:tcW w:w="2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August 2024</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5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w w:val="97"/>
              </w:rPr>
              <w:t>The Crow</w:t>
            </w:r>
          </w:p>
        </w:tc>
        <w:tc>
          <w:tcPr>
            <w:tcW w:w="160" w:type="dxa"/>
            <w:vAlign w:val="bottom"/>
            <w:shd w:val="clear" w:color="auto" w:fill="CFF0FC"/>
          </w:tcPr>
          <w:p>
            <w:pPr>
              <w:spacing w:after="0"/>
              <w:rPr>
                <w:sz w:val="20"/>
                <w:szCs w:val="20"/>
                <w:color w:val="auto"/>
              </w:rPr>
            </w:pPr>
          </w:p>
        </w:tc>
        <w:tc>
          <w:tcPr>
            <w:tcW w:w="3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Lionsgate</w:t>
            </w:r>
          </w:p>
        </w:tc>
        <w:tc>
          <w:tcPr>
            <w:tcW w:w="240" w:type="dxa"/>
            <w:vAlign w:val="bottom"/>
            <w:shd w:val="clear" w:color="auto" w:fill="CFF0FC"/>
          </w:tcPr>
          <w:p>
            <w:pPr>
              <w:spacing w:after="0"/>
              <w:rPr>
                <w:sz w:val="20"/>
                <w:szCs w:val="20"/>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August 2024</w:t>
            </w:r>
          </w:p>
        </w:tc>
        <w:tc>
          <w:tcPr>
            <w:tcW w:w="100" w:type="dxa"/>
            <w:vAlign w:val="bottom"/>
            <w:shd w:val="clear" w:color="auto" w:fill="CFF0FC"/>
          </w:tcPr>
          <w:p>
            <w:pPr>
              <w:spacing w:after="0"/>
              <w:rPr>
                <w:sz w:val="20"/>
                <w:szCs w:val="20"/>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21"/>
        </w:trPr>
        <w:tc>
          <w:tcPr>
            <w:tcW w:w="358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Kraven the Hunter</w:t>
            </w:r>
          </w:p>
        </w:tc>
        <w:tc>
          <w:tcPr>
            <w:tcW w:w="16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Sony Pictures/Marvel Studios</w:t>
            </w:r>
          </w:p>
        </w:tc>
        <w:tc>
          <w:tcPr>
            <w:tcW w:w="2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August 2024</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5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rPr>
              <w:t>Beetlejuice 2</w:t>
            </w:r>
          </w:p>
        </w:tc>
        <w:tc>
          <w:tcPr>
            <w:tcW w:w="160" w:type="dxa"/>
            <w:vAlign w:val="bottom"/>
            <w:shd w:val="clear" w:color="auto" w:fill="CFF0FC"/>
          </w:tcPr>
          <w:p>
            <w:pPr>
              <w:spacing w:after="0"/>
              <w:rPr>
                <w:sz w:val="20"/>
                <w:szCs w:val="20"/>
                <w:color w:val="auto"/>
              </w:rPr>
            </w:pPr>
          </w:p>
        </w:tc>
        <w:tc>
          <w:tcPr>
            <w:tcW w:w="3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Warner Bros. Pictures</w:t>
            </w:r>
          </w:p>
        </w:tc>
        <w:tc>
          <w:tcPr>
            <w:tcW w:w="240" w:type="dxa"/>
            <w:vAlign w:val="bottom"/>
            <w:shd w:val="clear" w:color="auto" w:fill="CFF0FC"/>
          </w:tcPr>
          <w:p>
            <w:pPr>
              <w:spacing w:after="0"/>
              <w:rPr>
                <w:sz w:val="20"/>
                <w:szCs w:val="20"/>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September 2024</w:t>
            </w:r>
          </w:p>
        </w:tc>
        <w:tc>
          <w:tcPr>
            <w:tcW w:w="100" w:type="dxa"/>
            <w:vAlign w:val="bottom"/>
            <w:shd w:val="clear" w:color="auto" w:fill="CFF0FC"/>
          </w:tcPr>
          <w:p>
            <w:pPr>
              <w:spacing w:after="0"/>
              <w:rPr>
                <w:sz w:val="20"/>
                <w:szCs w:val="20"/>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21"/>
        </w:trPr>
        <w:tc>
          <w:tcPr>
            <w:tcW w:w="358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Transformers One</w:t>
            </w:r>
          </w:p>
        </w:tc>
        <w:tc>
          <w:tcPr>
            <w:tcW w:w="16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Paramount Pictures</w:t>
            </w:r>
          </w:p>
        </w:tc>
        <w:tc>
          <w:tcPr>
            <w:tcW w:w="2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2024</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1500" w:type="dxa"/>
            <w:vAlign w:val="bottom"/>
            <w:shd w:val="clear" w:color="auto" w:fill="CFF0FC"/>
          </w:tcPr>
          <w:p>
            <w:pPr>
              <w:spacing w:after="0"/>
              <w:rPr>
                <w:sz w:val="20"/>
                <w:szCs w:val="20"/>
                <w:color w:val="auto"/>
              </w:rPr>
            </w:pPr>
          </w:p>
        </w:tc>
        <w:tc>
          <w:tcPr>
            <w:tcW w:w="2080" w:type="dxa"/>
            <w:vAlign w:val="bottom"/>
            <w:shd w:val="clear" w:color="auto" w:fill="CFF0FC"/>
          </w:tcPr>
          <w:p>
            <w:pPr>
              <w:jc w:val="center"/>
              <w:ind w:right="1417"/>
              <w:spacing w:after="0"/>
              <w:rPr>
                <w:sz w:val="20"/>
                <w:szCs w:val="20"/>
                <w:color w:val="auto"/>
              </w:rPr>
            </w:pPr>
            <w:r>
              <w:rPr>
                <w:rFonts w:ascii="Times New Roman" w:cs="Times New Roman" w:eastAsia="Times New Roman" w:hAnsi="Times New Roman"/>
                <w:sz w:val="16"/>
                <w:szCs w:val="16"/>
                <w:i w:val="1"/>
                <w:iCs w:val="1"/>
                <w:color w:val="auto"/>
                <w:w w:val="93"/>
              </w:rPr>
              <w:t>Wolfs</w:t>
            </w:r>
          </w:p>
        </w:tc>
        <w:tc>
          <w:tcPr>
            <w:tcW w:w="160" w:type="dxa"/>
            <w:vAlign w:val="bottom"/>
            <w:shd w:val="clear" w:color="auto" w:fill="CFF0FC"/>
          </w:tcPr>
          <w:p>
            <w:pPr>
              <w:spacing w:after="0"/>
              <w:rPr>
                <w:sz w:val="20"/>
                <w:szCs w:val="20"/>
                <w:color w:val="auto"/>
              </w:rPr>
            </w:pPr>
          </w:p>
        </w:tc>
        <w:tc>
          <w:tcPr>
            <w:tcW w:w="3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Sony Pictures/Apple</w:t>
            </w:r>
          </w:p>
        </w:tc>
        <w:tc>
          <w:tcPr>
            <w:tcW w:w="240" w:type="dxa"/>
            <w:vAlign w:val="bottom"/>
            <w:shd w:val="clear" w:color="auto" w:fill="CFF0FC"/>
          </w:tcPr>
          <w:p>
            <w:pPr>
              <w:spacing w:after="0"/>
              <w:rPr>
                <w:sz w:val="20"/>
                <w:szCs w:val="20"/>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September 2024</w:t>
            </w:r>
          </w:p>
        </w:tc>
        <w:tc>
          <w:tcPr>
            <w:tcW w:w="100" w:type="dxa"/>
            <w:vAlign w:val="bottom"/>
            <w:shd w:val="clear" w:color="auto" w:fill="CFF0FC"/>
          </w:tcPr>
          <w:p>
            <w:pPr>
              <w:spacing w:after="0"/>
              <w:rPr>
                <w:sz w:val="20"/>
                <w:szCs w:val="20"/>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358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Interstellar</w:t>
            </w:r>
          </w:p>
        </w:tc>
        <w:tc>
          <w:tcPr>
            <w:tcW w:w="160" w:type="dxa"/>
            <w:vAlign w:val="bottom"/>
          </w:tcPr>
          <w:p>
            <w:pPr>
              <w:spacing w:after="0"/>
              <w:rPr>
                <w:sz w:val="17"/>
                <w:szCs w:val="17"/>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Paramount Pictures/Warner Bros. Pictures</w:t>
            </w:r>
          </w:p>
        </w:tc>
        <w:tc>
          <w:tcPr>
            <w:tcW w:w="24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2024</w:t>
            </w: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Shot with IMAX Film</w:t>
            </w:r>
          </w:p>
        </w:tc>
      </w:tr>
      <w:tr>
        <w:trPr>
          <w:trHeight w:val="220"/>
        </w:trPr>
        <w:tc>
          <w:tcPr>
            <w:tcW w:w="15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Cameras</w:t>
            </w:r>
          </w:p>
        </w:tc>
      </w:tr>
      <w:tr>
        <w:trPr>
          <w:trHeight w:val="239"/>
        </w:trPr>
        <w:tc>
          <w:tcPr>
            <w:tcW w:w="35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rPr>
              <w:t>Joker: Folie à Deux</w:t>
            </w:r>
          </w:p>
        </w:tc>
        <w:tc>
          <w:tcPr>
            <w:tcW w:w="160" w:type="dxa"/>
            <w:vAlign w:val="bottom"/>
            <w:shd w:val="clear" w:color="auto" w:fill="CFF0FC"/>
          </w:tcPr>
          <w:p>
            <w:pPr>
              <w:spacing w:after="0"/>
              <w:rPr>
                <w:sz w:val="20"/>
                <w:szCs w:val="20"/>
                <w:color w:val="auto"/>
              </w:rPr>
            </w:pPr>
          </w:p>
        </w:tc>
        <w:tc>
          <w:tcPr>
            <w:tcW w:w="3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Warner Bros. Pictures/DC Studios</w:t>
            </w:r>
          </w:p>
        </w:tc>
        <w:tc>
          <w:tcPr>
            <w:tcW w:w="240" w:type="dxa"/>
            <w:vAlign w:val="bottom"/>
            <w:shd w:val="clear" w:color="auto" w:fill="CFF0FC"/>
          </w:tcPr>
          <w:p>
            <w:pPr>
              <w:spacing w:after="0"/>
              <w:rPr>
                <w:sz w:val="20"/>
                <w:szCs w:val="20"/>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October 2024</w:t>
            </w:r>
          </w:p>
        </w:tc>
        <w:tc>
          <w:tcPr>
            <w:tcW w:w="100" w:type="dxa"/>
            <w:vAlign w:val="bottom"/>
            <w:shd w:val="clear" w:color="auto" w:fill="CFF0FC"/>
          </w:tcPr>
          <w:p>
            <w:pPr>
              <w:spacing w:after="0"/>
              <w:rPr>
                <w:sz w:val="20"/>
                <w:szCs w:val="20"/>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Filmed For IMAX</w:t>
            </w:r>
          </w:p>
        </w:tc>
      </w:tr>
      <w:tr>
        <w:trPr>
          <w:trHeight w:val="221"/>
        </w:trPr>
        <w:tc>
          <w:tcPr>
            <w:tcW w:w="1500" w:type="dxa"/>
            <w:vAlign w:val="bottom"/>
          </w:tcPr>
          <w:p>
            <w:pPr>
              <w:spacing w:after="0"/>
              <w:rPr>
                <w:sz w:val="19"/>
                <w:szCs w:val="19"/>
                <w:color w:val="auto"/>
              </w:rPr>
            </w:pPr>
          </w:p>
        </w:tc>
        <w:tc>
          <w:tcPr>
            <w:tcW w:w="2080" w:type="dxa"/>
            <w:vAlign w:val="bottom"/>
          </w:tcPr>
          <w:p>
            <w:pPr>
              <w:jc w:val="center"/>
              <w:ind w:right="1417"/>
              <w:spacing w:after="0"/>
              <w:rPr>
                <w:sz w:val="20"/>
                <w:szCs w:val="20"/>
                <w:color w:val="auto"/>
              </w:rPr>
            </w:pPr>
            <w:r>
              <w:rPr>
                <w:rFonts w:ascii="Times New Roman" w:cs="Times New Roman" w:eastAsia="Times New Roman" w:hAnsi="Times New Roman"/>
                <w:sz w:val="16"/>
                <w:szCs w:val="16"/>
                <w:i w:val="1"/>
                <w:iCs w:val="1"/>
                <w:color w:val="auto"/>
                <w:w w:val="95"/>
              </w:rPr>
              <w:t>Venom 3</w:t>
            </w:r>
          </w:p>
        </w:tc>
        <w:tc>
          <w:tcPr>
            <w:tcW w:w="16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Sony Pictures</w:t>
            </w:r>
          </w:p>
        </w:tc>
        <w:tc>
          <w:tcPr>
            <w:tcW w:w="24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2024</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Filmed For IMAX</w:t>
            </w:r>
          </w:p>
        </w:tc>
      </w:tr>
      <w:tr>
        <w:trPr>
          <w:trHeight w:val="238"/>
        </w:trPr>
        <w:tc>
          <w:tcPr>
            <w:tcW w:w="35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i w:val="1"/>
                <w:iCs w:val="1"/>
                <w:color w:val="auto"/>
              </w:rPr>
              <w:t>Untitled Gladiator Sequel</w:t>
            </w:r>
          </w:p>
        </w:tc>
        <w:tc>
          <w:tcPr>
            <w:tcW w:w="160" w:type="dxa"/>
            <w:vAlign w:val="bottom"/>
            <w:shd w:val="clear" w:color="auto" w:fill="CFF0FC"/>
          </w:tcPr>
          <w:p>
            <w:pPr>
              <w:spacing w:after="0"/>
              <w:rPr>
                <w:sz w:val="20"/>
                <w:szCs w:val="20"/>
                <w:color w:val="auto"/>
              </w:rPr>
            </w:pPr>
          </w:p>
        </w:tc>
        <w:tc>
          <w:tcPr>
            <w:tcW w:w="3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Paramount Pictures</w:t>
            </w:r>
          </w:p>
        </w:tc>
        <w:tc>
          <w:tcPr>
            <w:tcW w:w="240" w:type="dxa"/>
            <w:vAlign w:val="bottom"/>
            <w:shd w:val="clear" w:color="auto" w:fill="CFF0FC"/>
          </w:tcPr>
          <w:p>
            <w:pPr>
              <w:spacing w:after="0"/>
              <w:rPr>
                <w:sz w:val="20"/>
                <w:szCs w:val="20"/>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November 2024</w:t>
            </w:r>
          </w:p>
        </w:tc>
        <w:tc>
          <w:tcPr>
            <w:tcW w:w="100" w:type="dxa"/>
            <w:vAlign w:val="bottom"/>
            <w:shd w:val="clear" w:color="auto" w:fill="CFF0FC"/>
          </w:tcPr>
          <w:p>
            <w:pPr>
              <w:spacing w:after="0"/>
              <w:rPr>
                <w:sz w:val="20"/>
                <w:szCs w:val="20"/>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358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w w:val="98"/>
              </w:rPr>
              <w:t>Wicked – Part 1</w:t>
            </w:r>
          </w:p>
        </w:tc>
        <w:tc>
          <w:tcPr>
            <w:tcW w:w="16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Universal Pictures</w:t>
            </w:r>
          </w:p>
        </w:tc>
        <w:tc>
          <w:tcPr>
            <w:tcW w:w="2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November 2024</w:t>
            </w:r>
          </w:p>
        </w:tc>
        <w:tc>
          <w:tcPr>
            <w:tcW w:w="1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152"/>
        </w:trPr>
        <w:tc>
          <w:tcPr>
            <w:tcW w:w="1500" w:type="dxa"/>
            <w:vAlign w:val="bottom"/>
            <w:tcBorders>
              <w:bottom w:val="single" w:sz="8" w:color="auto"/>
            </w:tcBorders>
          </w:tcPr>
          <w:p>
            <w:pPr>
              <w:spacing w:after="0"/>
              <w:rPr>
                <w:sz w:val="13"/>
                <w:szCs w:val="13"/>
                <w:color w:val="auto"/>
              </w:rPr>
            </w:pPr>
          </w:p>
        </w:tc>
        <w:tc>
          <w:tcPr>
            <w:tcW w:w="2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r>
    </w:tbl>
    <w:p>
      <w:pPr>
        <w:spacing w:after="0" w:line="17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The scheduled release dates in the table above are subject to change, may vary by territory, and may not reflect the date(s) of limited premiere events.</w:t>
      </w:r>
    </w:p>
    <w:p>
      <w:pPr>
        <w:spacing w:after="0" w:line="185"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Company remains in active negotiations with studios for additional films to fill out its short- and long-term film slate for the IMAX network. The Company also expects to announce additional local language films and exclusive IMAX events and experiences to be released to its global network throughout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Content Solutions</w:t>
      </w:r>
    </w:p>
    <w:p>
      <w:pPr>
        <w:spacing w:after="0" w:line="187"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The Company distributes large-format documentary feature films through our global commercial network and institutional theaters. The Company traditionally receives as its distribution fee either a fixed amount or a fixed percentage of the theater box office receipts and, following the recoupment of its costs, is typically entitled to receive an additional percentage of gross revenues as participation revenues. In May 2023, the Company announced a new sales strategy of our feature films that resulted in Amazon Studios acquiring worldwide rights to the Company’s original documentary, The Blue Angels. It was filmed with IMAX digital certified cameras, and produced in collaboration with Dolphin Entertainment, Bad Robot Productions, and Zipper Bros Films. The documentary will be released to select locations across the IMAX network on May 17th, 2024 and to institutional locations beginning in 2025. In July 2023, the Company also announced the start of production on The Elephant Odyssey, a documentary in collaboration with Beach House Pictures Pte Ltd and China International Communications Group, which is expected to be released in 2025. Stormbound, an additional feature documentary produced by Academy Award-winning producer Adam McKay was announced in 2024 and will be released in late 2025.</w:t>
      </w:r>
    </w:p>
    <w:p>
      <w:pPr>
        <w:spacing w:after="0" w:line="148"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In addition, the Company has continued to evolve its platform to bring new, innovative IMAX events and experiences to audiences worldwide. As of March 31, 2024, the Company had a footprint of 258 connected locations in the IMAX network across the United States, Canada, Europe, and Asia configured with connectivity to deliver live and interactive events with low latency and superior sight and sound.</w:t>
      </w:r>
    </w:p>
    <w:p>
      <w:pPr>
        <w:spacing w:after="0" w:line="147"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 xml:space="preserve">In the first quarter of 2024, the Company partnered with Pathé Live for the exclusive release of </w:t>
      </w:r>
      <w:r>
        <w:rPr>
          <w:rFonts w:ascii="Times New Roman" w:cs="Times New Roman" w:eastAsia="Times New Roman" w:hAnsi="Times New Roman"/>
          <w:sz w:val="18"/>
          <w:szCs w:val="18"/>
          <w:i w:val="1"/>
          <w:iCs w:val="1"/>
          <w:color w:val="auto"/>
        </w:rPr>
        <w:t>Queen Rock Montreal</w:t>
      </w:r>
      <w:r>
        <w:rPr>
          <w:rFonts w:ascii="Times New Roman" w:cs="Times New Roman" w:eastAsia="Times New Roman" w:hAnsi="Times New Roman"/>
          <w:sz w:val="18"/>
          <w:szCs w:val="18"/>
          <w:color w:val="auto"/>
        </w:rPr>
        <w:t xml:space="preserve"> which became one of the Company’s highest grossing concert films ever, along with 2023’s </w:t>
      </w:r>
      <w:r>
        <w:rPr>
          <w:rFonts w:ascii="Times New Roman" w:cs="Times New Roman" w:eastAsia="Times New Roman" w:hAnsi="Times New Roman"/>
          <w:sz w:val="18"/>
          <w:szCs w:val="18"/>
          <w:i w:val="1"/>
          <w:iCs w:val="1"/>
          <w:color w:val="auto"/>
        </w:rPr>
        <w:t>Taylor Swift: The Eras Tour.</w:t>
      </w:r>
      <w:r>
        <w:rPr>
          <w:rFonts w:ascii="Times New Roman" w:cs="Times New Roman" w:eastAsia="Times New Roman" w:hAnsi="Times New Roman"/>
          <w:sz w:val="18"/>
          <w:szCs w:val="18"/>
          <w:color w:val="auto"/>
        </w:rPr>
        <w:t xml:space="preserve"> In addition, the Company hosted an IMAX event, </w:t>
      </w:r>
      <w:r>
        <w:rPr>
          <w:rFonts w:ascii="Times New Roman" w:cs="Times New Roman" w:eastAsia="Times New Roman" w:hAnsi="Times New Roman"/>
          <w:sz w:val="18"/>
          <w:szCs w:val="18"/>
          <w:i w:val="1"/>
          <w:iCs w:val="1"/>
          <w:color w:val="auto"/>
        </w:rPr>
        <w:t>Andre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3000: New Blue Sun, </w:t>
      </w:r>
      <w:r>
        <w:rPr>
          <w:rFonts w:ascii="Times New Roman" w:cs="Times New Roman" w:eastAsia="Times New Roman" w:hAnsi="Times New Roman"/>
          <w:sz w:val="18"/>
          <w:szCs w:val="18"/>
          <w:color w:val="auto"/>
        </w:rPr>
        <w:t>and entered into a partnership with A24 for a monthly one-night-only IMAX release of classic A24 titles, the first of which was Alex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Garland’s highly acclaimed </w:t>
      </w:r>
      <w:r>
        <w:rPr>
          <w:rFonts w:ascii="Times New Roman" w:cs="Times New Roman" w:eastAsia="Times New Roman" w:hAnsi="Times New Roman"/>
          <w:sz w:val="18"/>
          <w:szCs w:val="18"/>
          <w:i w:val="1"/>
          <w:iCs w:val="1"/>
          <w:color w:val="auto"/>
        </w:rPr>
        <w:t>Ex Machina</w:t>
      </w:r>
      <w:r>
        <w:rPr>
          <w:rFonts w:ascii="Times New Roman" w:cs="Times New Roman" w:eastAsia="Times New Roman" w:hAnsi="Times New Roman"/>
          <w:sz w:val="18"/>
          <w:szCs w:val="18"/>
          <w:color w:val="auto"/>
        </w:rPr>
        <w:t xml:space="preserve"> in April 2024</w:t>
      </w:r>
      <w:r>
        <w:rPr>
          <w:rFonts w:ascii="Times New Roman" w:cs="Times New Roman" w:eastAsia="Times New Roman" w:hAnsi="Times New Roman"/>
          <w:sz w:val="18"/>
          <w:szCs w:val="18"/>
          <w:i w:val="1"/>
          <w:iCs w:val="1"/>
          <w:color w:val="auto"/>
        </w:rPr>
        <w:t>.</w:t>
      </w:r>
    </w:p>
    <w:p>
      <w:pPr>
        <w:spacing w:after="0" w:line="141"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Company provides film post-production and quality control services for large-format films, whether produced by IMAX or third parties, and digital post-production services. In addition, the Company also provides IMAX film and digital cameras to content creators under the IMAX certified camera program.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Products and Services</w:t>
      </w:r>
    </w:p>
    <w:p>
      <w:pPr>
        <w:spacing w:after="0" w:line="202"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Company works with filmmakers, studios, and artists end-to-end from content creation through content delivery. It provide IMAX film cameras to select IMAX and third-party productions and certifies a suite of high-end digital cameras to shoot in the IMAX format under its Filmed for IMAX program. In addition, the Company provides post-production — including its propriety MDR process — and quality control services for films that play in the IMAX network.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Sales-Type Lease Arrangements</w:t>
      </w:r>
    </w:p>
    <w:p>
      <w:pPr>
        <w:spacing w:after="0" w:line="187"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The Company provides IMAX Systems to exhibitors through sale arrangements or long-term lease arrangements that for accounting purposes are classified as sales-type leases. Under these arrangements, in exchange for providing the IMAX System, the Company earns initial fees and ongoing consideration, which can include fixed annual minimum payments and contingent fees in excess of the minimum payments, as well as maintenance and extended warranty fees (see “IMAX Maintenance” below). The initial fees vary depending on the system configuration and location of the IMAX System. Initial fees are paid to the Company in installments typically between the time of signing the arrangement and the time of system installation. Once an IMAX System is installed, the initial fees and the present value of future annual minimum payments, which are financing fees, are recognized as revenue. In addition, in sale arrangements, the present value of the estimated contingent fees that may become due if certain annual minimum box office receipt thresholds are exceeded is recorded as revenue in the period when the sale is recognized and is adjusted in future periods based on actual results and changes in estimates. Such variable consideration is only recognized on sales transactions to the extent the Company believes there is not a risk of significant revenue reversal. Finance income is recognized over the term of a financed sale or sales-type lease arrangement.</w:t>
      </w:r>
    </w:p>
    <w:p>
      <w:pPr>
        <w:spacing w:after="0" w:line="167"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In sale arrangements, title to IMAX System equipment generally transfers to the customer. However, in certain instances, the Company retains title or a security interest in the equipment until the customer has made all payments required by the agreement or until certain shipment events for the equipment have occurred. In a sales-type lease arrangement, title to the IMAX System equipment remains with the Company. The Company has the right to remove the equipment for non-payment or other defaults by the customer.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5"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revenue earned from customers under the Company’s IMAX System sale or sales-type lease agreements varies from quarter-to-quarter and year-to-year based on a number of factors, including the number and mix of IMAX System configurations sold or leased, the timing of installation of the IMAX Systems, the nature of the arrangement and other factors specific to individual contracts.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Revenue Sharing Arrangements</w:t>
      </w:r>
    </w:p>
    <w:p>
      <w:pPr>
        <w:spacing w:after="0" w:line="187"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Company provides IMAX Systems to exhibitors through joint revenue sharing arrangements (“JRSA”). Under the traditional form of these arrangements, the Company provides the IMAX System under a long-term lease in which the Company assumes the majority of the equipment and installation costs. In exchange for its upfront investment, the Company, primarily, earns rent based on a percentage of contingent box office receipts rather than requiring the customer to pay a fixed upfront fee or fixed annual minimum payments. Rental payments from the customer are required throughout the term of the arrangement and are typically due either monthly or quarterly. The Company retains title to the IMAX System equipment components throughout the lease term, and the equipment is returned to the Company at the conclusion of the arrangement.</w:t>
      </w:r>
    </w:p>
    <w:p>
      <w:pPr>
        <w:spacing w:after="0" w:line="160"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Under certain other joint revenue sharing arrangements, known as hybrid arrangements, the customer is responsible for making fixed upfront payments prior to the delivery and installation of the IMAX System in an amount that is typically half of what the Company would receive from a typical sale transaction. As with a traditional joint revenue sharing arrangement, the customer also pays the Company a percentage of contingent box office receipts over the term of the arrangement, although this percentage is typically half that of a traditional joint revenue sharing arrangement. Hybrid joint revenue sharing arrangements take the form of a sale. The fixed upfront payment is recognized when the lease term commences and is recorded within Revenues – Technology Sales. The contingent rent is recognized as revenue over the lease term and is recorded within Revenues – Technology Rentals.</w:t>
      </w:r>
    </w:p>
    <w:p>
      <w:pPr>
        <w:spacing w:after="0" w:line="147"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Under most joint revenue sharing arrangements (both traditional and hybrid), the initial non-cancellable term is 10 years or longer and is renewable by the customer for one to two additional terms of between three to five years. The Company has the right to remove the equipment for non-payment or other defaults by the customer. The contracts are non-cancellable by the customer unless the Company fails to perform its obligations.</w:t>
      </w:r>
    </w:p>
    <w:p>
      <w:pPr>
        <w:spacing w:after="0" w:line="135"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revenue earned from customers under the Company’s joint revenue sharing arrangements can vary from quarter-to-quarter and year-to-year based on a number of factors that drive box office levels including film performance, the mix of IMAX System configurations, the timing of installation of IMAX Systems, the nature of the arrangement, the location, size and management of the theater and other factors specific to individual arrangements.</w:t>
      </w:r>
    </w:p>
    <w:p>
      <w:pPr>
        <w:spacing w:after="0" w:line="149"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Joint revenue sharing arrangements also require IMAX to provide maintenance and extended warranty services to the customer over the term of the lease in exchange for a separate fixed annual fee. These fees are reported within IMAX Maintenance, as discussed below.</w:t>
      </w:r>
    </w:p>
    <w:p>
      <w:pPr>
        <w:spacing w:after="0" w:line="121"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Joint revenue sharing arrangements have been an important factor in the expansion of the Company’s commercial system network. Joint revenue sharing arrangements allow commercial theater exhibitors to install IMAX Systems without the significant initial capital investment required in a sale or sales-type lease arrangement. Joint revenue sharing arrangements drive recurring cash flows and earnings for the Company as customers under these arrangements pay the Company a portion of their ongoing box office receipts. The Company funds its investment in equipment for joint revenue sharing arrangements through cash flows from operations. As of March 31, 2024, the Company had 929 locations under joint revenue sharing arrangements in its global commercial multiplex network. The Company also had contracts in backlog for 278 systems under joint revenue sharing arrangements as of March 31, 2024, including 50 upgrades to existing locations and 228 new locations.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IMAX Maintenance</w:t>
      </w:r>
    </w:p>
    <w:p>
      <w:pPr>
        <w:spacing w:after="0" w:line="200"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IMAX System arrangements also include a requirement for the Company to provide maintenance services over the life of the arrangement in exchange for an extended warranty and annual maintenance fee paid by the exhibitor. Under these arrangements, the Company provides preventative and emergency maintenance services to ensure that each presentation is up to the highest IMAX quality standard. Annual maintenance fees are paid throughout the duration of the term of the system agreements.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Streaming and Consumer Technology</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Streaming and Consumer Technology includes the Company’s Streaming Technology software offerings and IMAX Enhanced product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Streaming Technology consists of several software products including:</w:t>
      </w:r>
    </w:p>
    <w:p>
      <w:pPr>
        <w:spacing w:after="0" w:line="315" w:lineRule="exact"/>
        <w:rPr>
          <w:sz w:val="20"/>
          <w:szCs w:val="20"/>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StreamSmart – works within existing video compression workflows to reduce bitrates and retain picture quality across all devices and formats and deliver significant cost savings.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StreamAware On-Demand – all-in-one quality assurance and quality control to automate and standardize checks for comprehensive content integrity and regulatory compliance for third-party content libraries, across an entire video compression workflow.</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StreamAware On-Air – real-time monitoring software for live streams, which enables users to monitor video quality across their networks and to identify and address streaming issues.</w:t>
      </w:r>
    </w:p>
    <w:p>
      <w:pPr>
        <w:spacing w:after="0" w:line="162"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These AI-powered products allow streaming platforms and broadcasters to automate workflows. The Company believes that these products allow users to deliver the highest quality viewing experiences to their subscribers while reducing costs.</w:t>
      </w:r>
    </w:p>
    <w:p>
      <w:pPr>
        <w:spacing w:after="0" w:line="160" w:lineRule="exact"/>
        <w:rPr>
          <w:sz w:val="20"/>
          <w:szCs w:val="20"/>
          <w:color w:val="auto"/>
        </w:rPr>
      </w:pPr>
    </w:p>
    <w:p>
      <w:pPr>
        <w:jc w:val="both"/>
        <w:ind w:firstLine="224"/>
        <w:spacing w:after="0" w:line="267" w:lineRule="auto"/>
        <w:rPr>
          <w:sz w:val="20"/>
          <w:szCs w:val="20"/>
          <w:color w:val="auto"/>
        </w:rPr>
      </w:pPr>
      <w:r>
        <w:rPr>
          <w:rFonts w:ascii="Times New Roman" w:cs="Times New Roman" w:eastAsia="Times New Roman" w:hAnsi="Times New Roman"/>
          <w:sz w:val="18"/>
          <w:szCs w:val="18"/>
          <w:color w:val="auto"/>
        </w:rPr>
        <w:t xml:space="preserve">IMAX Enhanced is a solution, to bring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into the home. IMAX Enhanced provides end-to-end premium technology across streaming content and entertainment devices, offering consumers high-fidelity playback of image and sound in the home and beyond, including the following features:</w:t>
      </w:r>
    </w:p>
    <w:p>
      <w:pPr>
        <w:spacing w:after="0" w:line="67"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IMAX’s expanded aspect ratio, which is available on select titles and streaming platforms, including Disney+;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IMAX’s proprietary remastering technology, which produces more vivid, higher-fidelity 4K HDR images on premium televisions;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IMAX’s signature sound, which was specially recreated and calibrated for the home to unlock more immersive audio.</w:t>
      </w:r>
    </w:p>
    <w:p>
      <w:pPr>
        <w:spacing w:after="0" w:line="198"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212529"/>
        </w:rPr>
        <w:t xml:space="preserve">To </w:t>
      </w:r>
      <w:r>
        <w:rPr>
          <w:rFonts w:ascii="Times New Roman" w:cs="Times New Roman" w:eastAsia="Times New Roman" w:hAnsi="Times New Roman"/>
          <w:sz w:val="18"/>
          <w:szCs w:val="18"/>
          <w:color w:val="000000"/>
        </w:rPr>
        <w:t>be certified as IMAX Enhanced, leading consumer electronics manufacturers spanning 4K/8K televisions, projectors, A/V receivers, loudspeakers,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soundbars, smartphones, personal computers, tablets, and more must meet a carefully prescribed set of audiovisual performance standards, set by a certification committee, along with some of Hollywood's leading technical specialist.</w:t>
      </w:r>
    </w:p>
    <w:p>
      <w:pPr>
        <w:spacing w:after="0" w:line="135"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At present, certified global device partners include Sony Electronics, Hisense, TCL, LG, Phillips, Hewlett Packard, Xiaomi, Sound United and Honor, among others. As of March 31, 2024, more than 300 IMAX Enhanced titles have been released across five of the biggest streaming platforms worldwide: Disney+, Sony Bravia CORE, Tencent Video, iQiyi and Rakuten TV. Over 15 million IMAX Enhanced certified devices are estimated to be in the market today</w:t>
      </w:r>
      <w:r>
        <w:rPr>
          <w:rFonts w:ascii="Times New Roman" w:cs="Times New Roman" w:eastAsia="Times New Roman" w:hAnsi="Times New Roman"/>
          <w:sz w:val="18"/>
          <w:szCs w:val="18"/>
          <w:color w:val="212529"/>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87"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All Other also includes revenues from sources including one owned and operated IMAX System in Sacramento, California; a commercial arrangement with one theater resulting in the sharing of profits and losses; the provision of management services to three other theaters; renting the Company’s proprietary 2D and 3D large-format film cameras; and offering production advice and technical assistance to both documentary and Hollywood filmmakers.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IMAX NETWORK AND BACKLOG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IMAX Network</w:t>
      </w:r>
    </w:p>
    <w:p>
      <w:pPr>
        <w:spacing w:after="0" w:line="187"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following table provides detailed information about the IMAX network by type and geographic location as of March 31, 2024 and 2023. For additional information regarding the composition of the IMAX network, see “Marketing and Customers” in Part I, Item 1 of the Company’s 2023 Form 10-K.</w:t>
      </w:r>
    </w:p>
    <w:p>
      <w:pPr>
        <w:sectPr>
          <w:pgSz w:w="11900" w:h="16838" w:orient="portrait"/>
          <w:cols w:equalWidth="0" w:num="1">
            <w:col w:w="11240"/>
          </w:cols>
          <w:pgMar w:left="320" w:top="1440" w:right="339" w:bottom="1440" w:gutter="0" w:footer="0" w:header="0"/>
        </w:sectPr>
      </w:pPr>
    </w:p>
    <w:p>
      <w:pPr>
        <w:spacing w:after="0" w:line="23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March 31, 2024</w:t>
      </w:r>
    </w:p>
    <w:p>
      <w:pPr>
        <w:spacing w:after="0" w:line="26" w:lineRule="exact"/>
        <w:rPr>
          <w:sz w:val="20"/>
          <w:szCs w:val="20"/>
          <w:color w:val="auto"/>
        </w:rPr>
      </w:pPr>
    </w:p>
    <w:tbl>
      <w:tblPr>
        <w:tblLayout w:type="fixed"/>
        <w:tblInd w:w="2260" w:type="dxa"/>
        <w:tblCellMar>
          <w:top w:w="0" w:type="dxa"/>
          <w:left w:w="0" w:type="dxa"/>
          <w:bottom w:w="0" w:type="dxa"/>
          <w:right w:w="0" w:type="dxa"/>
        </w:tblCellMar>
      </w:tblPr>
      <w:tr>
        <w:trPr>
          <w:trHeight w:val="131"/>
        </w:trPr>
        <w:tc>
          <w:tcPr>
            <w:tcW w:w="1200" w:type="dxa"/>
            <w:vAlign w:val="bottom"/>
            <w:tcBorders>
              <w:top w:val="single" w:sz="8" w:color="auto"/>
            </w:tcBorders>
          </w:tcPr>
          <w:p>
            <w:pPr>
              <w:jc w:val="center"/>
              <w:ind w:right="8"/>
              <w:spacing w:after="0" w:line="131"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2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260" w:type="dxa"/>
            <w:vAlign w:val="bottom"/>
            <w:tcBorders>
              <w:top w:val="single" w:sz="8" w:color="auto"/>
            </w:tcBorders>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880" w:type="dxa"/>
            <w:vAlign w:val="bottom"/>
            <w:tcBorders>
              <w:top w:val="single" w:sz="8" w:color="auto"/>
            </w:tcBorders>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12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Multiplex</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Destination</w:t>
            </w:r>
          </w:p>
        </w:tc>
        <w:tc>
          <w:tcPr>
            <w:tcW w:w="12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 2023</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0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0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16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1020" w:type="dxa"/>
            <w:vAlign w:val="bottom"/>
            <w:tcBorders>
              <w:top w:val="single" w:sz="8" w:color="auto"/>
            </w:tcBorders>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Multiplex</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Destination</w:t>
            </w:r>
          </w:p>
        </w:tc>
        <w:tc>
          <w:tcPr>
            <w:tcW w:w="116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840" w:space="100"/>
            <w:col w:w="430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2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60" w:type="dxa"/>
            <w:vAlign w:val="bottom"/>
            <w:tcBorders>
              <w:top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363</w:t>
            </w:r>
          </w:p>
        </w:tc>
        <w:tc>
          <w:tcPr>
            <w:tcW w:w="1240" w:type="dxa"/>
            <w:vAlign w:val="bottom"/>
            <w:tcBorders>
              <w:top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7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361</w:t>
            </w:r>
          </w:p>
        </w:tc>
        <w:tc>
          <w:tcPr>
            <w:tcW w:w="1040" w:type="dxa"/>
            <w:vAlign w:val="bottom"/>
            <w:tcBorders>
              <w:top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4</w:t>
            </w:r>
          </w:p>
        </w:tc>
        <w:tc>
          <w:tcPr>
            <w:tcW w:w="960" w:type="dxa"/>
            <w:vAlign w:val="bottom"/>
            <w:tcBorders>
              <w:top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25</w:t>
            </w:r>
          </w:p>
        </w:tc>
        <w:tc>
          <w:tcPr>
            <w:tcW w:w="8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390</w:t>
            </w:r>
          </w:p>
        </w:tc>
      </w:tr>
      <w:tr>
        <w:trPr>
          <w:trHeight w:val="239"/>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42</w:t>
            </w: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5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40</w:t>
            </w: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r>
      <w:tr>
        <w:trPr>
          <w:trHeight w:val="247"/>
        </w:trPr>
        <w:tc>
          <w:tcPr>
            <w:tcW w:w="2260" w:type="dxa"/>
            <w:vAlign w:val="bottom"/>
            <w:gridSpan w:val="2"/>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Greater China</w:t>
            </w:r>
            <w:r>
              <w:rPr>
                <w:rFonts w:ascii="Times New Roman" w:cs="Times New Roman" w:eastAsia="Times New Roman" w:hAnsi="Times New Roman"/>
                <w:sz w:val="24"/>
                <w:szCs w:val="24"/>
                <w:color w:val="auto"/>
                <w:vertAlign w:val="superscript"/>
              </w:rPr>
              <w:t>(1)</w:t>
            </w:r>
          </w:p>
        </w:tc>
        <w:tc>
          <w:tcPr>
            <w:tcW w:w="1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791</w:t>
            </w:r>
          </w:p>
        </w:tc>
        <w:tc>
          <w:tcPr>
            <w:tcW w:w="124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804</w:t>
            </w:r>
          </w:p>
        </w:tc>
        <w:tc>
          <w:tcPr>
            <w:tcW w:w="1540" w:type="dxa"/>
            <w:vAlign w:val="bottom"/>
            <w:gridSpan w:val="2"/>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777</w:t>
            </w:r>
          </w:p>
        </w:tc>
        <w:tc>
          <w:tcPr>
            <w:tcW w:w="104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16</w:t>
            </w: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793</w:t>
            </w:r>
          </w:p>
        </w:tc>
      </w:tr>
      <w:tr>
        <w:trPr>
          <w:trHeight w:val="211"/>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Asia (excluding Greater</w:t>
            </w:r>
          </w:p>
        </w:tc>
        <w:tc>
          <w:tcPr>
            <w:tcW w:w="1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1"/>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170</w:t>
            </w: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w:t>
            </w:r>
          </w:p>
        </w:tc>
        <w:tc>
          <w:tcPr>
            <w:tcW w:w="15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140</w:t>
            </w: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r>
      <w:tr>
        <w:trPr>
          <w:trHeight w:val="250"/>
        </w:trPr>
        <w:tc>
          <w:tcPr>
            <w:tcW w:w="2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1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128</w:t>
            </w:r>
          </w:p>
        </w:tc>
        <w:tc>
          <w:tcPr>
            <w:tcW w:w="124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140</w:t>
            </w:r>
          </w:p>
        </w:tc>
        <w:tc>
          <w:tcPr>
            <w:tcW w:w="1540" w:type="dxa"/>
            <w:vAlign w:val="bottom"/>
            <w:gridSpan w:val="2"/>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118</w:t>
            </w:r>
          </w:p>
        </w:tc>
        <w:tc>
          <w:tcPr>
            <w:tcW w:w="104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4</w:t>
            </w:r>
          </w:p>
        </w:tc>
        <w:tc>
          <w:tcPr>
            <w:tcW w:w="9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8</w:t>
            </w: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r>
      <w:tr>
        <w:trPr>
          <w:trHeight w:val="243"/>
        </w:trPr>
        <w:tc>
          <w:tcPr>
            <w:tcW w:w="22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Latin America</w:t>
            </w:r>
            <w:r>
              <w:rPr>
                <w:rFonts w:ascii="Times New Roman" w:cs="Times New Roman" w:eastAsia="Times New Roman" w:hAnsi="Times New Roman"/>
                <w:sz w:val="24"/>
                <w:szCs w:val="24"/>
                <w:color w:val="auto"/>
                <w:vertAlign w:val="superscript"/>
              </w:rPr>
              <w:t>(2)</w:t>
            </w:r>
          </w:p>
        </w:tc>
        <w:tc>
          <w:tcPr>
            <w:tcW w:w="1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59</w:t>
            </w: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15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54</w:t>
            </w: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r>
      <w:tr>
        <w:trPr>
          <w:trHeight w:val="239"/>
        </w:trPr>
        <w:tc>
          <w:tcPr>
            <w:tcW w:w="22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1660" w:type="dxa"/>
            <w:vAlign w:val="bottom"/>
            <w:tcBorders>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144</w:t>
            </w:r>
          </w:p>
        </w:tc>
        <w:tc>
          <w:tcPr>
            <w:tcW w:w="124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141</w:t>
            </w:r>
          </w:p>
        </w:tc>
        <w:tc>
          <w:tcPr>
            <w:tcW w:w="104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143</w:t>
            </w:r>
          </w:p>
        </w:tc>
      </w:tr>
      <w:tr>
        <w:trPr>
          <w:trHeight w:val="241"/>
        </w:trPr>
        <w:tc>
          <w:tcPr>
            <w:tcW w:w="2260" w:type="dxa"/>
            <w:vAlign w:val="bottom"/>
            <w:gridSpan w:val="2"/>
          </w:tcPr>
          <w:p>
            <w:pPr>
              <w:ind w:left="20"/>
              <w:spacing w:after="0" w:line="241"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4"/>
                <w:szCs w:val="24"/>
                <w:color w:val="auto"/>
                <w:vertAlign w:val="superscript"/>
              </w:rPr>
              <w:t>(3)</w:t>
            </w:r>
          </w:p>
        </w:tc>
        <w:tc>
          <w:tcPr>
            <w:tcW w:w="1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1,697</w:t>
            </w: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12</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1,772</w:t>
            </w:r>
          </w:p>
        </w:tc>
        <w:tc>
          <w:tcPr>
            <w:tcW w:w="15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1,631</w:t>
            </w: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12</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68</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1,711</w:t>
            </w:r>
          </w:p>
        </w:tc>
      </w:tr>
      <w:tr>
        <w:trPr>
          <w:trHeight w:val="20"/>
        </w:trPr>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15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-290830</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China includes China, Hong Kong, Taiwan and Macau.</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Latin America includes South America, Central America and Mexico.</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changes in the table above are reported net of the effect of permanently closed locations.</w:t>
      </w:r>
    </w:p>
    <w:p>
      <w:pPr>
        <w:spacing w:after="0" w:line="185"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IMAX currently estimates a worldwide commercial multiplex addressable market of 3,619 locations, of which there are 1,772 IMAX Systems operating as of March 31, 2024, representing a market penetration of only 49.0%. The Company believes that the majority of its future growth will come from international markets. As of March 31, 2024, 76% of IMAX Systems in the global commercial multiplex network were located within international markets (defined as all countries other than the United States and Canada). Revenues and GBO derived from international markets continue to exceed revenues and GBO from the United States and Canada. Risks associated with the Company’s international business are outlined in “Risk Factors – The Company conducts business internationally, which exposes it to uncertainties and risks that could negatively affect its operations, sales and future growth prospects” in Part I, Item 1A of the Company’s 2023 Form 10-K.</w:t>
      </w:r>
    </w:p>
    <w:p>
      <w:pPr>
        <w:spacing w:after="0" w:line="148" w:lineRule="exact"/>
        <w:rPr>
          <w:sz w:val="20"/>
          <w:szCs w:val="20"/>
          <w:color w:val="auto"/>
        </w:rPr>
      </w:pPr>
    </w:p>
    <w:p>
      <w:pPr>
        <w:jc w:val="both"/>
        <w:ind w:firstLine="224"/>
        <w:spacing w:after="0" w:line="267" w:lineRule="auto"/>
        <w:rPr>
          <w:sz w:val="20"/>
          <w:szCs w:val="20"/>
          <w:color w:val="auto"/>
        </w:rPr>
      </w:pPr>
      <w:r>
        <w:rPr>
          <w:rFonts w:ascii="Times New Roman" w:cs="Times New Roman" w:eastAsia="Times New Roman" w:hAnsi="Times New Roman"/>
          <w:sz w:val="18"/>
          <w:szCs w:val="18"/>
          <w:color w:val="auto"/>
        </w:rPr>
        <w:t>In the three months ended March 31, 2024, the Company’s revenue generated from its Greater China operations represents 27% of consolidated revenue, compared to 31% in 2023</w:t>
      </w:r>
      <w:r>
        <w:rPr>
          <w:rFonts w:ascii="Calibri" w:cs="Calibri" w:eastAsia="Calibri" w:hAnsi="Calibri"/>
          <w:sz w:val="19"/>
          <w:szCs w:val="19"/>
          <w:color w:val="auto"/>
        </w:rPr>
        <w:t>.</w:t>
      </w:r>
      <w:r>
        <w:rPr>
          <w:rFonts w:ascii="Times New Roman" w:cs="Times New Roman" w:eastAsia="Times New Roman" w:hAnsi="Times New Roman"/>
          <w:sz w:val="18"/>
          <w:szCs w:val="18"/>
          <w:color w:val="auto"/>
        </w:rPr>
        <w:t xml:space="preserve"> As of March 31, 2024, the Company had 804 IMAX Systems operating in Greater China with an additional 205 systems in backlog.</w:t>
      </w:r>
    </w:p>
    <w:p>
      <w:pPr>
        <w:spacing w:after="0" w:line="145"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 xml:space="preserve">For the three months ended March 31, 2024, the IMAX network generated over $56.9 million in box office from local language films, representing approximately 21.3% of the Company’s total box office in the period. Top performing titles during the Chinese New Year holiday included </w:t>
      </w:r>
      <w:r>
        <w:rPr>
          <w:rFonts w:ascii="Times New Roman" w:cs="Times New Roman" w:eastAsia="Times New Roman" w:hAnsi="Times New Roman"/>
          <w:sz w:val="18"/>
          <w:szCs w:val="18"/>
          <w:i w:val="1"/>
          <w:iCs w:val="1"/>
          <w:color w:val="auto"/>
        </w:rPr>
        <w:t>Pegusus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YOLO</w:t>
      </w:r>
      <w:r>
        <w:rPr>
          <w:rFonts w:ascii="Times New Roman" w:cs="Times New Roman" w:eastAsia="Times New Roman" w:hAnsi="Times New Roman"/>
          <w:sz w:val="18"/>
          <w:szCs w:val="18"/>
          <w:color w:val="auto"/>
        </w:rPr>
        <w:t>. The Company continues to see its local language films increasingly generate significant IMAX box office in markets outside of those in which they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released.</w:t>
      </w:r>
    </w:p>
    <w:p>
      <w:pPr>
        <w:spacing w:after="0" w:line="13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(See “Risk Factors – The Company faces risks in connection with its significant presence in China and the continued expansion of its business there,” “Risk Factors – General political, social and economic conditions can affect the Company’s business by reducing both revenues generated from existing IMAX Systems and the demand for new IMAX Systems,” and “Risk Factors – The Company may not convert all of its backlog into revenue and cash flows” in Part I, Item 1A of the Company’s 2023 Form 10-K.)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8" w:name="page49"/>
    <w:bookmarkEnd w:id="48"/>
    <w:p>
      <w:pPr>
        <w:spacing w:after="0" w:line="5" w:lineRule="exact"/>
        <w:rPr>
          <w:sz w:val="20"/>
          <w:szCs w:val="20"/>
          <w:color w:val="auto"/>
        </w:rPr>
      </w:pPr>
    </w:p>
    <w:p>
      <w:pPr>
        <w:ind w:firstLine="224"/>
        <w:spacing w:after="0" w:line="282" w:lineRule="auto"/>
        <w:rPr>
          <w:sz w:val="20"/>
          <w:szCs w:val="20"/>
          <w:color w:val="auto"/>
        </w:rPr>
      </w:pPr>
      <w:r>
        <w:rPr>
          <w:rFonts w:ascii="Times New Roman" w:cs="Times New Roman" w:eastAsia="Times New Roman" w:hAnsi="Times New Roman"/>
          <w:sz w:val="18"/>
          <w:szCs w:val="18"/>
          <w:color w:val="auto"/>
        </w:rPr>
        <w:t>The following tables provide detailed information about the Company’s commercial multiplex locations in operation within the IMAX network by arrangement type and geographic location as of March 31, 2024 and 2023:</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4460" w:type="dxa"/>
            <w:vAlign w:val="bottom"/>
            <w:tcBorders>
              <w:bottom w:val="single" w:sz="8" w:color="auto"/>
            </w:tcBorders>
            <w:gridSpan w:val="7"/>
          </w:tcPr>
          <w:p>
            <w:pPr>
              <w:jc w:val="center"/>
              <w:ind w:left="835"/>
              <w:spacing w:after="0"/>
              <w:rPr>
                <w:sz w:val="20"/>
                <w:szCs w:val="20"/>
                <w:color w:val="auto"/>
              </w:rPr>
            </w:pPr>
            <w:r>
              <w:rPr>
                <w:rFonts w:ascii="Times New Roman" w:cs="Times New Roman" w:eastAsia="Times New Roman" w:hAnsi="Times New Roman"/>
                <w:sz w:val="14"/>
                <w:szCs w:val="14"/>
                <w:b w:val="1"/>
                <w:bCs w:val="1"/>
                <w:color w:val="auto"/>
              </w:rPr>
              <w:t>Commercial Multiplex Locations in IMAX Network</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150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300" w:type="dxa"/>
            <w:vAlign w:val="bottom"/>
          </w:tcPr>
          <w:p>
            <w:pPr>
              <w:jc w:val="center"/>
              <w:ind w:right="35"/>
              <w:spacing w:after="0" w:line="129" w:lineRule="exact"/>
              <w:rPr>
                <w:sz w:val="20"/>
                <w:szCs w:val="20"/>
                <w:color w:val="auto"/>
              </w:rPr>
            </w:pPr>
            <w:r>
              <w:rPr>
                <w:rFonts w:ascii="Times New Roman" w:cs="Times New Roman" w:eastAsia="Times New Roman" w:hAnsi="Times New Roman"/>
                <w:sz w:val="14"/>
                <w:szCs w:val="14"/>
                <w:b w:val="1"/>
                <w:bCs w:val="1"/>
                <w:color w:val="auto"/>
              </w:rPr>
              <w:t>Traditional</w:t>
            </w:r>
          </w:p>
        </w:tc>
        <w:tc>
          <w:tcPr>
            <w:tcW w:w="120" w:type="dxa"/>
            <w:vAlign w:val="bottom"/>
          </w:tcPr>
          <w:p>
            <w:pPr>
              <w:spacing w:after="0"/>
              <w:rPr>
                <w:sz w:val="11"/>
                <w:szCs w:val="11"/>
                <w:color w:val="auto"/>
              </w:rPr>
            </w:pPr>
          </w:p>
        </w:tc>
        <w:tc>
          <w:tcPr>
            <w:tcW w:w="1280" w:type="dxa"/>
            <w:vAlign w:val="bottom"/>
          </w:tcPr>
          <w:p>
            <w:pPr>
              <w:jc w:val="center"/>
              <w:ind w:right="19"/>
              <w:spacing w:after="0" w:line="129" w:lineRule="exact"/>
              <w:rPr>
                <w:sz w:val="20"/>
                <w:szCs w:val="20"/>
                <w:color w:val="auto"/>
              </w:rPr>
            </w:pPr>
            <w:r>
              <w:rPr>
                <w:rFonts w:ascii="Times New Roman" w:cs="Times New Roman" w:eastAsia="Times New Roman" w:hAnsi="Times New Roman"/>
                <w:sz w:val="14"/>
                <w:szCs w:val="14"/>
                <w:b w:val="1"/>
                <w:bCs w:val="1"/>
                <w:color w:val="auto"/>
              </w:rPr>
              <w:t>Hybrid</w:t>
            </w:r>
          </w:p>
        </w:tc>
        <w:tc>
          <w:tcPr>
            <w:tcW w:w="100" w:type="dxa"/>
            <w:vAlign w:val="bottom"/>
          </w:tcPr>
          <w:p>
            <w:pPr>
              <w:spacing w:after="0"/>
              <w:rPr>
                <w:sz w:val="11"/>
                <w:szCs w:val="11"/>
                <w:color w:val="auto"/>
              </w:rPr>
            </w:pPr>
          </w:p>
        </w:tc>
        <w:tc>
          <w:tcPr>
            <w:tcW w:w="1660" w:type="dxa"/>
            <w:vAlign w:val="bottom"/>
            <w:gridSpan w:val="3"/>
          </w:tcPr>
          <w:p>
            <w:pPr>
              <w:jc w:val="center"/>
              <w:ind w:right="520"/>
              <w:spacing w:after="0" w:line="129"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102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3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JRSA</w:t>
            </w: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JRSA</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center"/>
              <w:ind w:right="39"/>
              <w:spacing w:after="0" w:line="189" w:lineRule="exact"/>
              <w:rPr>
                <w:sz w:val="20"/>
                <w:szCs w:val="20"/>
                <w:color w:val="auto"/>
              </w:rPr>
            </w:pPr>
            <w:r>
              <w:rPr>
                <w:rFonts w:ascii="Times New Roman" w:cs="Times New Roman" w:eastAsia="Times New Roman" w:hAnsi="Times New Roman"/>
                <w:sz w:val="14"/>
                <w:szCs w:val="14"/>
                <w:b w:val="1"/>
                <w:bCs w:val="1"/>
                <w:color w:val="auto"/>
                <w:w w:val="98"/>
              </w:rPr>
              <w:t>Arrangements</w:t>
            </w:r>
            <w:r>
              <w:rPr>
                <w:rFonts w:ascii="Times New Roman" w:cs="Times New Roman" w:eastAsia="Times New Roman" w:hAnsi="Times New Roman"/>
                <w:sz w:val="19"/>
                <w:szCs w:val="19"/>
                <w:b w:val="1"/>
                <w:bCs w:val="1"/>
                <w:color w:val="auto"/>
                <w:w w:val="98"/>
                <w:vertAlign w:val="superscript"/>
              </w:rPr>
              <w:t>(1)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272</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w:t>
            </w:r>
          </w:p>
        </w:tc>
        <w:tc>
          <w:tcPr>
            <w:tcW w:w="13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37"/>
        </w:trPr>
        <w:tc>
          <w:tcPr>
            <w:tcW w:w="576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30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Greater China</w:t>
            </w: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413</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109</w:t>
            </w:r>
          </w:p>
        </w:tc>
        <w:tc>
          <w:tcPr>
            <w:tcW w:w="13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39"/>
        </w:trPr>
        <w:tc>
          <w:tcPr>
            <w:tcW w:w="5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48</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8</w:t>
            </w:r>
          </w:p>
        </w:tc>
        <w:tc>
          <w:tcPr>
            <w:tcW w:w="13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47"/>
        </w:trPr>
        <w:tc>
          <w:tcPr>
            <w:tcW w:w="57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Western Europe</w:t>
            </w: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41</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15</w:t>
            </w:r>
          </w:p>
        </w:tc>
        <w:tc>
          <w:tcPr>
            <w:tcW w:w="13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39"/>
        </w:trPr>
        <w:tc>
          <w:tcPr>
            <w:tcW w:w="5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Latin America</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43"/>
        </w:trPr>
        <w:tc>
          <w:tcPr>
            <w:tcW w:w="57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 of the World</w:t>
            </w: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6"/>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 Total</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519</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132</w:t>
            </w:r>
          </w:p>
        </w:tc>
        <w:tc>
          <w:tcPr>
            <w:tcW w:w="13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81"/>
        </w:trPr>
        <w:tc>
          <w:tcPr>
            <w:tcW w:w="5760" w:type="dxa"/>
            <w:vAlign w:val="bottom"/>
            <w:tcBorders>
              <w:top w:val="single" w:sz="8" w:color="CFF0FC"/>
              <w:bottom w:val="single" w:sz="8" w:color="CFF0FC"/>
            </w:tcBorders>
            <w:gridSpan w:val="2"/>
            <w:shd w:val="clear" w:color="auto" w:fill="CFF0FC"/>
          </w:tcPr>
          <w:p>
            <w:pPr>
              <w:ind w:left="20"/>
              <w:spacing w:after="0" w:line="241" w:lineRule="exact"/>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24"/>
                <w:szCs w:val="24"/>
                <w:color w:val="auto"/>
                <w:vertAlign w:val="superscript"/>
              </w:rPr>
              <w:t>(2)</w:t>
            </w:r>
          </w:p>
        </w:tc>
        <w:tc>
          <w:tcPr>
            <w:tcW w:w="13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128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128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spacing w:after="0"/>
              <w:rPr>
                <w:sz w:val="24"/>
                <w:szCs w:val="24"/>
                <w:color w:val="auto"/>
              </w:rPr>
            </w:pPr>
          </w:p>
        </w:tc>
        <w:tc>
          <w:tcPr>
            <w:tcW w:w="10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1,697</w:t>
            </w:r>
          </w:p>
        </w:tc>
        <w:tc>
          <w:tcPr>
            <w:tcW w:w="0" w:type="dxa"/>
            <w:vAlign w:val="bottom"/>
          </w:tcPr>
          <w:p>
            <w:pPr>
              <w:spacing w:after="0"/>
              <w:rPr>
                <w:sz w:val="1"/>
                <w:szCs w:val="1"/>
                <w:color w:val="auto"/>
              </w:rPr>
            </w:pPr>
          </w:p>
        </w:tc>
      </w:tr>
      <w:tr>
        <w:trPr>
          <w:trHeight w:val="453"/>
        </w:trPr>
        <w:tc>
          <w:tcPr>
            <w:tcW w:w="15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4460" w:type="dxa"/>
            <w:vAlign w:val="bottom"/>
            <w:tcBorders>
              <w:bottom w:val="single" w:sz="8" w:color="auto"/>
            </w:tcBorders>
            <w:gridSpan w:val="7"/>
          </w:tcPr>
          <w:p>
            <w:pPr>
              <w:jc w:val="center"/>
              <w:ind w:left="835"/>
              <w:spacing w:after="0"/>
              <w:rPr>
                <w:sz w:val="20"/>
                <w:szCs w:val="20"/>
                <w:color w:val="auto"/>
              </w:rPr>
            </w:pPr>
            <w:r>
              <w:rPr>
                <w:rFonts w:ascii="Times New Roman" w:cs="Times New Roman" w:eastAsia="Times New Roman" w:hAnsi="Times New Roman"/>
                <w:sz w:val="14"/>
                <w:szCs w:val="14"/>
                <w:b w:val="1"/>
                <w:bCs w:val="1"/>
                <w:color w:val="auto"/>
              </w:rPr>
              <w:t>Commercial Multiplex Locations in IMAX Network</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150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300" w:type="dxa"/>
            <w:vAlign w:val="bottom"/>
          </w:tcPr>
          <w:p>
            <w:pPr>
              <w:jc w:val="center"/>
              <w:ind w:right="35"/>
              <w:spacing w:after="0" w:line="129" w:lineRule="exact"/>
              <w:rPr>
                <w:sz w:val="20"/>
                <w:szCs w:val="20"/>
                <w:color w:val="auto"/>
              </w:rPr>
            </w:pPr>
            <w:r>
              <w:rPr>
                <w:rFonts w:ascii="Times New Roman" w:cs="Times New Roman" w:eastAsia="Times New Roman" w:hAnsi="Times New Roman"/>
                <w:sz w:val="14"/>
                <w:szCs w:val="14"/>
                <w:b w:val="1"/>
                <w:bCs w:val="1"/>
                <w:color w:val="auto"/>
              </w:rPr>
              <w:t>Traditional</w:t>
            </w:r>
          </w:p>
        </w:tc>
        <w:tc>
          <w:tcPr>
            <w:tcW w:w="120" w:type="dxa"/>
            <w:vAlign w:val="bottom"/>
          </w:tcPr>
          <w:p>
            <w:pPr>
              <w:spacing w:after="0"/>
              <w:rPr>
                <w:sz w:val="11"/>
                <w:szCs w:val="11"/>
                <w:color w:val="auto"/>
              </w:rPr>
            </w:pPr>
          </w:p>
        </w:tc>
        <w:tc>
          <w:tcPr>
            <w:tcW w:w="1280" w:type="dxa"/>
            <w:vAlign w:val="bottom"/>
          </w:tcPr>
          <w:p>
            <w:pPr>
              <w:jc w:val="center"/>
              <w:ind w:right="19"/>
              <w:spacing w:after="0" w:line="129" w:lineRule="exact"/>
              <w:rPr>
                <w:sz w:val="20"/>
                <w:szCs w:val="20"/>
                <w:color w:val="auto"/>
              </w:rPr>
            </w:pPr>
            <w:r>
              <w:rPr>
                <w:rFonts w:ascii="Times New Roman" w:cs="Times New Roman" w:eastAsia="Times New Roman" w:hAnsi="Times New Roman"/>
                <w:sz w:val="14"/>
                <w:szCs w:val="14"/>
                <w:b w:val="1"/>
                <w:bCs w:val="1"/>
                <w:color w:val="auto"/>
              </w:rPr>
              <w:t>Hybrid</w:t>
            </w:r>
          </w:p>
        </w:tc>
        <w:tc>
          <w:tcPr>
            <w:tcW w:w="100" w:type="dxa"/>
            <w:vAlign w:val="bottom"/>
          </w:tcPr>
          <w:p>
            <w:pPr>
              <w:spacing w:after="0"/>
              <w:rPr>
                <w:sz w:val="11"/>
                <w:szCs w:val="11"/>
                <w:color w:val="auto"/>
              </w:rPr>
            </w:pPr>
          </w:p>
        </w:tc>
        <w:tc>
          <w:tcPr>
            <w:tcW w:w="1660" w:type="dxa"/>
            <w:vAlign w:val="bottom"/>
            <w:gridSpan w:val="3"/>
          </w:tcPr>
          <w:p>
            <w:pPr>
              <w:jc w:val="center"/>
              <w:ind w:right="520"/>
              <w:spacing w:after="0" w:line="129"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102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3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JRSA</w:t>
            </w: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JRSA</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center"/>
              <w:ind w:right="39"/>
              <w:spacing w:after="0" w:line="189" w:lineRule="exact"/>
              <w:rPr>
                <w:sz w:val="20"/>
                <w:szCs w:val="20"/>
                <w:color w:val="auto"/>
              </w:rPr>
            </w:pPr>
            <w:r>
              <w:rPr>
                <w:rFonts w:ascii="Times New Roman" w:cs="Times New Roman" w:eastAsia="Times New Roman" w:hAnsi="Times New Roman"/>
                <w:sz w:val="14"/>
                <w:szCs w:val="14"/>
                <w:b w:val="1"/>
                <w:bCs w:val="1"/>
                <w:color w:val="auto"/>
                <w:w w:val="98"/>
              </w:rPr>
              <w:t>Arrangements</w:t>
            </w:r>
            <w:r>
              <w:rPr>
                <w:rFonts w:ascii="Times New Roman" w:cs="Times New Roman" w:eastAsia="Times New Roman" w:hAnsi="Times New Roman"/>
                <w:sz w:val="19"/>
                <w:szCs w:val="19"/>
                <w:b w:val="1"/>
                <w:bCs w:val="1"/>
                <w:color w:val="auto"/>
                <w:w w:val="98"/>
                <w:vertAlign w:val="superscript"/>
              </w:rPr>
              <w:t>(1)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274</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w:t>
            </w:r>
          </w:p>
        </w:tc>
        <w:tc>
          <w:tcPr>
            <w:tcW w:w="13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37"/>
        </w:trPr>
        <w:tc>
          <w:tcPr>
            <w:tcW w:w="576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30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Greater China</w:t>
            </w: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401</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110</w:t>
            </w:r>
          </w:p>
        </w:tc>
        <w:tc>
          <w:tcPr>
            <w:tcW w:w="13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39"/>
        </w:trPr>
        <w:tc>
          <w:tcPr>
            <w:tcW w:w="5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37</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5</w:t>
            </w:r>
          </w:p>
        </w:tc>
        <w:tc>
          <w:tcPr>
            <w:tcW w:w="13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47"/>
        </w:trPr>
        <w:tc>
          <w:tcPr>
            <w:tcW w:w="57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Western Europe</w:t>
            </w: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47</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28</w:t>
            </w:r>
          </w:p>
        </w:tc>
        <w:tc>
          <w:tcPr>
            <w:tcW w:w="13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9"/>
        </w:trPr>
        <w:tc>
          <w:tcPr>
            <w:tcW w:w="5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Latin America</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43"/>
        </w:trPr>
        <w:tc>
          <w:tcPr>
            <w:tcW w:w="57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 of the World</w:t>
            </w: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37"/>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 Total</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504</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143</w:t>
            </w:r>
          </w:p>
        </w:tc>
        <w:tc>
          <w:tcPr>
            <w:tcW w:w="13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81"/>
        </w:trPr>
        <w:tc>
          <w:tcPr>
            <w:tcW w:w="5760" w:type="dxa"/>
            <w:vAlign w:val="bottom"/>
            <w:tcBorders>
              <w:top w:val="single" w:sz="8" w:color="CFF0FC"/>
              <w:bottom w:val="single" w:sz="8" w:color="CFF0FC"/>
            </w:tcBorders>
            <w:gridSpan w:val="2"/>
            <w:shd w:val="clear" w:color="auto" w:fill="CFF0FC"/>
          </w:tcPr>
          <w:p>
            <w:pPr>
              <w:ind w:left="20"/>
              <w:spacing w:after="0" w:line="241" w:lineRule="exact"/>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24"/>
                <w:szCs w:val="24"/>
                <w:color w:val="auto"/>
                <w:vertAlign w:val="superscript"/>
              </w:rPr>
              <w:t>(2)</w:t>
            </w:r>
          </w:p>
        </w:tc>
        <w:tc>
          <w:tcPr>
            <w:tcW w:w="13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128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128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spacing w:after="0"/>
              <w:rPr>
                <w:sz w:val="24"/>
                <w:szCs w:val="24"/>
                <w:color w:val="auto"/>
              </w:rPr>
            </w:pPr>
          </w:p>
        </w:tc>
        <w:tc>
          <w:tcPr>
            <w:tcW w:w="10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1,631</w:t>
            </w:r>
          </w:p>
        </w:tc>
        <w:tc>
          <w:tcPr>
            <w:tcW w:w="0" w:type="dxa"/>
            <w:vAlign w:val="bottom"/>
          </w:tcPr>
          <w:p>
            <w:pPr>
              <w:spacing w:after="0"/>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4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-3496945</wp:posOffset>
            </wp:positionV>
            <wp:extent cx="7747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-3496945</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-3496945</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-2562225</wp:posOffset>
            </wp:positionV>
            <wp:extent cx="7747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-2562225</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-2562225</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-2236470</wp:posOffset>
            </wp:positionV>
            <wp:extent cx="7747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-2219325</wp:posOffset>
            </wp:positionV>
            <wp:extent cx="7747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-2399665</wp:posOffset>
            </wp:positionV>
            <wp:extent cx="7747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-2236470</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-2219325</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-2399665</wp:posOffset>
            </wp:positionV>
            <wp:extent cx="6858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-2236470</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-2219325</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-2399665</wp:posOffset>
            </wp:positionV>
            <wp:extent cx="6858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-1379220</wp:posOffset>
            </wp:positionV>
            <wp:extent cx="7747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-1379220</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-1379220</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-445135</wp:posOffset>
            </wp:positionV>
            <wp:extent cx="7747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-445135</wp:posOffset>
            </wp:positionV>
            <wp:extent cx="6858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-445135</wp:posOffset>
            </wp:positionV>
            <wp:extent cx="6858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-119380</wp:posOffset>
            </wp:positionV>
            <wp:extent cx="7747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-102235</wp:posOffset>
            </wp:positionV>
            <wp:extent cx="7747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-281940</wp:posOffset>
            </wp:positionV>
            <wp:extent cx="7747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-119380</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-102235</wp:posOffset>
            </wp:positionV>
            <wp:extent cx="6858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-281940</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-119380</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-102235</wp:posOffset>
            </wp:positionV>
            <wp:extent cx="6858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-281940</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Sales, Hybrid Sales and Sales-Type Lease deal types</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changes in the tables above are reported net of the effect of permanently closed systems.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Backlog</w:t>
            </w: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92"/>
        </w:trPr>
        <w:tc>
          <w:tcPr>
            <w:tcW w:w="120" w:type="dxa"/>
            <w:vAlign w:val="bottom"/>
          </w:tcPr>
          <w:p>
            <w:pPr>
              <w:spacing w:after="0"/>
              <w:rPr>
                <w:sz w:val="24"/>
                <w:szCs w:val="24"/>
                <w:color w:val="auto"/>
              </w:rPr>
            </w:pPr>
          </w:p>
        </w:tc>
        <w:tc>
          <w:tcPr>
            <w:tcW w:w="9360" w:type="dxa"/>
            <w:vAlign w:val="bottom"/>
            <w:gridSpan w:val="9"/>
          </w:tcPr>
          <w:p>
            <w:pPr>
              <w:jc w:val="right"/>
              <w:ind w:right="490"/>
              <w:spacing w:after="0"/>
              <w:rPr>
                <w:sz w:val="20"/>
                <w:szCs w:val="20"/>
                <w:color w:val="auto"/>
              </w:rPr>
            </w:pPr>
            <w:r>
              <w:rPr>
                <w:rFonts w:ascii="Times New Roman" w:cs="Times New Roman" w:eastAsia="Times New Roman" w:hAnsi="Times New Roman"/>
                <w:sz w:val="18"/>
                <w:szCs w:val="18"/>
                <w:color w:val="auto"/>
              </w:rPr>
              <w:t>The following table provides detailed information about the Company’s system backlog as of March 31, 2024 and 2023:</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8"/>
        </w:trPr>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52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2"/>
        </w:trPr>
        <w:tc>
          <w:tcPr>
            <w:tcW w:w="120" w:type="dxa"/>
            <w:vAlign w:val="bottom"/>
          </w:tcPr>
          <w:p>
            <w:pPr>
              <w:spacing w:after="0"/>
              <w:rPr>
                <w:sz w:val="21"/>
                <w:szCs w:val="21"/>
                <w:color w:val="auto"/>
              </w:rPr>
            </w:pPr>
          </w:p>
        </w:tc>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of U.S. Dollars, except</w:t>
            </w:r>
          </w:p>
        </w:tc>
        <w:tc>
          <w:tcPr>
            <w:tcW w:w="152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Systems</w:t>
            </w:r>
          </w:p>
        </w:tc>
        <w:tc>
          <w:tcPr>
            <w:tcW w:w="10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Dollar Value</w:t>
            </w:r>
          </w:p>
        </w:tc>
        <w:tc>
          <w:tcPr>
            <w:tcW w:w="1140" w:type="dxa"/>
            <w:vAlign w:val="bottom"/>
            <w:tcBorders>
              <w:bottom w:val="single" w:sz="8" w:color="auto"/>
            </w:tcBorders>
          </w:tcPr>
          <w:p>
            <w:pPr>
              <w:spacing w:after="0"/>
              <w:rPr>
                <w:sz w:val="21"/>
                <w:szCs w:val="21"/>
                <w:color w:val="auto"/>
              </w:rPr>
            </w:pPr>
          </w:p>
        </w:tc>
      </w:tr>
      <w:tr>
        <w:trPr>
          <w:trHeight w:val="237"/>
        </w:trPr>
        <w:tc>
          <w:tcPr>
            <w:tcW w:w="120" w:type="dxa"/>
            <w:vAlign w:val="bottom"/>
          </w:tcPr>
          <w:p>
            <w:pPr>
              <w:spacing w:after="0"/>
              <w:rPr>
                <w:sz w:val="20"/>
                <w:szCs w:val="20"/>
                <w:color w:val="auto"/>
              </w:rPr>
            </w:pPr>
          </w:p>
        </w:tc>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number of systems)</w:t>
            </w: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New</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Upgrade</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New</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8"/>
              </w:rPr>
              <w:t>Upgrade</w:t>
            </w:r>
          </w:p>
        </w:tc>
      </w:tr>
      <w:tr>
        <w:trPr>
          <w:trHeight w:val="237"/>
        </w:trPr>
        <w:tc>
          <w:tcPr>
            <w:tcW w:w="120" w:type="dxa"/>
            <w:vAlign w:val="bottom"/>
          </w:tcPr>
          <w:p>
            <w:pPr>
              <w:spacing w:after="0"/>
              <w:rPr>
                <w:sz w:val="20"/>
                <w:szCs w:val="20"/>
                <w:color w:val="auto"/>
              </w:rPr>
            </w:pPr>
          </w:p>
        </w:tc>
        <w:tc>
          <w:tcPr>
            <w:tcW w:w="5180" w:type="dxa"/>
            <w:vAlign w:val="bottom"/>
            <w:gridSpan w:val="2"/>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Sales Arrangements</w:t>
            </w:r>
            <w:r>
              <w:rPr>
                <w:rFonts w:ascii="Times New Roman" w:cs="Times New Roman" w:eastAsia="Times New Roman" w:hAnsi="Times New Roman"/>
                <w:sz w:val="24"/>
                <w:szCs w:val="24"/>
                <w:color w:val="auto"/>
                <w:vertAlign w:val="superscript"/>
              </w:rPr>
              <w:t>(1)</w:t>
            </w: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149</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157,494</w:t>
            </w:r>
          </w:p>
        </w:tc>
        <w:tc>
          <w:tcPr>
            <w:tcW w:w="5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14,868</w:t>
            </w:r>
          </w:p>
        </w:tc>
      </w:tr>
      <w:tr>
        <w:trPr>
          <w:trHeight w:val="243"/>
        </w:trPr>
        <w:tc>
          <w:tcPr>
            <w:tcW w:w="120" w:type="dxa"/>
            <w:vAlign w:val="bottom"/>
          </w:tcPr>
          <w:p>
            <w:pPr>
              <w:spacing w:after="0"/>
              <w:rPr>
                <w:sz w:val="21"/>
                <w:szCs w:val="21"/>
                <w:color w:val="auto"/>
              </w:rPr>
            </w:pPr>
          </w:p>
        </w:tc>
        <w:tc>
          <w:tcPr>
            <w:tcW w:w="518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Hybrid JRSA</w:t>
            </w:r>
            <w:r>
              <w:rPr>
                <w:rFonts w:ascii="Times New Roman" w:cs="Times New Roman" w:eastAsia="Times New Roman" w:hAnsi="Times New Roman"/>
                <w:sz w:val="24"/>
                <w:szCs w:val="24"/>
                <w:color w:val="auto"/>
                <w:vertAlign w:val="superscript"/>
              </w:rPr>
              <w:t>(2)</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74,873</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910</w:t>
            </w:r>
          </w:p>
        </w:tc>
      </w:tr>
      <w:tr>
        <w:trPr>
          <w:trHeight w:val="243"/>
        </w:trPr>
        <w:tc>
          <w:tcPr>
            <w:tcW w:w="120" w:type="dxa"/>
            <w:vAlign w:val="bottom"/>
          </w:tcPr>
          <w:p>
            <w:pPr>
              <w:spacing w:after="0"/>
              <w:rPr>
                <w:sz w:val="21"/>
                <w:szCs w:val="21"/>
                <w:color w:val="auto"/>
              </w:rPr>
            </w:pPr>
          </w:p>
        </w:tc>
        <w:tc>
          <w:tcPr>
            <w:tcW w:w="5180" w:type="dxa"/>
            <w:vAlign w:val="bottom"/>
            <w:tcBorders>
              <w:bottom w:val="single" w:sz="8" w:color="CFF0FC"/>
            </w:tcBorders>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Traditional JRSA</w:t>
            </w:r>
            <w:r>
              <w:rPr>
                <w:rFonts w:ascii="Times New Roman" w:cs="Times New Roman" w:eastAsia="Times New Roman" w:hAnsi="Times New Roman"/>
                <w:sz w:val="24"/>
                <w:szCs w:val="24"/>
                <w:color w:val="auto"/>
                <w:vertAlign w:val="superscript"/>
              </w:rPr>
              <w:t>(2)(3)</w:t>
            </w: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128</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425</w:t>
            </w: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1,575</w:t>
            </w:r>
          </w:p>
        </w:tc>
      </w:tr>
      <w:tr>
        <w:trPr>
          <w:trHeight w:val="232"/>
        </w:trPr>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377</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232,793</w:t>
            </w:r>
          </w:p>
        </w:tc>
        <w:tc>
          <w:tcPr>
            <w:tcW w:w="20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17,353</w:t>
            </w:r>
          </w:p>
        </w:tc>
      </w:tr>
      <w:tr>
        <w:trPr>
          <w:trHeight w:val="20"/>
        </w:trPr>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64"/>
        </w:trPr>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52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2"/>
        </w:trPr>
        <w:tc>
          <w:tcPr>
            <w:tcW w:w="120" w:type="dxa"/>
            <w:vAlign w:val="bottom"/>
          </w:tcPr>
          <w:p>
            <w:pPr>
              <w:spacing w:after="0"/>
              <w:rPr>
                <w:sz w:val="21"/>
                <w:szCs w:val="21"/>
                <w:color w:val="auto"/>
              </w:rPr>
            </w:pPr>
          </w:p>
        </w:tc>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of U.S. Dollars, except</w:t>
            </w:r>
          </w:p>
        </w:tc>
        <w:tc>
          <w:tcPr>
            <w:tcW w:w="152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Systems</w:t>
            </w:r>
          </w:p>
        </w:tc>
        <w:tc>
          <w:tcPr>
            <w:tcW w:w="10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Dollar Value</w:t>
            </w:r>
          </w:p>
        </w:tc>
        <w:tc>
          <w:tcPr>
            <w:tcW w:w="1140" w:type="dxa"/>
            <w:vAlign w:val="bottom"/>
            <w:tcBorders>
              <w:bottom w:val="single" w:sz="8" w:color="auto"/>
            </w:tcBorders>
          </w:tcPr>
          <w:p>
            <w:pPr>
              <w:spacing w:after="0"/>
              <w:rPr>
                <w:sz w:val="21"/>
                <w:szCs w:val="21"/>
                <w:color w:val="auto"/>
              </w:rPr>
            </w:pPr>
          </w:p>
        </w:tc>
      </w:tr>
      <w:tr>
        <w:trPr>
          <w:trHeight w:val="237"/>
        </w:trPr>
        <w:tc>
          <w:tcPr>
            <w:tcW w:w="120" w:type="dxa"/>
            <w:vAlign w:val="bottom"/>
          </w:tcPr>
          <w:p>
            <w:pPr>
              <w:spacing w:after="0"/>
              <w:rPr>
                <w:sz w:val="20"/>
                <w:szCs w:val="20"/>
                <w:color w:val="auto"/>
              </w:rPr>
            </w:pPr>
          </w:p>
        </w:tc>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number of systems)</w:t>
            </w: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New</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Upgrade</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New</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8"/>
              </w:rPr>
              <w:t>Upgrade</w:t>
            </w:r>
          </w:p>
        </w:tc>
      </w:tr>
      <w:tr>
        <w:trPr>
          <w:trHeight w:val="236"/>
        </w:trPr>
        <w:tc>
          <w:tcPr>
            <w:tcW w:w="120" w:type="dxa"/>
            <w:vAlign w:val="bottom"/>
          </w:tcPr>
          <w:p>
            <w:pPr>
              <w:spacing w:after="0"/>
              <w:rPr>
                <w:sz w:val="20"/>
                <w:szCs w:val="20"/>
                <w:color w:val="auto"/>
              </w:rPr>
            </w:pPr>
          </w:p>
        </w:tc>
        <w:tc>
          <w:tcPr>
            <w:tcW w:w="5180" w:type="dxa"/>
            <w:vAlign w:val="bottom"/>
            <w:gridSpan w:val="2"/>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Sales Arrangements</w:t>
            </w:r>
            <w:r>
              <w:rPr>
                <w:rFonts w:ascii="Times New Roman" w:cs="Times New Roman" w:eastAsia="Times New Roman" w:hAnsi="Times New Roman"/>
                <w:sz w:val="24"/>
                <w:szCs w:val="24"/>
                <w:color w:val="auto"/>
                <w:vertAlign w:val="superscript"/>
              </w:rPr>
              <w:t>(1)</w:t>
            </w: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157</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5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173,374</w:t>
            </w:r>
          </w:p>
        </w:tc>
        <w:tc>
          <w:tcPr>
            <w:tcW w:w="5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14,293</w:t>
            </w:r>
          </w:p>
        </w:tc>
      </w:tr>
      <w:tr>
        <w:trPr>
          <w:trHeight w:val="243"/>
        </w:trPr>
        <w:tc>
          <w:tcPr>
            <w:tcW w:w="120" w:type="dxa"/>
            <w:vAlign w:val="bottom"/>
          </w:tcPr>
          <w:p>
            <w:pPr>
              <w:spacing w:after="0"/>
              <w:rPr>
                <w:sz w:val="21"/>
                <w:szCs w:val="21"/>
                <w:color w:val="auto"/>
              </w:rPr>
            </w:pPr>
          </w:p>
        </w:tc>
        <w:tc>
          <w:tcPr>
            <w:tcW w:w="518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Hybrid JRSA</w:t>
            </w:r>
            <w:r>
              <w:rPr>
                <w:rFonts w:ascii="Times New Roman" w:cs="Times New Roman" w:eastAsia="Times New Roman" w:hAnsi="Times New Roman"/>
                <w:sz w:val="24"/>
                <w:szCs w:val="24"/>
                <w:color w:val="auto"/>
                <w:vertAlign w:val="superscript"/>
              </w:rPr>
              <w:t>(2)</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84,354</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3,235</w:t>
            </w:r>
          </w:p>
        </w:tc>
      </w:tr>
      <w:tr>
        <w:trPr>
          <w:trHeight w:val="243"/>
        </w:trPr>
        <w:tc>
          <w:tcPr>
            <w:tcW w:w="120" w:type="dxa"/>
            <w:vAlign w:val="bottom"/>
          </w:tcPr>
          <w:p>
            <w:pPr>
              <w:spacing w:after="0"/>
              <w:rPr>
                <w:sz w:val="21"/>
                <w:szCs w:val="21"/>
                <w:color w:val="auto"/>
              </w:rPr>
            </w:pPr>
          </w:p>
        </w:tc>
        <w:tc>
          <w:tcPr>
            <w:tcW w:w="5180" w:type="dxa"/>
            <w:vAlign w:val="bottom"/>
            <w:tcBorders>
              <w:bottom w:val="single" w:sz="8" w:color="CFF0FC"/>
            </w:tcBorders>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Traditional JRSA</w:t>
            </w:r>
            <w:r>
              <w:rPr>
                <w:rFonts w:ascii="Times New Roman" w:cs="Times New Roman" w:eastAsia="Times New Roman" w:hAnsi="Times New Roman"/>
                <w:sz w:val="24"/>
                <w:szCs w:val="24"/>
                <w:color w:val="auto"/>
                <w:vertAlign w:val="superscript"/>
              </w:rPr>
              <w:t>(2)(3)</w:t>
            </w: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2,900</w:t>
            </w:r>
          </w:p>
        </w:tc>
      </w:tr>
      <w:tr>
        <w:trPr>
          <w:trHeight w:val="232"/>
        </w:trPr>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88</w:t>
            </w: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257,928</w:t>
            </w:r>
          </w:p>
        </w:tc>
        <w:tc>
          <w:tcPr>
            <w:tcW w:w="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20,428</w:t>
            </w:r>
          </w:p>
        </w:tc>
      </w:tr>
      <w:tr>
        <w:trPr>
          <w:trHeight w:val="20"/>
        </w:trPr>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60"/>
        </w:trPr>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3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-1756410</wp:posOffset>
            </wp:positionV>
            <wp:extent cx="7683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-1756410</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-1756410</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-307975</wp:posOffset>
            </wp:positionV>
            <wp:extent cx="7683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-307975</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-307975</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left="380" w:hanging="372"/>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Sales, Hybrid Sales and Sales-Type Lease deal types.</w:t>
      </w:r>
    </w:p>
    <w:p>
      <w:pPr>
        <w:spacing w:after="0" w:line="184"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owed under traditional joint revenue sharing arrangements is typically a percentage of contingent box office receipts rather than a fixed upfront fee or fixed annual minimum payments. Accordingly, such arrangements do not usually have a dollar value in backlog; however, hybrid joint revenue sharing arrangements typically provide for contracted upfront payments and therefore carry a backlog value based on those payments.</w:t>
      </w:r>
    </w:p>
    <w:p>
      <w:pPr>
        <w:spacing w:after="0" w:line="13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 IMAX Systems (2023 ― 38) where certain of the Company’s contracts contain options for the customer to elect to upgrade system type or to alter the contract structure (for example, from a joint revenue sharing arrangement to a sale) after signing, but before installation. Current backlog information reflects all known elections.</w:t>
      </w:r>
    </w:p>
    <w:p>
      <w:pPr>
        <w:spacing w:after="0" w:line="149"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The backlog reflects the minimum number of commitments for IMAX Systems according to the signed contracts. The dollar value fluctuates depending on the number of new arrangements signed from year-to-year, which adds to backlog and the installation and acceptance of IMAX Systems and the settlement of contracts, both of which reduce backlog. The dollar value of backlog typically represents the fixed contracted revenue according to the signed IMAX System sale and lease agreements that the Company expects to recognize as revenue upon installation and acceptance of the associated system, as well as an estimate of variable consideration in sales arrangements. The value of backlog does not include amounts allocated to maintenance and extended warranty revenues or revenue from systems in which the Company has an equity interest, operating leases, and long-term conditional theater commitments. The Company believes that the contractual obligations for IMAX System installations that are listed in backlog are valid and binding commitments.</w:t>
      </w:r>
    </w:p>
    <w:p>
      <w:pPr>
        <w:spacing w:after="0" w:line="148" w:lineRule="exact"/>
        <w:rPr>
          <w:sz w:val="20"/>
          <w:szCs w:val="20"/>
          <w:color w:val="auto"/>
        </w:rPr>
      </w:pPr>
    </w:p>
    <w:p>
      <w:pPr>
        <w:jc w:val="both"/>
        <w:ind w:firstLine="223"/>
        <w:spacing w:after="0" w:line="258" w:lineRule="auto"/>
        <w:rPr>
          <w:sz w:val="20"/>
          <w:szCs w:val="20"/>
          <w:color w:val="auto"/>
        </w:rPr>
      </w:pPr>
      <w:r>
        <w:rPr>
          <w:rFonts w:ascii="Times New Roman" w:cs="Times New Roman" w:eastAsia="Times New Roman" w:hAnsi="Times New Roman"/>
          <w:sz w:val="18"/>
          <w:szCs w:val="18"/>
          <w:color w:val="auto"/>
        </w:rPr>
        <w:t>From time to time, in the normal course of its business, the Company will have customers who are unable to proceed with an IMAX System installation for a variety of reasons, including the inability to obtain certain consents, approvals or financing. Once the determination is made that the customer will not proceed with installation, the agreement with the customer is terminated or amended. If the agreement is terminated, once the Company and the customer are released from all their future obligations under the agreement, all or a portion of the initial rents or fees that the customer previously made to the Company are recognized as revenue.</w:t>
      </w:r>
    </w:p>
    <w:p>
      <w:pPr>
        <w:spacing w:after="0" w:line="143" w:lineRule="exact"/>
        <w:rPr>
          <w:sz w:val="20"/>
          <w:szCs w:val="20"/>
          <w:color w:val="auto"/>
        </w:rPr>
      </w:pPr>
    </w:p>
    <w:p>
      <w:pPr>
        <w:jc w:val="both"/>
        <w:ind w:firstLine="223"/>
        <w:spacing w:after="0" w:line="282" w:lineRule="auto"/>
        <w:rPr>
          <w:sz w:val="20"/>
          <w:szCs w:val="20"/>
          <w:color w:val="auto"/>
        </w:rPr>
      </w:pPr>
      <w:r>
        <w:rPr>
          <w:rFonts w:ascii="Times New Roman" w:cs="Times New Roman" w:eastAsia="Times New Roman" w:hAnsi="Times New Roman"/>
          <w:sz w:val="18"/>
          <w:szCs w:val="18"/>
          <w:color w:val="auto"/>
        </w:rPr>
        <w:t>Certain of the Company’s contracts contain options for the customer to elect to upgrade system type during the term or to alter the contract structure (for example, from a joint revenue sharing arrangement to a sale) after signing, but before installation. Current backlog information reflects all known elections.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5" w:lineRule="exact"/>
        <w:rPr>
          <w:sz w:val="20"/>
          <w:szCs w:val="20"/>
          <w:color w:val="auto"/>
        </w:rPr>
      </w:pPr>
    </w:p>
    <w:p>
      <w:pPr>
        <w:ind w:firstLine="223"/>
        <w:spacing w:after="0" w:line="282" w:lineRule="auto"/>
        <w:rPr>
          <w:sz w:val="20"/>
          <w:szCs w:val="20"/>
          <w:color w:val="auto"/>
        </w:rPr>
      </w:pPr>
      <w:r>
        <w:rPr>
          <w:rFonts w:ascii="Times New Roman" w:cs="Times New Roman" w:eastAsia="Times New Roman" w:hAnsi="Times New Roman"/>
          <w:sz w:val="18"/>
          <w:szCs w:val="18"/>
          <w:color w:val="auto"/>
        </w:rPr>
        <w:t>The following tables provide detailed information about the Company’s system backlog by arrangement type and geographic location as of March 31, 2024 and 2023:</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IMAX System Backlog</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150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1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Traditional</w:t>
            </w:r>
          </w:p>
        </w:tc>
        <w:tc>
          <w:tcPr>
            <w:tcW w:w="260" w:type="dxa"/>
            <w:vAlign w:val="bottom"/>
          </w:tcPr>
          <w:p>
            <w:pPr>
              <w:spacing w:after="0"/>
              <w:rPr>
                <w:sz w:val="11"/>
                <w:szCs w:val="11"/>
                <w:color w:val="auto"/>
              </w:rPr>
            </w:pPr>
          </w:p>
        </w:tc>
        <w:tc>
          <w:tcPr>
            <w:tcW w:w="11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Hybrid</w:t>
            </w:r>
          </w:p>
        </w:tc>
        <w:tc>
          <w:tcPr>
            <w:tcW w:w="220" w:type="dxa"/>
            <w:vAlign w:val="bottom"/>
          </w:tcPr>
          <w:p>
            <w:pPr>
              <w:spacing w:after="0"/>
              <w:rPr>
                <w:sz w:val="11"/>
                <w:szCs w:val="11"/>
                <w:color w:val="auto"/>
              </w:rPr>
            </w:pPr>
          </w:p>
        </w:tc>
        <w:tc>
          <w:tcPr>
            <w:tcW w:w="13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220" w:type="dxa"/>
            <w:vAlign w:val="bottom"/>
          </w:tcPr>
          <w:p>
            <w:pPr>
              <w:spacing w:after="0"/>
              <w:rPr>
                <w:sz w:val="11"/>
                <w:szCs w:val="11"/>
                <w:color w:val="auto"/>
              </w:rPr>
            </w:pPr>
          </w:p>
        </w:tc>
        <w:tc>
          <w:tcPr>
            <w:tcW w:w="116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JRSA</w:t>
            </w:r>
          </w:p>
        </w:tc>
        <w:tc>
          <w:tcPr>
            <w:tcW w:w="26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JRSA</w:t>
            </w:r>
          </w:p>
        </w:tc>
        <w:tc>
          <w:tcPr>
            <w:tcW w:w="220" w:type="dxa"/>
            <w:vAlign w:val="bottom"/>
          </w:tcPr>
          <w:p>
            <w:pPr>
              <w:spacing w:after="0"/>
              <w:rPr>
                <w:sz w:val="16"/>
                <w:szCs w:val="16"/>
                <w:color w:val="auto"/>
              </w:rPr>
            </w:pPr>
          </w:p>
        </w:tc>
        <w:tc>
          <w:tcPr>
            <w:tcW w:w="130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8"/>
              </w:rPr>
              <w:t>Arrangements</w:t>
            </w:r>
            <w:r>
              <w:rPr>
                <w:rFonts w:ascii="Times New Roman" w:cs="Times New Roman" w:eastAsia="Times New Roman" w:hAnsi="Times New Roman"/>
                <w:sz w:val="19"/>
                <w:szCs w:val="19"/>
                <w:b w:val="1"/>
                <w:bCs w:val="1"/>
                <w:color w:val="auto"/>
                <w:w w:val="98"/>
                <w:vertAlign w:val="superscript"/>
              </w:rPr>
              <w:t>(1)</w:t>
            </w:r>
          </w:p>
        </w:tc>
        <w:tc>
          <w:tcPr>
            <w:tcW w:w="220" w:type="dxa"/>
            <w:vAlign w:val="bottom"/>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4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16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Greater China</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3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Western Europe</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Latin America</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4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 of the World</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 Total</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4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Worldwide Total</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6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34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457"/>
        </w:trPr>
        <w:tc>
          <w:tcPr>
            <w:tcW w:w="15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IMAX System Backlog</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150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1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Traditional</w:t>
            </w:r>
          </w:p>
        </w:tc>
        <w:tc>
          <w:tcPr>
            <w:tcW w:w="260" w:type="dxa"/>
            <w:vAlign w:val="bottom"/>
          </w:tcPr>
          <w:p>
            <w:pPr>
              <w:spacing w:after="0"/>
              <w:rPr>
                <w:sz w:val="11"/>
                <w:szCs w:val="11"/>
                <w:color w:val="auto"/>
              </w:rPr>
            </w:pPr>
          </w:p>
        </w:tc>
        <w:tc>
          <w:tcPr>
            <w:tcW w:w="11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Hybrid</w:t>
            </w:r>
          </w:p>
        </w:tc>
        <w:tc>
          <w:tcPr>
            <w:tcW w:w="220" w:type="dxa"/>
            <w:vAlign w:val="bottom"/>
          </w:tcPr>
          <w:p>
            <w:pPr>
              <w:spacing w:after="0"/>
              <w:rPr>
                <w:sz w:val="11"/>
                <w:szCs w:val="11"/>
                <w:color w:val="auto"/>
              </w:rPr>
            </w:pPr>
          </w:p>
        </w:tc>
        <w:tc>
          <w:tcPr>
            <w:tcW w:w="13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220" w:type="dxa"/>
            <w:vAlign w:val="bottom"/>
          </w:tcPr>
          <w:p>
            <w:pPr>
              <w:spacing w:after="0"/>
              <w:rPr>
                <w:sz w:val="11"/>
                <w:szCs w:val="11"/>
                <w:color w:val="auto"/>
              </w:rPr>
            </w:pPr>
          </w:p>
        </w:tc>
        <w:tc>
          <w:tcPr>
            <w:tcW w:w="116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JRSA</w:t>
            </w:r>
          </w:p>
        </w:tc>
        <w:tc>
          <w:tcPr>
            <w:tcW w:w="26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JRSA</w:t>
            </w:r>
          </w:p>
        </w:tc>
        <w:tc>
          <w:tcPr>
            <w:tcW w:w="220" w:type="dxa"/>
            <w:vAlign w:val="bottom"/>
          </w:tcPr>
          <w:p>
            <w:pPr>
              <w:spacing w:after="0"/>
              <w:rPr>
                <w:sz w:val="16"/>
                <w:szCs w:val="16"/>
                <w:color w:val="auto"/>
              </w:rPr>
            </w:pPr>
          </w:p>
        </w:tc>
        <w:tc>
          <w:tcPr>
            <w:tcW w:w="130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8"/>
              </w:rPr>
              <w:t>Arrangements</w:t>
            </w:r>
            <w:r>
              <w:rPr>
                <w:rFonts w:ascii="Times New Roman" w:cs="Times New Roman" w:eastAsia="Times New Roman" w:hAnsi="Times New Roman"/>
                <w:sz w:val="19"/>
                <w:szCs w:val="19"/>
                <w:b w:val="1"/>
                <w:bCs w:val="1"/>
                <w:color w:val="auto"/>
                <w:w w:val="98"/>
                <w:vertAlign w:val="superscript"/>
              </w:rPr>
              <w:t>(1)</w:t>
            </w:r>
          </w:p>
        </w:tc>
        <w:tc>
          <w:tcPr>
            <w:tcW w:w="220" w:type="dxa"/>
            <w:vAlign w:val="bottom"/>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4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16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Greater China</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Western Europe</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Latin America</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4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 of the World</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International Total</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5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Worldwide Total</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34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20"/>
        </w:trPr>
        <w:tc>
          <w:tcPr>
            <w:tcW w:w="1500" w:type="dxa"/>
            <w:vAlign w:val="bottom"/>
            <w:tcBorders>
              <w:top w:val="single" w:sz="8" w:color="CFF0FC"/>
              <w:bottom w:val="single" w:sz="8" w:color="auto"/>
            </w:tcBorders>
          </w:tcPr>
          <w:p>
            <w:pPr>
              <w:spacing w:after="0"/>
              <w:rPr>
                <w:sz w:val="10"/>
                <w:szCs w:val="10"/>
                <w:color w:val="auto"/>
              </w:rPr>
            </w:pPr>
          </w:p>
        </w:tc>
        <w:tc>
          <w:tcPr>
            <w:tcW w:w="3940" w:type="dxa"/>
            <w:vAlign w:val="bottom"/>
            <w:tcBorders>
              <w:top w:val="single" w:sz="8" w:color="CFF0FC"/>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60" w:type="dxa"/>
            <w:vAlign w:val="bottom"/>
            <w:tcBorders>
              <w:top w:val="single" w:sz="8" w:color="CFF0FC"/>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34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-3496945</wp:posOffset>
            </wp:positionV>
            <wp:extent cx="7683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-3496945</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-3496945</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-3496945</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-2562225</wp:posOffset>
            </wp:positionV>
            <wp:extent cx="7683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-2562225</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-2562225</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-2562225</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-2237105</wp:posOffset>
            </wp:positionV>
            <wp:extent cx="7683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-2219325</wp:posOffset>
            </wp:positionV>
            <wp:extent cx="7683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-2237105</wp:posOffset>
            </wp:positionV>
            <wp:extent cx="6858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-2219325</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-2237105</wp:posOffset>
            </wp:positionV>
            <wp:extent cx="6858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-2219325</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-2237105</wp:posOffset>
            </wp:positionV>
            <wp:extent cx="6858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-2219325</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-1379855</wp:posOffset>
            </wp:positionV>
            <wp:extent cx="7683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-1379855</wp:posOffset>
            </wp:positionV>
            <wp:extent cx="6858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-1379855</wp:posOffset>
            </wp:positionV>
            <wp:extent cx="6858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-1379855</wp:posOffset>
            </wp:positionV>
            <wp:extent cx="6858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-445135</wp:posOffset>
            </wp:positionV>
            <wp:extent cx="7683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-445135</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-445135</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-445135</wp:posOffset>
            </wp:positionV>
            <wp:extent cx="685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-119380</wp:posOffset>
            </wp:positionV>
            <wp:extent cx="7683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-102235</wp:posOffset>
            </wp:positionV>
            <wp:extent cx="7683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-119380</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-102235</wp:posOffset>
            </wp:positionV>
            <wp:extent cx="685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-119380</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-102235</wp:posOffset>
            </wp:positionV>
            <wp:extent cx="6858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-119380</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-102235</wp:posOffset>
            </wp:positionV>
            <wp:extent cx="685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Sales, Hybrid Sales and Sales-Type Lease deal types.</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323 IMAX Laser Systems (261 new and 62 upgrades of existing locations).</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309 IMAX Laser Systems (221 new and 88 upgrades of existing locations).</w:t>
      </w:r>
    </w:p>
    <w:p>
      <w:pPr>
        <w:spacing w:after="0" w:line="185" w:lineRule="exact"/>
        <w:rPr>
          <w:sz w:val="20"/>
          <w:szCs w:val="20"/>
          <w:color w:val="auto"/>
        </w:rPr>
      </w:pPr>
    </w:p>
    <w:p>
      <w:pPr>
        <w:ind w:firstLine="224"/>
        <w:spacing w:after="0" w:line="282" w:lineRule="auto"/>
        <w:rPr>
          <w:sz w:val="20"/>
          <w:szCs w:val="20"/>
          <w:color w:val="auto"/>
        </w:rPr>
      </w:pPr>
      <w:r>
        <w:rPr>
          <w:rFonts w:ascii="Times New Roman" w:cs="Times New Roman" w:eastAsia="Times New Roman" w:hAnsi="Times New Roman"/>
          <w:sz w:val="18"/>
          <w:szCs w:val="18"/>
          <w:color w:val="auto"/>
        </w:rPr>
        <w:t>Approximately 79% of IMAX System arrangements in backlog as of March 31, 2024 are scheduled to be installed in international markets (2023 — 76%).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Signings and Installations</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tables provide detailed information about IMAX System signings and installations for the three months ended March 31, 2024 and 2023:</w:t>
      </w:r>
    </w:p>
    <w:p>
      <w:pPr>
        <w:spacing w:after="0" w:line="286"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9"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16510</wp:posOffset>
            </wp:positionV>
            <wp:extent cx="204025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20" w:type="dxa"/>
            <w:vAlign w:val="bottom"/>
          </w:tcPr>
          <w:p>
            <w:pPr>
              <w:spacing w:after="0"/>
              <w:rPr>
                <w:sz w:val="16"/>
                <w:szCs w:val="16"/>
                <w:color w:val="auto"/>
              </w:rPr>
            </w:pPr>
          </w:p>
        </w:tc>
        <w:tc>
          <w:tcPr>
            <w:tcW w:w="11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7"/>
        </w:trPr>
        <w:tc>
          <w:tcPr>
            <w:tcW w:w="90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System Signings:</w:t>
            </w:r>
          </w:p>
        </w:tc>
        <w:tc>
          <w:tcPr>
            <w:tcW w:w="4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902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18"/>
                <w:szCs w:val="18"/>
                <w:color w:val="auto"/>
              </w:rPr>
              <w:t>Sales Arrangements</w:t>
            </w:r>
            <w:r>
              <w:rPr>
                <w:rFonts w:ascii="Times New Roman" w:cs="Times New Roman" w:eastAsia="Times New Roman" w:hAnsi="Times New Roman"/>
                <w:sz w:val="24"/>
                <w:szCs w:val="24"/>
                <w:color w:val="auto"/>
                <w:vertAlign w:val="superscript"/>
              </w:rPr>
              <w:t>(1)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r>
      <w:tr>
        <w:trPr>
          <w:trHeight w:val="243"/>
        </w:trPr>
        <w:tc>
          <w:tcPr>
            <w:tcW w:w="90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Hybrid JRSA</w:t>
            </w:r>
          </w:p>
        </w:tc>
        <w:tc>
          <w:tcPr>
            <w:tcW w:w="1720" w:type="dxa"/>
            <w:vAlign w:val="bottom"/>
            <w:gridSpan w:val="3"/>
            <w:shd w:val="clear" w:color="auto" w:fill="CFF0FC"/>
          </w:tcPr>
          <w:p>
            <w:pPr>
              <w:jc w:val="right"/>
              <w:ind w:right="126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Traditional JRSA</w:t>
            </w:r>
          </w:p>
        </w:tc>
        <w:tc>
          <w:tcPr>
            <w:tcW w:w="1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r>
      <w:tr>
        <w:trPr>
          <w:trHeight w:val="281"/>
        </w:trPr>
        <w:tc>
          <w:tcPr>
            <w:tcW w:w="7920" w:type="dxa"/>
            <w:vAlign w:val="bottom"/>
            <w:tcBorders>
              <w:bottom w:val="single" w:sz="8" w:color="CFF0FC"/>
            </w:tcBorders>
            <w:shd w:val="clear" w:color="auto" w:fill="CFF0FC"/>
          </w:tcPr>
          <w:p>
            <w:pPr>
              <w:ind w:left="200"/>
              <w:spacing w:after="0" w:line="241" w:lineRule="exact"/>
              <w:rPr>
                <w:sz w:val="20"/>
                <w:szCs w:val="20"/>
                <w:color w:val="auto"/>
              </w:rPr>
            </w:pPr>
            <w:r>
              <w:rPr>
                <w:rFonts w:ascii="Times New Roman" w:cs="Times New Roman" w:eastAsia="Times New Roman" w:hAnsi="Times New Roman"/>
                <w:sz w:val="18"/>
                <w:szCs w:val="18"/>
                <w:color w:val="auto"/>
              </w:rPr>
              <w:t>Total IMAX System signings</w:t>
            </w:r>
            <w:r>
              <w:rPr>
                <w:rFonts w:ascii="Times New Roman" w:cs="Times New Roman" w:eastAsia="Times New Roman" w:hAnsi="Times New Roman"/>
                <w:sz w:val="24"/>
                <w:szCs w:val="24"/>
                <w:color w:val="auto"/>
                <w:vertAlign w:val="superscript"/>
              </w:rPr>
              <w:t>(2)</w:t>
            </w:r>
          </w:p>
        </w:tc>
        <w:tc>
          <w:tcPr>
            <w:tcW w:w="1100" w:type="dxa"/>
            <w:vAlign w:val="bottom"/>
            <w:tcBorders>
              <w:bottom w:val="single" w:sz="8" w:color="auto"/>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70"/>
        </w:trPr>
        <w:tc>
          <w:tcPr>
            <w:tcW w:w="7920" w:type="dxa"/>
            <w:vAlign w:val="bottom"/>
          </w:tcPr>
          <w:p>
            <w:pPr>
              <w:spacing w:after="0"/>
              <w:rPr>
                <w:sz w:val="24"/>
                <w:szCs w:val="24"/>
                <w:color w:val="auto"/>
              </w:rPr>
            </w:pPr>
          </w:p>
        </w:tc>
        <w:tc>
          <w:tcPr>
            <w:tcW w:w="2820" w:type="dxa"/>
            <w:vAlign w:val="bottom"/>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79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7920" w:type="dxa"/>
            <w:vAlign w:val="bottom"/>
          </w:tcPr>
          <w:p>
            <w:pPr>
              <w:spacing w:after="0"/>
              <w:rPr>
                <w:sz w:val="18"/>
                <w:szCs w:val="18"/>
                <w:color w:val="auto"/>
              </w:rPr>
            </w:pPr>
          </w:p>
        </w:tc>
        <w:tc>
          <w:tcPr>
            <w:tcW w:w="11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9020" w:type="dxa"/>
            <w:vAlign w:val="bottom"/>
            <w:gridSpan w:val="2"/>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b w:val="1"/>
                <w:bCs w:val="1"/>
                <w:color w:val="auto"/>
              </w:rPr>
              <w:t>System Installations</w:t>
            </w:r>
            <w:r>
              <w:rPr>
                <w:rFonts w:ascii="Times New Roman" w:cs="Times New Roman" w:eastAsia="Times New Roman" w:hAnsi="Times New Roman"/>
                <w:sz w:val="24"/>
                <w:szCs w:val="24"/>
                <w:b w:val="1"/>
                <w:bCs w:val="1"/>
                <w:color w:val="auto"/>
                <w:vertAlign w:val="superscript"/>
              </w:rPr>
              <w:t>(3)</w:t>
            </w:r>
            <w:r>
              <w:rPr>
                <w:rFonts w:ascii="Times New Roman" w:cs="Times New Roman" w:eastAsia="Times New Roman" w:hAnsi="Times New Roman"/>
                <w:sz w:val="18"/>
                <w:szCs w:val="18"/>
                <w:b w:val="1"/>
                <w:bCs w:val="1"/>
                <w:color w:val="auto"/>
              </w:rPr>
              <w:t>:</w:t>
            </w:r>
          </w:p>
        </w:tc>
        <w:tc>
          <w:tcPr>
            <w:tcW w:w="4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90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18"/>
                <w:szCs w:val="18"/>
                <w:color w:val="auto"/>
              </w:rPr>
              <w:t>Sales Arrangements</w:t>
            </w:r>
            <w:r>
              <w:rPr>
                <w:rFonts w:ascii="Times New Roman" w:cs="Times New Roman" w:eastAsia="Times New Roman" w:hAnsi="Times New Roman"/>
                <w:sz w:val="24"/>
                <w:szCs w:val="24"/>
                <w:color w:val="auto"/>
                <w:vertAlign w:val="superscript"/>
              </w:rPr>
              <w:t>(1)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r>
      <w:tr>
        <w:trPr>
          <w:trHeight w:val="243"/>
        </w:trPr>
        <w:tc>
          <w:tcPr>
            <w:tcW w:w="90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Hybrid JRSA</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Traditional JRSA</w:t>
            </w:r>
          </w:p>
        </w:tc>
        <w:tc>
          <w:tcPr>
            <w:tcW w:w="1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r>
      <w:tr>
        <w:trPr>
          <w:trHeight w:val="276"/>
        </w:trPr>
        <w:tc>
          <w:tcPr>
            <w:tcW w:w="7920" w:type="dxa"/>
            <w:vAlign w:val="bottom"/>
            <w:tcBorders>
              <w:bottom w:val="single" w:sz="8" w:color="CFF0FC"/>
            </w:tcBorders>
            <w:shd w:val="clear" w:color="auto" w:fill="CFF0FC"/>
          </w:tcPr>
          <w:p>
            <w:pPr>
              <w:ind w:left="200"/>
              <w:spacing w:after="0" w:line="236" w:lineRule="exact"/>
              <w:rPr>
                <w:sz w:val="20"/>
                <w:szCs w:val="20"/>
                <w:color w:val="auto"/>
              </w:rPr>
            </w:pPr>
            <w:r>
              <w:rPr>
                <w:rFonts w:ascii="Times New Roman" w:cs="Times New Roman" w:eastAsia="Times New Roman" w:hAnsi="Times New Roman"/>
                <w:sz w:val="18"/>
                <w:szCs w:val="18"/>
                <w:color w:val="auto"/>
              </w:rPr>
              <w:t>Total IMAX System installations</w:t>
            </w:r>
            <w:r>
              <w:rPr>
                <w:rFonts w:ascii="Times New Roman" w:cs="Times New Roman" w:eastAsia="Times New Roman" w:hAnsi="Times New Roman"/>
                <w:sz w:val="24"/>
                <w:szCs w:val="24"/>
                <w:color w:val="auto"/>
                <w:vertAlign w:val="superscript"/>
              </w:rPr>
              <w:t>(4)</w:t>
            </w:r>
          </w:p>
        </w:tc>
        <w:tc>
          <w:tcPr>
            <w:tcW w:w="1100" w:type="dxa"/>
            <w:vAlign w:val="bottom"/>
            <w:tcBorders>
              <w:bottom w:val="single" w:sz="8" w:color="auto"/>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-1439545</wp:posOffset>
            </wp:positionV>
            <wp:extent cx="685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-1422400</wp:posOffset>
            </wp:positionV>
            <wp:extent cx="685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6858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85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Sales, Hybrid Sales and Sales-Type Lease deal types.</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 IMAX System upgrades (2023 ― one).</w:t>
      </w:r>
    </w:p>
    <w:p>
      <w:pPr>
        <w:spacing w:after="0" w:line="184"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IMAX System was relocated from their original location (2023 ― nil). When a system under a sale or sales-type lease arrangement is relocated, the amount of revenue earned by the Company may vary from transaction-to-transaction and is usually less than the amount earned for a new sale. In certain situations when a system is relocated, the original location is upgraded to an IMAX Laser System.</w:t>
      </w:r>
    </w:p>
    <w:p>
      <w:pPr>
        <w:spacing w:after="0" w:line="13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three IMAX System upgrades (2023 ― two).</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 xml:space="preserve">The Company’s business and future prospects are evaluated by Richard L. Gelfond, its Chief Executive Officer (“CEO”), using a variety of factors and financial and operational metrics including: (i) IMAX box office performance and the securing of new IMAX films and other events to be exhibited across the IMAX network; (ii) the signing, installation, and financial performance of IMAX System arrangements, particularly those involving laser-based projection systems; (iii) the success of the Company’s investments in business evolution and brand extensions into streaming and consumer technology, including the integration of SSIMWAVE and the distribution of live events to the IMAX network, (iv) revenues and gross margins earned by the Company’s segments, as discussed below; (v) consolidated earnings (loss) from operations, as adjusted for unusual items; (vi) the continuing ability to invest in and improve the Company’s technology to enhance the differentiation of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versus other out-of-home experiences; (vii) the overall execution, reliability, and consumer acceptance of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and (viii) short- and long-term cash flow projections.</w:t>
      </w:r>
    </w:p>
    <w:p>
      <w:pPr>
        <w:spacing w:after="0" w:line="151"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CEO is the Company’s Chief Operating Decision Maker (“CODM”), as such term is defined under United States Generally Accepted Accounting Principles (“U.S. GAAP”). The CODM assesses segment performance based on segment revenues and gross margins. Selling, general and administrative expenses, research and development costs, the amortization of intangible assets, provision for (reversal of) current expected credit losses, certain write-downs, interest income, interest expense, and income tax (expense) benefit are not allocated to the Company’s segments.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5"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Company has two reportable segments: (i) Content Solutions, which principally includes content enhancement and distribution services, and (ii) Technology Products and Services, which principally includes the sale, lease, and maintenance of IMAX Systems. The Company’s activities that do not meet the criteria to be considered a reportable segment are reported within All Other. See Note 13 of Notes to Condensed Consolidated Financial Statements in Part I, Item 1.</w:t>
      </w:r>
    </w:p>
    <w:p>
      <w:pPr>
        <w:spacing w:after="0" w:line="135" w:lineRule="exact"/>
        <w:rPr>
          <w:sz w:val="20"/>
          <w:szCs w:val="20"/>
          <w:color w:val="auto"/>
        </w:rPr>
      </w:pPr>
    </w:p>
    <w:p>
      <w:pPr>
        <w:jc w:val="right"/>
        <w:ind w:right="5340"/>
        <w:spacing w:after="0" w:line="464" w:lineRule="auto"/>
        <w:rPr>
          <w:sz w:val="20"/>
          <w:szCs w:val="20"/>
          <w:color w:val="auto"/>
        </w:rPr>
      </w:pPr>
      <w:r>
        <w:rPr>
          <w:rFonts w:ascii="Times New Roman" w:cs="Times New Roman" w:eastAsia="Times New Roman" w:hAnsi="Times New Roman"/>
          <w:sz w:val="18"/>
          <w:szCs w:val="18"/>
          <w:b w:val="1"/>
          <w:bCs w:val="1"/>
          <w:color w:val="auto"/>
        </w:rPr>
        <w:t xml:space="preserve">Results of Operations for the Three Months Ended March 31, 2024 and 2023 </w:t>
      </w:r>
      <w:r>
        <w:rPr>
          <w:rFonts w:ascii="Times New Roman" w:cs="Times New Roman" w:eastAsia="Times New Roman" w:hAnsi="Times New Roman"/>
          <w:sz w:val="18"/>
          <w:szCs w:val="18"/>
          <w:b w:val="1"/>
          <w:bCs w:val="1"/>
          <w:i w:val="1"/>
          <w:iCs w:val="1"/>
          <w:color w:val="auto"/>
        </w:rPr>
        <w:t>Net Income and Adjusted Net Income Attributable to Common Shareholders</w:t>
      </w: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Company’s net income attributable to common shareholders and the associated per diluted share amounts, as well as adjusted net income attributable to common shareholders and adjusted net income attributable to common shareholders per diluted share for the three months ended March 31, 2024 and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per diluted share amounts)</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6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Per Diluted</w:t>
            </w:r>
          </w:p>
        </w:tc>
        <w:tc>
          <w:tcPr>
            <w:tcW w:w="320" w:type="dxa"/>
            <w:vAlign w:val="bottom"/>
          </w:tcPr>
          <w:p>
            <w:pPr>
              <w:spacing w:after="0"/>
              <w:rPr>
                <w:sz w:val="11"/>
                <w:szCs w:val="11"/>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20" w:type="dxa"/>
            <w:vAlign w:val="bottom"/>
          </w:tcPr>
          <w:p>
            <w:pPr>
              <w:spacing w:after="0"/>
              <w:rPr>
                <w:sz w:val="11"/>
                <w:szCs w:val="11"/>
                <w:color w:val="auto"/>
              </w:rPr>
            </w:pPr>
          </w:p>
        </w:tc>
        <w:tc>
          <w:tcPr>
            <w:tcW w:w="900" w:type="dxa"/>
            <w:vAlign w:val="bottom"/>
            <w:gridSpan w:val="2"/>
          </w:tcPr>
          <w:p>
            <w:pPr>
              <w:jc w:val="right"/>
              <w:ind w:right="36"/>
              <w:spacing w:after="0" w:line="131" w:lineRule="exact"/>
              <w:rPr>
                <w:sz w:val="20"/>
                <w:szCs w:val="20"/>
                <w:color w:val="auto"/>
              </w:rPr>
            </w:pPr>
            <w:r>
              <w:rPr>
                <w:rFonts w:ascii="Times New Roman" w:cs="Times New Roman" w:eastAsia="Times New Roman" w:hAnsi="Times New Roman"/>
                <w:sz w:val="14"/>
                <w:szCs w:val="14"/>
                <w:b w:val="1"/>
                <w:bCs w:val="1"/>
                <w:color w:val="auto"/>
              </w:rPr>
              <w:t>Per Diluted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6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Share</w:t>
            </w:r>
          </w:p>
        </w:tc>
        <w:tc>
          <w:tcPr>
            <w:tcW w:w="320" w:type="dxa"/>
            <w:vAlign w:val="bottom"/>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28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2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3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664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Adjusted net income attributable to common shareholders</w:t>
            </w:r>
            <w:r>
              <w:rPr>
                <w:rFonts w:ascii="Times New Roman" w:cs="Times New Roman" w:eastAsia="Times New Roman" w:hAnsi="Times New Roman"/>
                <w:sz w:val="24"/>
                <w:szCs w:val="24"/>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7,941</w:t>
            </w:r>
          </w:p>
        </w:tc>
        <w:tc>
          <w:tcPr>
            <w:tcW w:w="2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5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-205105</wp:posOffset>
            </wp:positionV>
            <wp:extent cx="7683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-187960</wp:posOffset>
            </wp:positionV>
            <wp:extent cx="7683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-205105</wp:posOffset>
            </wp:positionV>
            <wp:extent cx="685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-187960</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-205105</wp:posOffset>
            </wp:positionV>
            <wp:extent cx="6858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-187960</wp:posOffset>
            </wp:positionV>
            <wp:extent cx="6858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ind w:left="380" w:right="20" w:hanging="372"/>
        <w:spacing w:after="0" w:line="282" w:lineRule="auto"/>
        <w:tabs>
          <w:tab w:leader="none" w:pos="3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“Non-GAAP Financial Measures” for a description of this non-GAAP financial measure and a reconciliation to the most comparable GAAP amount.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Gross Margin</w:t>
      </w:r>
    </w:p>
    <w:p>
      <w:pPr>
        <w:spacing w:after="0" w:line="189"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 xml:space="preserve">For the three months ended March 31, 2024, the Company’s revenues and gross margin decreased by $7.8 million, or 9%, and $3.2 million, or 6%, respectively, when compared to the same period in 2023 principally due to a lower level of IMAX Systems renewals, which are non-recurring in nature, and lower aftermarket sales as the first quarter of 2023 included </w:t>
      </w:r>
      <w:r>
        <w:rPr>
          <w:rFonts w:ascii="Times New Roman" w:cs="Times New Roman" w:eastAsia="Times New Roman" w:hAnsi="Times New Roman"/>
          <w:sz w:val="18"/>
          <w:szCs w:val="18"/>
          <w:i w:val="1"/>
          <w:iCs w:val="1"/>
          <w:color w:val="auto"/>
        </w:rPr>
        <w:t>Avatar: The Way of Wate</w:t>
      </w:r>
      <w:r>
        <w:rPr>
          <w:rFonts w:ascii="Times New Roman" w:cs="Times New Roman" w:eastAsia="Times New Roman" w:hAnsi="Times New Roman"/>
          <w:sz w:val="18"/>
          <w:szCs w:val="18"/>
          <w:color w:val="auto"/>
        </w:rPr>
        <w:t>r, a 3D film.</w:t>
      </w:r>
    </w:p>
    <w:p>
      <w:pPr>
        <w:spacing w:after="0" w:line="1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the Company’s revenue, gross margin and gross margin percentage by reportable segment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and 2023: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Revenue</w:t>
            </w:r>
            <w:r>
              <w:rPr>
                <w:rFonts w:ascii="Times New Roman" w:cs="Times New Roman" w:eastAsia="Times New Roman" w:hAnsi="Times New Roman"/>
                <w:sz w:val="19"/>
                <w:szCs w:val="19"/>
                <w:b w:val="1"/>
                <w:bCs w:val="1"/>
                <w:color w:val="auto"/>
                <w:vertAlign w:val="superscript"/>
              </w:rPr>
              <w:t>(1)</w:t>
            </w:r>
          </w:p>
        </w:tc>
        <w:tc>
          <w:tcPr>
            <w:tcW w:w="6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220" w:type="dxa"/>
            <w:vAlign w:val="bottom"/>
          </w:tcPr>
          <w:p>
            <w:pPr>
              <w:spacing w:after="0"/>
              <w:rPr>
                <w:sz w:val="18"/>
                <w:szCs w:val="18"/>
                <w:color w:val="auto"/>
              </w:rPr>
            </w:pPr>
          </w:p>
        </w:tc>
        <w:tc>
          <w:tcPr>
            <w:tcW w:w="2140" w:type="dxa"/>
            <w:vAlign w:val="bottom"/>
            <w:tcBorders>
              <w:bottom w:val="single" w:sz="8" w:color="auto"/>
            </w:tcBorders>
            <w:gridSpan w:val="3"/>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Gross Margin %</w:t>
            </w:r>
          </w:p>
        </w:tc>
      </w:tr>
      <w:tr>
        <w:trPr>
          <w:trHeight w:val="210"/>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8"/>
                <w:szCs w:val="18"/>
                <w:color w:val="auto"/>
              </w:rPr>
            </w:pPr>
          </w:p>
        </w:tc>
        <w:tc>
          <w:tcPr>
            <w:tcW w:w="9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4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Content Solutions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34,013</w:t>
            </w:r>
          </w:p>
        </w:tc>
        <w:tc>
          <w:tcPr>
            <w:tcW w:w="5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32,101</w:t>
            </w:r>
          </w:p>
        </w:tc>
        <w:tc>
          <w:tcPr>
            <w:tcW w:w="4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22,099</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17,995</w:t>
            </w:r>
          </w:p>
        </w:tc>
        <w:tc>
          <w:tcPr>
            <w:tcW w:w="1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9"/>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29,891</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6"/>
        </w:trPr>
        <w:tc>
          <w:tcPr>
            <w:tcW w:w="4660" w:type="dxa"/>
            <w:vAlign w:val="bottom"/>
            <w:tcBorders>
              <w:top w:val="single" w:sz="8" w:color="CFF0FC"/>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77,163</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83,768</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45,683</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47,886</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41"/>
        </w:trPr>
        <w:tc>
          <w:tcPr>
            <w:tcW w:w="4660" w:type="dxa"/>
            <w:vAlign w:val="bottom"/>
            <w:gridSpan w:val="2"/>
          </w:tcPr>
          <w:p>
            <w:pPr>
              <w:ind w:left="20"/>
              <w:spacing w:after="0" w:line="241"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4"/>
                <w:szCs w:val="24"/>
                <w:color w:val="auto"/>
                <w:vertAlign w:val="superscript"/>
              </w:rPr>
              <w:t>(2)</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2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15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277"/>
        </w:trPr>
        <w:tc>
          <w:tcPr>
            <w:tcW w:w="4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79,123</w:t>
            </w:r>
          </w:p>
        </w:tc>
        <w:tc>
          <w:tcPr>
            <w:tcW w:w="26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86,946</w:t>
            </w:r>
          </w:p>
        </w:tc>
        <w:tc>
          <w:tcPr>
            <w:tcW w:w="24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46,889</w:t>
            </w:r>
          </w:p>
        </w:tc>
        <w:tc>
          <w:tcPr>
            <w:tcW w:w="220" w:type="dxa"/>
            <w:vAlign w:val="bottom"/>
            <w:shd w:val="clear" w:color="auto" w:fill="CFF0FC"/>
          </w:tcPr>
          <w:p>
            <w:pPr>
              <w:spacing w:after="0"/>
              <w:rPr>
                <w:sz w:val="24"/>
                <w:szCs w:val="2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50,051</w:t>
            </w:r>
          </w:p>
        </w:tc>
        <w:tc>
          <w:tcPr>
            <w:tcW w:w="220" w:type="dxa"/>
            <w:vAlign w:val="bottom"/>
            <w:shd w:val="clear" w:color="auto" w:fill="CFF0FC"/>
          </w:tcPr>
          <w:p>
            <w:pPr>
              <w:spacing w:after="0"/>
              <w:rPr>
                <w:sz w:val="24"/>
                <w:szCs w:val="24"/>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115"/>
        </w:trPr>
        <w:tc>
          <w:tcPr>
            <w:tcW w:w="1500" w:type="dxa"/>
            <w:vAlign w:val="bottom"/>
            <w:tcBorders>
              <w:top w:val="single" w:sz="8" w:color="CFF0FC"/>
              <w:bottom w:val="single" w:sz="8" w:color="auto"/>
            </w:tcBorders>
          </w:tcPr>
          <w:p>
            <w:pPr>
              <w:spacing w:after="0"/>
              <w:rPr>
                <w:sz w:val="10"/>
                <w:szCs w:val="10"/>
                <w:color w:val="auto"/>
              </w:rPr>
            </w:pPr>
          </w:p>
        </w:tc>
        <w:tc>
          <w:tcPr>
            <w:tcW w:w="316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Borders>
              <w:top w:val="single" w:sz="8" w:color="CFF0FC"/>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-620395</wp:posOffset>
            </wp:positionV>
            <wp:extent cx="102870" cy="19685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02870" cy="196850"/>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-620395</wp:posOffset>
            </wp:positionV>
            <wp:extent cx="102235" cy="19685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4964430</wp:posOffset>
            </wp:positionH>
            <wp:positionV relativeFrom="paragraph">
              <wp:posOffset>-620395</wp:posOffset>
            </wp:positionV>
            <wp:extent cx="93980" cy="19685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-620395</wp:posOffset>
            </wp:positionV>
            <wp:extent cx="93980" cy="19685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-620395</wp:posOffset>
            </wp:positionV>
            <wp:extent cx="93980" cy="19685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-119380</wp:posOffset>
            </wp:positionV>
            <wp:extent cx="7747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-102235</wp:posOffset>
            </wp:positionV>
            <wp:extent cx="7747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-119380</wp:posOffset>
            </wp:positionV>
            <wp:extent cx="7683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-102235</wp:posOffset>
            </wp:positionV>
            <wp:extent cx="7683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-119380</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-102235</wp:posOffset>
            </wp:positionV>
            <wp:extent cx="6858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-119380</wp:posOffset>
            </wp:positionV>
            <wp:extent cx="6858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-102235</wp:posOffset>
            </wp:positionV>
            <wp:extent cx="6858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-119380</wp:posOffset>
            </wp:positionV>
            <wp:extent cx="685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-102235</wp:posOffset>
            </wp:positionV>
            <wp:extent cx="6858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All Other includes the results from Streaming and Consumer Technology and other ancillary activities.</w:t>
      </w:r>
    </w:p>
    <w:p>
      <w:pPr>
        <w:spacing w:after="0" w:line="18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Content Solutions</w:t>
      </w:r>
    </w:p>
    <w:p>
      <w:pPr>
        <w:spacing w:after="0" w:line="18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Content Solutions segment results are influenced by the level of commercial success and box office performance of the films and other content released to the IMAX network, as well as other factors including the timing of the releases, the length of play across the IMAX network, the box office share take rates under the Company’s film remastering and distribution arrangements, the level of marketing spend associated with the releases in the year and the fluctuations in the value of foreign currencies versus the U.S. Dollar.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5"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 xml:space="preserve">For the three months ended March 31, 2024, Content Solutions segment revenues and gross margin increased by $1.9 million, or 6%, and $4.1 million, or 23%, respectively, when compared to the same period in 2023. In the first quarter of 2024, box office generated by IMAX films totaled $260.7 million, a $12.7 million, or 5%, reduction versus the prior year comparative period of $273.4 million. The impact on revenue from the lower box office experienced year over year was more than offset by the revenue earned from the alternative content released to the IMAX network in the first quarter of 2024, such as the exclusive IMAX release in partnership with Pathé Live of </w:t>
      </w:r>
      <w:r>
        <w:rPr>
          <w:rFonts w:ascii="Times New Roman" w:cs="Times New Roman" w:eastAsia="Times New Roman" w:hAnsi="Times New Roman"/>
          <w:sz w:val="18"/>
          <w:szCs w:val="18"/>
          <w:i w:val="1"/>
          <w:iCs w:val="1"/>
          <w:color w:val="auto"/>
        </w:rPr>
        <w:t>Queen Rock Montreal</w:t>
      </w:r>
      <w:r>
        <w:rPr>
          <w:rFonts w:ascii="Times New Roman" w:cs="Times New Roman" w:eastAsia="Times New Roman" w:hAnsi="Times New Roman"/>
          <w:sz w:val="18"/>
          <w:szCs w:val="18"/>
          <w:color w:val="auto"/>
        </w:rPr>
        <w:t xml:space="preserve">. In the first quarter of 2024, box office was generated by the exhibition of 27 films (20 new films and 7 films that were originally released in prior years) including </w:t>
      </w:r>
      <w:r>
        <w:rPr>
          <w:rFonts w:ascii="Times New Roman" w:cs="Times New Roman" w:eastAsia="Times New Roman" w:hAnsi="Times New Roman"/>
          <w:sz w:val="18"/>
          <w:szCs w:val="18"/>
          <w:i w:val="1"/>
          <w:iCs w:val="1"/>
          <w:color w:val="auto"/>
        </w:rPr>
        <w:t>Dune: Part Two</w:t>
      </w:r>
      <w:r>
        <w:rPr>
          <w:rFonts w:ascii="Times New Roman" w:cs="Times New Roman" w:eastAsia="Times New Roman" w:hAnsi="Times New Roman"/>
          <w:sz w:val="18"/>
          <w:szCs w:val="18"/>
          <w:color w:val="auto"/>
        </w:rPr>
        <w:t xml:space="preserve">, which generated box office of over $132.4 million. In the first quarter of 2023, box office was generated by the exhibition of 22 films (15 new films and 7 films that were originally released in prior years) including </w:t>
      </w:r>
      <w:r>
        <w:rPr>
          <w:rFonts w:ascii="Times New Roman" w:cs="Times New Roman" w:eastAsia="Times New Roman" w:hAnsi="Times New Roman"/>
          <w:sz w:val="18"/>
          <w:szCs w:val="18"/>
          <w:i w:val="1"/>
          <w:iCs w:val="1"/>
          <w:color w:val="auto"/>
        </w:rPr>
        <w:t>Avatar: The Way of Water,</w:t>
      </w:r>
      <w:r>
        <w:rPr>
          <w:rFonts w:ascii="Times New Roman" w:cs="Times New Roman" w:eastAsia="Times New Roman" w:hAnsi="Times New Roman"/>
          <w:sz w:val="18"/>
          <w:szCs w:val="18"/>
          <w:color w:val="auto"/>
        </w:rPr>
        <w:t xml:space="preserve"> which generated box office of $109.1 million in the three months ended March 31, 2023.</w:t>
      </w:r>
    </w:p>
    <w:p>
      <w:pPr>
        <w:spacing w:after="0" w:line="151"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In addition to the higher level of revenues, Content Solutions segment gross margin is also influenced by the costs associated with the films and other content exhibited in the period, and can vary from period-to-period, especially with respect to marketing expenses, which are expensed as incurred, for films and the costs incurred to produce, market and distribute alternate events and documentary content during the period. For the three months ended March 31, 2024 and 2023, gross margin percent was 65% and 56%, respectively, with the improvement driven primarily by lower marketing expenses for films in the respective periods.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Products and Services</w:t>
      </w:r>
    </w:p>
    <w:p>
      <w:pPr>
        <w:spacing w:after="0" w:line="202"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primary drivers of Technology Products and Services segment results are the number of IMAX Systems installed in a period, the costs associated with each installation, lease payments tied to the box office performance of the films released to the IMAX network, as well as the associated maintenance contracts that accompany each installation. The average revenue and gross margin per IMAX System under sale and sales-type lease arrangements varies depending upon the number of IMAX System commitments with a single respective exhibitor, an exhibitor’s location, the type of system sold and various other factors. The installation of IMAX Systems in theaters or multiplexes, which make up a large portion of the Company’s system backlog, depends primarily on the timing of the construction of those projects, which is not under the Company’s control.</w:t>
      </w:r>
    </w:p>
    <w:p>
      <w:pPr>
        <w:spacing w:after="0" w:line="147"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IMAX Systems installed and the associated revenue recognized at that time, except for traditional JRSA as revenue is recognized over the lease term, during the three months ended March 31, 2024 and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240" w:type="dxa"/>
            <w:vAlign w:val="bottom"/>
            <w:tcBorders>
              <w:bottom w:val="single" w:sz="8" w:color="auto"/>
            </w:tcBorders>
          </w:tcPr>
          <w:p>
            <w:pPr>
              <w:spacing w:after="0"/>
              <w:rPr>
                <w:sz w:val="16"/>
                <w:szCs w:val="16"/>
                <w:color w:val="auto"/>
              </w:rPr>
            </w:pPr>
          </w:p>
        </w:tc>
      </w:tr>
      <w:tr>
        <w:trPr>
          <w:trHeight w:val="183"/>
        </w:trPr>
        <w:tc>
          <w:tcPr>
            <w:tcW w:w="574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40" w:type="dxa"/>
            <w:vAlign w:val="bottom"/>
          </w:tcPr>
          <w:p>
            <w:pPr>
              <w:spacing w:after="0"/>
              <w:rPr>
                <w:sz w:val="15"/>
                <w:szCs w:val="15"/>
                <w:color w:val="auto"/>
              </w:rPr>
            </w:pPr>
          </w:p>
        </w:tc>
      </w:tr>
      <w:tr>
        <w:trPr>
          <w:trHeight w:val="131"/>
        </w:trPr>
        <w:tc>
          <w:tcPr>
            <w:tcW w:w="5740" w:type="dxa"/>
            <w:vAlign w:val="bottom"/>
          </w:tcPr>
          <w:p>
            <w:pPr>
              <w:spacing w:after="0"/>
              <w:rPr>
                <w:sz w:val="11"/>
                <w:szCs w:val="11"/>
                <w:color w:val="auto"/>
              </w:rPr>
            </w:pPr>
          </w:p>
        </w:tc>
        <w:tc>
          <w:tcPr>
            <w:tcW w:w="1460" w:type="dxa"/>
            <w:vAlign w:val="bottom"/>
            <w:tcBorders>
              <w:top w:val="single" w:sz="8" w:color="auto"/>
            </w:tcBorders>
            <w:gridSpan w:val="2"/>
          </w:tcPr>
          <w:p>
            <w:pPr>
              <w:jc w:val="right"/>
              <w:ind w:right="52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Borders>
              <w:top w:val="single" w:sz="8" w:color="auto"/>
            </w:tcBorders>
            <w:gridSpan w:val="2"/>
          </w:tcPr>
          <w:p>
            <w:pPr>
              <w:jc w:val="right"/>
              <w:ind w:right="50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40" w:type="dxa"/>
            <w:vAlign w:val="bottom"/>
            <w:tcBorders>
              <w:top w:val="single" w:sz="8" w:color="auto"/>
            </w:tcBorders>
          </w:tcPr>
          <w:p>
            <w:pPr>
              <w:spacing w:after="0"/>
              <w:rPr>
                <w:sz w:val="11"/>
                <w:szCs w:val="11"/>
                <w:color w:val="auto"/>
              </w:rPr>
            </w:pPr>
          </w:p>
        </w:tc>
      </w:tr>
      <w:tr>
        <w:trPr>
          <w:trHeight w:val="187"/>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number of systems)</w:t>
            </w:r>
          </w:p>
        </w:tc>
        <w:tc>
          <w:tcPr>
            <w:tcW w:w="13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140" w:type="dxa"/>
            <w:vAlign w:val="bottom"/>
          </w:tcPr>
          <w:p>
            <w:pPr>
              <w:spacing w:after="0"/>
              <w:rPr>
                <w:sz w:val="16"/>
                <w:szCs w:val="16"/>
                <w:color w:val="auto"/>
              </w:rPr>
            </w:pPr>
          </w:p>
        </w:tc>
        <w:tc>
          <w:tcPr>
            <w:tcW w:w="12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Revenue</w:t>
            </w:r>
          </w:p>
        </w:tc>
      </w:tr>
      <w:tr>
        <w:trPr>
          <w:trHeight w:val="23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New IMAX Systems</w:t>
            </w:r>
          </w:p>
        </w:tc>
        <w:tc>
          <w:tcPr>
            <w:tcW w:w="13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3,862</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6,627</w:t>
            </w:r>
          </w:p>
        </w:tc>
      </w:tr>
      <w:tr>
        <w:trPr>
          <w:trHeight w:val="23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Upgraded IMAX Systems</w:t>
            </w: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tcPr>
          <w:p>
            <w:pPr>
              <w:spacing w:after="0"/>
              <w:rPr>
                <w:sz w:val="20"/>
                <w:szCs w:val="20"/>
                <w:color w:val="auto"/>
              </w:rPr>
            </w:pP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1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1,339</w:t>
            </w:r>
          </w:p>
        </w:tc>
      </w:tr>
      <w:tr>
        <w:trPr>
          <w:trHeight w:val="277"/>
        </w:trPr>
        <w:tc>
          <w:tcPr>
            <w:tcW w:w="57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5,239</w:t>
            </w:r>
          </w:p>
        </w:tc>
        <w:tc>
          <w:tcPr>
            <w:tcW w:w="10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7,965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-24765</wp:posOffset>
            </wp:positionV>
            <wp:extent cx="8572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8572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685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6858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8572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8572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37"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Technology Products and Services segment revenue and gross margin decreased by $8.5 million, or 16%, and $6.3 million, or 21%, respectively, when compared to the same period in 2023, primarily driven by a lower level of systems recognized under sales arrangements, system renewals and after-market sales. In the first quarter of 2023, the Company recognized $7.9 million in revenue from the renewal of existing IMAX system arrangements and after-market sales of IMAX 3D glasses as compared to $2.5 million in the prior year comparative period.</w:t>
      </w:r>
    </w:p>
    <w:p>
      <w:pPr>
        <w:spacing w:after="0" w:line="153"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Also contributing to the lower level of revenue was a decrease of $1.5 million in rental revenues, resulting from lower GBO from systems under JRSA when compared to the same period in 2023. GBO from JRSA decreased $16.3 million in the first quarter of 2024 when compared to the 2023 comparative period, from $141.7 million to $125.4 million.</w:t>
      </w:r>
    </w:p>
    <w:p>
      <w:pPr>
        <w:spacing w:after="0" w:line="135"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The Technology Products and Services segment gross margin decrease of 21% during the three months ended March 31, 2024 as compared to 2023 was primarily due to the lower level of revenues, as described above.</w:t>
      </w:r>
    </w:p>
    <w:p>
      <w:pPr>
        <w:spacing w:after="0" w:line="1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All Other</w:t>
      </w:r>
    </w:p>
    <w:p>
      <w:pPr>
        <w:spacing w:after="0" w:line="202"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All Other revenue and gross margin decreased by $1.2 million and $0.9 million, respectively, when compared to the same period in 2023, principally due to the timing of contract renewals and revenues earned by the Company's Streaming and Consumer Technology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Selling, General and Administrative Expenses for the three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2023:</w:t>
      </w:r>
    </w:p>
    <w:p>
      <w:pPr>
        <w:sectPr>
          <w:pgSz w:w="11900" w:h="16838" w:orient="portrait"/>
          <w:cols w:equalWidth="0" w:num="1">
            <w:col w:w="11300"/>
          </w:cols>
          <w:pgMar w:left="320" w:top="144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p>
      <w:pPr>
        <w:spacing w:after="0" w:line="29" w:lineRule="exact"/>
        <w:rPr>
          <w:sz w:val="20"/>
          <w:szCs w:val="20"/>
          <w:color w:val="auto"/>
        </w:rPr>
      </w:pPr>
    </w:p>
    <w:p>
      <w:pPr>
        <w:ind w:left="20" w:right="800"/>
        <w:spacing w:after="0" w:line="254" w:lineRule="auto"/>
        <w:rPr>
          <w:sz w:val="20"/>
          <w:szCs w:val="20"/>
          <w:color w:val="auto"/>
        </w:rPr>
      </w:pPr>
      <w:r>
        <w:rPr>
          <w:rFonts w:ascii="Times New Roman" w:cs="Times New Roman" w:eastAsia="Times New Roman" w:hAnsi="Times New Roman"/>
          <w:sz w:val="18"/>
          <w:szCs w:val="18"/>
          <w:color w:val="auto"/>
        </w:rPr>
        <w:t>Total selling, general and administrative expenses Less: Share-based compensation</w:t>
      </w:r>
      <w:r>
        <w:rPr>
          <w:rFonts w:ascii="Times New Roman" w:cs="Times New Roman" w:eastAsia="Times New Roman" w:hAnsi="Times New Roman"/>
          <w:sz w:val="24"/>
          <w:szCs w:val="24"/>
          <w:color w:val="auto"/>
          <w:vertAlign w:val="superscript"/>
        </w:rPr>
        <w:t>(1)</w:t>
      </w:r>
    </w:p>
    <w:p>
      <w:pPr>
        <w:ind w:left="20"/>
        <w:spacing w:after="0" w:line="248" w:lineRule="auto"/>
        <w:rPr>
          <w:sz w:val="20"/>
          <w:szCs w:val="20"/>
          <w:color w:val="auto"/>
        </w:rPr>
      </w:pPr>
      <w:r>
        <w:rPr>
          <w:rFonts w:ascii="Times New Roman" w:cs="Times New Roman" w:eastAsia="Times New Roman" w:hAnsi="Times New Roman"/>
          <w:sz w:val="18"/>
          <w:szCs w:val="18"/>
          <w:color w:val="auto"/>
        </w:rPr>
        <w:t>Total selling, general and administrative expenses, excluding share-based compensation</w:t>
      </w:r>
      <w:r>
        <w:rPr>
          <w:rFonts w:ascii="Times New Roman" w:cs="Times New Roman" w:eastAsia="Times New Roman" w:hAnsi="Times New Roman"/>
          <w:sz w:val="24"/>
          <w:szCs w:val="24"/>
          <w:color w:val="auto"/>
          <w:vertAlign w:val="superscript"/>
        </w:rPr>
        <w:t>(2)</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387477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87477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5"/>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As a percentage of revenue</w:t>
            </w:r>
          </w:p>
        </w:tc>
      </w:tr>
      <w:tr>
        <w:trPr>
          <w:trHeight w:val="210"/>
        </w:trPr>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8"/>
                <w:szCs w:val="18"/>
                <w:color w:val="auto"/>
              </w:rPr>
            </w:pPr>
          </w:p>
        </w:tc>
      </w:tr>
      <w:tr>
        <w:trPr>
          <w:trHeight w:val="228"/>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31,257</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34,148</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52"/>
        </w:trPr>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(859 )</w:t>
            </w:r>
          </w:p>
        </w:tc>
        <w:tc>
          <w:tcPr>
            <w:tcW w:w="260" w:type="dxa"/>
            <w:vAlign w:val="bottom"/>
          </w:tcPr>
          <w:p>
            <w:pPr>
              <w:spacing w:after="0"/>
              <w:rPr>
                <w:sz w:val="21"/>
                <w:szCs w:val="21"/>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(17 %)</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
        </w:trPr>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gridSpan w:val="3"/>
            <w:shd w:val="clear" w:color="auto" w:fill="000000"/>
          </w:tcPr>
          <w:p>
            <w:pPr>
              <w:spacing w:after="0"/>
              <w:rPr>
                <w:sz w:val="2"/>
                <w:szCs w:val="2"/>
                <w:color w:val="auto"/>
              </w:rPr>
            </w:pPr>
          </w:p>
        </w:tc>
        <w:tc>
          <w:tcPr>
            <w:tcW w:w="1200" w:type="dxa"/>
            <w:vAlign w:val="bottom"/>
            <w:gridSpan w:val="3"/>
          </w:tcPr>
          <w:p>
            <w:pPr>
              <w:spacing w:after="0"/>
              <w:rPr>
                <w:sz w:val="2"/>
                <w:szCs w:val="2"/>
                <w:color w:val="auto"/>
              </w:rPr>
            </w:pPr>
          </w:p>
        </w:tc>
        <w:tc>
          <w:tcPr>
            <w:tcW w:w="800" w:type="dxa"/>
            <w:vAlign w:val="bottom"/>
            <w:gridSpan w:val="2"/>
          </w:tcPr>
          <w:p>
            <w:pPr>
              <w:spacing w:after="0"/>
              <w:rPr>
                <w:sz w:val="2"/>
                <w:szCs w:val="2"/>
                <w:color w:val="auto"/>
              </w:rPr>
            </w:pPr>
          </w:p>
        </w:tc>
      </w:tr>
      <w:tr>
        <w:trPr>
          <w:trHeight w:val="405"/>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26,920</w:t>
            </w:r>
          </w:p>
        </w:tc>
        <w:tc>
          <w:tcPr>
            <w:tcW w:w="24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28,952</w:t>
            </w:r>
          </w:p>
        </w:tc>
        <w:tc>
          <w:tcPr>
            <w:tcW w:w="24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(2,032 )</w:t>
            </w:r>
          </w:p>
        </w:tc>
        <w:tc>
          <w:tcPr>
            <w:tcW w:w="260" w:type="dxa"/>
            <w:vAlign w:val="bottom"/>
          </w:tcPr>
          <w:p>
            <w:pPr>
              <w:spacing w:after="0"/>
              <w:rPr>
                <w:sz w:val="24"/>
                <w:szCs w:val="24"/>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(7 %)</w:t>
            </w: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34 %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-607695</wp:posOffset>
            </wp:positionV>
            <wp:extent cx="7132320" cy="15430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-290830</wp:posOffset>
            </wp:positionV>
            <wp:extent cx="7132320" cy="29146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4400" w:space="620"/>
            <w:col w:w="6280"/>
          </w:cols>
          <w:pgMar w:left="320" w:top="1440" w:right="279" w:bottom="1440" w:gutter="0" w:footer="0" w:header="0"/>
          <w:type w:val="continuous"/>
        </w:sectPr>
      </w:pPr>
    </w:p>
    <w:p>
      <w:pPr>
        <w:ind w:left="520" w:right="6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total share-based compensation expense is also recognized within Costs and Expenses Applicable to Revenues, Research and Development. See Note 11(a) of Notes to Condensed Consolidated Financial Statements in Part I, Item 1.</w:t>
      </w:r>
    </w:p>
    <w:p>
      <w:pPr>
        <w:spacing w:after="0" w:line="53" w:lineRule="exact"/>
        <w:rPr>
          <w:rFonts w:ascii="Times New Roman" w:cs="Times New Roman" w:eastAsia="Times New Roman" w:hAnsi="Times New Roman"/>
          <w:sz w:val="18"/>
          <w:szCs w:val="18"/>
          <w:color w:val="auto"/>
        </w:rPr>
      </w:pPr>
    </w:p>
    <w:p>
      <w:pPr>
        <w:ind w:left="520" w:right="6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“Non-GAAP Financial Measures” for a description of this non-GAAP financial measure and a reconciliation to the most comparable GAAP amount.</w:t>
      </w:r>
    </w:p>
    <w:p>
      <w:pPr>
        <w:spacing w:after="0" w:line="135" w:lineRule="exact"/>
        <w:rPr>
          <w:sz w:val="20"/>
          <w:szCs w:val="20"/>
          <w:color w:val="auto"/>
        </w:rPr>
      </w:pPr>
    </w:p>
    <w:p>
      <w:pPr>
        <w:jc w:val="both"/>
        <w:ind w:right="60" w:firstLine="224"/>
        <w:spacing w:after="0" w:line="282" w:lineRule="auto"/>
        <w:rPr>
          <w:sz w:val="20"/>
          <w:szCs w:val="20"/>
          <w:color w:val="auto"/>
        </w:rPr>
      </w:pPr>
      <w:r>
        <w:rPr>
          <w:rFonts w:ascii="Times New Roman" w:cs="Times New Roman" w:eastAsia="Times New Roman" w:hAnsi="Times New Roman"/>
          <w:sz w:val="18"/>
          <w:szCs w:val="18"/>
          <w:color w:val="auto"/>
        </w:rPr>
        <w:t>For the first quarter of 2024, the lower level of Selling, General and Administrative Expenses experienced over the prior year period reflects timing differences for marketing expenses and management’s continued focus on cost discipline.</w:t>
      </w:r>
    </w:p>
    <w:p>
      <w:pPr>
        <w:spacing w:after="0" w:line="1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89" w:lineRule="exact"/>
        <w:rPr>
          <w:sz w:val="20"/>
          <w:szCs w:val="20"/>
          <w:color w:val="auto"/>
        </w:rPr>
      </w:pPr>
    </w:p>
    <w:p>
      <w:pPr>
        <w:jc w:val="both"/>
        <w:ind w:right="60" w:firstLine="224"/>
        <w:spacing w:after="0" w:line="256" w:lineRule="auto"/>
        <w:rPr>
          <w:sz w:val="20"/>
          <w:szCs w:val="20"/>
          <w:color w:val="auto"/>
        </w:rPr>
      </w:pPr>
      <w:r>
        <w:rPr>
          <w:rFonts w:ascii="Times New Roman" w:cs="Times New Roman" w:eastAsia="Times New Roman" w:hAnsi="Times New Roman"/>
          <w:sz w:val="18"/>
          <w:szCs w:val="18"/>
          <w:color w:val="auto"/>
        </w:rPr>
        <w:t>The Company believes that it is a premier global technology platform for awe-inspiring entertainment and events with significant proprietary expertise in digital and film-based projection and sound system component design, engineering, and imaging technology, particularly in laser-based technology. A significant portion of the Company’s research and development efforts have been focused on the IMAX Laser Systems, which the Company believes is capable of illuminating the largest screens in the IMAX network and provides greater brightness and clarity, higher contrast, a wider color gamut and deeper blacks, while consuming less power and lasting longer than existing digital technology. The Company has continued research and development aimed at creating more affordable laser-based solutions with various screen sizes for its commercial multiplex customers.</w:t>
      </w:r>
    </w:p>
    <w:p>
      <w:pPr>
        <w:spacing w:after="0" w:line="160" w:lineRule="exact"/>
        <w:rPr>
          <w:sz w:val="20"/>
          <w:szCs w:val="20"/>
          <w:color w:val="auto"/>
        </w:rPr>
      </w:pPr>
    </w:p>
    <w:p>
      <w:pPr>
        <w:jc w:val="both"/>
        <w:ind w:right="60" w:firstLine="2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Research and Development expenses were $2.2 million, representing an increase of $0.3 million, or 18%, when compared to $1.9 million to the same period in 2023. The current period expenses include $0.5 million related to Streaming and Consumer Technology activities and $0.8 million related to developing new IMAX film cameras.</w:t>
      </w:r>
    </w:p>
    <w:p>
      <w:pPr>
        <w:spacing w:after="0" w:line="135" w:lineRule="exact"/>
        <w:rPr>
          <w:sz w:val="20"/>
          <w:szCs w:val="20"/>
          <w:color w:val="auto"/>
        </w:rPr>
      </w:pPr>
    </w:p>
    <w:p>
      <w:pPr>
        <w:jc w:val="both"/>
        <w:ind w:right="60" w:firstLine="224"/>
        <w:spacing w:after="0" w:line="254" w:lineRule="auto"/>
        <w:rPr>
          <w:sz w:val="20"/>
          <w:szCs w:val="20"/>
          <w:color w:val="auto"/>
        </w:rPr>
      </w:pPr>
      <w:r>
        <w:rPr>
          <w:rFonts w:ascii="Times New Roman" w:cs="Times New Roman" w:eastAsia="Times New Roman" w:hAnsi="Times New Roman"/>
          <w:sz w:val="18"/>
          <w:szCs w:val="18"/>
          <w:color w:val="auto"/>
        </w:rPr>
        <w:t>The Company intends to continue research and development to further evolve its end-to-end technology. This includes bringing connectivity to the Company’s global network to support live and interactive events worldwide; developing new IMAX film cameras and certifying additional digital cameras; further improving its proprietary film remastering and distribution process for the delivery of content for both theatrical (including local language content) and home entertainment; and further improving the reliability of its projectors, as well as enhancing the Company’s image and sound quality. Within the Company’s Streaming and Consumer Technology business, there is ongoing research and development in perceptual metrics involving novel measurement and optimization techniques. Investments are also being made to expand existing and/or develop new technologies which are expected to further enhance video quality, delivery, and creation across devices. Furthermore, the Company intends to invest in activities that will capture opportunities to create/build AI and automation into its operations and processes.</w:t>
      </w:r>
    </w:p>
    <w:p>
      <w:pPr>
        <w:spacing w:after="0" w:line="1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Credit Loss Expense, Net</w:t>
      </w:r>
    </w:p>
    <w:p>
      <w:pPr>
        <w:spacing w:after="0" w:line="202" w:lineRule="exact"/>
        <w:rPr>
          <w:sz w:val="20"/>
          <w:szCs w:val="20"/>
          <w:color w:val="auto"/>
        </w:rPr>
      </w:pPr>
    </w:p>
    <w:p>
      <w:pPr>
        <w:jc w:val="both"/>
        <w:ind w:right="60" w:firstLine="2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the Company recorded current expected credit losses of less than $0.1 million, as compared to credit losses of $0.2 million recognized in the same period in 2023.</w:t>
      </w:r>
    </w:p>
    <w:p>
      <w:pPr>
        <w:spacing w:after="0" w:line="3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40" w:right="279" w:bottom="1440" w:gutter="0" w:footer="0" w:header="0"/>
          <w:type w:val="continuous"/>
        </w:sectPr>
      </w:pPr>
    </w:p>
    <w:bookmarkStart w:id="55" w:name="page56"/>
    <w:bookmarkEnd w:id="55"/>
    <w:p>
      <w:pPr>
        <w:spacing w:after="0" w:line="5"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Management’s judgments regarding expected credit losses are based on the facts available to management at the time that the Condensed Consolidated Financial Statements are prepared and involve estimates about the future. As a result, the Company’s judgments and associated estimates of credit losses may ultimately prove, with the benefit of hindsight, to be incorrect. See Note 3 of Notes to Condensed Consolidated Financial Statements in Part I, Item 1.</w:t>
      </w:r>
    </w:p>
    <w:p>
      <w:pPr>
        <w:spacing w:after="0" w:line="1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8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interest expense was $1.9 million, representing an increase of $0.2 million, or 10% when compared to interest expense of $1.8 million in the same period in 2023. The increase is primarily due to the $69.0 million borrowed under the revolving credit facilities during the three months ended March 31, 2024 with an effective interest rate of 6.93%, compared to $32.5 million borrowed under the revolving credit facilities with an effective interest rate of 6.53% during the same period in 2023.</w:t>
      </w:r>
    </w:p>
    <w:p>
      <w:pPr>
        <w:spacing w:after="0" w:line="14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2024, the Company recorded income tax expense of $5.2 million (2023 — $4.9 million). The Company’s effective tax rate of 48.8% for the three months ended March 31, 2024 is comparable to the same quarter in 2023. The Company’s effective tax rate for the three months ended March 31, 2024 differs from the Canadian statutory tax rate of 26.5%, primarily due to tax rate differences in foreign jurisdictions which was offset by an increase in the valuation allowance from continuing operations, withholding taxes and a shortfall in tax benefits related to share-based compensation. The Company’s effective tax rate of 48.8% for the three months ended March 31, 2023 differs from the Canadian statutory rate of 26.5% primarily due to tax rate differences in foreign jurisdictions which was offset by an increase in the valuation allowance and withholding taxes. See Note 10 of Notes to Condensed Consolidated Financial Statements in Part I, Item 1.</w:t>
      </w:r>
    </w:p>
    <w:p>
      <w:pPr>
        <w:spacing w:after="0" w:line="1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8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Company’s Condensed Consolidated Financial Statements include the non-controlling interest in the net income of IMAX China, as well as the impact of non-controlling interests in the activity of its Original Film Fund subsidiary. For the three months ended March 31, 2024, the net income attributable to non-controlling interests of the Company’s subsidiaries was $2.1 million, a decrease of $0.5 million, when compared to the same period in 2023.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FOR THE THREE MONTHS ENDED MARCH 31, 2024 AND 2023</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87"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net cash used in or provided by the Company’s operating activities is affected by a number of factors, including: (i) the timing of cash collections from customers in respect of existing IMAX System sale and lease agreements, (ii) the amount of upfront payments collected in respect of IMAX System sale and lease agreements in backlog, (iii) the box-office performance of films distributed by the Company and/or released to IMAX locations, (iv) the level of inventory purchases, and (v) the level of the Company’s operating expenses, including expenses for research and development and new business initiatives.</w:t>
      </w:r>
    </w:p>
    <w:p>
      <w:pPr>
        <w:spacing w:after="0" w:line="156" w:lineRule="exact"/>
        <w:rPr>
          <w:sz w:val="20"/>
          <w:szCs w:val="20"/>
          <w:color w:val="auto"/>
        </w:rPr>
      </w:pPr>
    </w:p>
    <w:p>
      <w:pPr>
        <w:jc w:val="both"/>
        <w:ind w:firstLine="224"/>
        <w:spacing w:after="0" w:line="274" w:lineRule="auto"/>
        <w:rPr>
          <w:sz w:val="20"/>
          <w:szCs w:val="20"/>
          <w:color w:val="auto"/>
        </w:rPr>
      </w:pPr>
      <w:r>
        <w:rPr>
          <w:rFonts w:ascii="Times New Roman" w:cs="Times New Roman" w:eastAsia="Times New Roman" w:hAnsi="Times New Roman"/>
          <w:sz w:val="17"/>
          <w:szCs w:val="17"/>
          <w:color w:val="auto"/>
        </w:rPr>
        <w:t xml:space="preserve">For the three months ended March 31, 2024, net cash used in the Company’s operating activities totaled $11.0 million, as compared to net cash provided by operating activities of $21.2 million in the same period in 2023, a decrease of $32.2 million. The main driver of the year over year decline in operating cash flow is a delay in the timing of box office and related collections. The first quarter of 2023 operating cash flows benefited from strong box office at the end of 2022 and in early 2023 driven by the film slate, which included </w:t>
      </w:r>
      <w:r>
        <w:rPr>
          <w:rFonts w:ascii="Times New Roman" w:cs="Times New Roman" w:eastAsia="Times New Roman" w:hAnsi="Times New Roman"/>
          <w:sz w:val="17"/>
          <w:szCs w:val="17"/>
          <w:i w:val="1"/>
          <w:iCs w:val="1"/>
          <w:color w:val="auto"/>
        </w:rPr>
        <w:t>Avatar: The Way of Water</w:t>
      </w:r>
      <w:r>
        <w:rPr>
          <w:rFonts w:ascii="Times New Roman" w:cs="Times New Roman" w:eastAsia="Times New Roman" w:hAnsi="Times New Roman"/>
          <w:sz w:val="17"/>
          <w:szCs w:val="17"/>
          <w:color w:val="auto"/>
        </w:rPr>
        <w:t>, as well as the strong January IMAX Chinese New Year box office. In comparison, the first quarter of 2024 operating cash flows were negatively impacted as the Company experienced lower levels of box office in the fourth quarter 2023, and early 2024 (January and February) due to the weaker film slate stemming from the Hollywood Actors and Writers strikes.</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net cash used in investing activities totaled $7.1 million, as compared to $4.3 million in the same period in 2023. For the three months ended March 31, 2024, the net cash used in investing activities is primarily driven by $4.4 million invested in equipment to be used in the Company’s joint revenue sharing arrangements with exhibitor customers, $1.1 million in purchases of property, plant and equipment, and $1.6 million of intangible assets acquired, principally related to the purchase or continued development of internal use software.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5" w:lineRule="exact"/>
        <w:rPr>
          <w:sz w:val="20"/>
          <w:szCs w:val="20"/>
          <w:color w:val="auto"/>
        </w:rPr>
      </w:pPr>
    </w:p>
    <w:p>
      <w:pPr>
        <w:jc w:val="both"/>
        <w:ind w:firstLine="273"/>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2023, the net cash used by investing activities was primarily driven by $2.2 million invested in equipment to be used in the Company’s joint revenue sharing arrangements with exhibitor customers, $0.4 million in purchases of property, plant and equipment, and $1.8 million of intangible assets acquired, principally related to the purchase or continued development of internal use software.</w:t>
      </w:r>
    </w:p>
    <w:p>
      <w:pPr>
        <w:spacing w:after="0" w:line="135" w:lineRule="exact"/>
        <w:rPr>
          <w:sz w:val="20"/>
          <w:szCs w:val="20"/>
          <w:color w:val="auto"/>
        </w:rPr>
      </w:pPr>
    </w:p>
    <w:p>
      <w:pPr>
        <w:jc w:val="both"/>
        <w:ind w:right="20" w:firstLine="223"/>
        <w:spacing w:after="0" w:line="282" w:lineRule="auto"/>
        <w:rPr>
          <w:sz w:val="20"/>
          <w:szCs w:val="20"/>
          <w:color w:val="auto"/>
        </w:rPr>
      </w:pPr>
      <w:r>
        <w:rPr>
          <w:rFonts w:ascii="Times New Roman" w:cs="Times New Roman" w:eastAsia="Times New Roman" w:hAnsi="Times New Roman"/>
          <w:sz w:val="18"/>
          <w:szCs w:val="18"/>
          <w:color w:val="auto"/>
        </w:rPr>
        <w:t>Based on management’s current operating plan for 2024, the Company expects to continue to use cash to deploy additional IMAX Systems under joint revenue sharing arrangements.</w:t>
      </w:r>
    </w:p>
    <w:p>
      <w:pPr>
        <w:spacing w:after="0" w:line="121"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Capital expenditures, including the Company’s investment in joint revenue sharing arrangements, the purchase of property, plant and equipment, the acquisition of other intangible assets, and investments in films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were $12.1 million for the three months ended March 31, 2024, as compared to $8.2 million for the three months ended March 31, 2023. The Company expects its investment in joint revenue sharing arrangements to be more heavily weighted toward the remainder of the year which aligns with the historical seasonality of system installations.</w:t>
      </w:r>
    </w:p>
    <w:p>
      <w:pPr>
        <w:spacing w:after="0" w:line="1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net cash provided by financing activities totaled $22.8 million, as compared to $15.0 million used in financing activities in the same period in 2023. For the three months ended March 31, 2024, the net cash provided by financing activities is principally due to $45.0 million in borrowings on the Company’s revolving credit facility, partially offset by $17.9 million used to repurchase common shares of the Company and $4.2 million in taxes withheld and paid on vested employee stock awards.</w:t>
      </w:r>
    </w:p>
    <w:p>
      <w:pPr>
        <w:spacing w:after="0" w:line="139"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2023, net cash used in financing activities was principally due to $5.5 million in net repayments of revolving credit facility borrowings, $3.7 million used to repurchase common shares of the Company, and $6.2 million in taxes withheld and paid on vested employee stock awards.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jc w:val="both"/>
        <w:ind w:firstLine="223"/>
        <w:spacing w:after="0" w:line="256" w:lineRule="auto"/>
        <w:rPr>
          <w:sz w:val="20"/>
          <w:szCs w:val="20"/>
          <w:color w:val="auto"/>
        </w:rPr>
      </w:pPr>
      <w:r>
        <w:rPr>
          <w:rFonts w:ascii="Times New Roman" w:cs="Times New Roman" w:eastAsia="Times New Roman" w:hAnsi="Times New Roman"/>
          <w:sz w:val="18"/>
          <w:szCs w:val="18"/>
          <w:color w:val="auto"/>
        </w:rPr>
        <w:t>As of March 31, 2024, the Company’s principal sources of liquidity included: (i) its balances of cash and cash equivalents of $81.0 million; (ii) the anticipated collection of trade accounts receivable, which includes amounts owed under JRSA arrangements and film remastering and distribution agreements with movie studios; (iii) the anticipated collection of financing receivables due in the next 12 months under sale and sales-type lease arrangements for systems currently in operation; and (iv) installment payments expected in the next 12 months under sale and sales-type lease arrangements in backlog. Under the terms of the Company’s typical sale and sales-type lease agreements, the Company receives substantial cash payments before it completes the performance of its contractual obligations.</w:t>
      </w:r>
    </w:p>
    <w:p>
      <w:pPr>
        <w:spacing w:after="0" w:line="147" w:lineRule="exact"/>
        <w:rPr>
          <w:sz w:val="20"/>
          <w:szCs w:val="20"/>
          <w:color w:val="auto"/>
        </w:rPr>
      </w:pPr>
    </w:p>
    <w:p>
      <w:pPr>
        <w:jc w:val="both"/>
        <w:ind w:firstLine="223"/>
        <w:spacing w:after="0" w:line="256" w:lineRule="auto"/>
        <w:rPr>
          <w:sz w:val="20"/>
          <w:szCs w:val="20"/>
          <w:color w:val="auto"/>
        </w:rPr>
      </w:pPr>
      <w:r>
        <w:rPr>
          <w:rFonts w:ascii="Times New Roman" w:cs="Times New Roman" w:eastAsia="Times New Roman" w:hAnsi="Times New Roman"/>
          <w:sz w:val="18"/>
          <w:szCs w:val="18"/>
          <w:color w:val="auto"/>
        </w:rPr>
        <w:t>In addition, as of March 31, 2024, the Company had $231.0 million in available borrowing capacity under its Sixth Amended and Restated Credit Agreement with Wells Fargo Bank, National Association (the “Credit Agreement”), $26.8 million in available borrowing capacity under the IMAX (Shanghai) Multimedia Technology Co., Ltd. (“IMAX Shanghai”) revolving credit facility with the Bank of China (the “Bank of China Facility”), and $28.2 million in available borrowing capacity under IMAX Shanghai’s revolving credit facility with HSBC Bank (China) Company Limited, Shanghai Branch (the “HSBC China Facility”). See Note 6(a) of Notes to Condensed Consolidated Financial Statements in Part 1, Item 1 for a description of the material terms of the Credit Agreement, the Bank of China Facility, and the HSBC Facility.</w:t>
      </w:r>
    </w:p>
    <w:p>
      <w:pPr>
        <w:spacing w:after="0" w:line="160" w:lineRule="exact"/>
        <w:rPr>
          <w:sz w:val="20"/>
          <w:szCs w:val="20"/>
          <w:color w:val="auto"/>
        </w:rPr>
      </w:pPr>
    </w:p>
    <w:p>
      <w:pPr>
        <w:jc w:val="both"/>
        <w:ind w:firstLine="223"/>
        <w:spacing w:after="0" w:line="254" w:lineRule="auto"/>
        <w:rPr>
          <w:sz w:val="20"/>
          <w:szCs w:val="20"/>
          <w:color w:val="auto"/>
        </w:rPr>
      </w:pPr>
      <w:r>
        <w:rPr>
          <w:rFonts w:ascii="Times New Roman" w:cs="Times New Roman" w:eastAsia="Times New Roman" w:hAnsi="Times New Roman"/>
          <w:sz w:val="18"/>
          <w:szCs w:val="18"/>
          <w:color w:val="auto"/>
        </w:rPr>
        <w:t>The Company’s $81.0 million balance of cash and cash equivalents as of March 31, 2024 (December 31, 2023 — $76.2 million) includes $70.3 million in cash held outside of Canada (December 31, 2023 — $68.5 million) of which $31.8 million was held in the People’s Republic of China (the “PRC”) (December 31, 2023 — $30.0 million). Management reassessed its strategy with respect to the most efficient means of deploying the Company’s capital resources globally and determined that historical earnings of certain foreign subsidiaries in excess of amounts required to sustain business operations would no longer be indefinitely reinvested. During the three-months ended March 31, 2024 and 2023, no historical earnings were distributed from a subsidiary in the PRC and no foreign withholding taxes were paid to the relevant tax authorities. As of March 31, 2024, the Company’s Condensed Consolidated Balance Sheets include a deferred tax liability of $12.5 million for the applicable foreign withholding taxes associated with the remaining balance of unrepatriated historical earnings that will not be indefinitely reinvested outside of Canada. These taxes will become payable upon the repatriation of any such earnings.</w:t>
      </w:r>
    </w:p>
    <w:p>
      <w:pPr>
        <w:spacing w:after="0" w:line="148"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The Company forecasts its future cash flow and short-term liquidity requirements on an ongoing basis. These forecasts are based on estimates and may be materially impacted by factors that are outside of the Company’s control (including the factors described in “Risk Factors” in Part I, Item 1A of the Company’s 2023 Form 10-K. As a result, there is no guarantee that these forecasts will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come to fruition and that the Company will be able to fund its operations through cash flows from operations. In particular, the Company’s operating cash flows and cash balances will be adversely impacted if management’s projections of future signings and installations of IMAX Systems and box office performance of IMAX content are not realized.</w:t>
      </w:r>
    </w:p>
    <w:p>
      <w:pPr>
        <w:spacing w:after="0" w:line="135" w:lineRule="exact"/>
        <w:rPr>
          <w:sz w:val="20"/>
          <w:szCs w:val="20"/>
          <w:color w:val="auto"/>
        </w:rPr>
      </w:pPr>
    </w:p>
    <w:p>
      <w:pPr>
        <w:ind w:right="640" w:firstLine="223"/>
        <w:spacing w:after="0" w:line="282" w:lineRule="auto"/>
        <w:rPr>
          <w:sz w:val="20"/>
          <w:szCs w:val="20"/>
          <w:color w:val="auto"/>
        </w:rPr>
      </w:pPr>
      <w:r>
        <w:rPr>
          <w:rFonts w:ascii="Times New Roman" w:cs="Times New Roman" w:eastAsia="Times New Roman" w:hAnsi="Times New Roman"/>
          <w:sz w:val="18"/>
          <w:szCs w:val="18"/>
          <w:color w:val="auto"/>
        </w:rPr>
        <w:t>Based on the Company’s current cash balances and operating cash flows, management expects to have sufficient capital and liquidity to fund its anticipated operating needs and capital requirements during the next twelve-month period following the date of this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Payments to be made by the Company under contractual obligations as of March 31, 2024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31"/>
        </w:trPr>
        <w:tc>
          <w:tcPr>
            <w:tcW w:w="150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ind w:right="413"/>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114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Less Than One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87"/>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37"/>
        </w:trPr>
        <w:tc>
          <w:tcPr>
            <w:tcW w:w="5160" w:type="dxa"/>
            <w:vAlign w:val="bottom"/>
            <w:gridSpan w:val="2"/>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4"/>
                <w:szCs w:val="24"/>
                <w:color w:val="auto"/>
                <w:vertAlign w:val="superscript"/>
              </w:rPr>
              <w:t>(1)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32,638</w:t>
            </w:r>
          </w:p>
        </w:tc>
        <w:tc>
          <w:tcPr>
            <w:tcW w:w="3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30,760</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1,632</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239</w:t>
            </w:r>
          </w:p>
        </w:tc>
      </w:tr>
      <w:tr>
        <w:trPr>
          <w:trHeight w:val="243"/>
        </w:trPr>
        <w:tc>
          <w:tcPr>
            <w:tcW w:w="51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Pension obligations</w:t>
            </w:r>
            <w:r>
              <w:rPr>
                <w:rFonts w:ascii="Times New Roman" w:cs="Times New Roman" w:eastAsia="Times New Roman" w:hAnsi="Times New Roman"/>
                <w:sz w:val="24"/>
                <w:szCs w:val="24"/>
                <w:color w:val="auto"/>
                <w:vertAlign w:val="superscript"/>
              </w:rPr>
              <w:t>(2)</w:t>
            </w:r>
          </w:p>
        </w:tc>
        <w:tc>
          <w:tcPr>
            <w:tcW w:w="14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20,298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20,298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60" w:type="dxa"/>
            <w:vAlign w:val="bottom"/>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24"/>
                <w:szCs w:val="24"/>
                <w:color w:val="auto"/>
                <w:vertAlign w:val="superscript"/>
              </w:rPr>
              <w:t>(3)</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14,364</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1,998</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4,996</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4,941</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2,429</w:t>
            </w:r>
          </w:p>
        </w:tc>
      </w:tr>
      <w:tr>
        <w:trPr>
          <w:trHeight w:val="23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40" w:type="dxa"/>
            <w:vAlign w:val="bottom"/>
          </w:tcPr>
          <w:p>
            <w:pPr>
              <w:spacing w:after="0"/>
              <w:rPr>
                <w:sz w:val="20"/>
                <w:szCs w:val="20"/>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Wells Fargo Facility</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69,000</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69,000</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Federal Economic Development Loan</w:t>
            </w:r>
            <w:r>
              <w:rPr>
                <w:rFonts w:ascii="Times New Roman" w:cs="Times New Roman" w:eastAsia="Times New Roman" w:hAnsi="Times New Roman"/>
                <w:sz w:val="24"/>
                <w:szCs w:val="24"/>
                <w:color w:val="auto"/>
                <w:vertAlign w:val="superscript"/>
              </w:rPr>
              <w:t>(4)</w:t>
            </w:r>
          </w:p>
        </w:tc>
        <w:tc>
          <w:tcPr>
            <w:tcW w:w="14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2,962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60" w:type="dxa"/>
            <w:vAlign w:val="bottom"/>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Convertible Notes</w:t>
            </w:r>
            <w:r>
              <w:rPr>
                <w:rFonts w:ascii="Times New Roman" w:cs="Times New Roman" w:eastAsia="Times New Roman" w:hAnsi="Times New Roman"/>
                <w:sz w:val="24"/>
                <w:szCs w:val="24"/>
                <w:color w:val="auto"/>
                <w:vertAlign w:val="superscript"/>
              </w:rPr>
              <w:t>(5)</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231,726</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230,576</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Postretirement benefits obligations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2,384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1,858</w:t>
            </w:r>
          </w:p>
        </w:tc>
      </w:tr>
      <w:tr>
        <w:trPr>
          <w:trHeight w:val="276"/>
        </w:trPr>
        <w:tc>
          <w:tcPr>
            <w:tcW w:w="1500" w:type="dxa"/>
            <w:vAlign w:val="bottom"/>
            <w:shd w:val="clear" w:color="auto" w:fill="CFF0FC"/>
          </w:tcPr>
          <w:p>
            <w:pPr>
              <w:spacing w:after="0"/>
              <w:rPr>
                <w:sz w:val="24"/>
                <w:szCs w:val="24"/>
                <w:color w:val="auto"/>
              </w:rPr>
            </w:pPr>
          </w:p>
        </w:tc>
        <w:tc>
          <w:tcPr>
            <w:tcW w:w="366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373,880</w:t>
            </w:r>
          </w:p>
        </w:tc>
        <w:tc>
          <w:tcPr>
            <w:tcW w:w="3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104,470</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259,717</w:t>
            </w:r>
          </w:p>
        </w:tc>
        <w:tc>
          <w:tcPr>
            <w:tcW w:w="12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5,167</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4,526</w:t>
            </w:r>
          </w:p>
        </w:tc>
      </w:tr>
      <w:tr>
        <w:trPr>
          <w:trHeight w:val="120"/>
        </w:trPr>
        <w:tc>
          <w:tcPr>
            <w:tcW w:w="1500" w:type="dxa"/>
            <w:vAlign w:val="bottom"/>
            <w:tcBorders>
              <w:top w:val="single" w:sz="8" w:color="CFF0FC"/>
              <w:bottom w:val="single" w:sz="8" w:color="auto"/>
            </w:tcBorders>
          </w:tcPr>
          <w:p>
            <w:pPr>
              <w:spacing w:after="0"/>
              <w:rPr>
                <w:sz w:val="10"/>
                <w:szCs w:val="10"/>
                <w:color w:val="auto"/>
              </w:rPr>
            </w:pPr>
          </w:p>
        </w:tc>
        <w:tc>
          <w:tcPr>
            <w:tcW w:w="366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-119380</wp:posOffset>
            </wp:positionV>
            <wp:extent cx="7683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-102235</wp:posOffset>
            </wp:positionV>
            <wp:extent cx="7683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-119380</wp:posOffset>
            </wp:positionV>
            <wp:extent cx="7747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-102235</wp:posOffset>
            </wp:positionV>
            <wp:extent cx="7747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-119380</wp:posOffset>
            </wp:positionV>
            <wp:extent cx="6858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-102235</wp:posOffset>
            </wp:positionV>
            <wp:extent cx="6858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-119380</wp:posOffset>
            </wp:positionV>
            <wp:extent cx="685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-102235</wp:posOffset>
            </wp:positionV>
            <wp:extent cx="6858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1" w:lineRule="exact"/>
        <w:rPr>
          <w:sz w:val="20"/>
          <w:szCs w:val="20"/>
          <w:color w:val="auto"/>
        </w:rPr>
      </w:pPr>
    </w:p>
    <w:p>
      <w:pPr>
        <w:ind w:left="380" w:right="20" w:hanging="372"/>
        <w:spacing w:after="0" w:line="282"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total payments to be made under binding commitments with suppliers and outstanding payments to be made for supplies ordered, but yet to be invoiced.</w:t>
      </w:r>
    </w:p>
    <w:p>
      <w:pPr>
        <w:spacing w:after="0" w:line="121" w:lineRule="exact"/>
        <w:rPr>
          <w:rFonts w:ascii="Times New Roman" w:cs="Times New Roman" w:eastAsia="Times New Roman" w:hAnsi="Times New Roman"/>
          <w:sz w:val="18"/>
          <w:szCs w:val="18"/>
          <w:color w:val="auto"/>
        </w:rPr>
      </w:pPr>
    </w:p>
    <w:p>
      <w:pPr>
        <w:jc w:val="both"/>
        <w:ind w:left="380" w:hanging="372"/>
        <w:spacing w:after="0" w:line="258"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an unfunded defined benefit pension plan, the Supplemental Executive Retirement Plan (the “SERP”), covering its CEO, Mr. Richard L. Gelfond. The SERP has a fixed benefit payable of $20.3 million. The table above assumes that Mr. Gelfond will receive a lump sum payment of $20.3 million six months after retirement at the end of the term of his current employment agreement, which expires on December 31, 2025, in accordance with the terms of the SERP, although Mr. Gelfond has not informed the Company that he intends to retire at that time. See Note 14 of Notes to Condensed Consolidated Financial Statements in Part I, Item 1.</w:t>
      </w:r>
    </w:p>
    <w:p>
      <w:pPr>
        <w:spacing w:after="0" w:line="14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total minimum annual rental payments due under the Company’s operating leases.</w:t>
      </w:r>
    </w:p>
    <w:p>
      <w:pPr>
        <w:spacing w:after="0" w:line="198"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Economic Development Loan is repayable over 36 months beginning in January 2024. See Note 6(b) of Notes to Condensed Consolidated Financial Statements in Part I, Item 1.</w:t>
      </w:r>
    </w:p>
    <w:p>
      <w:pPr>
        <w:spacing w:after="0" w:line="12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Convertible Notes bear interest at a rate of 0.500% per annum on the principal of $230.0 million, payable semi-annually in arrears on April 1 and October 1 of each year. The Convertible Notes will mature on April 1, 2026, unless earlier repurchased, redeemed or converted. See Note 6(b) of Notes to Condensed Consolidated Financial Statements in Part I, Item 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firstLine="224"/>
        <w:spacing w:after="0" w:line="282" w:lineRule="auto"/>
        <w:rPr>
          <w:sz w:val="20"/>
          <w:szCs w:val="20"/>
          <w:color w:val="auto"/>
        </w:rPr>
      </w:pPr>
      <w:r>
        <w:rPr>
          <w:rFonts w:ascii="Times New Roman" w:cs="Times New Roman" w:eastAsia="Times New Roman" w:hAnsi="Times New Roman"/>
          <w:sz w:val="18"/>
          <w:szCs w:val="18"/>
          <w:color w:val="auto"/>
        </w:rPr>
        <w:t>There are currently no off-balance sheet arrangements that have or are reasonably likely to have a current or future material effect on the Company’s financial condition.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02"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accordance with U.S. GAAP requires management to make judgments, assumptions, and estimates that affect the amounts reported in the Company’s Condensed Consolidated Financial Statements and accompanying notes. Management’s judgments, assumptions, and estimates are based on historical experience, future expectations, and other factors that are believed to be reasonable as of the date of the Company’s Condensed Consolidated Financial Statements. Actual results may ultimately differ from the Company’s original estimates, as future events and circumstances sometimes do not develop as expected, and the differences may be material. For more information on the Company’s critical accounting estimates, refer to the section entitled “Critical Accounting Estimates” in Item 7 “Management’s Discussion and Analysis of Financial Condition and Results of Operations” of the 2023 Form 10-K.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See Note 2 of Notes to Condensed Consolidated Financial Statements in Part I, Item 1 for a discussion of recently issued accounting standards and their impact on the Company’s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In this report, the Company presents financial measures in accordance with U.S. GAAP and also on a non-U.S. GAAP basis under the SEC regulations.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the Company presents the following non-U.S GAAP financial measures as supplemental measures of its performance:</w:t>
      </w:r>
    </w:p>
    <w:p>
      <w:pPr>
        <w:spacing w:after="0" w:line="207" w:lineRule="exact"/>
        <w:rPr>
          <w:sz w:val="20"/>
          <w:szCs w:val="20"/>
          <w:color w:val="auto"/>
        </w:rPr>
      </w:pPr>
    </w:p>
    <w:p>
      <w:pPr>
        <w:ind w:left="600" w:hanging="368"/>
        <w:spacing w:after="0"/>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or loss attributable to common shareholders;</w:t>
      </w:r>
    </w:p>
    <w:p>
      <w:pPr>
        <w:spacing w:after="0" w:line="225" w:lineRule="exact"/>
        <w:rPr>
          <w:rFonts w:ascii="Times New Roman" w:cs="Times New Roman" w:eastAsia="Times New Roman" w:hAnsi="Times New Roman"/>
          <w:sz w:val="18"/>
          <w:szCs w:val="18"/>
          <w:color w:val="auto"/>
        </w:rPr>
      </w:pPr>
    </w:p>
    <w:p>
      <w:pPr>
        <w:ind w:left="600" w:hanging="368"/>
        <w:spacing w:after="0"/>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or loss attributable to common shareholders per basic and diluted share;</w:t>
      </w:r>
    </w:p>
    <w:p>
      <w:pPr>
        <w:spacing w:after="0" w:line="225" w:lineRule="exact"/>
        <w:rPr>
          <w:rFonts w:ascii="Times New Roman" w:cs="Times New Roman" w:eastAsia="Times New Roman" w:hAnsi="Times New Roman"/>
          <w:sz w:val="18"/>
          <w:szCs w:val="18"/>
          <w:color w:val="auto"/>
        </w:rPr>
      </w:pPr>
    </w:p>
    <w:p>
      <w:pPr>
        <w:ind w:left="600" w:hanging="368"/>
        <w:spacing w:after="0"/>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225" w:lineRule="exact"/>
        <w:rPr>
          <w:rFonts w:ascii="Times New Roman" w:cs="Times New Roman" w:eastAsia="Times New Roman" w:hAnsi="Times New Roman"/>
          <w:sz w:val="18"/>
          <w:szCs w:val="18"/>
          <w:color w:val="auto"/>
        </w:rPr>
      </w:pPr>
    </w:p>
    <w:p>
      <w:pPr>
        <w:ind w:left="600" w:hanging="368"/>
        <w:spacing w:after="0"/>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per Credit Facility; and</w:t>
      </w:r>
    </w:p>
    <w:p>
      <w:pPr>
        <w:spacing w:after="0" w:line="225" w:lineRule="exact"/>
        <w:rPr>
          <w:rFonts w:ascii="Times New Roman" w:cs="Times New Roman" w:eastAsia="Times New Roman" w:hAnsi="Times New Roman"/>
          <w:sz w:val="18"/>
          <w:szCs w:val="18"/>
          <w:color w:val="auto"/>
        </w:rPr>
      </w:pPr>
    </w:p>
    <w:p>
      <w:pPr>
        <w:ind w:left="600" w:hanging="368"/>
        <w:spacing w:after="0"/>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selling, general and administrative expenses, excluding share-based compensation (“Adjusted SG&amp;A”).</w:t>
      </w:r>
    </w:p>
    <w:p>
      <w:pPr>
        <w:spacing w:after="0" w:line="198" w:lineRule="exact"/>
        <w:rPr>
          <w:sz w:val="20"/>
          <w:szCs w:val="20"/>
          <w:color w:val="auto"/>
        </w:rPr>
      </w:pPr>
    </w:p>
    <w:p>
      <w:pPr>
        <w:jc w:val="both"/>
        <w:ind w:firstLine="224"/>
        <w:spacing w:after="0" w:line="266" w:lineRule="auto"/>
        <w:rPr>
          <w:sz w:val="20"/>
          <w:szCs w:val="20"/>
          <w:color w:val="auto"/>
        </w:rPr>
      </w:pPr>
      <w:r>
        <w:rPr>
          <w:rFonts w:ascii="Times New Roman" w:cs="Times New Roman" w:eastAsia="Times New Roman" w:hAnsi="Times New Roman"/>
          <w:sz w:val="18"/>
          <w:szCs w:val="18"/>
          <w:color w:val="auto"/>
        </w:rPr>
        <w:t>Adjusted net income or loss attributable to common shareholders and adjusted net income or loss attributable to common shareholders per basic and diluted share exclude, where applicable: (i) share-based compensation; (ii) realized and unrealized investment gains or losses; (iii) transaction-related expenses; and (iv) restructuring and executive transition costs, as well as the related tax impact of these adjustments.</w:t>
      </w:r>
    </w:p>
    <w:p>
      <w:pPr>
        <w:spacing w:after="0" w:line="135"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 xml:space="preserve">The Company believes that these non-U.S. GAAP financial measures are important supplemental measures that allow management and users of the Company’s financial statements to </w:t>
      </w:r>
      <w:r>
        <w:rPr>
          <w:rFonts w:ascii="Times New Roman" w:cs="Times New Roman" w:eastAsia="Times New Roman" w:hAnsi="Times New Roman"/>
          <w:sz w:val="18"/>
          <w:szCs w:val="18"/>
          <w:color w:val="212529"/>
        </w:rPr>
        <w:t>view operating trends and analyze controllable operating performance on a comparable basis between periods without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the after-tax impact of share-based compensation and </w:t>
      </w:r>
      <w:r>
        <w:rPr>
          <w:rFonts w:ascii="Times New Roman" w:cs="Times New Roman" w:eastAsia="Times New Roman" w:hAnsi="Times New Roman"/>
          <w:sz w:val="18"/>
          <w:szCs w:val="18"/>
          <w:color w:val="000000"/>
        </w:rPr>
        <w:t>certain unusual items included in net income or loss attributable to common shareholders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Although</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share-based compensation is an important aspect of the Company’s employee and executive compensation packages, it is a non-cash expense and is excluded from certain internal business performance measures.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9" w:name="page60"/>
    <w:bookmarkEnd w:id="59"/>
    <w:p>
      <w:pPr>
        <w:spacing w:after="0" w:line="5" w:lineRule="exact"/>
        <w:rPr>
          <w:sz w:val="20"/>
          <w:szCs w:val="20"/>
          <w:color w:val="auto"/>
        </w:rPr>
      </w:pPr>
    </w:p>
    <w:p>
      <w:pPr>
        <w:ind w:firstLine="224"/>
        <w:spacing w:after="0" w:line="282" w:lineRule="auto"/>
        <w:rPr>
          <w:sz w:val="20"/>
          <w:szCs w:val="20"/>
          <w:color w:val="auto"/>
        </w:rPr>
      </w:pPr>
      <w:r>
        <w:rPr>
          <w:rFonts w:ascii="Times New Roman" w:cs="Times New Roman" w:eastAsia="Times New Roman" w:hAnsi="Times New Roman"/>
          <w:sz w:val="18"/>
          <w:szCs w:val="18"/>
          <w:color w:val="auto"/>
        </w:rPr>
        <w:t>Reconciliations of net income attributable to common shareholders and the associated per share amounts to adjusted net income attributable to common shareholders and adjusted net income attributable to common shareholders per diluted share are presented in the tables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per share amounts)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6700" w:type="dxa"/>
            <w:vAlign w:val="bottom"/>
            <w:gridSpan w:val="2"/>
            <w:vMerge w:val="continue"/>
          </w:tcPr>
          <w:p>
            <w:pPr>
              <w:spacing w:after="0"/>
              <w:rPr>
                <w:sz w:val="11"/>
                <w:szCs w:val="11"/>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60" w:type="dxa"/>
            <w:vAlign w:val="bottom"/>
            <w:vMerge w:val="restart"/>
          </w:tcPr>
          <w:p>
            <w:pPr>
              <w:spacing w:after="0"/>
              <w:rPr>
                <w:sz w:val="11"/>
                <w:szCs w:val="11"/>
                <w:color w:val="auto"/>
              </w:rPr>
            </w:pPr>
          </w:p>
        </w:tc>
        <w:tc>
          <w:tcPr>
            <w:tcW w:w="8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Per Diluted</w:t>
            </w:r>
          </w:p>
        </w:tc>
        <w:tc>
          <w:tcPr>
            <w:tcW w:w="320" w:type="dxa"/>
            <w:vAlign w:val="bottom"/>
          </w:tcPr>
          <w:p>
            <w:pPr>
              <w:spacing w:after="0"/>
              <w:rPr>
                <w:sz w:val="11"/>
                <w:szCs w:val="11"/>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20" w:type="dxa"/>
            <w:vAlign w:val="bottom"/>
            <w:vMerge w:val="restart"/>
          </w:tcPr>
          <w:p>
            <w:pPr>
              <w:spacing w:after="0"/>
              <w:rPr>
                <w:sz w:val="11"/>
                <w:szCs w:val="11"/>
                <w:color w:val="auto"/>
              </w:rPr>
            </w:pPr>
          </w:p>
        </w:tc>
        <w:tc>
          <w:tcPr>
            <w:tcW w:w="920" w:type="dxa"/>
            <w:vAlign w:val="bottom"/>
            <w:gridSpan w:val="2"/>
          </w:tcPr>
          <w:p>
            <w:pPr>
              <w:jc w:val="right"/>
              <w:ind w:right="32"/>
              <w:spacing w:after="0" w:line="131" w:lineRule="exact"/>
              <w:rPr>
                <w:sz w:val="20"/>
                <w:szCs w:val="20"/>
                <w:color w:val="auto"/>
              </w:rPr>
            </w:pPr>
            <w:r>
              <w:rPr>
                <w:rFonts w:ascii="Times New Roman" w:cs="Times New Roman" w:eastAsia="Times New Roman" w:hAnsi="Times New Roman"/>
                <w:sz w:val="14"/>
                <w:szCs w:val="14"/>
                <w:b w:val="1"/>
                <w:bCs w:val="1"/>
                <w:color w:val="auto"/>
              </w:rPr>
              <w:t>Per Diluted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50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Share</w:t>
            </w:r>
          </w:p>
        </w:tc>
        <w:tc>
          <w:tcPr>
            <w:tcW w:w="320" w:type="dxa"/>
            <w:vAlign w:val="bottom"/>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8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360" w:type="dxa"/>
            <w:vAlign w:val="bottom"/>
            <w:shd w:val="clear" w:color="auto" w:fill="CFF0FC"/>
          </w:tcPr>
          <w:p>
            <w:pPr>
              <w:spacing w:after="0"/>
              <w:rPr>
                <w:sz w:val="20"/>
                <w:szCs w:val="20"/>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5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2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Unrealized investment gains</w:t>
            </w:r>
          </w:p>
        </w:tc>
        <w:tc>
          <w:tcPr>
            <w:tcW w:w="28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(30 )</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(45 )</w:t>
            </w:r>
          </w:p>
        </w:tc>
        <w:tc>
          <w:tcPr>
            <w:tcW w:w="2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7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2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70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18"/>
                <w:szCs w:val="18"/>
                <w:color w:val="auto"/>
              </w:rPr>
              <w:t>Restructuring and executive transition costs</w:t>
            </w:r>
            <w:r>
              <w:rPr>
                <w:rFonts w:ascii="Times New Roman" w:cs="Times New Roman" w:eastAsia="Times New Roman" w:hAnsi="Times New Roman"/>
                <w:sz w:val="24"/>
                <w:szCs w:val="24"/>
                <w:color w:val="auto"/>
                <w:vertAlign w:val="superscript"/>
              </w:rPr>
              <w:t>(2)</w:t>
            </w:r>
          </w:p>
        </w:tc>
        <w:tc>
          <w:tcPr>
            <w:tcW w:w="280" w:type="dxa"/>
            <w:vAlign w:val="bottom"/>
          </w:tcPr>
          <w:p>
            <w:pPr>
              <w:spacing w:after="0"/>
              <w:rPr>
                <w:sz w:val="21"/>
                <w:szCs w:val="21"/>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 impact on items listed above</w:t>
            </w:r>
          </w:p>
        </w:tc>
        <w:tc>
          <w:tcPr>
            <w:tcW w:w="2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(10 )</w:t>
            </w: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(429 )</w:t>
            </w:r>
          </w:p>
        </w:tc>
        <w:tc>
          <w:tcPr>
            <w:tcW w:w="20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(0.01 )</w:t>
            </w:r>
          </w:p>
        </w:tc>
        <w:tc>
          <w:tcPr>
            <w:tcW w:w="0" w:type="dxa"/>
            <w:vAlign w:val="bottom"/>
          </w:tcPr>
          <w:p>
            <w:pPr>
              <w:spacing w:after="0"/>
              <w:rPr>
                <w:sz w:val="1"/>
                <w:szCs w:val="1"/>
                <w:color w:val="auto"/>
              </w:rPr>
            </w:pPr>
          </w:p>
        </w:tc>
      </w:tr>
      <w:tr>
        <w:trPr>
          <w:trHeight w:val="237"/>
        </w:trPr>
        <w:tc>
          <w:tcPr>
            <w:tcW w:w="6700" w:type="dxa"/>
            <w:vAlign w:val="bottom"/>
            <w:gridSpan w:val="2"/>
          </w:tcPr>
          <w:p>
            <w:pPr>
              <w:ind w:left="20"/>
              <w:spacing w:after="0" w:line="236" w:lineRule="exact"/>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4"/>
                <w:szCs w:val="24"/>
                <w:color w:val="auto"/>
                <w:vertAlign w:val="superscript"/>
              </w:rPr>
              <w:t>(1)</w:t>
            </w: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7,941</w:t>
            </w: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3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9,025</w:t>
            </w:r>
          </w:p>
        </w:tc>
        <w:tc>
          <w:tcPr>
            <w:tcW w:w="3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00" w:type="dxa"/>
            <w:vAlign w:val="bottom"/>
            <w:shd w:val="clear" w:color="auto" w:fill="CFF0FC"/>
          </w:tcPr>
          <w:p>
            <w:pPr>
              <w:spacing w:after="0"/>
              <w:rPr>
                <w:sz w:val="19"/>
                <w:szCs w:val="19"/>
                <w:color w:val="auto"/>
              </w:rPr>
            </w:pPr>
          </w:p>
        </w:tc>
        <w:tc>
          <w:tcPr>
            <w:tcW w:w="5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52,501</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7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8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53,406</w:t>
            </w:r>
          </w:p>
        </w:tc>
        <w:tc>
          <w:tcPr>
            <w:tcW w:w="3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54,991</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500" w:type="dxa"/>
            <w:vAlign w:val="bottom"/>
            <w:tcBorders>
              <w:bottom w:val="single" w:sz="8" w:color="auto"/>
            </w:tcBorders>
          </w:tcPr>
          <w:p>
            <w:pPr>
              <w:spacing w:after="0"/>
              <w:rPr>
                <w:sz w:val="22"/>
                <w:szCs w:val="22"/>
                <w:color w:val="auto"/>
              </w:rPr>
            </w:pPr>
          </w:p>
        </w:tc>
        <w:tc>
          <w:tcPr>
            <w:tcW w:w="5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-205105</wp:posOffset>
            </wp:positionV>
            <wp:extent cx="6858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-187960</wp:posOffset>
            </wp:positionV>
            <wp:extent cx="6858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left="380" w:hanging="372"/>
        <w:spacing w:after="0"/>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amounts attributable to common shareholders.</w:t>
      </w:r>
    </w:p>
    <w:p>
      <w:pPr>
        <w:spacing w:after="0" w:line="184"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costs in connection with the departure of the President, IMAX Entertainment and Executive Vice President of the Company. See Note 16 of Notes to Condensed Consolidated Financial Statements in Part I, Item 1.</w:t>
      </w:r>
    </w:p>
    <w:p>
      <w:pPr>
        <w:spacing w:after="0" w:line="135"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In addition to the non-U.S. GAAP financial measures discussed above, management also uses “EBITDA,” as well as “Adjusted EBITDA per Credit Facility,” as defined in the Credit Agreement. As allowed by the Credit Agreement, Adjusted EBITDA per Credit Facility includes adjustments in addition to the exclusion of interest, taxes, depreciation and amortization. Accordingly, this non-U.S. GAAP financial measure is presented to allow a more comprehensive analysis of the Company’s operating performance and to provide additional information with respect to the Company’s compliance with its Credit Agreement requirements, when applicable. In addition, the Company believes that Adjusted EBITDA per Credit Facility presents relevant and useful information widely used by analysts, investors and other interested parties in the Company’s industry to evaluate, assess and benchmark the Company’s results.</w:t>
      </w:r>
    </w:p>
    <w:p>
      <w:pPr>
        <w:spacing w:after="0" w:line="148"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EBITDA is defined as net income or loss excluding: (i) income tax expense or benefit; (ii) interest expense, net of interest income; (iii) depreciation and amortization, including film asset amortization; and (iv) amortization of deferred financing costs. Adjusted EBITDA per Credit Facility is defined as EBITDA excluding: (i) share-based and other non-cash compensation; (ii) realized and unrealized investment gains or losses; (iii) transaction-related expenses; (iv) write-downs, net of recoveries, including asset impairments and credit loss expense; and (iv) restructuring and executive transition costs.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5" w:lineRule="exact"/>
        <w:rPr>
          <w:sz w:val="20"/>
          <w:szCs w:val="20"/>
          <w:color w:val="auto"/>
        </w:rPr>
      </w:pPr>
    </w:p>
    <w:p>
      <w:pPr>
        <w:ind w:firstLine="224"/>
        <w:spacing w:after="0" w:line="282" w:lineRule="auto"/>
        <w:rPr>
          <w:sz w:val="20"/>
          <w:szCs w:val="20"/>
          <w:color w:val="auto"/>
        </w:rPr>
      </w:pPr>
      <w:r>
        <w:rPr>
          <w:rFonts w:ascii="Times New Roman" w:cs="Times New Roman" w:eastAsia="Times New Roman" w:hAnsi="Times New Roman"/>
          <w:sz w:val="18"/>
          <w:szCs w:val="18"/>
          <w:color w:val="auto"/>
        </w:rPr>
        <w:t>Reconciliations of net income attributable to common shareholders, which is the most directly comparable U.S. GAAP measure, to EBITDA and Adjusted EBITDA per Credit Facility are presented in the tables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2024</w:t>
            </w:r>
          </w:p>
        </w:tc>
        <w:tc>
          <w:tcPr>
            <w:tcW w:w="1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00" w:type="dxa"/>
            <w:vAlign w:val="bottom"/>
            <w:gridSpan w:val="3"/>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 Interests</w:t>
            </w:r>
          </w:p>
        </w:tc>
        <w:tc>
          <w:tcPr>
            <w:tcW w:w="160" w:type="dxa"/>
            <w:vAlign w:val="bottom"/>
          </w:tcPr>
          <w:p>
            <w:pPr>
              <w:spacing w:after="0"/>
              <w:rPr>
                <w:sz w:val="12"/>
                <w:szCs w:val="12"/>
                <w:color w:val="auto"/>
              </w:rPr>
            </w:pPr>
          </w:p>
        </w:tc>
        <w:tc>
          <w:tcPr>
            <w:tcW w:w="19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Less: Attributable to</w:t>
            </w:r>
          </w:p>
        </w:tc>
        <w:tc>
          <w:tcPr>
            <w:tcW w:w="280" w:type="dxa"/>
            <w:vAlign w:val="bottom"/>
          </w:tcPr>
          <w:p>
            <w:pPr>
              <w:spacing w:after="0"/>
              <w:rPr>
                <w:sz w:val="12"/>
                <w:szCs w:val="12"/>
                <w:color w:val="auto"/>
              </w:rPr>
            </w:pPr>
          </w:p>
        </w:tc>
        <w:tc>
          <w:tcPr>
            <w:tcW w:w="17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Attributable to</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and Common</w:t>
            </w:r>
          </w:p>
        </w:tc>
        <w:tc>
          <w:tcPr>
            <w:tcW w:w="16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Pr>
          <w:p>
            <w:pPr>
              <w:spacing w:after="0"/>
              <w:rPr>
                <w:sz w:val="16"/>
                <w:szCs w:val="16"/>
                <w:color w:val="auto"/>
              </w:rPr>
            </w:pPr>
          </w:p>
        </w:tc>
        <w:tc>
          <w:tcPr>
            <w:tcW w:w="19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60" w:type="dxa"/>
            <w:vAlign w:val="bottom"/>
          </w:tcPr>
          <w:p>
            <w:pPr>
              <w:spacing w:after="0"/>
              <w:rPr>
                <w:sz w:val="16"/>
                <w:szCs w:val="16"/>
                <w:color w:val="auto"/>
              </w:rPr>
            </w:pPr>
          </w:p>
        </w:tc>
        <w:tc>
          <w:tcPr>
            <w:tcW w:w="19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 Interests</w:t>
            </w:r>
          </w:p>
        </w:tc>
        <w:tc>
          <w:tcPr>
            <w:tcW w:w="280" w:type="dxa"/>
            <w:vAlign w:val="bottom"/>
          </w:tcPr>
          <w:p>
            <w:pPr>
              <w:spacing w:after="0"/>
              <w:rPr>
                <w:sz w:val="16"/>
                <w:szCs w:val="16"/>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Common Shareholders</w:t>
            </w:r>
          </w:p>
        </w:tc>
        <w:tc>
          <w:tcPr>
            <w:tcW w:w="0" w:type="dxa"/>
            <w:vAlign w:val="bottom"/>
          </w:tcPr>
          <w:p>
            <w:pPr>
              <w:spacing w:after="0"/>
              <w:rPr>
                <w:sz w:val="1"/>
                <w:szCs w:val="1"/>
                <w:color w:val="auto"/>
              </w:rPr>
            </w:pPr>
          </w:p>
        </w:tc>
      </w:tr>
      <w:tr>
        <w:trPr>
          <w:trHeight w:val="237"/>
        </w:trPr>
        <w:tc>
          <w:tcPr>
            <w:tcW w:w="50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Reported net income</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 (subtract):</w:t>
            </w: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including film asset amortization</w:t>
            </w:r>
          </w:p>
        </w:tc>
        <w:tc>
          <w:tcPr>
            <w:tcW w:w="1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15,164</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18"/>
                <w:szCs w:val="18"/>
                <w:color w:val="auto"/>
              </w:rPr>
              <w:t>Amortization of deferred financing costs</w:t>
            </w:r>
            <w:r>
              <w:rPr>
                <w:rFonts w:ascii="Times New Roman" w:cs="Times New Roman" w:eastAsia="Times New Roman" w:hAnsi="Times New Roman"/>
                <w:sz w:val="24"/>
                <w:szCs w:val="24"/>
                <w:color w:val="auto"/>
                <w:vertAlign w:val="superscript"/>
              </w:rPr>
              <w:t>(1)</w:t>
            </w: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0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tcBorders>
              <w:top w:val="single" w:sz="8" w:color="auto"/>
            </w:tcBorders>
            <w:shd w:val="clear" w:color="auto" w:fill="CFF0FC"/>
          </w:tcPr>
          <w:p>
            <w:pPr>
              <w:spacing w:after="0"/>
              <w:rPr>
                <w:sz w:val="20"/>
                <w:szCs w:val="20"/>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27,154</w:t>
            </w:r>
          </w:p>
        </w:tc>
        <w:tc>
          <w:tcPr>
            <w:tcW w:w="1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1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Share-based and other non-cash compensation</w:t>
            </w: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Realized and unrealized investment gains</w:t>
            </w:r>
          </w:p>
        </w:tc>
        <w:tc>
          <w:tcPr>
            <w:tcW w:w="14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9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9"/>
        </w:trPr>
        <w:tc>
          <w:tcPr>
            <w:tcW w:w="5020" w:type="dxa"/>
            <w:vAlign w:val="bottom"/>
            <w:tcBorders>
              <w:bottom w:val="single" w:sz="8" w:color="CFF0FC"/>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Write-downs, including asset impairments and credit loss expense</w:t>
            </w: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50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 per Credit Facility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32,051</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28,117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5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60" w:type="dxa"/>
            <w:vAlign w:val="bottom"/>
            <w:gridSpan w:val="10"/>
          </w:tcPr>
          <w:p>
            <w:pPr>
              <w:jc w:val="right"/>
              <w:ind w:right="1680"/>
              <w:spacing w:after="0"/>
              <w:rPr>
                <w:sz w:val="20"/>
                <w:szCs w:val="20"/>
                <w:color w:val="auto"/>
              </w:rPr>
            </w:pPr>
            <w:r>
              <w:rPr>
                <w:rFonts w:ascii="Times New Roman" w:cs="Times New Roman" w:eastAsia="Times New Roman" w:hAnsi="Times New Roman"/>
                <w:sz w:val="14"/>
                <w:szCs w:val="14"/>
                <w:b w:val="1"/>
                <w:bCs w:val="1"/>
                <w:color w:val="auto"/>
              </w:rPr>
              <w:t>For the Twelve Months Ended March 31, 2024</w:t>
            </w: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900" w:type="dxa"/>
            <w:vAlign w:val="bottom"/>
            <w:tcBorders>
              <w:top w:val="single" w:sz="8" w:color="auto"/>
            </w:tcBorders>
            <w:gridSpan w:val="3"/>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Attributable to</w:t>
            </w:r>
          </w:p>
        </w:tc>
        <w:tc>
          <w:tcPr>
            <w:tcW w:w="16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 Interests</w:t>
            </w:r>
          </w:p>
        </w:tc>
        <w:tc>
          <w:tcPr>
            <w:tcW w:w="160" w:type="dxa"/>
            <w:vAlign w:val="bottom"/>
          </w:tcPr>
          <w:p>
            <w:pPr>
              <w:spacing w:after="0"/>
              <w:rPr>
                <w:sz w:val="12"/>
                <w:szCs w:val="12"/>
                <w:color w:val="auto"/>
              </w:rPr>
            </w:pPr>
          </w:p>
        </w:tc>
        <w:tc>
          <w:tcPr>
            <w:tcW w:w="19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Less: Attributable to</w:t>
            </w:r>
          </w:p>
        </w:tc>
        <w:tc>
          <w:tcPr>
            <w:tcW w:w="280" w:type="dxa"/>
            <w:vAlign w:val="bottom"/>
          </w:tcPr>
          <w:p>
            <w:pPr>
              <w:spacing w:after="0"/>
              <w:rPr>
                <w:sz w:val="12"/>
                <w:szCs w:val="12"/>
                <w:color w:val="auto"/>
              </w:rPr>
            </w:pPr>
          </w:p>
        </w:tc>
        <w:tc>
          <w:tcPr>
            <w:tcW w:w="17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Attributable to</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and Common</w:t>
            </w:r>
          </w:p>
        </w:tc>
        <w:tc>
          <w:tcPr>
            <w:tcW w:w="16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Pr>
          <w:p>
            <w:pPr>
              <w:spacing w:after="0"/>
              <w:rPr>
                <w:sz w:val="16"/>
                <w:szCs w:val="16"/>
                <w:color w:val="auto"/>
              </w:rPr>
            </w:pPr>
          </w:p>
        </w:tc>
        <w:tc>
          <w:tcPr>
            <w:tcW w:w="19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60" w:type="dxa"/>
            <w:vAlign w:val="bottom"/>
          </w:tcPr>
          <w:p>
            <w:pPr>
              <w:spacing w:after="0"/>
              <w:rPr>
                <w:sz w:val="16"/>
                <w:szCs w:val="16"/>
                <w:color w:val="auto"/>
              </w:rPr>
            </w:pPr>
          </w:p>
        </w:tc>
        <w:tc>
          <w:tcPr>
            <w:tcW w:w="19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 Interests</w:t>
            </w:r>
          </w:p>
        </w:tc>
        <w:tc>
          <w:tcPr>
            <w:tcW w:w="280" w:type="dxa"/>
            <w:vAlign w:val="bottom"/>
          </w:tcPr>
          <w:p>
            <w:pPr>
              <w:spacing w:after="0"/>
              <w:rPr>
                <w:sz w:val="16"/>
                <w:szCs w:val="16"/>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Common Shareholders</w:t>
            </w:r>
          </w:p>
        </w:tc>
        <w:tc>
          <w:tcPr>
            <w:tcW w:w="0" w:type="dxa"/>
            <w:vAlign w:val="bottom"/>
          </w:tcPr>
          <w:p>
            <w:pPr>
              <w:spacing w:after="0"/>
              <w:rPr>
                <w:sz w:val="1"/>
                <w:szCs w:val="1"/>
                <w:color w:val="auto"/>
              </w:rPr>
            </w:pPr>
          </w:p>
        </w:tc>
      </w:tr>
      <w:tr>
        <w:trPr>
          <w:trHeight w:val="236"/>
        </w:trPr>
        <w:tc>
          <w:tcPr>
            <w:tcW w:w="50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Reported net income</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33,363</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7,208</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26,155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 (subtract):</w:t>
            </w: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13,325</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(522 )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including film asset amortization</w:t>
            </w:r>
          </w:p>
        </w:tc>
        <w:tc>
          <w:tcPr>
            <w:tcW w:w="1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61,866</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18"/>
                <w:szCs w:val="18"/>
                <w:color w:val="auto"/>
              </w:rPr>
              <w:t>Amortization of deferred financing costs</w:t>
            </w:r>
            <w:r>
              <w:rPr>
                <w:rFonts w:ascii="Times New Roman" w:cs="Times New Roman" w:eastAsia="Times New Roman" w:hAnsi="Times New Roman"/>
                <w:sz w:val="24"/>
                <w:szCs w:val="24"/>
                <w:color w:val="auto"/>
                <w:vertAlign w:val="superscript"/>
              </w:rPr>
              <w:t>(1)</w:t>
            </w: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tcBorders>
              <w:top w:val="single" w:sz="8" w:color="auto"/>
            </w:tcBorders>
            <w:shd w:val="clear" w:color="auto" w:fill="CFF0FC"/>
          </w:tcPr>
          <w:p>
            <w:pPr>
              <w:spacing w:after="0"/>
              <w:rPr>
                <w:sz w:val="20"/>
                <w:szCs w:val="20"/>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112,941</w:t>
            </w:r>
          </w:p>
        </w:tc>
        <w:tc>
          <w:tcPr>
            <w:tcW w:w="1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13,453</w:t>
            </w:r>
          </w:p>
        </w:tc>
        <w:tc>
          <w:tcPr>
            <w:tcW w:w="1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99,488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Share-based and other non-cash compensation</w:t>
            </w: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Realized and unrealized investment gains</w:t>
            </w:r>
          </w:p>
        </w:tc>
        <w:tc>
          <w:tcPr>
            <w:tcW w:w="14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(451 )</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(358 )</w:t>
            </w:r>
          </w:p>
        </w:tc>
        <w:tc>
          <w:tcPr>
            <w:tcW w:w="0" w:type="dxa"/>
            <w:vAlign w:val="bottom"/>
          </w:tcPr>
          <w:p>
            <w:pPr>
              <w:spacing w:after="0"/>
              <w:rPr>
                <w:sz w:val="1"/>
                <w:szCs w:val="1"/>
                <w:color w:val="auto"/>
              </w:rPr>
            </w:pPr>
          </w:p>
        </w:tc>
      </w:tr>
      <w:tr>
        <w:trPr>
          <w:trHeight w:val="243"/>
        </w:trPr>
        <w:tc>
          <w:tcPr>
            <w:tcW w:w="502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18"/>
                <w:szCs w:val="18"/>
                <w:color w:val="auto"/>
              </w:rPr>
              <w:t>Transaction-related expenses</w:t>
            </w:r>
            <w:r>
              <w:rPr>
                <w:rFonts w:ascii="Times New Roman" w:cs="Times New Roman" w:eastAsia="Times New Roman" w:hAnsi="Times New Roman"/>
                <w:sz w:val="24"/>
                <w:szCs w:val="24"/>
                <w:color w:val="auto"/>
                <w:vertAlign w:val="superscript"/>
              </w:rPr>
              <w:t>(2)</w:t>
            </w: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Write-downs, including asset impairments and credit loss expense</w:t>
            </w:r>
          </w:p>
        </w:tc>
        <w:tc>
          <w:tcPr>
            <w:tcW w:w="1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18"/>
                <w:szCs w:val="18"/>
                <w:color w:val="auto"/>
              </w:rPr>
              <w:t>Restructuring and executive transition costs</w:t>
            </w:r>
            <w:r>
              <w:rPr>
                <w:rFonts w:ascii="Times New Roman" w:cs="Times New Roman" w:eastAsia="Times New Roman" w:hAnsi="Times New Roman"/>
                <w:sz w:val="24"/>
                <w:szCs w:val="24"/>
                <w:color w:val="auto"/>
                <w:vertAlign w:val="superscript"/>
              </w:rPr>
              <w:t>(3)</w:t>
            </w:r>
          </w:p>
        </w:tc>
        <w:tc>
          <w:tcPr>
            <w:tcW w:w="1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0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 per Credit Facility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143,769</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14,775</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128,994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500" w:type="dxa"/>
            <w:vAlign w:val="bottom"/>
            <w:tcBorders>
              <w:bottom w:val="single" w:sz="8" w:color="auto"/>
            </w:tcBorders>
          </w:tcPr>
          <w:p>
            <w:pPr>
              <w:spacing w:after="0"/>
              <w:rPr>
                <w:sz w:val="10"/>
                <w:szCs w:val="10"/>
                <w:color w:val="auto"/>
              </w:rPr>
            </w:pPr>
          </w:p>
        </w:tc>
        <w:tc>
          <w:tcPr>
            <w:tcW w:w="3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-2879725</wp:posOffset>
            </wp:positionV>
            <wp:extent cx="7683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-2862580</wp:posOffset>
            </wp:positionV>
            <wp:extent cx="7683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-3042285</wp:posOffset>
            </wp:positionV>
            <wp:extent cx="7683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-2879725</wp:posOffset>
            </wp:positionV>
            <wp:extent cx="6858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-2862580</wp:posOffset>
            </wp:positionV>
            <wp:extent cx="6858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-3042285</wp:posOffset>
            </wp:positionV>
            <wp:extent cx="6858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-2879725</wp:posOffset>
            </wp:positionV>
            <wp:extent cx="6858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-2862580</wp:posOffset>
            </wp:positionV>
            <wp:extent cx="6858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-3042285</wp:posOffset>
            </wp:positionV>
            <wp:extent cx="685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-119380</wp:posOffset>
            </wp:positionV>
            <wp:extent cx="7683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-102235</wp:posOffset>
            </wp:positionV>
            <wp:extent cx="7683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-119380</wp:posOffset>
            </wp:positionV>
            <wp:extent cx="6858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-102235</wp:posOffset>
            </wp:positionV>
            <wp:extent cx="6858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-119380</wp:posOffset>
            </wp:positionV>
            <wp:extent cx="6858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-102235</wp:posOffset>
            </wp:positionV>
            <wp:extent cx="6858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left="380" w:hanging="372"/>
        <w:spacing w:after="0"/>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amortization of deferred financing costs is recorded within Interest Expense in the Condensed Consolidated Statements of Operations.</w:t>
      </w:r>
    </w:p>
    <w:p>
      <w:pPr>
        <w:spacing w:after="0" w:line="184"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costs incurred resulting from the Company's with the proposal to acquire the outstanding 96.3 million shares in IMAX China. See Note 6 of Notes to Condensed Consolidated Financial Statements in Part I, Item 1.</w:t>
      </w:r>
    </w:p>
    <w:p>
      <w:pPr>
        <w:spacing w:after="0" w:line="12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costs in connection with the departure of President, IMAX Entertainment and Executive Vice President of the Company. See Note 16 of Notes to Condensed Consolidated Financial Statements in Part I, Item 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5"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Company also adjusts Selling, General and Administrative Expenses to exclude a portion of share-based compensation and related payroll taxes. Management uses non-U.S. GAAP and other financial measures such as this, internally for financial and operational decision-making and as a means to evaluate period-to-period comparisons. IMAX believes that this non-U.S. GAAP measure provides useful information about operating results, enhances the overall understanding of past financial performance and future prospects, and allows for greater transparency with respect to key metrics used by management and its financial and operational decision making.</w:t>
      </w:r>
    </w:p>
    <w:p>
      <w:pPr>
        <w:spacing w:after="0" w:line="143"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A reconciliation of Selling, General and Administrative Expenses, the most directly comparable U.S. GAAP measure presented in the Condensed Consolidated Statement of Operations in Part I, Item 1, to Adjusted SG&amp;A, is presented in the table below.</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7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r>
      <w:tr>
        <w:trPr>
          <w:trHeight w:val="236"/>
        </w:trPr>
        <w:tc>
          <w:tcPr>
            <w:tcW w:w="7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31,257</w:t>
            </w:r>
          </w:p>
        </w:tc>
        <w:tc>
          <w:tcPr>
            <w:tcW w:w="940" w:type="dxa"/>
            <w:vAlign w:val="bottom"/>
            <w:gridSpan w:val="2"/>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34,148</w:t>
            </w:r>
          </w:p>
        </w:tc>
        <w:tc>
          <w:tcPr>
            <w:tcW w:w="100" w:type="dxa"/>
            <w:vAlign w:val="bottom"/>
            <w:shd w:val="clear" w:color="auto" w:fill="CFF0FC"/>
          </w:tcPr>
          <w:p>
            <w:pPr>
              <w:spacing w:after="0"/>
              <w:rPr>
                <w:sz w:val="20"/>
                <w:szCs w:val="20"/>
                <w:color w:val="auto"/>
              </w:rPr>
            </w:pPr>
          </w:p>
        </w:tc>
      </w:tr>
      <w:tr>
        <w:trPr>
          <w:trHeight w:val="24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Subtract: Share-based compensation</w:t>
            </w: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32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100" w:type="dxa"/>
            <w:vAlign w:val="bottom"/>
          </w:tcPr>
          <w:p>
            <w:pPr>
              <w:spacing w:after="0"/>
              <w:rPr>
                <w:sz w:val="21"/>
                <w:szCs w:val="21"/>
                <w:color w:val="auto"/>
              </w:rPr>
            </w:pPr>
          </w:p>
        </w:tc>
      </w:tr>
      <w:tr>
        <w:trPr>
          <w:trHeight w:val="272"/>
        </w:trPr>
        <w:tc>
          <w:tcPr>
            <w:tcW w:w="7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 expenses, excluding share-based compensation</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26,920</w:t>
            </w:r>
          </w:p>
        </w:tc>
        <w:tc>
          <w:tcPr>
            <w:tcW w:w="320" w:type="dxa"/>
            <w:vAlign w:val="bottom"/>
            <w:tcBorders>
              <w:bottom w:val="single" w:sz="8" w:color="CFF0FC"/>
            </w:tcBorders>
            <w:shd w:val="clear" w:color="auto" w:fill="CFF0FC"/>
          </w:tcPr>
          <w:p>
            <w:pPr>
              <w:spacing w:after="0"/>
              <w:rPr>
                <w:sz w:val="23"/>
                <w:szCs w:val="23"/>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28,952</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-24765</wp:posOffset>
            </wp:positionV>
            <wp:extent cx="6858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jc w:val="both"/>
        <w:ind w:right="20" w:firstLine="224"/>
        <w:spacing w:after="0" w:line="266" w:lineRule="auto"/>
        <w:rPr>
          <w:sz w:val="20"/>
          <w:szCs w:val="20"/>
          <w:color w:val="auto"/>
        </w:rPr>
      </w:pPr>
      <w:r>
        <w:rPr>
          <w:rFonts w:ascii="Times New Roman" w:cs="Times New Roman" w:eastAsia="Times New Roman" w:hAnsi="Times New Roman"/>
          <w:sz w:val="18"/>
          <w:szCs w:val="18"/>
          <w:color w:val="auto"/>
        </w:rPr>
        <w:t>The Company cautions users of its financial statements that these non-U.S. GAAP financial measures may not be comparable to similarly titled measures reported by other companies. Additionally, the non-U.S. GAAP financial measures used by the Company should not be considered in isolation, or as a substitute for, or superior to, the comparable GAAP amounts.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89"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Company is exposed to market risk from foreign currency exchange rates and interest rates, which could affect operating results, financial position and cash flows. Market risk is the potential change in an instrument’s value caused by, for example, fluctuations in interest and currency exchange rates. The Company’s primary market risk exposure is the risk of unfavorable movements in exchange rates between the U.S. Dollar, the Canadian Dollar (“CAD”) and Chinese Renminbi (“RMB”). The Company does not use financial instruments for trading or other speculative purposes.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Rate Risk</w:t>
      </w:r>
    </w:p>
    <w:p>
      <w:pPr>
        <w:spacing w:after="0" w:line="189" w:lineRule="exact"/>
        <w:rPr>
          <w:sz w:val="20"/>
          <w:szCs w:val="20"/>
          <w:color w:val="auto"/>
        </w:rPr>
      </w:pPr>
    </w:p>
    <w:p>
      <w:pPr>
        <w:jc w:val="both"/>
        <w:ind w:firstLine="224"/>
        <w:spacing w:after="0" w:line="254" w:lineRule="auto"/>
        <w:rPr>
          <w:sz w:val="20"/>
          <w:szCs w:val="20"/>
          <w:color w:val="auto"/>
        </w:rPr>
      </w:pPr>
      <w:r>
        <w:rPr>
          <w:rFonts w:ascii="Times New Roman" w:cs="Times New Roman" w:eastAsia="Times New Roman" w:hAnsi="Times New Roman"/>
          <w:sz w:val="18"/>
          <w:szCs w:val="18"/>
          <w:color w:val="auto"/>
        </w:rPr>
        <w:t>A majority of the Company’s revenue is denominated in U.S. Dollars while a significant portion of its costs and expenses is denominated in Canadian Dollars. A portion of the Company’s net U.S. Dollar cash flows is converted to Canadian Dollars to fund Canadian Dollar expenses through the spot market. In addition, IMAX films generate box office in 89 different countries, and therefore unfavorable exchange rates between applicable local currencies and the U.S. Dollar could have an impact on the GBO generated by the Company’s exhibitor customers and its revenues. The Company has incoming cash flows from its revenue generating IMAX network and ongoing operating expenses in China through its majority-owned subsidiary IMAX Shanghai. In Japan, the Company has ongoing Yen-denominated operating expenses related to its Japanese operations. Net RMB and Japanese Yen cash flows are converted to U.S. Dollars through the spot market. The Company also has cash receipts from lease arrangements denominated in RMB, Japanese Yen, Euros and Canadian Dollars.</w:t>
      </w:r>
    </w:p>
    <w:p>
      <w:pPr>
        <w:spacing w:after="0" w:line="151" w:lineRule="exact"/>
        <w:rPr>
          <w:sz w:val="20"/>
          <w:szCs w:val="20"/>
          <w:color w:val="auto"/>
        </w:rPr>
      </w:pPr>
    </w:p>
    <w:p>
      <w:pPr>
        <w:jc w:val="both"/>
        <w:ind w:right="20" w:firstLine="224"/>
        <w:spacing w:after="0" w:line="266" w:lineRule="auto"/>
        <w:rPr>
          <w:sz w:val="20"/>
          <w:szCs w:val="20"/>
          <w:color w:val="auto"/>
        </w:rPr>
      </w:pPr>
      <w:r>
        <w:rPr>
          <w:rFonts w:ascii="Times New Roman" w:cs="Times New Roman" w:eastAsia="Times New Roman" w:hAnsi="Times New Roman"/>
          <w:sz w:val="18"/>
          <w:szCs w:val="18"/>
          <w:color w:val="auto"/>
        </w:rPr>
        <w:t>The Company manages its exposure to foreign exchange rate risks through its regular operating and financing activities and, when appropriate, through the use of derivative financial instruments. These derivative financial instruments are utilized to hedge economic exposures as well as reduce earnings and cash flow volatility resulting from shifts in market rates.</w:t>
      </w:r>
    </w:p>
    <w:p>
      <w:pPr>
        <w:spacing w:after="0" w:line="149" w:lineRule="exact"/>
        <w:rPr>
          <w:sz w:val="20"/>
          <w:szCs w:val="20"/>
          <w:color w:val="auto"/>
        </w:rPr>
      </w:pPr>
    </w:p>
    <w:p>
      <w:pPr>
        <w:jc w:val="both"/>
        <w:ind w:firstLine="224"/>
        <w:spacing w:after="0" w:line="255" w:lineRule="auto"/>
        <w:rPr>
          <w:sz w:val="20"/>
          <w:szCs w:val="20"/>
          <w:color w:val="auto"/>
        </w:rPr>
      </w:pPr>
      <w:r>
        <w:rPr>
          <w:rFonts w:ascii="Times New Roman" w:cs="Times New Roman" w:eastAsia="Times New Roman" w:hAnsi="Times New Roman"/>
          <w:sz w:val="18"/>
          <w:szCs w:val="18"/>
          <w:color w:val="auto"/>
        </w:rPr>
        <w:t>Certain of the Company’s PRC subsidiaries held approximately RMB 223.9 million ($31.6 million) in cash and cash equivalents as of March 31, 2024 (December 31, 2023 — RMB 213.0 million or $30.0 million) and are required to transact locally in RMB. Foreign currency exchange transactions, including the remittance of any funds into and out of the PRC, are subject to controls and require the approval of the China State Administration of Foreign Exchange to complete. Any developments relating to the Chinese economy and any actions taken by the Chinese government are beyond the control of the Company; however, the Company monitors and manages its capital and liquidity requirements to ensure compliance with local regulatory and policy requirements. (See “Risk Factors – The Company faces risks in connection with its significant presence in China and the continued expansion of its business there” in Part I. Item 1A. of the Company’s 2023 Form 10-K.)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5"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Management also monitors the macroeconomic environment as part of its continuous assessment of credit risk. This includes consideration of developments in the U.S. and global banking sectors following recent banking collapses, which informs management’s assessment of any potential direct and indirect impacts on the Company. There are no concentrations of cash and cash equivalents in any regional banking institutions, such that management considers there to be any material risk in this regard.</w:t>
      </w:r>
    </w:p>
    <w:p>
      <w:pPr>
        <w:spacing w:after="0" w:line="139"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the Company recorded foreign exchange net loss of $0.3 million, resulting from changes in exchange rates related to foreign currency denominated monetary assets and liabilities (2023 — net loss of $0.1 million).</w:t>
      </w:r>
    </w:p>
    <w:p>
      <w:pPr>
        <w:spacing w:after="0" w:line="121" w:lineRule="exact"/>
        <w:rPr>
          <w:sz w:val="20"/>
          <w:szCs w:val="20"/>
          <w:color w:val="auto"/>
        </w:rPr>
      </w:pPr>
    </w:p>
    <w:p>
      <w:pPr>
        <w:jc w:val="both"/>
        <w:ind w:firstLine="224"/>
        <w:spacing w:after="0" w:line="253" w:lineRule="auto"/>
        <w:rPr>
          <w:sz w:val="20"/>
          <w:szCs w:val="20"/>
          <w:color w:val="auto"/>
        </w:rPr>
      </w:pPr>
      <w:r>
        <w:rPr>
          <w:rFonts w:ascii="Times New Roman" w:cs="Times New Roman" w:eastAsia="Times New Roman" w:hAnsi="Times New Roman"/>
          <w:sz w:val="18"/>
          <w:szCs w:val="18"/>
          <w:color w:val="auto"/>
        </w:rPr>
        <w:t>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FASB ASC at inception, and continue to meet hedge effectiveness tests as of March 31, 2024, with settlement dates throughout 2024 and 2025. Foreign currency derivatives are recognized and measured in the Condensed Consolidated Balance Sheets at fair value. Changes in the fair value (i.e., gains or losses) are recognized in the Condensed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within Accumulated Other Comprehensive Income (Loss) and reclassified to the Condensed Consolidated Statements of Operations when the forecasted transaction occurs. Any ineffective portion is recognized immediately in the Condensed Consolidated Statements of Operations.</w:t>
      </w:r>
    </w:p>
    <w:p>
      <w:pPr>
        <w:spacing w:after="0" w:line="167"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notional value of foreign currency cash flow hedging instruments that qualify for hedge accounting as of March 31, 2024 was $34.8 million (December 31, 2023 — $40.6 million). Losses of less than $0.1 million were recorded to Other Comprehensive Income with respect to the change in fair value of these contracts for the three months ended March 31, 2024, (2023 — gain of $0.8 million). Losses of $1.0 million were reclassified from Accumulated Other Comprehensive Loss to Selling, General and Administrative Expenses for the three months ended March 31, 2024 (2023 — gains of less than $0.1 million). The Company currently does not hold any derivatives which are not designated as hedging instruments.</w:t>
      </w:r>
    </w:p>
    <w:p>
      <w:pPr>
        <w:spacing w:after="0" w:line="143"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For all derivative instruments, the Company is subject to counterparty credit risk to the extent that the counterparty may not meet its obligations to the Company. To manage this risk, the Company enters into derivative transactions only with major financial institutions.</w:t>
      </w:r>
    </w:p>
    <w:p>
      <w:pPr>
        <w:spacing w:after="0" w:line="121"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As of March 31, 2024, the Company’s Financing Receivables and working capital items denominated in Canadian Dollars, RMB, Japanese Yen, Euros and other foreign currencies translated into U.S. Dollars was $163.3 million. Assuming a 10% appreciation or depreciation in foreign currency exchange rates from the quoted foreign currency exchange rates as of March 31, 2024, the potential change in the fair value of foreign currency-denominated financing receivables and working capital items would have been $16.3 million. A significant portion of the Company’s Selling, General, and Administrative Expenses is denominated in Canadian Dollars. Assuming a 1% change appreciation or depreciation in foreign currency exchange rates as of March 31, 2024, the potential change in the amount of Selling, General, and Administrative Expenses would be $0.1 million.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 Management</w:t>
      </w:r>
    </w:p>
    <w:p>
      <w:pPr>
        <w:spacing w:after="0" w:line="189"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The Company’s earnings may also be affected by changes in interest rates due to the impact those changes have on its interest income from cash, and its interest expense from variable-rate borrowings that may be made under the Credit Facility.</w:t>
      </w:r>
    </w:p>
    <w:p>
      <w:pPr>
        <w:spacing w:after="0" w:line="121" w:lineRule="exact"/>
        <w:rPr>
          <w:sz w:val="20"/>
          <w:szCs w:val="20"/>
          <w:color w:val="auto"/>
        </w:rPr>
      </w:pPr>
    </w:p>
    <w:p>
      <w:pPr>
        <w:jc w:val="both"/>
        <w:ind w:firstLine="224"/>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had drawn down $69.0 million on its Revolver Credit Facility (December 31, 2023 — $24.0 million), and $nil on its HSBC China and Bank of China Facilities (December 31, 2023 — $nil) which are subject to variable effective interest rates.</w:t>
      </w:r>
    </w:p>
    <w:p>
      <w:pPr>
        <w:spacing w:after="0" w:line="135" w:lineRule="exact"/>
        <w:rPr>
          <w:sz w:val="20"/>
          <w:szCs w:val="20"/>
          <w:color w:val="auto"/>
        </w:rPr>
      </w:pPr>
    </w:p>
    <w:p>
      <w:pPr>
        <w:jc w:val="both"/>
        <w:ind w:firstLine="224"/>
        <w:spacing w:after="0" w:line="261" w:lineRule="auto"/>
        <w:rPr>
          <w:sz w:val="20"/>
          <w:szCs w:val="20"/>
          <w:color w:val="auto"/>
        </w:rPr>
      </w:pPr>
      <w:r>
        <w:rPr>
          <w:rFonts w:ascii="Times New Roman" w:cs="Times New Roman" w:eastAsia="Times New Roman" w:hAnsi="Times New Roman"/>
          <w:sz w:val="18"/>
          <w:szCs w:val="18"/>
          <w:color w:val="auto"/>
        </w:rPr>
        <w:t>The Company had variable rate debt instruments representing 14% and 5% of its total liabilities as of March 31, 2024 and December 31, 2023, respectively. If the interest rates available to the Company increased by 10%, the Company’s interest expense would increase by $0.5 million and interest income from cash would increase by $0.5 million. These amounts are determined by considering the impact of the hypothetical interest rates on the Company’s variable rate debt and cash balances as of March 31,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jc w:val="both"/>
        <w:ind w:firstLine="224"/>
        <w:spacing w:after="0" w:line="256" w:lineRule="auto"/>
        <w:rPr>
          <w:sz w:val="20"/>
          <w:szCs w:val="20"/>
          <w:color w:val="auto"/>
        </w:rPr>
      </w:pPr>
      <w:r>
        <w:rPr>
          <w:rFonts w:ascii="Times New Roman" w:cs="Times New Roman" w:eastAsia="Times New Roman" w:hAnsi="Times New Roman"/>
          <w:sz w:val="18"/>
          <w:szCs w:val="18"/>
          <w:color w:val="auto"/>
        </w:rPr>
        <w:t>The Company maintains disclosure controls and procedures designed to ensure that information required to be disclosed in reports filed under the Securities Exchange Act of 1934, as amended, is recorded, processed, summarized and reported within the specified time periods and that such information is accumulated and communicated to management, including the CEO and the Chief Financial Officer (“CFO”), to allow timely discussions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60" w:lineRule="exact"/>
        <w:rPr>
          <w:sz w:val="20"/>
          <w:szCs w:val="20"/>
          <w:color w:val="auto"/>
        </w:rPr>
      </w:pPr>
    </w:p>
    <w:p>
      <w:pPr>
        <w:jc w:val="both"/>
        <w:ind w:firstLine="224"/>
        <w:spacing w:after="0" w:line="258" w:lineRule="auto"/>
        <w:rPr>
          <w:sz w:val="20"/>
          <w:szCs w:val="20"/>
          <w:color w:val="auto"/>
        </w:rPr>
      </w:pPr>
      <w:r>
        <w:rPr>
          <w:rFonts w:ascii="Times New Roman" w:cs="Times New Roman" w:eastAsia="Times New Roman" w:hAnsi="Times New Roman"/>
          <w:sz w:val="18"/>
          <w:szCs w:val="18"/>
          <w:color w:val="auto"/>
        </w:rPr>
        <w:t>The Company’s management, with the participation of its CEO and its CFO, has evaluated the effectiveness of the Company’s “disclosure controls and procedures” (as defined in the Securities Exchange Act of 1934 Rules 13a-15(e) or 15d-15(e)) as of March 31, 2024 and has concluded that, as of the end of the period covered by this report, the Company’s disclosure controls and procedures were effective. The Company will continue to periodically evaluate its disclosure controls and procedures and will make modifications from time to time as deemed necessary to ensure that information is recorded, processed, summarized and reported within the time periods specified in the SEC’s rules and forms.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ind w:right="20" w:firstLine="224"/>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that occurred during the three months ended March 31, 2024 that have materially affected, or are reasonably likely to materially affect, the Company’s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89" w:lineRule="exact"/>
        <w:rPr>
          <w:sz w:val="20"/>
          <w:szCs w:val="20"/>
          <w:color w:val="auto"/>
        </w:rPr>
      </w:pPr>
    </w:p>
    <w:p>
      <w:pPr>
        <w:jc w:val="both"/>
        <w:ind w:firstLine="223"/>
        <w:spacing w:after="0" w:line="282" w:lineRule="auto"/>
        <w:rPr>
          <w:sz w:val="20"/>
          <w:szCs w:val="20"/>
          <w:color w:val="auto"/>
        </w:rPr>
      </w:pPr>
      <w:r>
        <w:rPr>
          <w:rFonts w:ascii="Times New Roman" w:cs="Times New Roman" w:eastAsia="Times New Roman" w:hAnsi="Times New Roman"/>
          <w:sz w:val="18"/>
          <w:szCs w:val="18"/>
          <w:color w:val="auto"/>
        </w:rPr>
        <w:t>See Note 7 of Notes to Condensed Consolidated Financial Statements in Part I, Item 1 for information regarding legal proceedings involving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8"/>
          <w:szCs w:val="18"/>
          <w:color w:val="auto"/>
        </w:rPr>
        <w:t>This Form 10-Q should be read together with, and supplement, the risk factors in Item 1A. Risk Factors in the Company’s 2023 Form 10-K, which describes various risks and uncertainties to which the Company is or may become subject. The risk factors included in the Company’s 2023 Form 10-K are not the only risks facing the Company. Additional risks and uncertainties not currently known to the Company or that the Company currently deems to be immaterial also may materially adversely affect its business, financial condition and/or operating results.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02" w:lineRule="exact"/>
        <w:rPr>
          <w:sz w:val="20"/>
          <w:szCs w:val="20"/>
          <w:color w:val="auto"/>
        </w:rPr>
      </w:pPr>
    </w:p>
    <w:p>
      <w:pPr>
        <w:jc w:val="both"/>
        <w:ind w:firstLine="223"/>
        <w:spacing w:after="0" w:line="255" w:lineRule="auto"/>
        <w:rPr>
          <w:sz w:val="20"/>
          <w:szCs w:val="20"/>
          <w:color w:val="auto"/>
        </w:rPr>
      </w:pPr>
      <w:r>
        <w:rPr>
          <w:rFonts w:ascii="Times New Roman" w:cs="Times New Roman" w:eastAsia="Times New Roman" w:hAnsi="Times New Roman"/>
          <w:sz w:val="18"/>
          <w:szCs w:val="18"/>
          <w:color w:val="auto"/>
        </w:rPr>
        <w:t>On June 12, 2017, the Company announced that its Board of Directors approved a $200.0 million share repurchase program for its common shares that would have expired on June 30, 2020, which was subsequently extended for a 12-month period in 2020, 2021, and 2023 and increased in the total share repurchase authority to $400.0 million. In 2023, the Board of Directors approved a 36-month extension to the share repurchase program through June 30, 2026. As of March 31, 2024, the Company had $150.8 million available under the program. The repurchases may be made either in the open market or through private transactions, including repurchases made pursuant to a plan intended to comply with Rule 10b5-1 under the Securities Exchange Act of 1934, as amended, subject to market conditions, applicable legal requirements, and other relevant factors. The Company has no obligation to repurchase shares and the share repurchase program may be suspended or discontinued by the Company at any time.</w:t>
      </w:r>
    </w:p>
    <w:p>
      <w:pPr>
        <w:spacing w:after="0" w:line="148" w:lineRule="exact"/>
        <w:rPr>
          <w:sz w:val="20"/>
          <w:szCs w:val="20"/>
          <w:color w:val="auto"/>
        </w:rPr>
      </w:pPr>
    </w:p>
    <w:p>
      <w:pPr>
        <w:jc w:val="both"/>
        <w:ind w:firstLine="223"/>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the Company repurchased 1,158,724 common shares at an average price of $13.99 per share for a total of $16.2 million, excluding commission. All share repurchases were made under the Company’s publicly announced program, and there are no other programs under which the Company repurchases shares.</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Company’s common share repurchase program activity for the three months ended March 31, 2024 was as follows:</w:t>
      </w:r>
    </w:p>
    <w:p>
      <w:pPr>
        <w:sectPr>
          <w:pgSz w:w="11900" w:h="16838" w:orient="portrait"/>
          <w:cols w:equalWidth="0" w:num="1">
            <w:col w:w="11240"/>
          </w:cols>
          <w:pgMar w:left="320" w:top="1251" w:right="339" w:bottom="1440" w:gutter="0" w:footer="0" w:header="0"/>
        </w:sectPr>
      </w:pPr>
    </w:p>
    <w:p>
      <w:pPr>
        <w:spacing w:after="0" w:line="260" w:lineRule="exact"/>
        <w:rPr>
          <w:sz w:val="20"/>
          <w:szCs w:val="20"/>
          <w:color w:val="auto"/>
        </w:rPr>
      </w:pPr>
    </w:p>
    <w:tbl>
      <w:tblPr>
        <w:tblLayout w:type="fixed"/>
        <w:tblInd w:w="3640" w:type="dxa"/>
        <w:tblCellMar>
          <w:top w:w="0" w:type="dxa"/>
          <w:left w:w="0" w:type="dxa"/>
          <w:bottom w:w="0" w:type="dxa"/>
          <w:right w:w="0" w:type="dxa"/>
        </w:tblCellMar>
      </w:tblPr>
      <w:tr>
        <w:trPr>
          <w:trHeight w:val="161"/>
        </w:trPr>
        <w:tc>
          <w:tcPr>
            <w:tcW w:w="168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82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96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0" w:type="dxa"/>
            <w:vAlign w:val="bottom"/>
          </w:tcPr>
          <w:p>
            <w:pPr>
              <w:spacing w:after="0"/>
              <w:rPr>
                <w:sz w:val="1"/>
                <w:szCs w:val="1"/>
                <w:color w:val="auto"/>
              </w:rPr>
            </w:pPr>
          </w:p>
        </w:tc>
      </w:tr>
      <w:tr>
        <w:trPr>
          <w:trHeight w:val="81"/>
        </w:trPr>
        <w:tc>
          <w:tcPr>
            <w:tcW w:w="1680" w:type="dxa"/>
            <w:vAlign w:val="bottom"/>
            <w:vMerge w:val="continue"/>
          </w:tcPr>
          <w:p>
            <w:pPr>
              <w:spacing w:after="0"/>
              <w:rPr>
                <w:sz w:val="7"/>
                <w:szCs w:val="7"/>
                <w:color w:val="auto"/>
              </w:rPr>
            </w:pPr>
          </w:p>
        </w:tc>
        <w:tc>
          <w:tcPr>
            <w:tcW w:w="1820" w:type="dxa"/>
            <w:vAlign w:val="bottom"/>
            <w:vMerge w:val="continue"/>
          </w:tcPr>
          <w:p>
            <w:pPr>
              <w:spacing w:after="0"/>
              <w:rPr>
                <w:sz w:val="7"/>
                <w:szCs w:val="7"/>
                <w:color w:val="auto"/>
              </w:rPr>
            </w:pPr>
          </w:p>
        </w:tc>
        <w:tc>
          <w:tcPr>
            <w:tcW w:w="1960" w:type="dxa"/>
            <w:vAlign w:val="bottom"/>
            <w:vMerge w:val="restart"/>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0" w:type="dxa"/>
            <w:vAlign w:val="bottom"/>
          </w:tcPr>
          <w:p>
            <w:pPr>
              <w:spacing w:after="0"/>
              <w:rPr>
                <w:sz w:val="1"/>
                <w:szCs w:val="1"/>
                <w:color w:val="auto"/>
              </w:rPr>
            </w:pPr>
          </w:p>
        </w:tc>
      </w:tr>
      <w:tr>
        <w:trPr>
          <w:trHeight w:val="68"/>
        </w:trPr>
        <w:tc>
          <w:tcPr>
            <w:tcW w:w="168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82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6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1960" w:type="dxa"/>
            <w:vAlign w:val="bottom"/>
            <w:vMerge w:val="restart"/>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announced program</w:t>
            </w:r>
          </w:p>
        </w:tc>
        <w:tc>
          <w:tcPr>
            <w:tcW w:w="0" w:type="dxa"/>
            <w:vAlign w:val="bottom"/>
          </w:tcPr>
          <w:p>
            <w:pPr>
              <w:spacing w:after="0"/>
              <w:rPr>
                <w:sz w:val="1"/>
                <w:szCs w:val="1"/>
                <w:color w:val="auto"/>
              </w:rPr>
            </w:pPr>
          </w:p>
        </w:tc>
      </w:tr>
      <w:tr>
        <w:trPr>
          <w:trHeight w:val="68"/>
        </w:trPr>
        <w:tc>
          <w:tcPr>
            <w:tcW w:w="16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200"/>
        <w:spacing w:after="0" w:line="235" w:lineRule="auto"/>
        <w:rPr>
          <w:sz w:val="20"/>
          <w:szCs w:val="20"/>
          <w:color w:val="auto"/>
        </w:rPr>
      </w:pPr>
      <w:r>
        <w:rPr>
          <w:rFonts w:ascii="Times New Roman" w:cs="Times New Roman" w:eastAsia="Times New Roman" w:hAnsi="Times New Roman"/>
          <w:sz w:val="14"/>
          <w:szCs w:val="14"/>
          <w:b w:val="1"/>
          <w:bCs w:val="1"/>
          <w:color w:val="auto"/>
        </w:rPr>
        <w:t>Maximum approximate dollar value of shares that may yet be purchased under the program</w:t>
      </w:r>
    </w:p>
    <w:p>
      <w:pPr>
        <w:spacing w:after="0" w:line="2" w:lineRule="exact"/>
        <w:rPr>
          <w:sz w:val="20"/>
          <w:szCs w:val="20"/>
          <w:color w:val="auto"/>
        </w:rPr>
      </w:pPr>
    </w:p>
    <w:p>
      <w:pPr>
        <w:sectPr>
          <w:pgSz w:w="11900" w:h="16838" w:orient="portrait"/>
          <w:cols w:equalWidth="0" w:num="2">
            <w:col w:w="9100" w:space="360"/>
            <w:col w:w="1780"/>
          </w:cols>
          <w:pgMar w:left="320" w:top="1251"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January 1 through January 31, 2024</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302,731</w:t>
            </w:r>
          </w:p>
        </w:tc>
        <w:tc>
          <w:tcPr>
            <w:tcW w:w="280" w:type="dxa"/>
            <w:vAlign w:val="bottom"/>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220" w:type="dxa"/>
            <w:vAlign w:val="bottom"/>
            <w:shd w:val="clear" w:color="auto" w:fill="CFF0FC"/>
          </w:tcPr>
          <w:p>
            <w:pPr>
              <w:spacing w:after="0"/>
              <w:rPr>
                <w:sz w:val="20"/>
                <w:szCs w:val="20"/>
                <w:color w:val="auto"/>
              </w:rPr>
            </w:pPr>
          </w:p>
        </w:tc>
        <w:tc>
          <w:tcPr>
            <w:tcW w:w="1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302,731</w:t>
            </w:r>
          </w:p>
        </w:tc>
        <w:tc>
          <w:tcPr>
            <w:tcW w:w="240" w:type="dxa"/>
            <w:vAlign w:val="bottom"/>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162,547,887</w:t>
            </w:r>
          </w:p>
        </w:tc>
        <w:tc>
          <w:tcPr>
            <w:tcW w:w="100" w:type="dxa"/>
            <w:vAlign w:val="bottom"/>
            <w:shd w:val="clear" w:color="auto" w:fill="CFF0FC"/>
          </w:tcPr>
          <w:p>
            <w:pPr>
              <w:spacing w:after="0"/>
              <w:rPr>
                <w:sz w:val="20"/>
                <w:szCs w:val="20"/>
                <w:color w:val="auto"/>
              </w:rPr>
            </w:pPr>
          </w:p>
        </w:tc>
      </w:tr>
      <w:tr>
        <w:trPr>
          <w:trHeight w:val="23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through February 29, 2024</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855,993</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855,993</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150,835,924</w:t>
            </w:r>
          </w:p>
        </w:tc>
        <w:tc>
          <w:tcPr>
            <w:tcW w:w="100" w:type="dxa"/>
            <w:vAlign w:val="bottom"/>
          </w:tcPr>
          <w:p>
            <w:pPr>
              <w:spacing w:after="0"/>
              <w:rPr>
                <w:sz w:val="20"/>
                <w:szCs w:val="20"/>
                <w:color w:val="auto"/>
              </w:rPr>
            </w:pPr>
          </w:p>
        </w:tc>
      </w:tr>
      <w:tr>
        <w:trPr>
          <w:trHeight w:val="247"/>
        </w:trPr>
        <w:tc>
          <w:tcPr>
            <w:tcW w:w="3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March 1 through March 31, 2024</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150,834,924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1,158,724</w:t>
            </w:r>
          </w:p>
        </w:tc>
        <w:tc>
          <w:tcPr>
            <w:tcW w:w="90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1,158,724</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35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-187960</wp:posOffset>
            </wp:positionV>
            <wp:extent cx="7747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-187960</wp:posOffset>
            </wp:positionV>
            <wp:extent cx="6858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-187960</wp:posOffset>
            </wp:positionV>
            <wp:extent cx="6858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firstLine="223"/>
        <w:spacing w:after="0" w:line="255" w:lineRule="auto"/>
        <w:rPr>
          <w:sz w:val="20"/>
          <w:szCs w:val="20"/>
          <w:color w:val="auto"/>
        </w:rPr>
      </w:pPr>
      <w:r>
        <w:rPr>
          <w:rFonts w:ascii="Times New Roman" w:cs="Times New Roman" w:eastAsia="Times New Roman" w:hAnsi="Times New Roman"/>
          <w:sz w:val="18"/>
          <w:szCs w:val="18"/>
          <w:color w:val="auto"/>
        </w:rPr>
        <w:t>In 2022, IMAX China’s shareholders granted its Board of Directors a general mandate authorizing the Board, subject to applicable laws, to repurchase shares of IMAX China not to exceed 10% of the total number of issued shares as of June 23, 2022 (34,063,480 shares). This program expired on the date of the 2023 Annual General Meeting of IMAX China on June 6, 2023. During the 2023 Annual General Meeting, shareholders approved the repurchase of shares of IMAX China not to exceed 10% of the total number of shares as of June 7, 2023 (33,959,314 shares). This program will be valid until the 2024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 During the three months ended March 31, 2024, IMAX China did not repurchase any common shares.</w:t>
      </w:r>
    </w:p>
    <w:p>
      <w:pPr>
        <w:spacing w:after="0" w:line="148" w:lineRule="exact"/>
        <w:rPr>
          <w:sz w:val="20"/>
          <w:szCs w:val="20"/>
          <w:color w:val="auto"/>
        </w:rPr>
      </w:pPr>
    </w:p>
    <w:p>
      <w:pPr>
        <w:jc w:val="both"/>
        <w:ind w:firstLine="223"/>
        <w:spacing w:after="0" w:line="282" w:lineRule="auto"/>
        <w:rPr>
          <w:sz w:val="20"/>
          <w:szCs w:val="20"/>
          <w:color w:val="auto"/>
        </w:rPr>
      </w:pPr>
      <w:r>
        <w:rPr>
          <w:rFonts w:ascii="Times New Roman" w:cs="Times New Roman" w:eastAsia="Times New Roman" w:hAnsi="Times New Roman"/>
          <w:sz w:val="18"/>
          <w:szCs w:val="18"/>
          <w:color w:val="auto"/>
        </w:rPr>
        <w:t>See Note 6 of Notes to Condensed Consolidated Financial Statements in Part I, Item 1 for a summary of the material terms and conditions of the Company’s revolving credit facility, which include a limitation of the number of permitted share repurchases.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65" w:name="page66"/>
    <w:bookmarkEnd w:id="65"/>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189" w:lineRule="exact"/>
        <w:rPr>
          <w:sz w:val="20"/>
          <w:szCs w:val="20"/>
          <w:color w:val="auto"/>
        </w:rPr>
      </w:pPr>
    </w:p>
    <w:p>
      <w:pPr>
        <w:ind w:left="600" w:hanging="368"/>
        <w:spacing w:after="0"/>
        <w:tabs>
          <w:tab w:leader="none" w:pos="600" w:val="left"/>
        </w:tabs>
        <w:numPr>
          <w:ilvl w:val="0"/>
          <w:numId w:val="3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None.</w:t>
      </w:r>
    </w:p>
    <w:p>
      <w:pPr>
        <w:spacing w:after="0" w:line="184" w:lineRule="exact"/>
        <w:rPr>
          <w:rFonts w:ascii="Times New Roman" w:cs="Times New Roman" w:eastAsia="Times New Roman" w:hAnsi="Times New Roman"/>
          <w:sz w:val="18"/>
          <w:szCs w:val="18"/>
          <w:b w:val="1"/>
          <w:bCs w:val="1"/>
          <w:i w:val="1"/>
          <w:iCs w:val="1"/>
          <w:color w:val="auto"/>
        </w:rPr>
      </w:pPr>
    </w:p>
    <w:p>
      <w:pPr>
        <w:ind w:left="600" w:hanging="368"/>
        <w:spacing w:after="0"/>
        <w:tabs>
          <w:tab w:leader="none" w:pos="600" w:val="left"/>
        </w:tabs>
        <w:numPr>
          <w:ilvl w:val="0"/>
          <w:numId w:val="3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None.</w:t>
      </w:r>
    </w:p>
    <w:p>
      <w:pPr>
        <w:spacing w:after="0" w:line="194" w:lineRule="exact"/>
        <w:rPr>
          <w:rFonts w:ascii="Times New Roman" w:cs="Times New Roman" w:eastAsia="Times New Roman" w:hAnsi="Times New Roman"/>
          <w:sz w:val="18"/>
          <w:szCs w:val="18"/>
          <w:b w:val="1"/>
          <w:bCs w:val="1"/>
          <w:i w:val="1"/>
          <w:iCs w:val="1"/>
          <w:color w:val="auto"/>
        </w:rPr>
      </w:pPr>
    </w:p>
    <w:p>
      <w:pPr>
        <w:ind w:left="600" w:hanging="368"/>
        <w:spacing w:after="0"/>
        <w:tabs>
          <w:tab w:leader="none" w:pos="600" w:val="left"/>
        </w:tabs>
        <w:numPr>
          <w:ilvl w:val="0"/>
          <w:numId w:val="3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Rule 10b5-1 and Non-Rule 10b5-1 Trading Arrangements</w:t>
      </w:r>
    </w:p>
    <w:p>
      <w:pPr>
        <w:spacing w:after="0" w:line="189" w:lineRule="exact"/>
        <w:rPr>
          <w:sz w:val="20"/>
          <w:szCs w:val="20"/>
          <w:color w:val="auto"/>
        </w:rPr>
      </w:pPr>
    </w:p>
    <w:p>
      <w:pPr>
        <w:ind w:firstLine="223"/>
        <w:spacing w:after="0" w:line="282" w:lineRule="auto"/>
        <w:rPr>
          <w:sz w:val="20"/>
          <w:szCs w:val="20"/>
          <w:color w:val="auto"/>
        </w:rPr>
      </w:pPr>
      <w:r>
        <w:rPr>
          <w:rFonts w:ascii="Times New Roman" w:cs="Times New Roman" w:eastAsia="Times New Roman" w:hAnsi="Times New Roman"/>
          <w:sz w:val="18"/>
          <w:szCs w:val="18"/>
          <w:color w:val="auto"/>
        </w:rPr>
        <w:t>None of the Company’s directors or officers adopted, modified, or terminated a Rule 10b5-1 trading arrangement or a non-Rule 10b5-1 trading arrangement during the Company’s fiscal quarter ended March 31, 2024.</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45"/>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140" w:type="dxa"/>
            <w:vAlign w:val="bottom"/>
          </w:tcPr>
          <w:p>
            <w:pPr>
              <w:spacing w:after="0"/>
              <w:rPr>
                <w:sz w:val="21"/>
                <w:szCs w:val="21"/>
                <w:color w:val="auto"/>
              </w:rPr>
            </w:pPr>
          </w:p>
        </w:tc>
        <w:tc>
          <w:tcPr>
            <w:tcW w:w="10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9"/>
        </w:trPr>
        <w:tc>
          <w:tcPr>
            <w:tcW w:w="1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6"/>
                <w:szCs w:val="16"/>
                <w:color w:val="auto"/>
              </w:rPr>
            </w:pPr>
          </w:p>
        </w:tc>
        <w:tc>
          <w:tcPr>
            <w:tcW w:w="100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Certification Pursuant to Section 302 of the Sarbanes-Oxley Act of 2002, dated April 25, 2024, by Richard L. Gelfond</w:t>
            </w: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540" w:type="dxa"/>
            <w:vAlign w:val="bottom"/>
            <w:tcBorders>
              <w:right w:val="single" w:sz="8" w:color="0000EE"/>
            </w:tcBorders>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7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8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Certification Pursuant to Section 302 of the Sarbanes-Oxley Act of 2002, dated April 25, 2024, by Natasha Fernandes.</w:t>
            </w:r>
          </w:p>
        </w:tc>
        <w:tc>
          <w:tcPr>
            <w:tcW w:w="1540" w:type="dxa"/>
            <w:vAlign w:val="bottom"/>
          </w:tcPr>
          <w:p>
            <w:pPr>
              <w:spacing w:after="0"/>
              <w:rPr>
                <w:sz w:val="24"/>
                <w:szCs w:val="24"/>
                <w:color w:val="auto"/>
              </w:rPr>
            </w:pPr>
          </w:p>
        </w:tc>
      </w:tr>
      <w:tr>
        <w:trPr>
          <w:trHeight w:val="37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 dated April 25, 2024, by Richard L. Gelfond</w:t>
            </w: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540" w:type="dxa"/>
            <w:vAlign w:val="bottom"/>
            <w:tcBorders>
              <w:right w:val="single" w:sz="8" w:color="0000EE"/>
            </w:tcBorders>
            <w:shd w:val="clear" w:color="auto" w:fill="0000FF"/>
          </w:tcPr>
          <w:p>
            <w:pPr>
              <w:spacing w:after="0" w:line="20" w:lineRule="exact"/>
              <w:rPr>
                <w:sz w:val="1"/>
                <w:szCs w:val="1"/>
                <w:color w:val="auto"/>
              </w:rPr>
            </w:pPr>
          </w:p>
        </w:tc>
        <w:tc>
          <w:tcPr>
            <w:tcW w:w="154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4"/>
                <w:szCs w:val="24"/>
                <w:color w:val="auto"/>
              </w:rPr>
            </w:pPr>
          </w:p>
        </w:tc>
        <w:tc>
          <w:tcPr>
            <w:tcW w:w="8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Certification Pursuant to Section 906 of the Sarbanes-Oxley Act of 2002, dated April 25, 2024, by Natasha Fernandes.</w:t>
            </w:r>
          </w:p>
        </w:tc>
        <w:tc>
          <w:tcPr>
            <w:tcW w:w="1540" w:type="dxa"/>
            <w:vAlign w:val="bottom"/>
          </w:tcPr>
          <w:p>
            <w:pPr>
              <w:spacing w:after="0"/>
              <w:rPr>
                <w:sz w:val="24"/>
                <w:szCs w:val="24"/>
                <w:color w:val="auto"/>
              </w:rPr>
            </w:pPr>
          </w:p>
        </w:tc>
      </w:tr>
      <w:tr>
        <w:trPr>
          <w:trHeight w:val="39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9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9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4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9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4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9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4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9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40" w:type="dxa"/>
            <w:vAlign w:val="bottom"/>
          </w:tcPr>
          <w:p>
            <w:pPr>
              <w:spacing w:after="0"/>
              <w:rPr>
                <w:sz w:val="24"/>
                <w:szCs w:val="24"/>
                <w:color w:val="auto"/>
              </w:rPr>
            </w:pPr>
          </w:p>
        </w:tc>
        <w:tc>
          <w:tcPr>
            <w:tcW w:w="10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57" w:lineRule="exact"/>
        <w:rPr>
          <w:sz w:val="20"/>
          <w:szCs w:val="20"/>
          <w:color w:val="auto"/>
        </w:rPr>
      </w:pPr>
    </w:p>
    <w:p>
      <w:pPr>
        <w:ind w:right="3560" w:firstLine="21"/>
        <w:spacing w:after="0" w:line="548" w:lineRule="auto"/>
        <w:tabs>
          <w:tab w:leader="none" w:pos="114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*Filed herewith.</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2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IMAX CORPORATION</w:t>
            </w:r>
          </w:p>
        </w:tc>
      </w:tr>
      <w:tr>
        <w:trPr>
          <w:trHeight w:val="49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April 25, 2024</w:t>
            </w:r>
          </w:p>
        </w:tc>
        <w:tc>
          <w:tcPr>
            <w:tcW w:w="24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NATASHA FERNANDES</w:t>
            </w:r>
          </w:p>
        </w:tc>
      </w:tr>
      <w:tr>
        <w:trPr>
          <w:trHeight w:val="234"/>
        </w:trPr>
        <w:tc>
          <w:tcPr>
            <w:tcW w:w="35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Natasha Fernandes</w:t>
            </w:r>
          </w:p>
        </w:tc>
      </w:tr>
      <w:tr>
        <w:trPr>
          <w:trHeight w:val="238"/>
        </w:trPr>
        <w:tc>
          <w:tcPr>
            <w:tcW w:w="35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&amp; Executive Vice President</w:t>
            </w:r>
          </w:p>
        </w:tc>
      </w:tr>
      <w:tr>
        <w:trPr>
          <w:trHeight w:val="243"/>
        </w:trPr>
        <w:tc>
          <w:tcPr>
            <w:tcW w:w="35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9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April 25, 2024</w:t>
            </w:r>
          </w:p>
        </w:tc>
        <w:tc>
          <w:tcPr>
            <w:tcW w:w="24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ELIZABETH GITAJN</w:t>
            </w:r>
          </w:p>
        </w:tc>
      </w:tr>
      <w:tr>
        <w:trPr>
          <w:trHeight w:val="234"/>
        </w:trPr>
        <w:tc>
          <w:tcPr>
            <w:tcW w:w="35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Elizabeth Gitajn</w:t>
            </w:r>
          </w:p>
        </w:tc>
      </w:tr>
      <w:tr>
        <w:trPr>
          <w:trHeight w:val="238"/>
        </w:trPr>
        <w:tc>
          <w:tcPr>
            <w:tcW w:w="35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Vice-President, Finance &amp; Controller</w:t>
            </w:r>
          </w:p>
        </w:tc>
      </w:tr>
      <w:tr>
        <w:trPr>
          <w:trHeight w:val="243"/>
        </w:trPr>
        <w:tc>
          <w:tcPr>
            <w:tcW w:w="35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878"/>
        </w:trPr>
        <w:tc>
          <w:tcPr>
            <w:tcW w:w="3520" w:type="dxa"/>
            <w:vAlign w:val="bottom"/>
          </w:tcPr>
          <w:p>
            <w:pPr>
              <w:spacing w:after="0"/>
              <w:rPr>
                <w:sz w:val="24"/>
                <w:szCs w:val="24"/>
                <w:color w:val="auto"/>
              </w:rPr>
            </w:pPr>
          </w:p>
        </w:tc>
        <w:tc>
          <w:tcPr>
            <w:tcW w:w="2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68</w:t>
            </w:r>
          </w:p>
        </w:tc>
        <w:tc>
          <w:tcPr>
            <w:tcW w:w="5240" w:type="dxa"/>
            <w:vAlign w:val="bottom"/>
          </w:tcPr>
          <w:p>
            <w:pPr>
              <w:spacing w:after="0"/>
              <w:rPr>
                <w:sz w:val="24"/>
                <w:szCs w:val="24"/>
                <w:color w:val="auto"/>
              </w:rPr>
            </w:pPr>
          </w:p>
        </w:tc>
      </w:tr>
      <w:tr>
        <w:trPr>
          <w:trHeight w:val="763"/>
        </w:trPr>
        <w:tc>
          <w:tcPr>
            <w:tcW w:w="35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25"/>
          <w:szCs w:val="25"/>
          <w:b w:val="1"/>
          <w:bCs w:val="1"/>
          <w:color w:val="auto"/>
        </w:rPr>
        <w:t>IMAX CORPORATION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Exhibit 31.1</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 - Oxley Act of 2002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L. Gelfond, certify that:</w:t>
      </w:r>
    </w:p>
    <w:p>
      <w:pPr>
        <w:spacing w:after="0" w:line="225" w:lineRule="exact"/>
        <w:rPr>
          <w:sz w:val="20"/>
          <w:szCs w:val="20"/>
          <w:color w:val="auto"/>
        </w:rPr>
      </w:pPr>
    </w:p>
    <w:p>
      <w:pPr>
        <w:ind w:left="440" w:hanging="371"/>
        <w:spacing w:after="0"/>
        <w:tabs>
          <w:tab w:leader="none" w:pos="4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2024 of the registrant, IMAX Corporation;</w:t>
      </w:r>
    </w:p>
    <w:p>
      <w:pPr>
        <w:spacing w:after="0" w:line="225" w:lineRule="exact"/>
        <w:rPr>
          <w:rFonts w:ascii="Times New Roman" w:cs="Times New Roman" w:eastAsia="Times New Roman" w:hAnsi="Times New Roman"/>
          <w:sz w:val="18"/>
          <w:szCs w:val="18"/>
          <w:color w:val="auto"/>
        </w:rPr>
      </w:pPr>
    </w:p>
    <w:p>
      <w:pPr>
        <w:jc w:val="both"/>
        <w:ind w:left="440" w:hanging="371"/>
        <w:spacing w:after="0" w:line="266" w:lineRule="auto"/>
        <w:tabs>
          <w:tab w:leader="none" w:pos="4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40" w:right="20" w:hanging="371"/>
        <w:spacing w:after="0" w:line="282" w:lineRule="auto"/>
        <w:tabs>
          <w:tab w:leader="none" w:pos="4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40" w:hanging="371"/>
        <w:spacing w:after="0" w:line="266" w:lineRule="auto"/>
        <w:tabs>
          <w:tab w:leader="none" w:pos="4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200" w:hanging="382"/>
        <w:spacing w:after="0" w:line="266" w:lineRule="auto"/>
        <w:tabs>
          <w:tab w:leader="none" w:pos="12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200" w:hanging="382"/>
        <w:spacing w:after="0" w:line="266" w:lineRule="auto"/>
        <w:tabs>
          <w:tab w:leader="none" w:pos="12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200" w:hanging="382"/>
        <w:spacing w:after="0" w:line="282" w:lineRule="auto"/>
        <w:tabs>
          <w:tab w:leader="none" w:pos="12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200" w:hanging="382"/>
        <w:spacing w:after="0" w:line="266" w:lineRule="auto"/>
        <w:tabs>
          <w:tab w:leader="none" w:pos="12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40" w:hanging="371"/>
        <w:spacing w:after="0" w:line="282" w:lineRule="auto"/>
        <w:tabs>
          <w:tab w:leader="none" w:pos="4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200" w:right="20" w:hanging="382"/>
        <w:spacing w:after="0" w:line="282" w:lineRule="auto"/>
        <w:tabs>
          <w:tab w:leader="none" w:pos="12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200" w:hanging="382"/>
        <w:spacing w:after="0" w:line="282" w:lineRule="auto"/>
        <w:tabs>
          <w:tab w:leader="none" w:pos="12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April 25, 2024</w:t>
            </w:r>
          </w:p>
        </w:tc>
        <w:tc>
          <w:tcPr>
            <w:tcW w:w="2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L. Gelfond</w:t>
            </w:r>
          </w:p>
        </w:tc>
      </w:tr>
      <w:tr>
        <w:trPr>
          <w:trHeight w:val="234"/>
        </w:trPr>
        <w:tc>
          <w:tcPr>
            <w:tcW w:w="7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L. Gelfond</w:t>
            </w:r>
          </w:p>
        </w:tc>
      </w:tr>
      <w:tr>
        <w:trPr>
          <w:trHeight w:val="238"/>
        </w:trPr>
        <w:tc>
          <w:tcPr>
            <w:tcW w:w="7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168"/>
        </w:trPr>
        <w:tc>
          <w:tcPr>
            <w:tcW w:w="72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1"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25"/>
          <w:szCs w:val="25"/>
          <w:b w:val="1"/>
          <w:bCs w:val="1"/>
          <w:color w:val="auto"/>
        </w:rPr>
        <w:t>IMAX CORPORATION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 - 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Natasha Fernandes, certify that:</w:t>
      </w:r>
    </w:p>
    <w:p>
      <w:pPr>
        <w:spacing w:after="0" w:line="225" w:lineRule="exact"/>
        <w:rPr>
          <w:sz w:val="20"/>
          <w:szCs w:val="20"/>
          <w:color w:val="auto"/>
        </w:rPr>
      </w:pPr>
    </w:p>
    <w:p>
      <w:pPr>
        <w:ind w:left="440" w:hanging="371"/>
        <w:spacing w:after="0"/>
        <w:tabs>
          <w:tab w:leader="none" w:pos="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2024 of the registrant, IMAX Corporation;</w:t>
      </w:r>
    </w:p>
    <w:p>
      <w:pPr>
        <w:spacing w:after="0" w:line="225" w:lineRule="exact"/>
        <w:rPr>
          <w:rFonts w:ascii="Times New Roman" w:cs="Times New Roman" w:eastAsia="Times New Roman" w:hAnsi="Times New Roman"/>
          <w:sz w:val="18"/>
          <w:szCs w:val="18"/>
          <w:color w:val="auto"/>
        </w:rPr>
      </w:pPr>
    </w:p>
    <w:p>
      <w:pPr>
        <w:jc w:val="both"/>
        <w:ind w:left="440" w:hanging="371"/>
        <w:spacing w:after="0" w:line="266" w:lineRule="auto"/>
        <w:tabs>
          <w:tab w:leader="none" w:pos="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40" w:right="20" w:hanging="371"/>
        <w:spacing w:after="0" w:line="282" w:lineRule="auto"/>
        <w:tabs>
          <w:tab w:leader="none" w:pos="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40" w:hanging="371"/>
        <w:spacing w:after="0" w:line="266" w:lineRule="auto"/>
        <w:tabs>
          <w:tab w:leader="none" w:pos="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200" w:hanging="382"/>
        <w:spacing w:after="0" w:line="266" w:lineRule="auto"/>
        <w:tabs>
          <w:tab w:leader="none" w:pos="12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200" w:hanging="382"/>
        <w:spacing w:after="0" w:line="266" w:lineRule="auto"/>
        <w:tabs>
          <w:tab w:leader="none" w:pos="12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200" w:hanging="382"/>
        <w:spacing w:after="0" w:line="282" w:lineRule="auto"/>
        <w:tabs>
          <w:tab w:leader="none" w:pos="12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200" w:hanging="382"/>
        <w:spacing w:after="0" w:line="266" w:lineRule="auto"/>
        <w:tabs>
          <w:tab w:leader="none" w:pos="12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40" w:hanging="371"/>
        <w:spacing w:after="0" w:line="282" w:lineRule="auto"/>
        <w:tabs>
          <w:tab w:leader="none" w:pos="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200" w:right="20" w:hanging="382"/>
        <w:spacing w:after="0" w:line="282" w:lineRule="auto"/>
        <w:tabs>
          <w:tab w:leader="none" w:pos="12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200" w:hanging="382"/>
        <w:spacing w:after="0" w:line="282" w:lineRule="auto"/>
        <w:tabs>
          <w:tab w:leader="none" w:pos="12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April 25, 2024</w:t>
            </w:r>
          </w:p>
        </w:tc>
        <w:tc>
          <w:tcPr>
            <w:tcW w:w="2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Natasha Fernandes</w:t>
            </w:r>
          </w:p>
        </w:tc>
      </w:tr>
      <w:tr>
        <w:trPr>
          <w:trHeight w:val="234"/>
        </w:trPr>
        <w:tc>
          <w:tcPr>
            <w:tcW w:w="7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Natasha Fernandes</w:t>
            </w:r>
          </w:p>
        </w:tc>
      </w:tr>
      <w:tr>
        <w:trPr>
          <w:trHeight w:val="238"/>
        </w:trPr>
        <w:tc>
          <w:tcPr>
            <w:tcW w:w="7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&amp;</w:t>
            </w:r>
          </w:p>
        </w:tc>
      </w:tr>
      <w:tr>
        <w:trPr>
          <w:trHeight w:val="243"/>
        </w:trPr>
        <w:tc>
          <w:tcPr>
            <w:tcW w:w="72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925"/>
        </w:trPr>
        <w:tc>
          <w:tcPr>
            <w:tcW w:w="72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1"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25"/>
          <w:szCs w:val="25"/>
          <w:b w:val="1"/>
          <w:bCs w:val="1"/>
          <w:color w:val="auto"/>
        </w:rPr>
        <w:t>IMAX CORPORATION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Exhibit 32.1</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906 of the Sarbanes-Oxley Act of 2002</w:t>
      </w:r>
    </w:p>
    <w:p>
      <w:pPr>
        <w:jc w:val="center"/>
        <w:spacing w:after="0"/>
        <w:rPr>
          <w:sz w:val="20"/>
          <w:szCs w:val="20"/>
          <w:color w:val="auto"/>
        </w:rPr>
      </w:pPr>
      <w:r>
        <w:rPr>
          <w:rFonts w:ascii="Times New Roman" w:cs="Times New Roman" w:eastAsia="Times New Roman" w:hAnsi="Times New Roman"/>
          <w:sz w:val="20"/>
          <w:szCs w:val="20"/>
          <w:b w:val="1"/>
          <w:bCs w:val="1"/>
          <w:color w:val="auto"/>
        </w:rPr>
        <w:t>(Subsections (A) and (B) of Section 1350, Chapter 63 of Title 18, United States Code)</w:t>
      </w:r>
    </w:p>
    <w:p>
      <w:pPr>
        <w:spacing w:after="0" w:line="200" w:lineRule="exact"/>
        <w:rPr>
          <w:sz w:val="20"/>
          <w:szCs w:val="20"/>
          <w:color w:val="auto"/>
        </w:rPr>
      </w:pPr>
    </w:p>
    <w:p>
      <w:pPr>
        <w:spacing w:after="0" w:line="214"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I, Richard L. Gelfond, Chief Executive Officer &amp; Director of IMAX Corporation, a Canadian corporation (the “Company”), hereby certify, to my knowledge, that:</w:t>
      </w:r>
    </w:p>
    <w:p>
      <w:pPr>
        <w:spacing w:after="0" w:line="17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March 31, 2024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April 25, 2024</w:t>
            </w:r>
          </w:p>
        </w:tc>
        <w:tc>
          <w:tcPr>
            <w:tcW w:w="2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L. Gelfond</w:t>
            </w:r>
          </w:p>
        </w:tc>
      </w:tr>
      <w:tr>
        <w:trPr>
          <w:trHeight w:val="234"/>
        </w:trPr>
        <w:tc>
          <w:tcPr>
            <w:tcW w:w="7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L. Gelfond</w:t>
            </w:r>
          </w:p>
        </w:tc>
      </w:tr>
      <w:tr>
        <w:trPr>
          <w:trHeight w:val="238"/>
        </w:trPr>
        <w:tc>
          <w:tcPr>
            <w:tcW w:w="7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856"/>
        </w:trPr>
        <w:tc>
          <w:tcPr>
            <w:tcW w:w="72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25"/>
          <w:szCs w:val="25"/>
          <w:b w:val="1"/>
          <w:bCs w:val="1"/>
          <w:color w:val="auto"/>
        </w:rPr>
        <w:t>IMAX CORPORATION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Exhibit 32.2</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906 of the Sarbanes-Oxley Act of 2002</w:t>
      </w:r>
    </w:p>
    <w:p>
      <w:pPr>
        <w:jc w:val="center"/>
        <w:spacing w:after="0"/>
        <w:rPr>
          <w:sz w:val="20"/>
          <w:szCs w:val="20"/>
          <w:color w:val="auto"/>
        </w:rPr>
      </w:pPr>
      <w:r>
        <w:rPr>
          <w:rFonts w:ascii="Times New Roman" w:cs="Times New Roman" w:eastAsia="Times New Roman" w:hAnsi="Times New Roman"/>
          <w:sz w:val="20"/>
          <w:szCs w:val="20"/>
          <w:b w:val="1"/>
          <w:bCs w:val="1"/>
          <w:color w:val="auto"/>
        </w:rPr>
        <w:t>(Subsections (A) and (B) of Section 1350, Chapter 63 of Title 18, United States Code)</w:t>
      </w:r>
    </w:p>
    <w:p>
      <w:pPr>
        <w:spacing w:after="0" w:line="200" w:lineRule="exact"/>
        <w:rPr>
          <w:sz w:val="20"/>
          <w:szCs w:val="20"/>
          <w:color w:val="auto"/>
        </w:rPr>
      </w:pPr>
    </w:p>
    <w:p>
      <w:pPr>
        <w:spacing w:after="0" w:line="214"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I, Natasha Fernandes, Chief Financial Officer &amp; Executive Vice President of IMAX Corporation, a Canadian corporation (the “Company”), hereby certify, to my knowledge, that:</w:t>
      </w:r>
    </w:p>
    <w:p>
      <w:pPr>
        <w:spacing w:after="0" w:line="17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 ended March 31, 2024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April 25, 2024</w:t>
            </w:r>
          </w:p>
        </w:tc>
        <w:tc>
          <w:tcPr>
            <w:tcW w:w="2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Natasha Fernandes</w:t>
            </w:r>
          </w:p>
        </w:tc>
      </w:tr>
      <w:tr>
        <w:trPr>
          <w:trHeight w:val="234"/>
        </w:trPr>
        <w:tc>
          <w:tcPr>
            <w:tcW w:w="7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Natasha Fernandes</w:t>
            </w:r>
          </w:p>
        </w:tc>
      </w:tr>
      <w:tr>
        <w:trPr>
          <w:trHeight w:val="238"/>
        </w:trPr>
        <w:tc>
          <w:tcPr>
            <w:tcW w:w="7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84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&amp;</w:t>
            </w:r>
          </w:p>
        </w:tc>
      </w:tr>
      <w:tr>
        <w:trPr>
          <w:trHeight w:val="243"/>
        </w:trPr>
        <w:tc>
          <w:tcPr>
            <w:tcW w:w="72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1640"/>
        </w:trPr>
        <w:tc>
          <w:tcPr>
            <w:tcW w:w="72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2" w:name="page73"/>
    <w:bookmarkEnd w:id="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1."/>
      <w:numFmt w:val="decimal"/>
      <w:start w:val="4"/>
    </w:lvl>
    <w:lvl w:ilvl="1">
      <w:lvlJc w:val="left"/>
      <w:lvlText w:val="(%2)"/>
      <w:numFmt w:val="lowerLetter"/>
      <w:start w:val="1"/>
    </w:lvl>
  </w:abstractNum>
  <w:abstractNum w:abstractNumId="5">
    <w:nsid w:val="75A2A8D4"/>
    <w:multiLevelType w:val="hybridMultilevel"/>
    <w:lvl w:ilvl="0">
      <w:lvlJc w:val="left"/>
      <w:lvlText w:val="%1."/>
      <w:numFmt w:val="decimal"/>
      <w:start w:val="5"/>
    </w:lvl>
  </w:abstractNum>
  <w:abstractNum w:abstractNumId="6">
    <w:nsid w:val="8EDBDAB"/>
    <w:multiLevelType w:val="hybridMultilevel"/>
    <w:lvl w:ilvl="0">
      <w:lvlJc w:val="left"/>
      <w:lvlText w:val="%1."/>
      <w:numFmt w:val="decimal"/>
      <w:start w:val="6"/>
    </w:lvl>
    <w:lvl w:ilvl="1">
      <w:lvlJc w:val="left"/>
      <w:lvlText w:val="(%2)"/>
      <w:numFmt w:val="lowerLetter"/>
      <w:start w:val="1"/>
    </w:lvl>
  </w:abstractNum>
  <w:abstractNum w:abstractNumId="7">
    <w:nsid w:val="79838CB2"/>
    <w:multiLevelType w:val="hybridMultilevel"/>
    <w:lvl w:ilvl="0">
      <w:lvlJc w:val="left"/>
      <w:lvlText w:val="(%1)"/>
      <w:numFmt w:val="lowerRoman"/>
      <w:start w:val="1"/>
    </w:lvl>
  </w:abstractNum>
  <w:abstractNum w:abstractNumId="8">
    <w:nsid w:val="4353D0CD"/>
    <w:multiLevelType w:val="hybridMultilevel"/>
    <w:lvl w:ilvl="0">
      <w:lvlJc w:val="left"/>
      <w:lvlText w:val="(%1)"/>
      <w:numFmt w:val="lowerLetter"/>
      <w:start w:val="6"/>
    </w:lvl>
  </w:abstractNum>
  <w:abstractNum w:abstractNumId="9">
    <w:nsid w:val="B03E0C6"/>
    <w:multiLevelType w:val="hybridMultilevel"/>
    <w:lvl w:ilvl="0">
      <w:lvlJc w:val="left"/>
      <w:lvlText w:val="(%1)"/>
      <w:numFmt w:val="decimal"/>
      <w:start w:val="1"/>
    </w:lvl>
    <w:lvl w:ilvl="1">
      <w:lvlJc w:val="left"/>
      <w:lvlText w:val="(%2)"/>
      <w:numFmt w:val="lowerLetter"/>
      <w:start w:val="2"/>
    </w:lvl>
  </w:abstractNum>
  <w:abstractNum w:abstractNumId="10">
    <w:nsid w:val="189A769B"/>
    <w:multiLevelType w:val="hybridMultilevel"/>
    <w:lvl w:ilvl="0">
      <w:lvlJc w:val="left"/>
      <w:lvlText w:val="%1."/>
      <w:numFmt w:val="decimal"/>
      <w:start w:val="9"/>
    </w:lvl>
    <w:lvl w:ilvl="1">
      <w:lvlJc w:val="left"/>
      <w:lvlText w:val="(%2)"/>
      <w:numFmt w:val="lowerLetter"/>
      <w:start w:val="1"/>
    </w:lvl>
  </w:abstractNum>
  <w:abstractNum w:abstractNumId="11">
    <w:nsid w:val="54E49EB4"/>
    <w:multiLevelType w:val="hybridMultilevel"/>
    <w:lvl w:ilvl="0">
      <w:lvlJc w:val="left"/>
      <w:lvlText w:val="(%1)"/>
      <w:numFmt w:val="decimal"/>
      <w:start w:val="1"/>
    </w:lvl>
    <w:lvl w:ilvl="1">
      <w:lvlJc w:val="left"/>
      <w:lvlText w:val="(%2)"/>
      <w:numFmt w:val="lowerLetter"/>
      <w:start w:val="3"/>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decimal"/>
      <w:start w:val="10"/>
    </w:lvl>
    <w:lvl w:ilvl="1">
      <w:lvlJc w:val="left"/>
      <w:lvlText w:val="(%2)"/>
      <w:numFmt w:val="lowerLetter"/>
      <w:start w:val="1"/>
    </w:lvl>
  </w:abstractNum>
  <w:abstractNum w:abstractNumId="14">
    <w:nsid w:val="836C40E"/>
    <w:multiLevelType w:val="hybridMultilevel"/>
    <w:lvl w:ilvl="0">
      <w:lvlJc w:val="left"/>
      <w:lvlText w:val="\emdash "/>
      <w:numFmt w:val="bullet"/>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2"/>
    </w:lvl>
  </w:abstractNum>
  <w:abstractNum w:abstractNumId="17">
    <w:nsid w:val="8138641"/>
    <w:multiLevelType w:val="hybridMultilevel"/>
    <w:lvl w:ilvl="0">
      <w:lvlJc w:val="left"/>
      <w:lvlText w:val="%1."/>
      <w:numFmt w:val="decimal"/>
      <w:start w:val="12"/>
    </w:lvl>
    <w:lvl w:ilvl="1">
      <w:lvlJc w:val="left"/>
      <w:lvlText w:val="(%2)"/>
      <w:numFmt w:val="lowerLetter"/>
      <w:start w:val="1"/>
    </w:lvl>
  </w:abstractNum>
  <w:abstractNum w:abstractNumId="18">
    <w:nsid w:val="1E7FF521"/>
    <w:multiLevelType w:val="hybridMultilevel"/>
    <w:lvl w:ilvl="0">
      <w:lvlJc w:val="left"/>
      <w:lvlText w:val="(%1)"/>
      <w:numFmt w:val="lowerRoman"/>
      <w:start w:val="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decimal"/>
      <w:start w:val="15"/>
    </w:lvl>
    <w:lvl w:ilvl="1">
      <w:lvlJc w:val="left"/>
      <w:lvlText w:val="(%2)"/>
      <w:numFmt w:val="lowerLetter"/>
      <w:start w:val="1"/>
    </w:lvl>
  </w:abstractNum>
  <w:abstractNum w:abstractNumId="21">
    <w:nsid w:val="6CEAF087"/>
    <w:multiLevelType w:val="hybridMultilevel"/>
    <w:lvl w:ilvl="0">
      <w:lvlJc w:val="left"/>
      <w:lvlText w:val="(%1)"/>
      <w:numFmt w:val="decimal"/>
      <w:start w:val="1"/>
    </w:lvl>
    <w:lvl w:ilvl="1">
      <w:lvlJc w:val="left"/>
      <w:lvlText w:val="(%2)"/>
      <w:numFmt w:val="lowerLetter"/>
      <w:start w:val="3"/>
    </w:lvl>
  </w:abstractNum>
  <w:abstractNum w:abstractNumId="22">
    <w:nsid w:val="22221A70"/>
    <w:multiLevelType w:val="hybridMultilevel"/>
    <w:lvl w:ilvl="0">
      <w:lvlJc w:val="left"/>
      <w:lvlText w:val="%1."/>
      <w:numFmt w:val="decimal"/>
      <w:start w:val="17"/>
    </w:lvl>
    <w:lvl w:ilvl="1">
      <w:lvlJc w:val="left"/>
      <w:lvlText w:val="(%2)"/>
      <w:numFmt w:val="lowerLetter"/>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1)"/>
      <w:numFmt w:val="lowerLetter"/>
      <w:start w:val="1"/>
    </w:lvl>
  </w:abstractNum>
  <w:abstractNum w:abstractNumId="39">
    <w:nsid w:val="153EA438"/>
    <w:multiLevelType w:val="hybridMultilevel"/>
    <w:lvl w:ilvl="0">
      <w:lvlJc w:val="left"/>
      <w:lvlText w:val="%1"/>
      <w:numFmt w:val="decimal"/>
      <w:start w:val="104"/>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2024-04-25T07:45:29Z</dcterms:created>
  <dcterms:modified xsi:type="dcterms:W3CDTF">2024-04-25T07:45:29Z</dcterms:modified>
</cp:coreProperties>
</file>