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608330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625475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 w:lineRule="exact"/>
        <w:rPr>
          <w:sz w:val="24"/>
          <w:szCs w:val="24"/>
          <w:color w:val="auto"/>
        </w:rPr>
      </w:pPr>
    </w:p>
    <w:p>
      <w:pPr>
        <w:jc w:val="center"/>
        <w:ind w:left="3900" w:right="980" w:hanging="2919"/>
        <w:spacing w:after="0" w:line="255" w:lineRule="auto"/>
        <w:tabs>
          <w:tab w:leader="none" w:pos="118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 w:lineRule="exact"/>
        <w:rPr>
          <w:sz w:val="24"/>
          <w:szCs w:val="24"/>
          <w:color w:val="auto"/>
        </w:rPr>
      </w:pPr>
    </w:p>
    <w:p>
      <w:pPr>
        <w:jc w:val="center"/>
        <w:ind w:left="4380" w:right="960" w:hanging="3406"/>
        <w:spacing w:after="0" w:line="251" w:lineRule="auto"/>
        <w:tabs>
          <w:tab w:leader="none" w:pos="118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001-35066</w:t>
      </w:r>
    </w:p>
    <w:p>
      <w:pPr>
        <w:sectPr>
          <w:pgSz w:w="11900" w:h="16838" w:orient="portrait"/>
          <w:cols w:equalWidth="0" w:num="1">
            <w:col w:w="11240"/>
          </w:cols>
          <w:pgMar w:left="320" w:top="1306" w:right="339" w:bottom="78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65" w:lineRule="exact"/>
        <w:rPr>
          <w:sz w:val="24"/>
          <w:szCs w:val="24"/>
          <w:color w:val="auto"/>
        </w:rPr>
      </w:pPr>
    </w:p>
    <w:p>
      <w:pPr>
        <w:ind w:left="20" w:right="860"/>
        <w:spacing w:after="0" w:line="309"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43"/>
          <w:szCs w:val="43"/>
          <w:b w:val="1"/>
          <w:bCs w:val="1"/>
          <w:color w:val="auto"/>
        </w:rPr>
        <w:t>IMAX Corporation</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98-0140269</w:t>
      </w:r>
    </w:p>
    <w:p>
      <w:pPr>
        <w:spacing w:after="0" w:line="13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(I.R.S. Employer</w:t>
      </w:r>
    </w:p>
    <w:p>
      <w:pPr>
        <w:spacing w:after="0" w:line="2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Identification Number)</w:t>
      </w:r>
    </w:p>
    <w:p>
      <w:pPr>
        <w:spacing w:after="0" w:line="162" w:lineRule="exact"/>
        <w:rPr>
          <w:sz w:val="24"/>
          <w:szCs w:val="24"/>
          <w:color w:val="auto"/>
        </w:rPr>
      </w:pPr>
    </w:p>
    <w:p>
      <w:pPr>
        <w:sectPr>
          <w:pgSz w:w="11900" w:h="16838" w:orient="portrait"/>
          <w:cols w:equalWidth="0" w:num="2">
            <w:col w:w="3040" w:space="720"/>
            <w:col w:w="7480"/>
          </w:cols>
          <w:pgMar w:left="320" w:top="1306" w:right="339" w:bottom="784" w:gutter="0" w:footer="0" w:header="0"/>
          <w:type w:val="continuous"/>
        </w:sect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2525 Speakman Drive,</w:t>
      </w:r>
      <w:r>
        <w:rPr>
          <w:sz w:val="20"/>
          <w:szCs w:val="20"/>
          <w:color w:val="auto"/>
        </w:rPr>
        <w:tab/>
      </w:r>
      <w:r>
        <w:rPr>
          <w:rFonts w:ascii="Times New Roman" w:cs="Times New Roman" w:eastAsia="Times New Roman" w:hAnsi="Times New Roman"/>
          <w:sz w:val="17"/>
          <w:szCs w:val="17"/>
          <w:b w:val="1"/>
          <w:bCs w:val="1"/>
          <w:color w:val="auto"/>
        </w:rPr>
        <w:t>902 Broadway, Floor 20</w:t>
      </w:r>
    </w:p>
    <w:p>
      <w:pPr>
        <w:spacing w:after="0" w:line="30"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Mississauga, Ontario, Canada L5K 1B1</w:t>
      </w:r>
      <w:r>
        <w:rPr>
          <w:sz w:val="20"/>
          <w:szCs w:val="20"/>
          <w:color w:val="auto"/>
        </w:rPr>
        <w:tab/>
      </w:r>
      <w:r>
        <w:rPr>
          <w:rFonts w:ascii="Times New Roman" w:cs="Times New Roman" w:eastAsia="Times New Roman" w:hAnsi="Times New Roman"/>
          <w:sz w:val="17"/>
          <w:szCs w:val="17"/>
          <w:b w:val="1"/>
          <w:bCs w:val="1"/>
          <w:color w:val="auto"/>
        </w:rPr>
        <w:t>New York, New York, USA 10010</w:t>
      </w:r>
    </w:p>
    <w:p>
      <w:pPr>
        <w:spacing w:after="0" w:line="7"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(905) 403-6457</w:t>
      </w:r>
      <w:r>
        <w:rPr>
          <w:sz w:val="20"/>
          <w:szCs w:val="20"/>
          <w:color w:val="auto"/>
        </w:rPr>
        <w:tab/>
      </w:r>
      <w:r>
        <w:rPr>
          <w:rFonts w:ascii="Times New Roman" w:cs="Times New Roman" w:eastAsia="Times New Roman" w:hAnsi="Times New Roman"/>
          <w:sz w:val="17"/>
          <w:szCs w:val="17"/>
          <w:b w:val="1"/>
          <w:bCs w:val="1"/>
          <w:color w:val="auto"/>
        </w:rPr>
        <w:t>(212) 821-0142</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8"/>
        </w:trPr>
        <w:tc>
          <w:tcPr>
            <w:tcW w:w="3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235"/>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Shares, no par value</w:t>
            </w:r>
          </w:p>
        </w:tc>
        <w:tc>
          <w:tcPr>
            <w:tcW w:w="3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IMAX</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New York Stock Exchange</w:t>
            </w:r>
          </w:p>
        </w:tc>
      </w:tr>
    </w:tbl>
    <w:p>
      <w:pPr>
        <w:spacing w:after="0" w:line="200" w:lineRule="exact"/>
        <w:rPr>
          <w:sz w:val="24"/>
          <w:szCs w:val="24"/>
          <w:color w:val="auto"/>
        </w:rPr>
      </w:pPr>
    </w:p>
    <w:p>
      <w:pPr>
        <w:spacing w:after="0" w:line="385" w:lineRule="exact"/>
        <w:rPr>
          <w:sz w:val="24"/>
          <w:szCs w:val="24"/>
          <w:color w:val="auto"/>
        </w:rPr>
      </w:pPr>
    </w:p>
    <w:p>
      <w:pPr>
        <w:jc w:val="both"/>
        <w:ind w:firstLine="193"/>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firstLine="193"/>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firstLine="193"/>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2" w:lineRule="exact"/>
        <w:rPr>
          <w:sz w:val="24"/>
          <w:szCs w:val="24"/>
          <w:color w:val="auto"/>
        </w:rPr>
      </w:pPr>
    </w:p>
    <w:p>
      <w:pPr>
        <w:ind w:right="20" w:firstLine="193"/>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5"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96" w:lineRule="exact"/>
        <w:rPr>
          <w:sz w:val="24"/>
          <w:szCs w:val="24"/>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Class</w:t>
      </w:r>
      <w:r>
        <w:rPr>
          <w:sz w:val="20"/>
          <w:szCs w:val="20"/>
          <w:color w:val="auto"/>
        </w:rPr>
        <w:tab/>
      </w:r>
      <w:r>
        <w:rPr>
          <w:rFonts w:ascii="Times New Roman" w:cs="Times New Roman" w:eastAsia="Times New Roman" w:hAnsi="Times New Roman"/>
          <w:sz w:val="14"/>
          <w:szCs w:val="14"/>
          <w:b w:val="1"/>
          <w:bCs w:val="1"/>
          <w:color w:val="auto"/>
        </w:rPr>
        <w:t>Outstanding as of June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06" w:right="339" w:bottom="784" w:gutter="0" w:footer="0" w:header="0"/>
          <w:type w:val="continuous"/>
        </w:sectPr>
      </w:pPr>
    </w:p>
    <w:p>
      <w:pPr>
        <w:spacing w:after="0" w:line="87" w:lineRule="exact"/>
        <w:rPr>
          <w:sz w:val="24"/>
          <w:szCs w:val="24"/>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Common Shares, no par value</w:t>
      </w:r>
      <w:r>
        <w:rPr>
          <w:sz w:val="20"/>
          <w:szCs w:val="20"/>
          <w:color w:val="auto"/>
        </w:rPr>
        <w:tab/>
      </w:r>
      <w:r>
        <w:rPr>
          <w:rFonts w:ascii="Times New Roman" w:cs="Times New Roman" w:eastAsia="Times New Roman" w:hAnsi="Times New Roman"/>
          <w:sz w:val="17"/>
          <w:szCs w:val="17"/>
          <w:color w:val="auto"/>
        </w:rPr>
        <w:t>52,676,567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306070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06" w:right="339" w:bottom="784"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153035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60" w:type="dxa"/>
            <w:vAlign w:val="bottom"/>
            <w:gridSpan w:val="4"/>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IMAX CORPORATION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6"/>
        </w:trPr>
        <w:tc>
          <w:tcPr>
            <w:tcW w:w="102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200" w:type="dxa"/>
            <w:vAlign w:val="bottom"/>
            <w:gridSpan w:val="12"/>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6"/>
        </w:trPr>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160" w:type="dxa"/>
            <w:vAlign w:val="bottom"/>
            <w:gridSpan w:val="4"/>
          </w:tcPr>
          <w:p>
            <w:pPr>
              <w:spacing w:after="0"/>
              <w:rPr>
                <w:sz w:val="24"/>
                <w:szCs w:val="24"/>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2500" w:type="dxa"/>
            <w:vAlign w:val="bottom"/>
            <w:gridSpan w:val="2"/>
          </w:tcPr>
          <w:p>
            <w:pPr>
              <w:spacing w:after="0"/>
              <w:rPr>
                <w:sz w:val="21"/>
                <w:szCs w:val="21"/>
                <w:color w:val="auto"/>
              </w:rPr>
            </w:pPr>
          </w:p>
        </w:tc>
        <w:tc>
          <w:tcPr>
            <w:tcW w:w="492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7"/>
              </w:rPr>
              <w:t>PART II. OTHER INFORMATION</w:t>
            </w:r>
          </w:p>
        </w:tc>
        <w:tc>
          <w:tcPr>
            <w:tcW w:w="742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88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0" w:type="dxa"/>
            <w:vAlign w:val="bottom"/>
            <w:tcBorders>
              <w:left w:val="single" w:sz="8" w:color="0000FF"/>
            </w:tcBorders>
            <w:gridSpan w:val="5"/>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8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5"/>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3000" w:type="dxa"/>
            <w:vAlign w:val="bottom"/>
            <w:gridSpan w:val="5"/>
          </w:tcPr>
          <w:p>
            <w:pPr>
              <w:spacing w:after="0"/>
              <w:rPr>
                <w:sz w:val="21"/>
                <w:szCs w:val="21"/>
                <w:color w:val="auto"/>
              </w:rPr>
            </w:pPr>
          </w:p>
        </w:tc>
        <w:tc>
          <w:tcPr>
            <w:tcW w:w="48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8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71755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40" w:top="7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
        </w:trPr>
        <w:tc>
          <w:tcPr>
            <w:tcW w:w="10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The following unaudited Condensed Consolidated Financial Statements are filed as part of this Report:</w:t>
            </w: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0640" w:type="dxa"/>
            <w:vAlign w:val="bottom"/>
            <w:gridSpan w:val="7"/>
            <w:vMerge w:val="continue"/>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2024 and December 31, 2023</w:t>
            </w:r>
          </w:p>
        </w:tc>
        <w:tc>
          <w:tcPr>
            <w:tcW w:w="4540" w:type="dxa"/>
            <w:vAlign w:val="bottom"/>
            <w:gridSpan w:val="5"/>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2024 and 2023</w:t>
            </w:r>
          </w:p>
        </w:tc>
        <w:tc>
          <w:tcPr>
            <w:tcW w:w="2740" w:type="dxa"/>
            <w:vAlign w:val="bottom"/>
            <w:gridSpan w:val="3"/>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8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six months ended June 30, 2024 and 2023</w:t>
            </w:r>
          </w:p>
        </w:tc>
        <w:tc>
          <w:tcPr>
            <w:tcW w:w="182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8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182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six months ended June 30, 2024 and 2023</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4660" w:type="dxa"/>
            <w:vAlign w:val="bottom"/>
            <w:gridSpan w:val="4"/>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020" w:type="dxa"/>
            <w:vAlign w:val="bottom"/>
            <w:gridSpan w:val="2"/>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91,552</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76,200</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136,259</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127,154</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64,338</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31,584</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237,781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243,299</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34,856</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35,022</w:t>
            </w: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827,399</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814,669</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20,055</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26,386</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111,013</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67,105</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 of unamortized discounts and debt issuance costs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229,738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229,131</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484,437</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469,080</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color w:val="auto"/>
              </w:rPr>
              <w:t>(see Note 7)</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52,676,567 issued and outstanding (December 31, 2023 — 53,260,276 issued and outstanding)</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394,493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389,048</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185,087</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(292,845)</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267,194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273,141</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71,790</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342,305</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344,931</w:t>
            </w: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827,399</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814,669</w:t>
            </w: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4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29,360</w:t>
            </w:r>
          </w:p>
        </w:tc>
        <w:tc>
          <w:tcPr>
            <w:tcW w:w="12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28,324</w:t>
            </w:r>
          </w:p>
        </w:tc>
        <w:tc>
          <w:tcPr>
            <w:tcW w:w="14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47,182</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93,994</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39,604</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35"/>
        </w:trPr>
        <w:tc>
          <w:tcPr>
            <w:tcW w:w="6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88,961</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97,979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168,084</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184,925</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21,003</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42,824</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45,034</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77,268</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76,987</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43,927</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57,887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90,816</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107,938</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73,054</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executive transition costs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2,872</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14,939</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25,627</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23,082</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14,736</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3,583</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6,857</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5"/>
        </w:trPr>
        <w:tc>
          <w:tcPr>
            <w:tcW w:w="6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52,633</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52,568</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55,145</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4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14,736</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before tax</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net (loss) gain from cash flow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net loss from cash flow hedging instruments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benefit and postretirement benefit plans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comprehensive loss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(6,687)</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other comprehensive loss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4,289</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8,316</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7,805</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6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shareholders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2,930</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4,965</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6,029</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r>
      <w:tr>
        <w:trPr>
          <w:trHeight w:val="228"/>
        </w:trPr>
        <w:tc>
          <w:tcPr>
            <w:tcW w:w="7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r>
      <w:tr>
        <w:trPr>
          <w:trHeight w:val="38"/>
        </w:trPr>
        <w:tc>
          <w:tcPr>
            <w:tcW w:w="79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3"/>
        </w:trPr>
        <w:tc>
          <w:tcPr>
            <w:tcW w:w="7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140" w:type="dxa"/>
            <w:vAlign w:val="bottom"/>
          </w:tcPr>
          <w:p>
            <w:pPr>
              <w:spacing w:after="0"/>
              <w:rPr>
                <w:sz w:val="20"/>
                <w:szCs w:val="20"/>
                <w:color w:val="auto"/>
              </w:rPr>
            </w:pPr>
          </w:p>
        </w:tc>
        <w:tc>
          <w:tcPr>
            <w:tcW w:w="56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14,736</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34,002</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27,198</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expense, net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Write-downs, including asset impairments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and other non-cash compensation</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12,533</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foreign currency exchange loss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and unrealized investment gain</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14,492</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(6,118)</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Film assets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(12,741)</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(9,241)</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w:t>
            </w:r>
          </w:p>
        </w:tc>
      </w:tr>
      <w:tr>
        <w:trPr>
          <w:trHeight w:val="244"/>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(19,086)</w:t>
            </w:r>
          </w:p>
        </w:tc>
        <w:tc>
          <w:tcPr>
            <w:tcW w:w="14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(19,143)</w:t>
            </w:r>
          </w:p>
        </w:tc>
      </w:tr>
      <w:tr>
        <w:trPr>
          <w:trHeight w:val="235"/>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24,070</w:t>
            </w:r>
          </w:p>
        </w:tc>
        <w:tc>
          <w:tcPr>
            <w:tcW w:w="1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25,855</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equipment for joint revenue sharing arrangements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(9,757)</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r>
      <w:tr>
        <w:trPr>
          <w:trHeight w:val="23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of other intangible assets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1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(3,478)</w:t>
            </w:r>
          </w:p>
        </w:tc>
      </w:tr>
      <w:tr>
        <w:trPr>
          <w:trHeight w:val="24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(15,638)</w:t>
            </w:r>
          </w:p>
        </w:tc>
        <w:tc>
          <w:tcPr>
            <w:tcW w:w="14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(8,520)</w:t>
            </w: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borrowings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51,000</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30,717</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(38,886)</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other borrowings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other borrowings</w:t>
            </w:r>
          </w:p>
        </w:tc>
        <w:tc>
          <w:tcPr>
            <w:tcW w:w="9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(18,102)</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withheld and paid on employee stock awards vested</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w:t>
            </w:r>
          </w:p>
        </w:tc>
      </w:tr>
      <w:tr>
        <w:trPr>
          <w:trHeight w:val="24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to non-controlling interests</w:t>
            </w:r>
          </w:p>
        </w:tc>
        <w:tc>
          <w:tcPr>
            <w:tcW w:w="9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r>
      <w:tr>
        <w:trPr>
          <w:trHeight w:val="235"/>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9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6,609</w:t>
            </w:r>
          </w:p>
        </w:tc>
        <w:tc>
          <w:tcPr>
            <w:tcW w:w="140" w:type="dxa"/>
            <w:vAlign w:val="bottom"/>
            <w:tcBorders>
              <w:bottom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(19,761)</w:t>
            </w:r>
          </w:p>
        </w:tc>
      </w:tr>
      <w:tr>
        <w:trPr>
          <w:trHeight w:val="23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cash and cash equivalents during period</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15,352</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(2,135)</w:t>
            </w:r>
          </w:p>
        </w:tc>
      </w:tr>
      <w:tr>
        <w:trPr>
          <w:trHeight w:val="24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76,200</w:t>
            </w:r>
          </w:p>
        </w:tc>
        <w:tc>
          <w:tcPr>
            <w:tcW w:w="14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97,401</w:t>
            </w:r>
          </w:p>
        </w:tc>
      </w:tr>
      <w:tr>
        <w:trPr>
          <w:trHeight w:val="24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91,552</w:t>
            </w:r>
          </w:p>
        </w:tc>
        <w:tc>
          <w:tcPr>
            <w:tcW w:w="140" w:type="dxa"/>
            <w:vAlign w:val="bottom"/>
          </w:tcPr>
          <w:p>
            <w:pPr>
              <w:spacing w:after="0"/>
              <w:rPr>
                <w:sz w:val="20"/>
                <w:szCs w:val="20"/>
                <w:color w:val="auto"/>
              </w:rPr>
            </w:pPr>
          </w:p>
        </w:tc>
        <w:tc>
          <w:tcPr>
            <w:tcW w:w="5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95,266</w:t>
            </w:r>
          </w:p>
        </w:tc>
      </w:tr>
      <w:tr>
        <w:trPr>
          <w:trHeight w:val="20"/>
        </w:trPr>
        <w:tc>
          <w:tcPr>
            <w:tcW w:w="7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1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capital stock:</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393,597</w:t>
            </w:r>
          </w:p>
        </w:tc>
        <w:tc>
          <w:tcPr>
            <w:tcW w:w="14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389,500</w:t>
            </w:r>
          </w:p>
        </w:tc>
        <w:tc>
          <w:tcPr>
            <w:tcW w:w="12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389,048</w:t>
            </w:r>
          </w:p>
        </w:tc>
        <w:tc>
          <w:tcPr>
            <w:tcW w:w="140" w:type="dxa"/>
            <w:vAlign w:val="bottom"/>
          </w:tcPr>
          <w:p>
            <w:pPr>
              <w:spacing w:after="0"/>
              <w:rPr>
                <w:sz w:val="21"/>
                <w:szCs w:val="21"/>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376,715</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 carrying value of repurchased and retired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share units vested, net of shares withheld for employee tax obligations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394,493</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394,493</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390,238</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other equity:</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185,678</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stock options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restricted share units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performance stock units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ownership interest related to IMAX China</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175,374</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statutory surplus reserve:</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deficit: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(297,284)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(292,845)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(293,124)</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shares repurchased and retired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(293,889)</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(293,889)</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other comprehensive loss: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non-controlling interests: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65,691</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to non-controlling shareholders of IMAX China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ownership interest related to IMAX China common share repurchases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75,111</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75,111</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66,167</w:t>
            </w:r>
          </w:p>
        </w:tc>
      </w:tr>
      <w:tr>
        <w:trPr>
          <w:trHeight w:val="26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342,305</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336,881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342,305</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336,881</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spacing w:after="0" w:line="226" w:lineRule="exact"/>
        <w:rPr>
          <w:sz w:val="20"/>
          <w:szCs w:val="20"/>
          <w:color w:val="auto"/>
        </w:rPr>
      </w:pPr>
    </w:p>
    <w:p>
      <w:pPr>
        <w:jc w:val="both"/>
        <w:ind w:left="200" w:right="9400" w:hanging="193"/>
        <w:spacing w:after="0" w:line="562" w:lineRule="auto"/>
        <w:tabs>
          <w:tab w:leader="none" w:pos="18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b w:val="1"/>
          <w:bCs w:val="1"/>
          <w:i w:val="1"/>
          <w:iCs w:val="1"/>
          <w:color w:val="auto"/>
        </w:rPr>
        <w:t>Accounting Principles</w:t>
      </w: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prepares its financial statements in accordance with United States Generally Accepted Accounting Principles (“U.S. GAAP”) and pursuant to the rules and regulations of the Securities and Exchange Commission (the “SEC”).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Condensed Consolidated Balance Sheet at December 31, 2023 was derived from the Company’s audited annual Consolidated Financial Statements, but does not contain all of the footnote disclosures included in the annual financial statements. The interim results presented in the Company’s Condensed Consolidated Statements of Operations are not necessarily indicative of results for a full year.</w:t>
      </w:r>
    </w:p>
    <w:p>
      <w:pPr>
        <w:spacing w:after="0" w:line="212"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included in the Company’s 2023 Annual Report on Form 10-K (the “2023 Form 10-K”), which should be consulted for a summary of the significant accounting policies utilized by the Company. These Condensed Consolidated Financial Statements are prepared following the same accounting policies disclosed in the 2023 Form 10-K.</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IMAX Corporation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20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16.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 A loss in the value of an equity method investment that is other than temporary is recognized as a charge in the Condensed Consolidated Statements of Operations.</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June 30, 2024 and December 31, 2023, total assets and liabilities of the Company’s consolidated VIEs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Borders>
              <w:bottom w:val="single" w:sz="8" w:color="CCEEFF"/>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53"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7"/>
          <w:szCs w:val="17"/>
          <w:color w:val="auto"/>
        </w:rPr>
        <w:t>In preparing the Company’s Condensed Consolidated Financial Statements, management makes judgments in applying various accounting policies. The areas of policy judgment are consistent with those reported in Note 2(b) of the Company’s audited Consolidated Financial Statements included in its 2023 Form 10-K. Management also considers that its determination of operating and reporting segments represents an area of judgment, and has made this conclusion on the basis of what comprises the discrete financial information produced, but not provided to or used by its Chief Operating Decision Maker (“CODM”) to carry out this function.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system equipment supporting joint revenue sharing arrangements; (vii) the economic lives of the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p>
    <w:p>
      <w:pPr>
        <w:spacing w:after="0" w:line="205" w:lineRule="exact"/>
        <w:rPr>
          <w:sz w:val="20"/>
          <w:szCs w:val="20"/>
          <w:color w:val="auto"/>
        </w:rPr>
      </w:pPr>
    </w:p>
    <w:p>
      <w:pPr>
        <w:ind w:left="180" w:hanging="173"/>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 and Accounting Changes</w:t>
      </w:r>
    </w:p>
    <w:p>
      <w:pPr>
        <w:spacing w:after="0" w:line="248"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Recently Issued FASB Accounting Standard Codification Updates Not Yet Adopted</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(Topic 820): Improvements to Reportable Segment Disclosures (“ASU 2023-07”). The purpose of ASU 2023-07 is to enhance the interim disclosure requirements by more closely aligning them with the annual requirements. ASU 2023-07 requires interim and annual disclosures to include information about the company’s significant segment expenses. ASU 2023-07 will be effective for the Company’s year ended December 31, 2024 and all interim periods thereafter. The Company is in the process of evaluating the impact of this ASU on its Consolidated Financial Statements.</w:t>
      </w:r>
    </w:p>
    <w:p>
      <w:pPr>
        <w:spacing w:after="0" w:line="21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 Update 2023-09, Income Taxes (Topic 740) - Improvements to Income Tax Disclosures (“ASU 2023-09”). The amendments in ASU 2023-09 improve the transparency of income tax disclosures by requiring (i) consistent categories and greater disaggregation of information in the rate reconciliation, and (ii) income taxes paid disaggregated by jurisdiction. ASU 2023-09 will be effective for the Company’s year ended December 31, 2025. The Company is in the process of evaluating the impact of this ASU on its Consolidated Financial Statements.</w:t>
      </w:r>
    </w:p>
    <w:p>
      <w:pPr>
        <w:spacing w:after="0" w:line="209"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March 2024, the FASB issued Accounting Standard Update 2024-01, Compensation - Stock Compensation (Topic 718): Scope Application of Profits Interest and Similar Awards (“ASU 2024-01”). ASU 2024-01 amends the guidance in Accounting Standard Codification 718 (“ASC 718”) by adding an illustrative example to demonstrate and clarify how to apply the scope guidance to determine whether profits interests and similar awards should be accounted for as share-based payment arrangement under ASC 718 or another standard. ASU 2024-01 will be effective for the Company’s period ended March 31, 2025. The Company is in the process of evaluating the impact of ASU 2024-01 on its Condensed Consolidated Financial Statements.</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Accounting standard updates that are not noted above were assessed and determined to be not applicable or not significant to the Company’s Condensed Consolidated Financial Statements for the period ended June 30,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Receivables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as follows:</w:t>
      </w:r>
    </w:p>
    <w:p>
      <w:pPr>
        <w:spacing w:after="0" w:line="214" w:lineRule="exact"/>
        <w:rPr>
          <w:sz w:val="20"/>
          <w:szCs w:val="20"/>
          <w:color w:val="auto"/>
        </w:rPr>
      </w:pPr>
    </w:p>
    <w:p>
      <w:pPr>
        <w:ind w:left="780" w:hanging="387"/>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Standing — The theater operator continues to be in good standing as payments and reporting are received on a regular basis.</w:t>
      </w:r>
    </w:p>
    <w:p>
      <w:pPr>
        <w:spacing w:after="0" w:line="248" w:lineRule="exact"/>
        <w:rPr>
          <w:rFonts w:ascii="Times New Roman" w:cs="Times New Roman" w:eastAsia="Times New Roman" w:hAnsi="Times New Roman"/>
          <w:sz w:val="18"/>
          <w:szCs w:val="18"/>
          <w:color w:val="auto"/>
        </w:rPr>
      </w:pPr>
    </w:p>
    <w:p>
      <w:pPr>
        <w:jc w:val="both"/>
        <w:ind w:left="780" w:hanging="387"/>
        <w:spacing w:after="0" w:line="278" w:lineRule="auto"/>
        <w:tabs>
          <w:tab w:leader="none" w:pos="77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93" w:lineRule="exact"/>
        <w:rPr>
          <w:rFonts w:ascii="Times New Roman" w:cs="Times New Roman" w:eastAsia="Times New Roman" w:hAnsi="Times New Roman"/>
          <w:sz w:val="17"/>
          <w:szCs w:val="17"/>
          <w:color w:val="auto"/>
        </w:rPr>
      </w:pPr>
    </w:p>
    <w:p>
      <w:pPr>
        <w:jc w:val="both"/>
        <w:ind w:left="780" w:hanging="387"/>
        <w:spacing w:after="0" w:line="256" w:lineRule="auto"/>
        <w:tabs>
          <w:tab w:leader="none" w:pos="7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209" w:lineRule="exact"/>
        <w:rPr>
          <w:rFonts w:ascii="Times New Roman" w:cs="Times New Roman" w:eastAsia="Times New Roman" w:hAnsi="Times New Roman"/>
          <w:sz w:val="18"/>
          <w:szCs w:val="18"/>
          <w:color w:val="auto"/>
        </w:rPr>
      </w:pPr>
    </w:p>
    <w:p>
      <w:pPr>
        <w:jc w:val="both"/>
        <w:ind w:left="780" w:hanging="387"/>
        <w:spacing w:after="0" w:line="263" w:lineRule="auto"/>
        <w:tabs>
          <w:tab w:leader="none" w:pos="7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Accounts Receivable for the three and six months ended June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
        </w:trPr>
        <w:tc>
          <w:tcPr>
            <w:tcW w:w="28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70"/>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7"/>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8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4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2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2"/>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
        </w:trPr>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7"/>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8"/>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
        </w:trPr>
        <w:tc>
          <w:tcPr>
            <w:tcW w:w="2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56"/>
        </w:trPr>
        <w:tc>
          <w:tcPr>
            <w:tcW w:w="2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Theater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7"/>
                <w:szCs w:val="17"/>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8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4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14,119</w:t>
            </w:r>
          </w:p>
        </w:tc>
      </w:tr>
      <w:tr>
        <w:trPr>
          <w:trHeight w:val="22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6"/>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42"/>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6"/>
        </w:trPr>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Company’s allowance for current expected credit losses related to Accounts Receivable decreased by $0.1 million and $0.2 million, respectively.</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2023, the Company’s allowance for current expected credit losses related to Accounts Receivable increased by $0.2 million and decreased by $0.1 million,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251"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Systems. As of June 30, 2024 and December 31, 2023, financing receivables consist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Pr>
          <w:p>
            <w:pPr>
              <w:spacing w:after="0"/>
              <w:rPr>
                <w:sz w:val="19"/>
                <w:szCs w:val="19"/>
                <w:color w:val="auto"/>
              </w:rPr>
            </w:pPr>
          </w:p>
        </w:tc>
        <w:tc>
          <w:tcPr>
            <w:tcW w:w="12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28,353</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29,992</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29,539</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135,684</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(28,452)</w:t>
            </w:r>
          </w:p>
        </w:tc>
      </w:tr>
      <w:tr>
        <w:trPr>
          <w:trHeight w:val="23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105,218</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107,232</w:t>
            </w: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95,593</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97,615</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123,496</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32,031</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65,584</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95,593</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June 30, 2024 and December 31, 2023, the weighted-average remaining lease term and weighted-average interest rate associated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sales-type lease arrangements and financed sales receivables, as applicable,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1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2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42"/>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2"/>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r>
      <w:tr>
        <w:trPr>
          <w:trHeight w:val="26"/>
        </w:trPr>
        <w:tc>
          <w:tcPr>
            <w:tcW w:w="7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2"/>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r>
      <w:tr>
        <w:trPr>
          <w:trHeight w:val="26"/>
        </w:trPr>
        <w:tc>
          <w:tcPr>
            <w:tcW w:w="77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tables below provide information on the Company’s net investment in leases by credit quality indicator as of June 30, 2024 and December 31, 2023. The amounts disclosed for each credit quality classification are determined on a customer-by-customer basis as per the origination year of the relationship, and include both billed and unbilled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0" w:type="dxa"/>
            <w:vAlign w:val="bottom"/>
          </w:tcPr>
          <w:p>
            <w:pPr>
              <w:spacing w:after="0"/>
              <w:rPr>
                <w:sz w:val="1"/>
                <w:szCs w:val="1"/>
                <w:color w:val="auto"/>
              </w:rPr>
            </w:pPr>
          </w:p>
        </w:tc>
      </w:tr>
      <w:tr>
        <w:trPr>
          <w:trHeight w:val="242"/>
        </w:trPr>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0" w:type="dxa"/>
            <w:vAlign w:val="bottom"/>
          </w:tcPr>
          <w:p>
            <w:pPr>
              <w:spacing w:after="0"/>
              <w:rPr>
                <w:sz w:val="1"/>
                <w:szCs w:val="1"/>
                <w:color w:val="auto"/>
              </w:rPr>
            </w:pPr>
          </w:p>
        </w:tc>
      </w:tr>
      <w:tr>
        <w:trPr>
          <w:trHeight w:val="242"/>
        </w:trPr>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6"/>
        </w:trPr>
        <w:tc>
          <w:tcPr>
            <w:tcW w:w="3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0" w:type="dxa"/>
            <w:vAlign w:val="bottom"/>
          </w:tcPr>
          <w:p>
            <w:pPr>
              <w:spacing w:after="0"/>
              <w:rPr>
                <w:sz w:val="1"/>
                <w:szCs w:val="1"/>
                <w:color w:val="auto"/>
              </w:rPr>
            </w:pPr>
          </w:p>
        </w:tc>
      </w:tr>
      <w:tr>
        <w:trPr>
          <w:trHeight w:val="242"/>
        </w:trPr>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6"/>
        </w:trPr>
        <w:tc>
          <w:tcPr>
            <w:tcW w:w="3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0" w:type="dxa"/>
            <w:vAlign w:val="bottom"/>
          </w:tcPr>
          <w:p>
            <w:pPr>
              <w:spacing w:after="0"/>
              <w:rPr>
                <w:sz w:val="1"/>
                <w:szCs w:val="1"/>
                <w:color w:val="auto"/>
              </w:rPr>
            </w:pPr>
          </w:p>
        </w:tc>
      </w:tr>
      <w:tr>
        <w:trPr>
          <w:trHeight w:val="242"/>
        </w:trPr>
        <w:tc>
          <w:tcPr>
            <w:tcW w:w="39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tables below provide information on the Company’s financed sales receivables by credit quality indicator as of June 30, 2024 and December 31, 2023. The amounts disclosed for each credit quality classification are determined on a customer-by-customer basis as per the origination year of the relationship, and include both billed and unbilled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78,219</w:t>
            </w:r>
          </w:p>
        </w:tc>
        <w:tc>
          <w:tcPr>
            <w:tcW w:w="0" w:type="dxa"/>
            <w:vAlign w:val="bottom"/>
          </w:tcPr>
          <w:p>
            <w:pPr>
              <w:spacing w:after="0"/>
              <w:rPr>
                <w:sz w:val="1"/>
                <w:szCs w:val="1"/>
                <w:color w:val="auto"/>
              </w:rPr>
            </w:pPr>
          </w:p>
        </w:tc>
      </w:tr>
      <w:tr>
        <w:trPr>
          <w:trHeight w:val="242"/>
        </w:trPr>
        <w:tc>
          <w:tcPr>
            <w:tcW w:w="39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0" w:type="dxa"/>
            <w:vAlign w:val="bottom"/>
          </w:tcPr>
          <w:p>
            <w:pPr>
              <w:spacing w:after="0"/>
              <w:rPr>
                <w:sz w:val="1"/>
                <w:szCs w:val="1"/>
                <w:color w:val="auto"/>
              </w:rPr>
            </w:pPr>
          </w:p>
        </w:tc>
      </w:tr>
      <w:tr>
        <w:trPr>
          <w:trHeight w:val="242"/>
        </w:trPr>
        <w:tc>
          <w:tcPr>
            <w:tcW w:w="39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0" w:type="dxa"/>
            <w:vAlign w:val="bottom"/>
          </w:tcPr>
          <w:p>
            <w:pPr>
              <w:spacing w:after="0"/>
              <w:rPr>
                <w:sz w:val="1"/>
                <w:szCs w:val="1"/>
                <w:color w:val="auto"/>
              </w:rPr>
            </w:pPr>
          </w:p>
        </w:tc>
      </w:tr>
      <w:tr>
        <w:trPr>
          <w:trHeight w:val="26"/>
        </w:trPr>
        <w:tc>
          <w:tcPr>
            <w:tcW w:w="3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94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920" w:type="dxa"/>
            <w:vAlign w:val="bottom"/>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76,885</w:t>
            </w:r>
          </w:p>
        </w:tc>
        <w:tc>
          <w:tcPr>
            <w:tcW w:w="0" w:type="dxa"/>
            <w:vAlign w:val="bottom"/>
          </w:tcPr>
          <w:p>
            <w:pPr>
              <w:spacing w:after="0"/>
              <w:rPr>
                <w:sz w:val="1"/>
                <w:szCs w:val="1"/>
                <w:color w:val="auto"/>
              </w:rPr>
            </w:pPr>
          </w:p>
        </w:tc>
      </w:tr>
      <w:tr>
        <w:trPr>
          <w:trHeight w:val="242"/>
        </w:trPr>
        <w:tc>
          <w:tcPr>
            <w:tcW w:w="39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15,586</w:t>
            </w:r>
          </w:p>
        </w:tc>
        <w:tc>
          <w:tcPr>
            <w:tcW w:w="0" w:type="dxa"/>
            <w:vAlign w:val="bottom"/>
          </w:tcPr>
          <w:p>
            <w:pPr>
              <w:spacing w:after="0"/>
              <w:rPr>
                <w:sz w:val="1"/>
                <w:szCs w:val="1"/>
                <w:color w:val="auto"/>
              </w:rPr>
            </w:pPr>
          </w:p>
        </w:tc>
      </w:tr>
      <w:tr>
        <w:trPr>
          <w:trHeight w:val="242"/>
        </w:trPr>
        <w:tc>
          <w:tcPr>
            <w:tcW w:w="39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0" w:type="dxa"/>
            <w:vAlign w:val="bottom"/>
          </w:tcPr>
          <w:p>
            <w:pPr>
              <w:spacing w:after="0"/>
              <w:rPr>
                <w:sz w:val="1"/>
                <w:szCs w:val="1"/>
                <w:color w:val="auto"/>
              </w:rPr>
            </w:pPr>
          </w:p>
        </w:tc>
      </w:tr>
      <w:tr>
        <w:trPr>
          <w:trHeight w:val="26"/>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9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65,173</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sales receivables as of June 30, 2024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Accrued</w:t>
            </w:r>
          </w:p>
        </w:tc>
        <w:tc>
          <w:tcPr>
            <w:tcW w:w="20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5"/>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0" w:type="dxa"/>
            <w:vAlign w:val="bottom"/>
          </w:tcPr>
          <w:p>
            <w:pPr>
              <w:spacing w:after="0"/>
              <w:rPr>
                <w:sz w:val="1"/>
                <w:szCs w:val="1"/>
                <w:color w:val="auto"/>
              </w:rPr>
            </w:pPr>
          </w:p>
        </w:tc>
      </w:tr>
      <w:tr>
        <w:trPr>
          <w:trHeight w:val="24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95,593</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115,867</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06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3"/>
                <w:szCs w:val="13"/>
                <w:color w:val="auto"/>
              </w:rPr>
            </w:pPr>
          </w:p>
        </w:tc>
        <w:tc>
          <w:tcPr>
            <w:tcW w:w="740" w:type="dxa"/>
            <w:vAlign w:val="bottom"/>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right="138"/>
              <w:spacing w:after="0" w:line="157" w:lineRule="exact"/>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8"/>
        </w:trPr>
        <w:tc>
          <w:tcPr>
            <w:tcW w:w="2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0" w:type="dxa"/>
            <w:vAlign w:val="bottom"/>
          </w:tcPr>
          <w:p>
            <w:pPr>
              <w:spacing w:after="0"/>
              <w:rPr>
                <w:sz w:val="1"/>
                <w:szCs w:val="1"/>
                <w:color w:val="auto"/>
              </w:rPr>
            </w:pPr>
          </w:p>
        </w:tc>
      </w:tr>
      <w:tr>
        <w:trPr>
          <w:trHeight w:val="24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 receivables with billed amounts past due for which it continues to accrue finance income as of June 30, 2024 and December 31, 2023. The amounts disclosed for each credit quality classification are determined on a customer-by-customer basis and include both billed and unbilled amounts.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
        </w:trPr>
        <w:tc>
          <w:tcPr>
            <w:tcW w:w="38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70"/>
        </w:trPr>
        <w:tc>
          <w:tcPr>
            <w:tcW w:w="3880" w:type="dxa"/>
            <w:vAlign w:val="bottom"/>
          </w:tcPr>
          <w:p>
            <w:pPr>
              <w:spacing w:after="0"/>
              <w:rPr>
                <w:sz w:val="14"/>
                <w:szCs w:val="14"/>
                <w:color w:val="auto"/>
              </w:rPr>
            </w:pP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30-89</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90+</w:t>
            </w: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840" w:type="dxa"/>
            <w:vAlign w:val="bottom"/>
          </w:tcPr>
          <w:p>
            <w:pPr>
              <w:spacing w:after="0"/>
              <w:rPr>
                <w:sz w:val="14"/>
                <w:szCs w:val="14"/>
                <w:color w:val="auto"/>
              </w:rPr>
            </w:pPr>
          </w:p>
        </w:tc>
      </w:tr>
      <w:tr>
        <w:trPr>
          <w:trHeight w:val="187"/>
        </w:trPr>
        <w:tc>
          <w:tcPr>
            <w:tcW w:w="3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40" w:type="dxa"/>
            <w:vAlign w:val="bottom"/>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Days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27,183</w:t>
            </w:r>
          </w:p>
        </w:tc>
      </w:tr>
      <w:tr>
        <w:trPr>
          <w:trHeight w:val="24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44,713</w:t>
            </w:r>
          </w:p>
        </w:tc>
      </w:tr>
      <w:tr>
        <w:trPr>
          <w:trHeight w:val="26"/>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16,545</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71,896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
        </w:trPr>
        <w:tc>
          <w:tcPr>
            <w:tcW w:w="3900" w:type="dxa"/>
            <w:vAlign w:val="bottom"/>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70"/>
        </w:trPr>
        <w:tc>
          <w:tcPr>
            <w:tcW w:w="390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30-89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7"/>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8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4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8"/>
        </w:trPr>
        <w:tc>
          <w:tcPr>
            <w:tcW w:w="39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4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27,711</w:t>
            </w:r>
          </w:p>
        </w:tc>
      </w:tr>
      <w:tr>
        <w:trPr>
          <w:trHeight w:val="24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44,451</w:t>
            </w:r>
          </w:p>
        </w:tc>
      </w:tr>
      <w:tr>
        <w:trPr>
          <w:trHeight w:val="26"/>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17,166</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72,162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 receivables that are on nonaccrual status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December 31,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80" w:type="dxa"/>
            <w:vAlign w:val="bottom"/>
          </w:tcPr>
          <w:p>
            <w:pPr>
              <w:spacing w:after="0"/>
              <w:rPr>
                <w:sz w:val="16"/>
                <w:szCs w:val="16"/>
                <w:color w:val="auto"/>
              </w:rPr>
            </w:pPr>
          </w:p>
        </w:tc>
      </w:tr>
      <w:tr>
        <w:trPr>
          <w:trHeight w:val="38"/>
        </w:trPr>
        <w:tc>
          <w:tcPr>
            <w:tcW w:w="49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1"/>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0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0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6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8"/>
        </w:trPr>
        <w:tc>
          <w:tcPr>
            <w:tcW w:w="49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42"/>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w:t>
            </w:r>
          </w:p>
        </w:tc>
      </w:tr>
      <w:tr>
        <w:trPr>
          <w:trHeight w:val="26"/>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27,586</w:t>
            </w:r>
          </w:p>
        </w:tc>
        <w:tc>
          <w:tcPr>
            <w:tcW w:w="3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18,324</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2024 and 2023, the Company did not recognize Finance Income related to the net investment in leases on non-accrual status.</w:t>
      </w:r>
    </w:p>
    <w:p>
      <w:pPr>
        <w:spacing w:after="0" w:line="189"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recognized $0.3 million and $0.7 million, respectively (2023 — less than $0.1 million and less than $0.1 million, respectively) in Finance Income related to the financed sales receivables in nonaccrual status.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the Company’s net investment in leases and financed sale receivables for the three and six months ended June 30, 2024 and 2023:</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3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4580" w:type="dxa"/>
            <w:vAlign w:val="bottom"/>
          </w:tcPr>
          <w:p>
            <w:pPr>
              <w:spacing w:after="0"/>
              <w:rPr>
                <w:sz w:val="19"/>
                <w:szCs w:val="19"/>
                <w:color w:val="auto"/>
              </w:rPr>
            </w:pPr>
          </w:p>
        </w:tc>
        <w:tc>
          <w:tcPr>
            <w:tcW w:w="33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38"/>
        </w:trPr>
        <w:tc>
          <w:tcPr>
            <w:tcW w:w="45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70"/>
        </w:trPr>
        <w:tc>
          <w:tcPr>
            <w:tcW w:w="4580" w:type="dxa"/>
            <w:vAlign w:val="bottom"/>
          </w:tcPr>
          <w:p>
            <w:pPr>
              <w:spacing w:after="0"/>
              <w:rPr>
                <w:sz w:val="14"/>
                <w:szCs w:val="14"/>
                <w:color w:val="auto"/>
              </w:rPr>
            </w:pPr>
          </w:p>
        </w:tc>
        <w:tc>
          <w:tcPr>
            <w:tcW w:w="15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Financed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187"/>
        </w:trPr>
        <w:tc>
          <w:tcPr>
            <w:tcW w:w="4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(reversal) provision,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w:t>
            </w: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545"/>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3060" w:type="dxa"/>
            <w:vAlign w:val="bottom"/>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00" w:type="dxa"/>
            <w:vAlign w:val="bottom"/>
          </w:tcPr>
          <w:p>
            <w:pPr>
              <w:spacing w:after="0"/>
              <w:rPr>
                <w:sz w:val="19"/>
                <w:szCs w:val="19"/>
                <w:color w:val="auto"/>
              </w:rPr>
            </w:pPr>
          </w:p>
        </w:tc>
        <w:tc>
          <w:tcPr>
            <w:tcW w:w="3060" w:type="dxa"/>
            <w:vAlign w:val="bottom"/>
            <w:gridSpan w:val="4"/>
          </w:tcPr>
          <w:p>
            <w:pPr>
              <w:jc w:val="right"/>
              <w:ind w:right="1134"/>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8"/>
        </w:trPr>
        <w:tc>
          <w:tcPr>
            <w:tcW w:w="4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56"/>
        </w:trPr>
        <w:tc>
          <w:tcPr>
            <w:tcW w:w="4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3"/>
                <w:szCs w:val="13"/>
                <w:color w:val="auto"/>
              </w:rPr>
            </w:pPr>
          </w:p>
        </w:tc>
        <w:tc>
          <w:tcPr>
            <w:tcW w:w="1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Net Financed</w:t>
            </w:r>
          </w:p>
        </w:tc>
        <w:tc>
          <w:tcPr>
            <w:tcW w:w="200" w:type="dxa"/>
            <w:vAlign w:val="bottom"/>
          </w:tcPr>
          <w:p>
            <w:pPr>
              <w:spacing w:after="0"/>
              <w:rPr>
                <w:sz w:val="13"/>
                <w:szCs w:val="13"/>
                <w:color w:val="auto"/>
              </w:rPr>
            </w:pPr>
          </w:p>
        </w:tc>
        <w:tc>
          <w:tcPr>
            <w:tcW w:w="1500" w:type="dxa"/>
            <w:vAlign w:val="bottom"/>
            <w:gridSpan w:val="2"/>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3"/>
                <w:szCs w:val="13"/>
                <w:color w:val="auto"/>
              </w:rPr>
            </w:pPr>
          </w:p>
        </w:tc>
        <w:tc>
          <w:tcPr>
            <w:tcW w:w="1380" w:type="dxa"/>
            <w:vAlign w:val="bottom"/>
          </w:tcPr>
          <w:p>
            <w:pPr>
              <w:jc w:val="right"/>
              <w:ind w:right="294"/>
              <w:spacing w:after="0" w:line="157" w:lineRule="exact"/>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20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2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7"/>
                <w:szCs w:val="17"/>
                <w:color w:val="auto"/>
              </w:rPr>
            </w:pP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r>
        <w:trPr>
          <w:trHeight w:val="38"/>
        </w:trPr>
        <w:tc>
          <w:tcPr>
            <w:tcW w:w="4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(reversal) provision,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6"/>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w:t>
            </w: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Company’s allowance for current expected credit losses related to its net investment in leases decreased by less than $0.1 million, respectively, and financed sale receivables increased by less than $0.1 million, respectively.</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2023, the Company’s allowance for current expected credit losses related to its net investment in leases decreased by $0.1 million, respectively, and financed sale receivables decreased by $0.5 million and increased by $0.1 million, respectively.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Variable Consideration Receivables</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three and six months ended June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8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4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gridSpan w:val="3"/>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tcPr>
          <w:p>
            <w:pPr>
              <w:spacing w:after="0"/>
              <w:rPr>
                <w:sz w:val="19"/>
                <w:szCs w:val="19"/>
                <w:color w:val="auto"/>
              </w:rPr>
            </w:pPr>
          </w:p>
        </w:tc>
      </w:tr>
      <w:tr>
        <w:trPr>
          <w:trHeight w:val="38"/>
        </w:trPr>
        <w:tc>
          <w:tcPr>
            <w:tcW w:w="46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3"/>
        </w:trPr>
        <w:tc>
          <w:tcPr>
            <w:tcW w:w="4640" w:type="dxa"/>
            <w:vAlign w:val="bottom"/>
          </w:tcPr>
          <w:p>
            <w:pPr>
              <w:spacing w:after="0"/>
              <w:rPr>
                <w:sz w:val="15"/>
                <w:szCs w:val="15"/>
                <w:color w:val="auto"/>
              </w:rPr>
            </w:pPr>
          </w:p>
        </w:tc>
        <w:tc>
          <w:tcPr>
            <w:tcW w:w="11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3"/>
        </w:trPr>
        <w:tc>
          <w:tcPr>
            <w:tcW w:w="4640" w:type="dxa"/>
            <w:vAlign w:val="bottom"/>
          </w:tcPr>
          <w:p>
            <w:pPr>
              <w:spacing w:after="0"/>
              <w:rPr>
                <w:sz w:val="19"/>
                <w:szCs w:val="19"/>
                <w:color w:val="auto"/>
              </w:rPr>
            </w:pP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40" w:type="dxa"/>
            <w:vAlign w:val="bottom"/>
          </w:tcPr>
          <w:p>
            <w:pPr>
              <w:spacing w:after="0"/>
              <w:rPr>
                <w:sz w:val="19"/>
                <w:szCs w:val="19"/>
                <w:color w:val="auto"/>
              </w:rPr>
            </w:pPr>
          </w:p>
        </w:tc>
        <w:tc>
          <w:tcPr>
            <w:tcW w:w="12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Theater</w:t>
            </w:r>
          </w:p>
        </w:tc>
      </w:tr>
      <w:tr>
        <w:trPr>
          <w:trHeight w:val="18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40" w:type="dxa"/>
            <w:vAlign w:val="bottom"/>
          </w:tcPr>
          <w:p>
            <w:pPr>
              <w:spacing w:after="0"/>
              <w:rPr>
                <w:sz w:val="16"/>
                <w:szCs w:val="16"/>
                <w:color w:val="auto"/>
              </w:rPr>
            </w:pPr>
          </w:p>
        </w:tc>
        <w:tc>
          <w:tcPr>
            <w:tcW w:w="122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Operators</w:t>
            </w:r>
          </w:p>
        </w:tc>
      </w:tr>
      <w:tr>
        <w:trPr>
          <w:trHeight w:val="38"/>
        </w:trPr>
        <w:tc>
          <w:tcPr>
            <w:tcW w:w="464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2"/>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8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42"/>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net</w:t>
            </w: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6"/>
        </w:trPr>
        <w:tc>
          <w:tcPr>
            <w:tcW w:w="4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8"/>
        </w:trPr>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80" w:type="dxa"/>
            <w:vAlign w:val="bottom"/>
            <w:tcBorders>
              <w:top w:val="single" w:sz="8" w:color="auto"/>
              <w:bottom w:val="single" w:sz="8" w:color="auto"/>
            </w:tcBorders>
          </w:tcPr>
          <w:p>
            <w:pPr>
              <w:jc w:val="right"/>
              <w:ind w:right="98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0"/>
        </w:trPr>
        <w:tc>
          <w:tcPr>
            <w:tcW w:w="4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Company’s allowance for current expected credit losses related to Variable Consideration Receivables increased by less than $0.1 million, respectively (2023 — increased by $0.2 million and $0.1 million, respectively).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 Arrangements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Corporation as a Lessee</w:t>
      </w:r>
    </w:p>
    <w:p>
      <w:pPr>
        <w:spacing w:after="0" w:line="253" w:lineRule="exact"/>
        <w:rPr>
          <w:sz w:val="20"/>
          <w:szCs w:val="20"/>
          <w:color w:val="auto"/>
        </w:rPr>
      </w:pPr>
    </w:p>
    <w:p>
      <w:pPr>
        <w:jc w:val="both"/>
        <w:ind w:firstLine="193"/>
        <w:spacing w:after="0" w:line="269" w:lineRule="auto"/>
        <w:rPr>
          <w:sz w:val="20"/>
          <w:szCs w:val="20"/>
          <w:color w:val="auto"/>
        </w:rPr>
      </w:pPr>
      <w:r>
        <w:rPr>
          <w:rFonts w:ascii="Times New Roman" w:cs="Times New Roman" w:eastAsia="Times New Roman" w:hAnsi="Times New Roman"/>
          <w:sz w:val="17"/>
          <w:szCs w:val="17"/>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as incurred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has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2024 and 2023, the components of lease expense recorded within Selling, General and Administrative Expenses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46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21"/>
                <w:szCs w:val="21"/>
                <w:color w:val="auto"/>
              </w:rPr>
            </w:pPr>
          </w:p>
        </w:tc>
        <w:tc>
          <w:tcPr>
            <w:tcW w:w="6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21"/>
                <w:szCs w:val="21"/>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21"/>
                <w:szCs w:val="21"/>
                <w:color w:val="auto"/>
              </w:rPr>
            </w:pPr>
          </w:p>
        </w:tc>
        <w:tc>
          <w:tcPr>
            <w:tcW w:w="5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and variable lease costs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six months ended June 30, 2024 and 2023, supplemental cash and non-cash information related to leases is as follows:</w:t>
      </w:r>
    </w:p>
    <w:p>
      <w:pPr>
        <w:spacing w:after="0" w:line="296"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21"/>
                <w:szCs w:val="21"/>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leasing activities: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June 30, 2024 and December 31, 2023, supplemental balance sheet information related to leases is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3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3980" w:type="dxa"/>
            <w:vAlign w:val="bottom"/>
            <w:tcBorders>
              <w:bottom w:val="single" w:sz="8" w:color="CCEEFF"/>
            </w:tcBorders>
          </w:tcPr>
          <w:p>
            <w:pPr>
              <w:spacing w:after="0"/>
              <w:rPr>
                <w:sz w:val="3"/>
                <w:szCs w:val="3"/>
                <w:color w:val="auto"/>
              </w:rPr>
            </w:pPr>
          </w:p>
        </w:tc>
        <w:tc>
          <w:tcPr>
            <w:tcW w:w="1700" w:type="dxa"/>
            <w:vAlign w:val="bottom"/>
            <w:tcBorders>
              <w:bottom w:val="single" w:sz="8" w:color="CCEEFF"/>
            </w:tcBorders>
          </w:tcPr>
          <w:p>
            <w:pPr>
              <w:spacing w:after="0"/>
              <w:rPr>
                <w:sz w:val="3"/>
                <w:szCs w:val="3"/>
                <w:color w:val="auto"/>
              </w:rPr>
            </w:pPr>
          </w:p>
        </w:tc>
        <w:tc>
          <w:tcPr>
            <w:tcW w:w="22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3980" w:type="dxa"/>
            <w:vAlign w:val="bottom"/>
            <w:tcBorders>
              <w:bottom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Assets:</w:t>
            </w:r>
          </w:p>
        </w:tc>
        <w:tc>
          <w:tcPr>
            <w:tcW w:w="1700" w:type="dxa"/>
            <w:vAlign w:val="bottom"/>
            <w:tcBorders>
              <w:bottom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w w:val="98"/>
              </w:rPr>
              <w:t>Balance Sheet Location</w:t>
            </w:r>
          </w:p>
        </w:tc>
        <w:tc>
          <w:tcPr>
            <w:tcW w:w="2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120" w:type="dxa"/>
            <w:vAlign w:val="bottom"/>
          </w:tcPr>
          <w:p>
            <w:pPr>
              <w:spacing w:after="0"/>
              <w:rPr>
                <w:sz w:val="21"/>
                <w:szCs w:val="21"/>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w:t>
            </w:r>
          </w:p>
        </w:tc>
      </w:tr>
      <w:tr>
        <w:trPr>
          <w:trHeight w:val="26"/>
        </w:trPr>
        <w:tc>
          <w:tcPr>
            <w:tcW w:w="3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01"/>
        </w:trPr>
        <w:tc>
          <w:tcPr>
            <w:tcW w:w="3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Liabilities:</w:t>
            </w:r>
          </w:p>
        </w:tc>
        <w:tc>
          <w:tcPr>
            <w:tcW w:w="39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Balance Sheet Location</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7"/>
        </w:trPr>
        <w:tc>
          <w:tcPr>
            <w:tcW w:w="398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48"/>
        </w:trPr>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w:t>
            </w:r>
          </w:p>
        </w:tc>
      </w:tr>
      <w:tr>
        <w:trPr>
          <w:trHeight w:val="242"/>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bl>
    <w:p>
      <w:pPr>
        <w:spacing w:after="0" w:line="3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June 30, 2024 and December 31, 2023, the weighted-average remaining lease term and weighted-average interest rate associated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leases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7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7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r>
      <w:tr>
        <w:trPr>
          <w:trHeight w:val="242"/>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79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2"/>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563"/>
        </w:trPr>
        <w:tc>
          <w:tcPr>
            <w:tcW w:w="7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 of June 30, 2024, the maturities of the Company’s operating and finance lease liabilities are as follows: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7"/>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24"/>
                <w:szCs w:val="24"/>
                <w:color w:val="auto"/>
              </w:rPr>
            </w:pPr>
          </w:p>
        </w:tc>
        <w:tc>
          <w:tcPr>
            <w:tcW w:w="13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38"/>
        </w:trPr>
        <w:tc>
          <w:tcPr>
            <w:tcW w:w="796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(six months remaining)</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4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9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2"/>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13,546</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42"/>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 expense</w:t>
            </w:r>
          </w:p>
        </w:tc>
        <w:tc>
          <w:tcPr>
            <w:tcW w:w="2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
        </w:trPr>
        <w:tc>
          <w:tcPr>
            <w:tcW w:w="79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2"/>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11,706</w:t>
            </w:r>
          </w:p>
        </w:tc>
        <w:tc>
          <w:tcPr>
            <w:tcW w:w="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Corporation as a Lessor</w:t>
      </w:r>
    </w:p>
    <w:p>
      <w:pPr>
        <w:spacing w:after="0" w:line="2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2(o) of the Company’s audited Consolidated Financial Statements included in its 2023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The Company also provides IMAX Systems to customers through joint revenue sharing arrangements.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 Under certain other joint revenue sharing arrangements, known as hybrid arrangements, the customer is responsible for making fixed upfront payments prior to the delivery and installation of the IMAX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ten years or longer with renewal provisions. Title to the IMAX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219"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lease payments are expected to be received by the Company for its sales-type leases and joint revenue sharing arrangements in each of the next five years and thereafter following the June 30, 2024 balance sheet date: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Sales-Type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Joint Revenue Sharing</w:t>
            </w:r>
          </w:p>
        </w:tc>
      </w:tr>
      <w:tr>
        <w:trPr>
          <w:trHeight w:val="18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6"/>
                <w:szCs w:val="16"/>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arrangements</w:t>
            </w:r>
          </w:p>
        </w:tc>
      </w:tr>
      <w:tr>
        <w:trPr>
          <w:trHeight w:val="38"/>
        </w:trPr>
        <w:tc>
          <w:tcPr>
            <w:tcW w:w="79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(six months remaining)</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180" w:hanging="173"/>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2024 and December 31, 2023, Inventories consist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7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Pr>
          <w:p>
            <w:pPr>
              <w:spacing w:after="0"/>
              <w:rPr>
                <w:sz w:val="19"/>
                <w:szCs w:val="19"/>
                <w:color w:val="auto"/>
              </w:rPr>
            </w:pPr>
          </w:p>
        </w:tc>
        <w:tc>
          <w:tcPr>
            <w:tcW w:w="12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27,660</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37,798</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31,584</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June 30, 2024, Inventories include finished goods of $1.7 million (December 31, 2023 — $0.6 million) for which title had passed to the customers, but the criteria for revenue recognition were not met as of the balance sheet date.</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write-downs of $0.2 million, respectively (2023 — write-downs of $0.1 million, respectively) in Costs and Expenses Applicable to Revenues ― Technology Sales.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180" w:hanging="173"/>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48"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Revolving Credit Facility Borrowings, Net</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2024 and December 31, 2023, Revolving Credit Facility Borrowings, Net includes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Pr>
          <w:p>
            <w:pPr>
              <w:spacing w:after="0"/>
              <w:rPr>
                <w:sz w:val="19"/>
                <w:szCs w:val="19"/>
                <w:color w:val="auto"/>
              </w:rPr>
            </w:pPr>
          </w:p>
        </w:tc>
        <w:tc>
          <w:tcPr>
            <w:tcW w:w="12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24,000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(1,076)</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22,924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25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On March 25, 2022, the Company entered into a Sixth Amended and Restated Credit Agreement with Wells Fargo Bank, National Association, as agent (the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21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color w:val="auto"/>
        </w:rPr>
        <w:t>The Credit Agreement has a revolving borrowing capacity of $300.0 million, and contains an uncommitted accordion feature allowing the Company to further increase its borrowing capacity by the greater of $140.0 million, for a total of $440.0 million, or by the Company’s EBITDA for the sum of the four most recently ended fiscal quarters, subject to certain conditions, depending on the mix of revolving loans and/or term loans under the incremental facility and subject to conditions set forth in the Credit Agreement.</w:t>
      </w:r>
    </w:p>
    <w:p>
      <w:pPr>
        <w:spacing w:after="0" w:line="2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Credit Facility requires that the Company maintain a maximum Senior Secured Net Leverage Ratio (as defined in the Credit Agreement) of no greater than 3.25:1.00, on the last day of each Fiscal Quarter. The Senior Secured Net Leverage Ratio is the ratio of Total Debt (as defined in the Credit Agreement), secured by liens, net of unrestricted cash and cash equivalents held outside of the People’s Republic of China (“the PRC”) up to a maximum of $75.0 million, relative to Adjusted EBITDA per Credit Facility for the four prior quarters. The Senior Secured Net Leverage Ratio is calculated using Adjusted EBITDA per Credit Facility determined on a trailing twelve-month basis. The Company was in compliance with this requirement as of June 30, 2024 as the Senior Secured Net Leverage Ratio was 0.06:1.00.</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Loans under the Credit Facility bear interest, at the Company’s option, at (i) Term Secure Overnight Financing Rate (“SOFR”), Eurocurrency Rate or Canadian Dollar Offered Rate (“CDOR”) plus a margin ranging from 1.00% to 1.75% per annum; or (ii) the U.S. base rate or the Canadian prime rate plus a margin ranging from 0.25% to 1.00% per annum, in each case depending on the Company’s total leverage ratio. In no event will Term SOFR, Eurocurrency Rate be less than 0.00% per annum.</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June 30, 2024, borrowings under the Credit Facility were $54.0 million (December 31, 2023 — $24.0 million) and bear interest at Term SOFR, plus a margin of 1.75% per annum based on the Company’s total leverage ratio. The effective interest rate for the three and six months ended June 30, 2024 was 7.10% and 7.03%, respectively.</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covenants that limit indebtedness, liens, asset sales, investments and restricted payments, in each case subject to negotiated exceptions and baskets. The Credit Agreement also contains customary representations, warranties and event of default provisions.</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June 30, 2024, and December 31, 2023, the Company had no letters of credit or advance payment guarantees outstanding under the Credit Facility.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amount available for future borrowings under the Credit Facility was $246.0 million (December 31, 2023 — $276.0 million).</w:t>
      </w: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Exchange Facility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As of June 30, 2024, the net unrealized loss on the Company’s outstanding foreign currency forward contracts was $0.4 million, representing the amount by which the notional value of these forward contracts exceeded their fair value (December 31, 2023 — net unrealized gain of $0.8 million). As of June 30, 2024, the notional value of the Company’s outstanding foreign currency forward contracts was $39.4 million (December 31, 2023 — $40.6 million).</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Bank of China Facility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June 2022, IMAX (Shanghai) Multimedia Technology Co., Ltd. (“IMAX Shanghai”), one of the Company’s majority-owned subsidiaries in China, renewed its unsecured revolving facility with Bank of China for up to 200.0 million Chinese Renminbi (“RMB”) ($28.1 million), including RMB 10.0 million ($1.4 million) for letters of guarantee, to fund ongoing working capital requirements (the “Bank of China Facility”). The Bank of China Facility expired in September 2023 and has been renewed to February 21, 2025.</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June 30, 2024, and December 31, 2023 there were no borrowings outstanding under the Bank of China Facility and outstanding letters of guarantee were RMB 0.2 million (less than $0.1 million).</w:t>
      </w:r>
    </w:p>
    <w:p>
      <w:pPr>
        <w:spacing w:after="0" w:line="189"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As of June 30, 2024, the amount available for future borrowings under the Bank of China Facility was RMB 190.0 million ($26.7 million) and the amount available for letters of guarantee was RMB 9.8 million ($1.4 million). The amount available for future borrowings under the Bank of China Facility is not subject to a standby fee. The effective interest rate for the three and six months ended June 30, 2024 was 0%, respectively (2023 — 3.85%, respectively).</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HSBC China Facility</w:t>
      </w:r>
    </w:p>
    <w:p>
      <w:pPr>
        <w:spacing w:after="0" w:line="25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June 2022, IMAX Shanghai entered into an unsecured revolving facility for up to RMB 200.0 million ($28.1 million) with HSBC Bank (China) Company Limited, Shanghai Branch to fund ongoing working capital requirements (the “HSBC China Facility”). As of June 30, 2024 and December 31, 2023, no borrowings were outstanding under the HSBC China Facility. As of June 30, 2024, the amount available for future borrowings under the HSBC China Facility was RMB 200.0 million ($28.1 million). The effective interest rate for the three and six months ended June 30, 2024 was 0%. (2023 — 3.88%).</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October 2019, the Company entered into a $5.0 million facility with National Bank of Canada (the “NBC Facility”) fully insured by Export Development Canada for use solely in conjunction with the issuance of performance guarantees and letters of credit. The NBC Facility has been renewed to August 21, 2024. The NBC Facility is renewable on the same terms and conditions on an annual basis. The Company did not have any letters of credit or advance payment guarantees outstanding as of June 30, 2024 and December 31, 2023 under the NBC Facility.</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Other Borrowings, Net</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June 30, 2024 and December 31, 2023, Convertible Notes and Other Borrowings, Net includes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Pr>
          <w:p>
            <w:pPr>
              <w:spacing w:after="0"/>
              <w:rPr>
                <w:sz w:val="19"/>
                <w:szCs w:val="19"/>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net</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227,385</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226,633</w:t>
            </w:r>
          </w:p>
        </w:tc>
      </w:tr>
      <w:tr>
        <w:trPr>
          <w:trHeight w:val="248"/>
        </w:trPr>
        <w:tc>
          <w:tcPr>
            <w:tcW w:w="79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interest benefit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6"/>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 net</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r>
      <w:tr>
        <w:trPr>
          <w:trHeight w:val="248"/>
        </w:trPr>
        <w:tc>
          <w:tcPr>
            <w:tcW w:w="79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229,738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229,131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1" w:lineRule="exact"/>
        <w:rPr>
          <w:sz w:val="20"/>
          <w:szCs w:val="20"/>
          <w:color w:val="auto"/>
        </w:rPr>
      </w:pPr>
    </w:p>
    <w:p>
      <w:pPr>
        <w:jc w:val="both"/>
        <w:ind w:firstLine="161"/>
        <w:spacing w:after="0" w:line="263" w:lineRule="auto"/>
        <w:rPr>
          <w:sz w:val="20"/>
          <w:szCs w:val="20"/>
          <w:color w:val="auto"/>
        </w:rPr>
      </w:pPr>
      <w:r>
        <w:rPr>
          <w:rFonts w:ascii="Times New Roman" w:cs="Times New Roman" w:eastAsia="Times New Roman" w:hAnsi="Times New Roman"/>
          <w:sz w:val="18"/>
          <w:szCs w:val="18"/>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2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21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214"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216"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Capped Call Transactions meet all of the applicable criteria for equity classification in accordance with ASC 815-10-15-74(a), “Derivatives and Hedging — Embedded Derivatives — Certain Contracts Involving an Entity’s Own Equity,” and, as a result, the related $19.1 million cost was recorded as a reduction to Other Equity within Shareholders’ Equity on the Company’s Condensed Consolidated Statements of Shareholders’ Equity and Consolidated Balance Sheets.</w:t>
      </w:r>
    </w:p>
    <w:p>
      <w:pPr>
        <w:spacing w:after="0" w:line="209"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continues to record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Federal Economic Development Loan</w:t>
      </w:r>
    </w:p>
    <w:p>
      <w:pPr>
        <w:spacing w:after="0" w:line="25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Company’s wholly-owned subsidiary, SSIMWAVE, entered into a contribution agreement with the Federal Economic Development Agency for Southern Ontario (the “Federal Economic Development Loan”) on May 29, 2019, under which SSIMWAVE received $4.2 million Canadian Dollars ($3.2 million) by way of repayable contributions toward certain eligible projects costs. The contributions under the agreement covered 35% of the eligible and supported costs of SSIMWAVE between January 10, 2019 and December 31, 2022. The contributions were repayable over 60 months, with repayments beginning in January 2024 and an annual interest rate of 0%.</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On January 1, 2024, SSIMWAVE was amalgamated into the Company. On January 4, 2024, the Federal Economic Development Loan was assigned to the Company with amendment to the repayment term. The contributions under the assigned agreement are repayable over 36 months beginning January 2024, with an annual interest rate of 0%.</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benefit of the interest-free loan has been determined by calculating the present value of the payments using a market-based interest rate and comparing this to the proceeds received. The benefit is recorded as the interest-free benefit of government funding within Interest Income on the Company’s Condensed Consolidated Statements of Operations. The obligation is being accreted to its maturity amount, resulting in an interest expense of $0.1 million and $0.2 million during the three and six months ended June 30, 2024, respectively, which is being recorded within Interest Expense on the Company’s Condensed Consolidated Statements of Operations.</w:t>
      </w:r>
    </w:p>
    <w:p>
      <w:pPr>
        <w:spacing w:after="0" w:line="210"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As of June 30, 2024, the Federal Economic Development Loan has a carrying value of $2.4 million, net of unaccreted interest benefit and is recorded within Convertible Notes and Other Borrowings, Net on the Company’s Condensed Consolidated Balance Sheets.</w:t>
      </w:r>
    </w:p>
    <w:p>
      <w:pPr>
        <w:spacing w:after="0" w:line="185" w:lineRule="exact"/>
        <w:rPr>
          <w:sz w:val="20"/>
          <w:szCs w:val="20"/>
          <w:color w:val="auto"/>
        </w:rPr>
      </w:pPr>
    </w:p>
    <w:p>
      <w:pPr>
        <w:ind w:left="200" w:right="7560" w:hanging="193"/>
        <w:spacing w:after="0" w:line="530" w:lineRule="auto"/>
        <w:tabs>
          <w:tab w:leader="none" w:pos="18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b w:val="1"/>
          <w:bCs w:val="1"/>
          <w:i w:val="1"/>
          <w:iCs w:val="1"/>
          <w:color w:val="auto"/>
        </w:rPr>
        <w:t>Commitments</w:t>
      </w:r>
    </w:p>
    <w:p>
      <w:pPr>
        <w:spacing w:after="0" w:line="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guarantees</w:t>
      </w:r>
    </w:p>
    <w:p>
      <w:pPr>
        <w:spacing w:after="0" w:line="253"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200"/>
        <w:spacing w:after="0" w:line="251" w:lineRule="auto"/>
        <w:tabs>
          <w:tab w:leader="none" w:pos="4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which award the Company calculates to be $26.7 million, inclusive of interest, as of June 30, 2024.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217" w:lineRule="exact"/>
        <w:rPr>
          <w:rFonts w:ascii="Times New Roman" w:cs="Times New Roman" w:eastAsia="Times New Roman" w:hAnsi="Times New Roman"/>
          <w:sz w:val="18"/>
          <w:szCs w:val="18"/>
          <w:color w:val="auto"/>
        </w:rPr>
      </w:pPr>
    </w:p>
    <w:p>
      <w:pPr>
        <w:jc w:val="both"/>
        <w:ind w:firstLine="200"/>
        <w:spacing w:after="0" w:line="263" w:lineRule="auto"/>
        <w:tabs>
          <w:tab w:leader="none" w:pos="4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204" w:lineRule="exact"/>
        <w:rPr>
          <w:rFonts w:ascii="Times New Roman" w:cs="Times New Roman" w:eastAsia="Times New Roman" w:hAnsi="Times New Roman"/>
          <w:sz w:val="18"/>
          <w:szCs w:val="18"/>
          <w:color w:val="auto"/>
        </w:rPr>
      </w:pPr>
    </w:p>
    <w:p>
      <w:pPr>
        <w:jc w:val="both"/>
        <w:ind w:firstLine="200"/>
        <w:spacing w:after="0" w:line="256" w:lineRule="auto"/>
        <w:tabs>
          <w:tab w:leader="none" w:pos="5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Certain subsidiaries of the Company have provided significant financial guarantees to third parties under the Credit Agreement.</w:t>
      </w: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accrual for product warranties, which is recorded within Accrued and Other Liabilities in the Condensed Consolidated Balance Sheets, was less than $0.1 million and less than $0.1 million as of June 30, 2024 and December 31, 2023, respectively.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Condensed Consolidated Balance Sheets as of June 30, 2024 and December 31, 2023, with respect to this indemnity.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Indemnification Agreements</w:t>
      </w:r>
    </w:p>
    <w:p>
      <w:pPr>
        <w:spacing w:after="0" w:line="253"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7"/>
          <w:szCs w:val="17"/>
          <w:color w:val="auto"/>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99" w:lineRule="exact"/>
        <w:rPr>
          <w:sz w:val="20"/>
          <w:szCs w:val="20"/>
          <w:color w:val="auto"/>
        </w:rPr>
      </w:pPr>
    </w:p>
    <w:p>
      <w:pPr>
        <w:ind w:left="200" w:right="4980" w:hanging="193"/>
        <w:spacing w:after="0" w:line="530" w:lineRule="auto"/>
        <w:tabs>
          <w:tab w:leader="none" w:pos="18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Condensed Consolidated Statements of Operations – Supplemental Information </w:t>
      </w:r>
      <w:r>
        <w:rPr>
          <w:rFonts w:ascii="Times New Roman" w:cs="Times New Roman" w:eastAsia="Times New Roman" w:hAnsi="Times New Roman"/>
          <w:sz w:val="18"/>
          <w:szCs w:val="18"/>
          <w:b w:val="1"/>
          <w:bCs w:val="1"/>
          <w:i w:val="1"/>
          <w:iCs w:val="1"/>
          <w:color w:val="auto"/>
        </w:rPr>
        <w:t>Selling Expenses</w:t>
      </w:r>
    </w:p>
    <w:p>
      <w:pPr>
        <w:spacing w:after="0" w:line="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Company’s selling expenses, including sales commissions and marketing and other, which are recognized within Costs and Expenses Applicable to Revenues in the Condensed Consolidated Statements of Operations, for three and six months ended June 30,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2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Marketing</w:t>
            </w: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2"/>
        </w:trPr>
        <w:tc>
          <w:tcPr>
            <w:tcW w:w="46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6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120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r>
      <w:tr>
        <w:trPr>
          <w:trHeight w:val="26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12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141</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489</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396</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w:t>
            </w:r>
          </w:p>
        </w:tc>
      </w:tr>
      <w:tr>
        <w:trPr>
          <w:trHeight w:val="20"/>
        </w:trPr>
        <w:tc>
          <w:tcPr>
            <w:tcW w:w="4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right="20" w:hanging="315"/>
        <w:spacing w:after="0" w:line="259" w:lineRule="auto"/>
        <w:tabs>
          <w:tab w:leader="none" w:pos="332"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w:t>
      </w:r>
    </w:p>
    <w:p>
      <w:pPr>
        <w:ind w:left="340" w:hanging="315"/>
        <w:spacing w:after="0"/>
        <w:tabs>
          <w:tab w:leader="none" w:pos="3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3" w:lineRule="exact"/>
        <w:rPr>
          <w:rFonts w:ascii="Times New Roman" w:cs="Times New Roman" w:eastAsia="Times New Roman" w:hAnsi="Times New Roman"/>
          <w:sz w:val="14"/>
          <w:szCs w:val="14"/>
          <w:i w:val="1"/>
          <w:iCs w:val="1"/>
          <w:color w:val="auto"/>
        </w:rPr>
      </w:pPr>
    </w:p>
    <w:p>
      <w:pPr>
        <w:jc w:val="both"/>
        <w:ind w:left="340" w:right="20" w:hanging="315"/>
        <w:spacing w:after="0" w:line="279" w:lineRule="auto"/>
        <w:tabs>
          <w:tab w:leader="none" w:pos="332"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Image enhancement and maintenance services</w:t>
      </w:r>
      <w:r>
        <w:rPr>
          <w:rFonts w:ascii="Times New Roman" w:cs="Times New Roman" w:eastAsia="Times New Roman" w:hAnsi="Times New Roman"/>
          <w:sz w:val="22"/>
          <w:szCs w:val="22"/>
          <w:color w:val="auto"/>
          <w:vertAlign w:val="superscript"/>
        </w:rPr>
        <w:t>(2)</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4222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2211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172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spacing w:after="0"/>
              <w:rPr>
                <w:sz w:val="16"/>
                <w:szCs w:val="16"/>
                <w:color w:val="auto"/>
              </w:rPr>
            </w:pPr>
          </w:p>
        </w:tc>
      </w:tr>
      <w:tr>
        <w:trPr>
          <w:trHeight w:val="38"/>
        </w:trPr>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56"/>
        </w:trPr>
        <w:tc>
          <w:tcPr>
            <w:tcW w:w="240" w:type="dxa"/>
            <w:vAlign w:val="bottom"/>
          </w:tcPr>
          <w:p>
            <w:pPr>
              <w:spacing w:after="0"/>
              <w:rPr>
                <w:sz w:val="13"/>
                <w:szCs w:val="13"/>
                <w:color w:val="auto"/>
              </w:rPr>
            </w:pPr>
          </w:p>
        </w:tc>
        <w:tc>
          <w:tcPr>
            <w:tcW w:w="1440" w:type="dxa"/>
            <w:vAlign w:val="bottom"/>
            <w:gridSpan w:val="2"/>
          </w:tcPr>
          <w:p>
            <w:pPr>
              <w:jc w:val="center"/>
              <w:ind w:right="4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3"/>
                <w:szCs w:val="13"/>
                <w:color w:val="auto"/>
              </w:rPr>
            </w:pPr>
          </w:p>
        </w:tc>
        <w:tc>
          <w:tcPr>
            <w:tcW w:w="1400" w:type="dxa"/>
            <w:vAlign w:val="bottom"/>
            <w:gridSpan w:val="2"/>
          </w:tcPr>
          <w:p>
            <w:pPr>
              <w:jc w:val="center"/>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260" w:type="dxa"/>
            <w:vAlign w:val="bottom"/>
          </w:tcPr>
          <w:p>
            <w:pPr>
              <w:spacing w:after="0"/>
              <w:rPr>
                <w:sz w:val="13"/>
                <w:szCs w:val="13"/>
                <w:color w:val="auto"/>
              </w:rPr>
            </w:pPr>
          </w:p>
        </w:tc>
        <w:tc>
          <w:tcPr>
            <w:tcW w:w="1460" w:type="dxa"/>
            <w:vAlign w:val="bottom"/>
            <w:gridSpan w:val="2"/>
          </w:tcPr>
          <w:p>
            <w:pPr>
              <w:jc w:val="center"/>
              <w:ind w:right="4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3"/>
                <w:szCs w:val="13"/>
                <w:color w:val="auto"/>
              </w:rPr>
            </w:pPr>
          </w:p>
        </w:tc>
        <w:tc>
          <w:tcPr>
            <w:tcW w:w="1280" w:type="dxa"/>
            <w:vAlign w:val="bottom"/>
          </w:tcPr>
          <w:p>
            <w:pPr>
              <w:jc w:val="right"/>
              <w:ind w:right="377"/>
              <w:spacing w:after="0" w:line="157" w:lineRule="exact"/>
              <w:rPr>
                <w:sz w:val="20"/>
                <w:szCs w:val="20"/>
                <w:color w:val="auto"/>
              </w:rPr>
            </w:pPr>
            <w:r>
              <w:rPr>
                <w:rFonts w:ascii="Times New Roman" w:cs="Times New Roman" w:eastAsia="Times New Roman" w:hAnsi="Times New Roman"/>
                <w:sz w:val="14"/>
                <w:szCs w:val="14"/>
                <w:b w:val="1"/>
                <w:bCs w:val="1"/>
                <w:color w:val="auto"/>
              </w:rPr>
              <w:t>Marketing</w:t>
            </w:r>
          </w:p>
        </w:tc>
      </w:tr>
      <w:tr>
        <w:trPr>
          <w:trHeight w:val="187"/>
        </w:trPr>
        <w:tc>
          <w:tcPr>
            <w:tcW w:w="24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28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280" w:type="dxa"/>
            <w:vAlign w:val="bottom"/>
          </w:tcPr>
          <w:p>
            <w:pPr>
              <w:spacing w:after="0"/>
              <w:rPr>
                <w:sz w:val="16"/>
                <w:szCs w:val="16"/>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52"/>
        </w:trPr>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5"/>
        </w:trPr>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68"/>
        </w:trPr>
        <w:tc>
          <w:tcPr>
            <w:tcW w:w="24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w:t>
            </w:r>
          </w:p>
        </w:tc>
      </w:tr>
      <w:tr>
        <w:trPr>
          <w:trHeight w:val="268"/>
        </w:trPr>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6"/>
        </w:trPr>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5"/>
        </w:trPr>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4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2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r>
      <w:tr>
        <w:trPr>
          <w:trHeight w:val="26"/>
        </w:trPr>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-731520</wp:posOffset>
            </wp:positionV>
            <wp:extent cx="7133590" cy="179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9070"/>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-382270</wp:posOffset>
            </wp:positionV>
            <wp:extent cx="7133590" cy="170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018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3880" w:space="720"/>
            <w:col w:w="6640"/>
          </w:cols>
          <w:pgMar w:left="320" w:top="362" w:right="339" w:bottom="1440" w:gutter="0" w:footer="0" w:header="0"/>
          <w:type w:val="continuous"/>
        </w:sectPr>
      </w:pPr>
    </w:p>
    <w:p>
      <w:pPr>
        <w:ind w:left="340" w:right="220" w:hanging="315"/>
        <w:spacing w:after="0" w:line="269" w:lineRule="auto"/>
        <w:tabs>
          <w:tab w:leader="none" w:pos="332"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w:t>
      </w:r>
    </w:p>
    <w:p>
      <w:pPr>
        <w:ind w:left="340" w:hanging="315"/>
        <w:spacing w:after="0"/>
        <w:tabs>
          <w:tab w:leader="none" w:pos="34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3" w:lineRule="exact"/>
        <w:rPr>
          <w:rFonts w:ascii="Times New Roman" w:cs="Times New Roman" w:eastAsia="Times New Roman" w:hAnsi="Times New Roman"/>
          <w:sz w:val="14"/>
          <w:szCs w:val="14"/>
          <w:i w:val="1"/>
          <w:iCs w:val="1"/>
          <w:color w:val="auto"/>
        </w:rPr>
      </w:pPr>
    </w:p>
    <w:p>
      <w:pPr>
        <w:ind w:left="340" w:right="40" w:hanging="315"/>
        <w:spacing w:after="0" w:line="266" w:lineRule="auto"/>
        <w:tabs>
          <w:tab w:leader="none" w:pos="332"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Included in Selling, General and Administrative Expenses for the three and six months ended June 30, 2024 are foreign currency net losses of $0.2 million and $0.5 million, respectively (2023 — net losses of $0.5 million and $0.6 million, respectively) resulting from changes in exchange rates related to foreign currency denominated monetary assets and liabilities. See Note 15 for additional information.</w:t>
      </w:r>
    </w:p>
    <w:p>
      <w:pPr>
        <w:sectPr>
          <w:pgSz w:w="11900" w:h="16838" w:orient="portrait"/>
          <w:cols w:equalWidth="0" w:num="1">
            <w:col w:w="11240"/>
          </w:cols>
          <w:pgMar w:left="320" w:top="362" w:right="339"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accounting policy for the Company’s joint revenue sharing arrangements is disclosed in Note 2(o) of the Company’s audited Consolidated Financial Statements in its 2023 Form 10-K.</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joint revenue sharing arrangements are recorded within Revenues — Technology Sales (for hybrid joint revenue sharing arrangements) and Revenues — Technology Rentals (for traditional joint revenue sharing arrangements). For the three and six months ended June 30, 2024, such revenues totaled $13.3 million and $32.5 million, respectively (2023 — $20.6 million and $40.7 million, respectively).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Film Remastering and Distribution</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an IMAX Film Remastering and distribution arrangement, the Company receives a percentage of the box office receipts from a third party who owns the copyright to a film in exchange for converting the film into IMAX format and distributing it through the IMAX network. The fee earned by the Company in a typical IMAX Film Remastering and distribution arrangement averages approximately 12.5% of box office receipts (i.e. gross box office receipts less applicable sales taxes), except for within mainland China, where the Company receives a lower percentage of net box office receipts for certain Hollywood films. The accounting policy for the Company’s Film Remastering and distribution arrangements is disclosed in Note 2(o) of the Company’s audited Consolidated Financial Statements in its 2023 Form 10-K.</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IMAX Film Remastering and distribution arrangements are included in Revenues – Image Enhancement and Maintenance Services. For the three and six months ended June 30, 2024, such revenues totaled $21.3 million and $51.0 million, respectively (2023 — $29.2 million and $59.3 million, respectively). See Note 12 for a disaggregated presentation of the Company’s revenues.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June 30, 2024, the Company is party to one co-produced film arrangement, which represents the VIE total assets balance of $1.4 million and liabilities balance of $0.2 million, and five other co-produced film arrangements, the terms of which are similar. The accounting policies relating to co-produced film arrangements are disclosed in Notes 2(a) and 3(o) of the Company’s 2023 Form 10-K.</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six months ended June 30, 2024, an expense of $2.9 million and $3.0 million, respectively (2023 — $0.2 million and $0.3 million, respectively) attributable to transactions between the Company and other parties involved in the production of the films have been included in Costs and Expenses Applicable to Revenues ― Image Enhancement and Maintenance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Condensed Consolidated Statements of Cash Flows – Supplemental Information</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other operating assets and liabilities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receivables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tcPr>
          <w:p>
            <w:pPr>
              <w:spacing w:after="0"/>
              <w:rPr>
                <w:sz w:val="21"/>
                <w:szCs w:val="21"/>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consideration receivables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7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supporting joint revenue sharing arrangements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0" w:type="dxa"/>
            <w:vAlign w:val="bottom"/>
          </w:tcPr>
          <w:p>
            <w:pPr>
              <w:spacing w:after="0"/>
              <w:rPr>
                <w:sz w:val="1"/>
                <w:szCs w:val="1"/>
                <w:color w:val="auto"/>
              </w:rPr>
            </w:pPr>
          </w:p>
        </w:tc>
      </w:tr>
      <w:tr>
        <w:trPr>
          <w:trHeight w:val="268"/>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0" w:type="dxa"/>
            <w:vAlign w:val="bottom"/>
          </w:tcPr>
          <w:p>
            <w:pPr>
              <w:spacing w:after="0"/>
              <w:rPr>
                <w:sz w:val="1"/>
                <w:szCs w:val="1"/>
                <w:color w:val="auto"/>
              </w:rPr>
            </w:pPr>
          </w:p>
        </w:tc>
      </w:tr>
      <w:tr>
        <w:trPr>
          <w:trHeight w:val="26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6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34,002</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right="20" w:hanging="315"/>
        <w:spacing w:after="0" w:line="269" w:lineRule="auto"/>
        <w:tabs>
          <w:tab w:leader="none" w:pos="332"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laser projection systems, camera, and lens upgrades recorded in Research and Development on the Condensed Consolidated Statements of Operations of $0.2 million in the six months ended June 30, 2024 (2023 — $0.3 million).</w:t>
      </w:r>
    </w:p>
    <w:p>
      <w:pPr>
        <w:ind w:left="340" w:right="20" w:hanging="315"/>
        <w:spacing w:after="0" w:line="259" w:lineRule="auto"/>
        <w:tabs>
          <w:tab w:leader="none" w:pos="332"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licenses and intellectual property recorded in Research and Development on the Condensed Consolidated Statements of Operations of $0.7 million in the six months ended June 30, 2024 (2023 — $0.6 million).</w:t>
      </w:r>
    </w:p>
    <w:p>
      <w:pPr>
        <w:spacing w:after="0" w:line="1"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lessee incentives provided by the Company to its customers under joint revenue sharing arrangements.</w:t>
      </w:r>
    </w:p>
    <w:p>
      <w:pPr>
        <w:spacing w:after="0" w:line="3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Write-downs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supporting joint revenue sharing arrangements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right="20" w:hanging="315"/>
        <w:spacing w:after="0" w:line="299" w:lineRule="auto"/>
        <w:tabs>
          <w:tab w:leader="none" w:pos="332"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six months ended June 30, 2024, the Company recorded charges of $2.1 million (2023 ― $0.4 million) in Costs and Expenses Applicable to Revenues ― Technology Rentals mostly related to the write-down of joint revenue sharing arrangement systems related to customer amendments, as well as the closure of one IMAX System.</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Significant non-cash investing activities</w:t>
      </w:r>
    </w:p>
    <w:p>
      <w:pPr>
        <w:spacing w:after="0" w:line="300"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accruals related to:</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equipment supporting joint revenue sharing arrangements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21"/>
                <w:szCs w:val="21"/>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8"/>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Refer to Note 4 for supplemental disclosure of non-cash leasing activities.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2024, the Company recorded an income tax benefit of $4.0 million (2023 — tax expense of $3.5 million). The Company’s effective tax rate of (371.5%) for the three months ended June 30, 2024 differs from the Canadian statutory rate of 26.5% primarily due to tax rate differences in foreign jurisdictions and a tax benefit related to an internal asset sale during the quarter which was offset by an increase in the valuation allowance and withholding taxes. The Company’s effective tax rate of 26.5% for the three months ended June 30, 2023 is similar to the Canadian statutory rate of 26.5% which includes tax rate differences in foreign jurisdictions that were offset by withholding taxes.</w:t>
      </w:r>
    </w:p>
    <w:p>
      <w:pPr>
        <w:spacing w:after="0" w:line="210"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2024, the Company recorded an income tax expense of $1.2 million (2023 — tax expense of $8.3 million). The Company’s effective tax rate of 10.0% for the six months ended June 30, 2024 differs from the Canadian statutory rate of 26.5% primarily due to tax rate differences in foreign jurisdictions and a tax benefit related to an internal asset sale during the quarter which is offset by an increase in the valuation allowance, withholding taxes and a shortfall in tax benefits related to share-based compensation. The Company’s effective tax rate of 36.2% for the six months ended June 30, 2023 differs from the Canadian statutory rate of 26.5% primarily due to tax rate differences in foreign jurisdictions which was offset by an increase in the valuation allowance and withholding taxes.</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quarter, the Company completed an internal asset sale to more closely align its intellectual property ownership with its operations. In order to effect this internal asset sale, transactions between entities within the group resulted in capital gains for tax purposes. The tax expense related to the capital gain was partially offset by the reversal of the valuation allowance. Net deferred tax assets were also recorded on the transaction, resulting in a net tax benefit of $7.7 million.</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June 30, 2024, the Company’s Condensed Consolidated Balance Sheets includes net deferred income tax assets of $16.1 million (December 31, 2023 — $8.0 million). Realization of net deferred tax assets is dependent upon generation of sufficient taxable income in future years to obtain benefit from the reversal of temporary differences, net operating loss carryforwards and tax credit carryforwards. The amount of net deferred tax assets considered realizable is subject to adjustment in future periods if estimates of future taxable income change.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June 30, 2024, the Company’s Condensed Consolidated Balance Sheets also include deferred tax liabilities of $12.5 million (December 31, 2023 — $12.5 million) primarily related to foreign withholding taxes associated with the remaining balance of non-repatriated historical earnings that will not be indefinitely reinvested outside of Canada.</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 Buyback Tax</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Legislation to introduce a 2% tax on the value of certain share buybacks net of share issuances by publicly traded Canadian-resident corporations was enacted during the quarter. The tax applies to net share repurchases on or after January 1, 2024, with certain exceptions. The tax is imposed on the repurchasing corporation itself and will be included in the cost basis of the repurchased treasury stock. The Company has recorded a tax liability in the amount of $0.1 million at June 30, 2024.</w:t>
      </w:r>
    </w:p>
    <w:p>
      <w:pPr>
        <w:spacing w:after="0" w:line="205" w:lineRule="exact"/>
        <w:rPr>
          <w:sz w:val="20"/>
          <w:szCs w:val="20"/>
          <w:color w:val="auto"/>
        </w:rPr>
      </w:pPr>
    </w:p>
    <w:p>
      <w:pPr>
        <w:ind w:left="200" w:right="8880" w:hanging="193"/>
        <w:spacing w:after="0" w:line="314" w:lineRule="auto"/>
        <w:tabs>
          <w:tab w:leader="none" w:pos="265"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 Stock and Reserves </w:t>
      </w:r>
      <w:r>
        <w:rPr>
          <w:rFonts w:ascii="Times New Roman" w:cs="Times New Roman" w:eastAsia="Times New Roman" w:hAnsi="Times New Roman"/>
          <w:sz w:val="17"/>
          <w:szCs w:val="17"/>
          <w:b w:val="1"/>
          <w:bCs w:val="1"/>
          <w:i w:val="1"/>
          <w:iCs w:val="1"/>
          <w:color w:val="auto"/>
        </w:rPr>
        <w:t>Share-Based Compensation</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2024, share-based compensation expense totaled $6.9 million and $11.5 million, respectively (2023 — $6.8 million and $11.9 million, respectively) and is reflected in the following accounts in the Condensed 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rates)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 applicable to revenues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transition costs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share-based compensation expense by each award type: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rates)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Stock Options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Restricted Share Units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Performance Stock</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Company’s share-based compensation expense includes $1.7 million related to restricted share units granted to non-employees (2023 — $1.7 million).</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 Option Summary</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activity under the Company’s Stock Option Plan (“SOP”) and the IMAX Corporation Second Amended and Restated Long-Term Incentive Plan (as may be amended, “IMAX LTIP”) for the six months ended June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87"/>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04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3,604,739</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(607,114)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(268,939)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6"/>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 end of period</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2,720,540</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3,335,800</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exercisable,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2,720,540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3,335,800</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 options are no longer granted under the Company’s previously approved SOP.</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Restricted Share Units (“RSU”) Summary</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LTIP for the six months ended June 30, 2024 and 2023:</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187"/>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1,286,830</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1,252,044</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946,507</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882,997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6"/>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(682,549)</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(741,054)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1,512,944</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1,307,779</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Performance Stock Units (“PSU”) Summary</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At the conclusion of the three-year performance period, the number of PSUs that ultimately vest can range from 0% to a maximum vesting opportunity of 175% of the initial Adjusted EBITDA PSU award or 175% of the initial TSR PSU award for awards issued in 2022 and 150% of the initial TSR PSU award for awards issued in 2023 and thereafter, depending upon actual performance versus the established Adjusted EBITDA and TSR targets, respectively.</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Model. The compensation expense attributable to each type of PSU is recognized on a straight-line basis over the requisite service period.</w:t>
      </w:r>
    </w:p>
    <w:p>
      <w:pPr>
        <w:spacing w:after="0" w:line="209"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The fair value determined by the Monte Carlo Model is affected by the Company’s share price, as well as assumptions regarding a number of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186"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Adjusted EBITDA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six months ended June 30, 2024 and 2023 includes adjustments reflecting management’s estimate of the number of Adjusted EBITDA PSUs expected to vest.</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 for the six months ended June 30, 2024 and 2023:</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gridSpan w:val="4"/>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201"/>
        </w:trPr>
        <w:tc>
          <w:tcPr>
            <w:tcW w:w="4600" w:type="dxa"/>
            <w:vAlign w:val="bottom"/>
          </w:tcPr>
          <w:p>
            <w:pPr>
              <w:spacing w:after="0"/>
              <w:rPr>
                <w:sz w:val="17"/>
                <w:szCs w:val="17"/>
                <w:color w:val="auto"/>
              </w:rPr>
            </w:pPr>
          </w:p>
        </w:tc>
        <w:tc>
          <w:tcPr>
            <w:tcW w:w="22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7"/>
                <w:szCs w:val="17"/>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922,621</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9"/>
              </w:rPr>
              <w:t>931,716</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68"/>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580,336</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9"/>
              </w:rPr>
              <w:t>581,081</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68"/>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(316,226)</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9"/>
              </w:rPr>
              <w:t>(368,602)</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68"/>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(2)</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(85,764)</w:t>
            </w:r>
          </w:p>
        </w:tc>
        <w:tc>
          <w:tcPr>
            <w:tcW w:w="14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9"/>
              </w:rPr>
              <w:t>(213,366)</w:t>
            </w:r>
          </w:p>
        </w:tc>
        <w:tc>
          <w:tcPr>
            <w:tcW w:w="14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1,100,967</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9"/>
              </w:rPr>
              <w:t>930,829</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340" w:right="100" w:hanging="315"/>
        <w:spacing w:after="0" w:line="269" w:lineRule="auto"/>
        <w:tabs>
          <w:tab w:leader="none" w:pos="332"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six months ended June 30, 2024, the balance of shares granted includes 135,511 additional shares, at a weighted average grant date fair value per share of $19.71, as PSUs granted in 2021 with Adjusted EBITDA targets vested at 175% on account of full achievement of the targets.</w:t>
      </w:r>
    </w:p>
    <w:p>
      <w:pPr>
        <w:ind w:left="340" w:right="260" w:hanging="315"/>
        <w:spacing w:after="0" w:line="279" w:lineRule="auto"/>
        <w:tabs>
          <w:tab w:leader="none" w:pos="332"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Forfeited PSUs include the TSR target awards issued in 2021 which did not vest as the market condition was not satisfied. Since the grant date, the Company recorded an expense of $1.5 million associated with these 68,850 shares which, despite the awards not vesting, will not be reversed into income.</w:t>
      </w:r>
    </w:p>
    <w:p>
      <w:pPr>
        <w:spacing w:after="0" w:line="316"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As of June 30, 2024, the maximum number of common shares that may be issued with respect to PSUs outstanding is 1,876,792, assuming full achievement of the Adjusted EBITDA and TSR targets.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for a 12-month period in 2020, 2021, and 2023 and increased the total share repurchase authority to $400.0 million. In 2023, the Company’s Board of Directors approved a 36-month extension to its share repurchase program through June 30, 2026. As of June 30, 2024, the Company has $150.7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215"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repurchased 7,646 and 1,166,370 common shares, respectively, at an average price of $14.98 and $13.99 per share, respectively, for a total of $0.1 million and $16.3 million, respectively, excluding commissions. During the three and six months ended June 30, 2023, the Company repurchased 21,024 and 130,501 common shares, respectively, at an average price of $16.89 and $15.20 per share, for a total of $0.4 million and $2.0 million, respectively, excluding commissions. The repurchases for the six months ended June 30, 2024 excludes repurchases of 108,393 shares for a total of $1.6 million with trade dates in December 2023 (June 30, 2023 — 140,000 shares for a total of $2.0 million with trade dates in December 2022). During the six months ended June 30, 2024 and 2023, there were no shares purchases in the administration of employee share-based plans.</w:t>
      </w:r>
    </w:p>
    <w:p>
      <w:pPr>
        <w:spacing w:after="0" w:line="21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June 30, 2024 and December 31, 2023, the IMAX LTIP trustee did not hold any shares. Any shares held with the trustee are recorded at cost and are reported as a reduction against Capital Stock on the Company’s Condensed Consolidated Balance Sheets.</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2023, IMAX China’s shareholders granted its Board of Directors a general mandate authorizing the Board, subject to applicable laws, to repurchase shares of IMAX China not to exceed 10% of the total number of issued shares as of June 7, 2023 (33,959,314 shares). This program expired on the date of the 2024 Annual General Meeting of IMAX China on June 7, 2024. During the 2024 Annual General Meeting, shareholders approved the repurchase of shares of IMAX China not to exceed 10% of the total number of shares as of June 7, 2024 (34,000,845 shares). This program will be valid until the 2025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214"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During the three and six months ended June 30, 2024, IMAX China repurchased 119,900 common shares, at an average price of HKD 7.43 per share ($0.95 per share) for a total of HKD 0.9 million ($0.1 million). IMAX China did not have any repurchases during the three and six months ended June 30, 2023.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Weighted Average Shares Outstanding</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9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860" w:type="dxa"/>
            <w:vAlign w:val="bottom"/>
            <w:gridSpan w:val="3"/>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40" w:type="dxa"/>
            <w:vAlign w:val="bottom"/>
            <w:vMerge w:val="continue"/>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3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8"/>
        </w:trPr>
        <w:tc>
          <w:tcPr>
            <w:tcW w:w="544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beginning of period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0" w:type="dxa"/>
            <w:vAlign w:val="bottom"/>
          </w:tcPr>
          <w:p>
            <w:pPr>
              <w:spacing w:after="0"/>
              <w:rPr>
                <w:sz w:val="1"/>
                <w:szCs w:val="1"/>
                <w:color w:val="auto"/>
              </w:rPr>
            </w:pPr>
          </w:p>
        </w:tc>
      </w:tr>
      <w:tr>
        <w:trPr>
          <w:trHeight w:val="24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issued (repurchased),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6"/>
        </w:trPr>
        <w:tc>
          <w:tcPr>
            <w:tcW w:w="5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54,328</w:t>
            </w:r>
          </w:p>
        </w:tc>
        <w:tc>
          <w:tcPr>
            <w:tcW w:w="0" w:type="dxa"/>
            <w:vAlign w:val="bottom"/>
          </w:tcPr>
          <w:p>
            <w:pPr>
              <w:spacing w:after="0"/>
              <w:rPr>
                <w:sz w:val="1"/>
                <w:szCs w:val="1"/>
                <w:color w:val="auto"/>
              </w:rPr>
            </w:pPr>
          </w:p>
        </w:tc>
      </w:tr>
      <w:tr>
        <w:trPr>
          <w:trHeight w:val="268"/>
        </w:trPr>
        <w:tc>
          <w:tcPr>
            <w:tcW w:w="5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potential common shares, if dilutive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55,320</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color w:val="auto"/>
        </w:rPr>
        <w:t>For the three and six months ended June 30, 2024, the calculation of diluted weighted average shares outstanding excludes 3,118,725 and 3,716,606 shares, respectively (2023 — 2,868,749 and 3,379,371 shares, respectively) that are issuable upon the vesting or exercise of share-based compensation including: (i) 355,337 and 664,720 RSUs, respectively (2023 — 23,122 and 10,765 RSUs, respectively), (ii) 42,848 and 331,346 PSUs, respectively (2023</w:t>
      </w:r>
    </w:p>
    <w:p>
      <w:pPr>
        <w:spacing w:after="0" w:line="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32,806 PSUs, respectively) and (iii) 2,720,540 stock options, respectively (2023 — 2,812,821 and 3,335,800 stock options, respectively), as the effect would be anti-dilutive.</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for the three and six months ended June 30, 2024 and 2023 also excludes any shares potentially issuable upon the conversion of the Convertible Notes as the average market price of the Company’s common shares during the period of time they were outstanding was less than the conversion price of the Convertible Notes.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Statutory Surplus Reserve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Pursuant to the corporate law of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Company’s PRC subsidiaries are required to appropriate 10% of statutory net profits to statutory surplus reserves, upon distribution of their after-tax profits. The Company’s PRC subsidiaries may discontinue the contribution when the when the aggregate sum of the statutory surplus reserve is more than 50% of their registered capital. The statutory surplus reserve is non-distributable other than during liquidation and may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statutory surplus reserve of RMB 36.4 million ($5.6 million) has reached 50% of the Company’s PRC subsidiaries’ registered capital, as such no further contributions to the reserve are required.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from Contracts with Customers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Information About Revenue</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Company’s Revenues by reportable segment and revenue stream type for the three and six months ended June 30, 2024 and 2023:</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34,948</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50,179</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85,974</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52,189</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51,025</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17,936</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69,089</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94,048</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99,353</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163,137</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28,324</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102,537</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1014"/>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27,734</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27,734</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63,976</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45,780</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95,266</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46,867</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59,292</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59,292</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63,391</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28,041</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43,853</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115,643</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91,432</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179,034</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47,182</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93,994</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revenues earned from Technology Sales include variable consideration of $7.7 million and $9.4 million, respectively (2023 — $11.8 million and $17.3 million, respectively). Variable consideration revenues represent an estimate of the contingent fees that may become due if certain annual minimum box office receipt thresholds are exceeded and are recorded as revenue in the period when the sale is recognized and may be adjusted in future periods based on actual results and changes in estimates over the term of the system agreement.</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revenues earned from leasing arrangements total $13.3 million and $32.5 million, respectively (2023 — $20.4 million and $42.8 million, respectively), including $13.9 million and $32.5 million, respectively, in Revenues ― Technology Rentals (2023 — $19.5 million and $39.6 million, respectively), and a reversal of $0.7 million in the three months ended June 30, 2024 due to an amending agreement, and $nil for the six months ended June 30, 2024 respectively, in Revenues ― Technology Sales (2023 — $0.9 million and $3.2 million,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System sale and lease arrangements include a requirement for the Company to provide maintenance services over the life of the arrangement, some of which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June 30, 2024, $20.4 million of consideration has been deferred in relation to outstanding maintenance services to be provided on existing maintenance contracts (December 31, 2023 — $22.8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21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yet transferred to the customer. The deferred revenue balance related to an individual IMAX System increases as progress payments are made and is then derecognized when control of the system is transferred to the customer. Recognition dates are variable and depend on numerous factors, including some outside of the Company’s control.</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During the three and six months ended June 30, 2024, $12.1 million and $24.2 million of revenue, respectively, was recognized from the $67.1 million balance of deferred revenue as of December 31, 2023. During the three and six months ended June 30, 2023, $23.7 million and $41.0 million of revenue, respectively, was recognized from the $70.9 million balance of deferred revenue as of December 31,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has the following reportable segments:</w:t>
      </w:r>
    </w:p>
    <w:p>
      <w:pPr>
        <w:spacing w:after="0" w:line="249" w:lineRule="exact"/>
        <w:rPr>
          <w:sz w:val="20"/>
          <w:szCs w:val="20"/>
          <w:color w:val="auto"/>
        </w:rPr>
      </w:pPr>
    </w:p>
    <w:p>
      <w:pPr>
        <w:jc w:val="both"/>
        <w:ind w:left="780" w:hanging="387"/>
        <w:spacing w:after="0" w:line="258" w:lineRule="auto"/>
        <w:tabs>
          <w:tab w:leader="none" w:pos="7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Solutions, which principally includes the digital remastering of films and other content into IMAX formats for distribution to the IMAX network. To a lesser extent, the Content Solutions segment also earns revenue from the distribution of large-format documentary films and exclusive experiences ranging from live performances to interactive events with leading artists and creators, as well as film post-production services.</w:t>
      </w:r>
    </w:p>
    <w:p>
      <w:pPr>
        <w:spacing w:after="0" w:line="209" w:lineRule="exact"/>
        <w:rPr>
          <w:rFonts w:ascii="Times New Roman" w:cs="Times New Roman" w:eastAsia="Times New Roman" w:hAnsi="Times New Roman"/>
          <w:sz w:val="18"/>
          <w:szCs w:val="18"/>
          <w:color w:val="auto"/>
        </w:rPr>
      </w:pPr>
    </w:p>
    <w:p>
      <w:pPr>
        <w:jc w:val="both"/>
        <w:ind w:left="780" w:hanging="387"/>
        <w:spacing w:after="0" w:line="263" w:lineRule="auto"/>
        <w:tabs>
          <w:tab w:leader="none" w:pos="7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Products and Services, which includes results from the sale or lease of IMAX Systems, as well as from the maintenance of IMAX Systems. To a lesser extent, the Technology Product and Services segment also earns revenue from certain ancillary theater business activities, including after-market sales of IMAX System parts and 3D glasses.</w:t>
      </w:r>
    </w:p>
    <w:p>
      <w:pPr>
        <w:spacing w:after="0" w:line="204"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Transactions between segments are valued at exchange value. Inter-segment profits are eliminated upon consolidation, as well as for the disclosures below.</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three months ended June 30, 2024 and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Borders>
              <w:bottom w:val="single" w:sz="8" w:color="auto"/>
            </w:tcBorders>
          </w:tcPr>
          <w:p>
            <w:pPr>
              <w:spacing w:after="0"/>
              <w:rPr>
                <w:sz w:val="19"/>
                <w:szCs w:val="19"/>
                <w:color w:val="auto"/>
              </w:rPr>
            </w:pPr>
          </w:p>
        </w:tc>
      </w:tr>
      <w:tr>
        <w:trPr>
          <w:trHeight w:val="18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63,976</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25,783</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36,411</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85,974</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95,266</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41,921</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56,407</w:t>
            </w:r>
          </w:p>
        </w:tc>
      </w:tr>
      <w:tr>
        <w:trPr>
          <w:trHeight w:val="262"/>
        </w:trPr>
        <w:tc>
          <w:tcPr>
            <w:tcW w:w="4600" w:type="dxa"/>
            <w:vAlign w:val="bottom"/>
            <w:tcBorders>
              <w:bottom w:val="single" w:sz="8" w:color="CCEEFF"/>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(2)</w:t>
            </w: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4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4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88,961</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97,979</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43,927</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340" w:right="20" w:hanging="315"/>
        <w:spacing w:after="0" w:line="230"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i w:val="1"/>
          <w:iCs w:val="1"/>
          <w:color w:val="auto"/>
        </w:rPr>
        <w:t>The Company’s largest customer represents 14% of total Revenues for the three months ended June 30, 2024 (2023 — 11%). No single customer comprises more than 10% of the Company’s total Accounts Receivable as of June 30, 2024 and December 31, 2023.</w:t>
      </w:r>
    </w:p>
    <w:p>
      <w:pPr>
        <w:ind w:left="340" w:hanging="315"/>
        <w:spacing w:after="0"/>
        <w:tabs>
          <w:tab w:leader="none" w:pos="3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the Company's streaming and consumer technology business, as well as other ancillary activities.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six months ended June 30, 2024 and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Borders>
              <w:bottom w:val="single" w:sz="8" w:color="auto"/>
            </w:tcBorders>
          </w:tcPr>
          <w:p>
            <w:pPr>
              <w:spacing w:after="0"/>
              <w:rPr>
                <w:sz w:val="19"/>
                <w:szCs w:val="19"/>
                <w:color w:val="auto"/>
              </w:rPr>
            </w:pPr>
          </w:p>
        </w:tc>
      </w:tr>
      <w:tr>
        <w:trPr>
          <w:trHeight w:val="18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69,089</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63,391</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37,991</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94,048</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115,643</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49,367</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66,302</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163,137</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179,034</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87,604</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104,293</w:t>
            </w:r>
          </w:p>
        </w:tc>
      </w:tr>
      <w:tr>
        <w:trPr>
          <w:trHeight w:val="262"/>
        </w:trPr>
        <w:tc>
          <w:tcPr>
            <w:tcW w:w="4600" w:type="dxa"/>
            <w:vAlign w:val="bottom"/>
            <w:tcBorders>
              <w:bottom w:val="single" w:sz="8" w:color="CCEEFF"/>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(2)</w:t>
            </w: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4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4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168,084</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184,925</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90,816</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107,938</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340" w:right="20" w:hanging="315"/>
        <w:spacing w:after="0" w:line="230"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i w:val="1"/>
          <w:iCs w:val="1"/>
          <w:color w:val="auto"/>
        </w:rPr>
        <w:t>The Company’s largest customer represents 13% of total Revenues for the six months ended June 30, 2024 (2023 — 8%). No single customer comprises more than 10% of the Company’s total Accounts Receivable as of June 30, 2024 and December 31,2023.</w:t>
      </w:r>
    </w:p>
    <w:p>
      <w:pPr>
        <w:ind w:left="340" w:hanging="315"/>
        <w:spacing w:after="0"/>
        <w:tabs>
          <w:tab w:leader="none" w:pos="3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the Company's streaming and consumer technology business, as well as other ancillary activities.</w:t>
      </w:r>
    </w:p>
    <w:p>
      <w:pPr>
        <w:spacing w:after="0" w:line="3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geographic area for the three and six months ended June 30, 2024 and 2023:</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64,900</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59,552</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45,678</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24,699</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26,607</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88,961</w:t>
            </w:r>
          </w:p>
        </w:tc>
        <w:tc>
          <w:tcPr>
            <w:tcW w:w="14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168,084</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184,925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United States, Greater China (which includes the mainland of the People’s Republic of China, Hong Kong, Macau, and Taiwan), Western Europe and Asia (excluding Greater China) each comprise greater than 10% of the Company’s total revenues for the three and six months ended June 30, 2024 and 2023.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Employee’s Pension and Postretirement Benefits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September 19, 2022, the term of Mr. Gelfond’s employment was extended through December 31, 2025, although Mr. Gelfond has not informed the Company that he intends to retire at that time. Under the terms of his employment agreement, as amended, the total benefit payable to Mr. Gelfond under the SERP is fixed at $20.3 million.</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June 30, 2024, the Company’s projected benefit obligation under the SERP is $18.6 million (December 31, 2023 — $18.2 million). For the three and six months ended June 30, 2024, the Company recorded interest costs of $0.2 million and $0.4 million, respectively, (2023 — $0.2 million and $0.4 million, respectively) related to the SERP. The Company expects to recognize additional interest costs of $0.4 million related to the SERP during the remainder of 2024. No contributions are expected to be made to the SERP in 2024.</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and six months ended June 30, 2024, the Company contributed and recorded expense of $0.5 million and $0.9 million, respectively, (2023 — $0.3 million and $0.6 million, respectively) to its Canadian defined contribution plan and $0.2 million and $0.5 million, respectively, (2023 — $0.2 million and $0.5 million, respectively) to its defined contribution employee plan under Section 401(k) of the U.S. Internal Revenue Code.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Executives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and the Company is providing him with Medicare supplemental coverage or its cash equivalent.</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June 30, 2024, the Company’s postretirement benefits obligation under this plan is $0.5 million (December 31, 2023 — $0.5 million). For the three and six months ended June 30, 2024, the Company has recorded an expense of less than $0.1 million, respectively (2023 — less than $0.1 million, respectively) related to this plan.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Canadian Employees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Company will provide eligible participants, upon retirement, with health and welfare benefits. As of June 30, 2024, the Company’s postretirement benefits obligation under this plan is $0.8 million (December 31, 2023 — $1.0 million). For the three and six months ended June 30, 2024, the Company has recorded expense of less than $0.1 million and less than $0.1 million, respectively, (2023 — less than $0.1 million and $0.1 million, respectively) related to this plan.</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Benefit Plan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June 30, 2024, the benefit obligation related to the Retirement Plan was $4.2 million (December 31, 2023 — $4.1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spacing w:after="0" w:line="209"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Condensed Consolidated Balance Sheets within Prepaid Expenses. As of June 30, 2024, fair value of the COLI asset was $3.6 million (December 31, 2023</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$3.5 million). Gains and losses resulting from changes in the cash surrender value of the COLI asset are recognized in the Condensed Consolidated Statements of Operations within Realized and Unrealized Investment Gains.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Company’s cash is invested with various major financial institutions. The Company’s $91.6 million balance of cash and cash equivalents as of June 30, 2024 (December 31, 2023 — $76.2 million) includes $83.0 million in cash held outside of Canada (December 31, 2023 — $68.5 million), of which $44.0 million was held in the PRC (December 31, 2023 — $30.0 million).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80" w:type="dxa"/>
            <w:vAlign w:val="bottom"/>
          </w:tcPr>
          <w:p>
            <w:pPr>
              <w:spacing w:after="0"/>
              <w:rPr>
                <w:sz w:val="16"/>
                <w:szCs w:val="16"/>
                <w:color w:val="auto"/>
              </w:rPr>
            </w:pPr>
          </w:p>
        </w:tc>
        <w:tc>
          <w:tcPr>
            <w:tcW w:w="308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38"/>
        </w:trPr>
        <w:tc>
          <w:tcPr>
            <w:tcW w:w="4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5"/>
                <w:szCs w:val="15"/>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38"/>
        </w:trPr>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0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91,552</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91,552</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76,200</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5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0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23"/>
                <w:szCs w:val="23"/>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95,593</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94,409</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96,500</w:t>
            </w:r>
          </w:p>
        </w:tc>
        <w:tc>
          <w:tcPr>
            <w:tcW w:w="0" w:type="dxa"/>
            <w:vAlign w:val="bottom"/>
          </w:tcPr>
          <w:p>
            <w:pPr>
              <w:spacing w:after="0"/>
              <w:rPr>
                <w:sz w:val="1"/>
                <w:szCs w:val="1"/>
                <w:color w:val="auto"/>
              </w:rPr>
            </w:pPr>
          </w:p>
        </w:tc>
      </w:tr>
      <w:tr>
        <w:trPr>
          <w:trHeight w:val="268"/>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26,543</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0" w:type="dxa"/>
            <w:vAlign w:val="bottom"/>
          </w:tcPr>
          <w:p>
            <w:pPr>
              <w:spacing w:after="0"/>
              <w:rPr>
                <w:sz w:val="1"/>
                <w:szCs w:val="1"/>
                <w:color w:val="auto"/>
              </w:rPr>
            </w:pPr>
          </w:p>
        </w:tc>
      </w:tr>
      <w:tr>
        <w:trPr>
          <w:trHeight w:val="268"/>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68"/>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COLI</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68"/>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 contracts — designated forwards</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68"/>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68"/>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68"/>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(214,475)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(205,850)</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hanging="315"/>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Recorded at cost, which approximates fair value.</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estimated based on discounting future cash flows at currently available interest rates with comparable terms.</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prices in active markets.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Measured at cash surrender value, which approximates fair value.</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market prices that are observable in the market or that could be derived from observable market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w:t>
      </w:r>
    </w:p>
    <w:p>
      <w:pPr>
        <w:spacing w:after="0" w:line="24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HKD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receipts in 89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June 30, 2024 (the “Foreign Currency Hedges”), with settlement dates throughout 2024 and 2025.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and reclassified to the Condensed Consolidated Statements of Operations when the forecasted transaction occurs. Any ineffective portion is recognized immediately in the Condensed Consolidated Statements of Operations.</w:t>
      </w:r>
    </w:p>
    <w:p>
      <w:pPr>
        <w:spacing w:after="0" w:line="21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June 30, 2024 was $39.4 million (December 31, 2023 — $40.6 million).</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Condensed Consolidated Financial Statements: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Notional value of derivatives in foreign exchange contracts: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200" w:type="dxa"/>
            <w:vAlign w:val="bottom"/>
            <w:tcBorders>
              <w:bottom w:val="single" w:sz="8" w:color="CCEEFF"/>
            </w:tcBorders>
          </w:tcPr>
          <w:p>
            <w:pPr>
              <w:spacing w:after="0"/>
              <w:rPr>
                <w:sz w:val="3"/>
                <w:szCs w:val="3"/>
                <w:color w:val="auto"/>
              </w:rPr>
            </w:pPr>
          </w:p>
        </w:tc>
        <w:tc>
          <w:tcPr>
            <w:tcW w:w="38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39,401</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40,563</w:t>
            </w:r>
          </w:p>
        </w:tc>
      </w:tr>
      <w:tr>
        <w:trPr>
          <w:trHeight w:val="536"/>
        </w:trPr>
        <w:tc>
          <w:tcPr>
            <w:tcW w:w="20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8"/>
        </w:trPr>
        <w:tc>
          <w:tcPr>
            <w:tcW w:w="200" w:type="dxa"/>
            <w:vAlign w:val="bottom"/>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20" w:type="dxa"/>
            <w:vAlign w:val="bottom"/>
          </w:tcPr>
          <w:p>
            <w:pPr>
              <w:spacing w:after="0"/>
              <w:rPr>
                <w:sz w:val="19"/>
                <w:szCs w:val="19"/>
                <w:color w:val="auto"/>
              </w:rPr>
            </w:pPr>
          </w:p>
        </w:tc>
        <w:tc>
          <w:tcPr>
            <w:tcW w:w="12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8"/>
        </w:trPr>
        <w:tc>
          <w:tcPr>
            <w:tcW w:w="400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6"/>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200" w:type="dxa"/>
            <w:vAlign w:val="bottom"/>
            <w:tcBorders>
              <w:bottom w:val="single" w:sz="8" w:color="CCEEFF"/>
            </w:tcBorders>
            <w:shd w:val="clear" w:color="auto" w:fill="CCEEFF"/>
          </w:tcPr>
          <w:p>
            <w:pPr>
              <w:spacing w:after="0"/>
              <w:rPr>
                <w:sz w:val="23"/>
                <w:szCs w:val="23"/>
                <w:color w:val="auto"/>
              </w:rPr>
            </w:pPr>
          </w:p>
        </w:tc>
        <w:tc>
          <w:tcPr>
            <w:tcW w:w="380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5"/>
        </w:trPr>
        <w:tc>
          <w:tcPr>
            <w:tcW w:w="2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6"/>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3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28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2280" w:type="dxa"/>
            <w:vAlign w:val="bottom"/>
            <w:tcBorders>
              <w:bottom w:val="single" w:sz="8" w:color="CCEEFF"/>
            </w:tcBorders>
          </w:tcPr>
          <w:p>
            <w:pPr>
              <w:spacing w:after="0"/>
              <w:rPr>
                <w:sz w:val="3"/>
                <w:szCs w:val="3"/>
                <w:color w:val="auto"/>
              </w:rPr>
            </w:pPr>
          </w:p>
        </w:tc>
        <w:tc>
          <w:tcPr>
            <w:tcW w:w="23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23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Derivative (Loss) Gain</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w:t>
            </w:r>
          </w:p>
        </w:tc>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 in OCI</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Portion)</w:t>
            </w:r>
          </w:p>
        </w:tc>
        <w:tc>
          <w:tcPr>
            <w:tcW w:w="940" w:type="dxa"/>
            <w:vAlign w:val="bottom"/>
            <w:tcBorders>
              <w:bottom w:val="single" w:sz="8" w:color="CCEEFF"/>
            </w:tcBorders>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551"/>
        </w:trPr>
        <w:tc>
          <w:tcPr>
            <w:tcW w:w="2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280" w:type="dxa"/>
            <w:vAlign w:val="bottom"/>
          </w:tcPr>
          <w:p>
            <w:pPr>
              <w:spacing w:after="0"/>
              <w:rPr>
                <w:sz w:val="3"/>
                <w:szCs w:val="3"/>
                <w:color w:val="auto"/>
              </w:rPr>
            </w:pPr>
          </w:p>
        </w:tc>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Derivative Loss</w:t>
            </w: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9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8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 Selling, general and</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6"/>
        </w:trPr>
        <w:tc>
          <w:tcPr>
            <w:tcW w:w="22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Company’s estimated net amount of the existing loss as of June 30, 2024 is $0.4 million, which is expected to be reclassified to the Condensed Consolidated Statements of Operations within the next twelve months.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held an investment in the preferred shares of enterprises which meets the criteria for classification as an equity security carried at historical cost, net of impairment charges. The carrying value of the equity security investment was $1.0 million as of June 30, 2024 (December 31, 2023 — $1.0 million) and is recorded within Other Assets in the Condensed Consolidated Balance Sheets.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Non-Controlling Interests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indirectly owns 71.55% of IMAX China, whose shares trade on the Hong Kong Stock Exchange (December 31, 2023 — 71.55%). IMAX China remains a consolidated subsidiary of the Company. As of June 30, 2024, the balance of the Company’s non-controlling interest in IMAX China is $75.1 million (December 31, 2023 — $71.8 million). For the three and six months ended June 30, 2024, the net income attributable to the non-controlling interest in IMAX China is $1.5 million and $3.6 million, respectively (2023 — $1.3 million and $3.9 million, respectively).</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Non-Controlling Interest</w:t>
      </w:r>
    </w:p>
    <w:p>
      <w:pPr>
        <w:spacing w:after="0" w:line="25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of June 30, 2024,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 in Temporary Equity</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movement of the non-controlling interest in temporary equity related to the Original Film Fund for the six months ended June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Presented below is Management’s Discussion and Analysis of Financial Condition and Results of Operations (or “MD&amp;A”) for IMAX Corporation and its consolidated subsidiaries (“IMAX” or the “Company”) for the three and six months ended June 30, 2024 and 2023. MD&amp;A should be read in conjunction with Note 13, “Segment Reporting,” in the accompanying Condensed Consolidated Financial Statements in Item 1.</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June 30, 2024, the Company indirectly owns 71.55% of IMAX China Holding, Inc. (“IMAX China”), whose shares trade on the Hong Kong Stock Exchange. IMAX China is a consolidated subsidiary of the Company. For the three months ended June 30, 2024, net income attributable to IMAX China is $5.2 million, of which $3.7 million is attributable to the shareholders of the Company (2023 — $4.5 million and $3.2 million,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253" w:lineRule="exact"/>
        <w:rPr>
          <w:sz w:val="20"/>
          <w:szCs w:val="20"/>
          <w:color w:val="auto"/>
        </w:rPr>
      </w:pPr>
    </w:p>
    <w:p>
      <w:pPr>
        <w:jc w:val="both"/>
        <w:ind w:firstLine="193"/>
        <w:spacing w:after="0" w:line="249" w:lineRule="auto"/>
        <w:rPr>
          <w:sz w:val="20"/>
          <w:szCs w:val="20"/>
          <w:color w:val="auto"/>
        </w:rPr>
      </w:pPr>
      <w:r>
        <w:rPr>
          <w:rFonts w:ascii="Times New Roman" w:cs="Times New Roman" w:eastAsia="Times New Roman" w:hAnsi="Times New Roman"/>
          <w:sz w:val="18"/>
          <w:szCs w:val="18"/>
          <w:color w:val="auto"/>
        </w:rPr>
        <w:t>Certain statements included in this quarterly report may constitute “forward-looking statements” within the meaning of the United States Private Securities Litigation Reform Act of 1995 or “forward-looking information” within the meaning of Canadian securities laws.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risks related to the Company’s growth and operations in China; the performance of IMAX remastering films and other films released to the IMAX network; the signing of IMAX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associated with the Company’s use of artificial intelligence (“AI”) and exploration of additional use cases of AI;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political, economic and social instability; the failure to convert system backlog into revenue;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Document Analysis and Retrieval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45" w:lineRule="exact"/>
        <w:rPr>
          <w:sz w:val="20"/>
          <w:szCs w:val="20"/>
          <w:color w:val="auto"/>
        </w:rPr>
      </w:pPr>
    </w:p>
    <w:p>
      <w:pPr>
        <w:ind w:left="20" w:right="140"/>
        <w:spacing w:after="0" w:line="217"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Experience It In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IMAX 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StreamSmart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and SSIMWAVE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trademarks and trade names of the Company or its subsidiaries that are registered or otherwise protected under laws of various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SEDAR+’s website at www.sedarplus.ca and through the Company’s website at www.imax.com or by calling the Company’s Investor Relations Department at 212-821-0154. No information included on the Company’s website shall be deemed included or otherwise incorporated into this filing, except where expressly indicated.</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information posted on the Company’s Corporate and Investor Relations websites may be deemed material to investors. Accordingly, investors, media and others interested in the Company should monitor the Company’s investor relations websites in addition to the Company’s press releases, SEC and SEDAR+ filings and public conference calls and webcasts.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3" w:lineRule="exact"/>
        <w:rPr>
          <w:sz w:val="20"/>
          <w:szCs w:val="20"/>
          <w:color w:val="auto"/>
        </w:rPr>
      </w:pPr>
    </w:p>
    <w:p>
      <w:pPr>
        <w:jc w:val="both"/>
        <w:ind w:firstLine="193"/>
        <w:spacing w:after="0" w:line="242"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The Company’s global content portfolio includes blockbuster films, both from Hollywood and local language film industries worldwide; IMAX documentaries, both original and acquired; and IMAX events and experiences in emerging verticals, including music, gaming, and sports.</w:t>
      </w:r>
    </w:p>
    <w:p>
      <w:pPr>
        <w:spacing w:after="0" w:line="22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since its founding in 1967. The customers for IMAX Systems are principally exhibitors that operate commercial multiplex theaters, and, to a much lesser extent, museums,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10"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has the largest global premium format network, more than double the size of its nearest competitor. As of June 30, 2024, there were 1,780 IMAX Systems in 89 countries and territories, including 1,705 commercial multiplexes, 12 commercial destinations, and 63 institutional locations in the Company’s global network. This compares to 1,718 IMAX Systems in 87 countries and territories as of June 30, 2023, including 1,638 commercial multiplexes, 12 commercial destinations, and 68 institutional locations in the Company’s global network. (Refer to the table under “IMAX Network and Backlog” for additional information on the composition of the IMAX network.)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IMAX Systems provide the Company’s exhibitor customers with a combination of the following benefits:</w:t>
      </w:r>
    </w:p>
    <w:p>
      <w:pPr>
        <w:spacing w:after="0" w:line="249" w:lineRule="exact"/>
        <w:rPr>
          <w:sz w:val="20"/>
          <w:szCs w:val="20"/>
          <w:color w:val="auto"/>
        </w:rPr>
      </w:pPr>
    </w:p>
    <w:p>
      <w:pPr>
        <w:ind w:left="780" w:hanging="387"/>
        <w:spacing w:after="0" w:line="279"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been enhanced through the IMAX Film Remastering, which results in higher image and sound fidelity than conventional cinema experiences;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auditorium geometry, which result in a substantially larger field of view so that the screen extends to the edge of a viewer’s peripheral vision and creates more realistic images;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an auditorium equipped with an IMAX System;</w:t>
      </w:r>
    </w:p>
    <w:p>
      <w:pPr>
        <w:spacing w:after="0" w:line="189"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w:t>
      </w:r>
    </w:p>
    <w:p>
      <w:pPr>
        <w:spacing w:after="0" w:line="248"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and</w:t>
      </w:r>
    </w:p>
    <w:p>
      <w:pPr>
        <w:spacing w:after="0" w:line="248" w:lineRule="exact"/>
        <w:rPr>
          <w:rFonts w:ascii="Times New Roman" w:cs="Times New Roman" w:eastAsia="Times New Roman" w:hAnsi="Times New Roman"/>
          <w:sz w:val="18"/>
          <w:szCs w:val="18"/>
          <w:color w:val="auto"/>
        </w:rPr>
      </w:pPr>
    </w:p>
    <w:p>
      <w:pPr>
        <w:ind w:left="780" w:right="20" w:hanging="387"/>
        <w:spacing w:after="0" w:line="279"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 as well as benefits from IMAX marketing of films being shown in its network and IMAX’s growing social media followership.</w:t>
      </w:r>
    </w:p>
    <w:p>
      <w:pPr>
        <w:sectPr>
          <w:pgSz w:w="11900" w:h="16838" w:orient="portrait"/>
          <w:cols w:equalWidth="0" w:num="1">
            <w:col w:w="11240"/>
          </w:cols>
          <w:pgMar w:left="320" w:top="363"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addition, select movies shown in the IMAX network are filmed using proprietary IMAX film cameras or IMAX certified digital cameras, which along with IMAX’s customized guidance and a workflow process provide filmmakers enhanced and differentiated image quality and an IMAX-exclusive film aspect ratio that delivers up to 26% more image onto a standard IMAX movie screen. In select IMAX locations worldwide, movies filmed with IMAX cameras have an IMAX-exclusive 1.43 film aspect ratio, delivering up to 67% more image.</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Together, these components cause audiences in IMAX locations to feel as if they are a part of the on-screen action, creating a more intense, immersive, and awe-inspiring exciting experience than a conventional cinematic format.</w:t>
      </w:r>
    </w:p>
    <w:p>
      <w:pPr>
        <w:spacing w:after="0" w:line="186" w:lineRule="exact"/>
        <w:rPr>
          <w:sz w:val="20"/>
          <w:szCs w:val="20"/>
          <w:color w:val="auto"/>
        </w:rPr>
      </w:pPr>
    </w:p>
    <w:p>
      <w:pPr>
        <w:jc w:val="both"/>
        <w:ind w:firstLine="193"/>
        <w:spacing w:after="0"/>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exhibitor customers typically charge a premium for films released in IMAX’s format versus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combined with IMAX’s unmatched global network footprint and scale has helped establish IMAX as a key premium distribution and marketing platform for Hollywood and foreign local language movie studios.</w:t>
      </w:r>
    </w:p>
    <w:p>
      <w:pPr>
        <w:spacing w:after="0" w:line="22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continues to evolve its platform to bring new, innovative events and experiences to audiences worldwide. The Company has a footprint of connected IMAX Systems capable of delivering live, interactive content with low latency and superior sight and sound.</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a premier global technology platform for entertainment and events, 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are helping facilitate the next major renewal and upgrade cycle for the global IMAX network.</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utilizes AI for image enhancement, streaming technology, and data analysis to improve various aspects of its business. Furthermore, the Company is actively exploring other global use cases for AI to save costs, and to improve its products, operations, and efficiency.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(See Note 13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Content Solutions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Content Solutions segment earns revenue principally from the digital remastering of films and other content into IMAX formats for distribution across the IMAX network. To a lesser extent, the Content Solutions segment also earns revenue from the distribution of large-format documentary films and IMAX events and experiences including music, gaming, and sports, as well as the provision of film post-production services.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Film Remastering and Distribution</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receipts from a movie studio in exchange for converting a commercial film into the IMAX format and distributing it through the IMAX network. The fee earned by the Company in a typical IMAX Film Remastering and distribution arrangement averages approximately 12.5% of box office receipts (i.e., global box office (“GBO”) less applicable sales taxes), except for within Greater China, where the Company receives a lower percentage of net box office receipts for certain Hollywood films due to an import tax.</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 xml:space="preserve">IMAX Film Remastering digitally enhances the image resolution of films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In addition, the original soundtrack of a film to be exhibited across the IMAX network is remastered for IMAX digital sound systems. IMAX remastered soundtracks are uncompressed for full fidelity. IMAX sound systems use proprietary loudspeaker systems and proprietary surround sound configurations that ensure every seat in an auditorium is an optimal listening position.</w:t>
      </w:r>
    </w:p>
    <w:p>
      <w:pPr>
        <w:spacing w:after="0" w:line="209" w:lineRule="exact"/>
        <w:rPr>
          <w:sz w:val="20"/>
          <w:szCs w:val="20"/>
          <w:color w:val="auto"/>
        </w:rPr>
      </w:pPr>
    </w:p>
    <w:p>
      <w:pPr>
        <w:jc w:val="both"/>
        <w:ind w:firstLine="193"/>
        <w:spacing w:after="0" w:line="243"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delivering up to 67% more image. The Company has a Filmed For IMAX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program for select films under which filmmakers craft films from their inception in numerous ways to optimize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The program includes incremental and bespoke marketing support, which box office metrics demonstrate audiences respond extremely favorably to, and drives a higher market share for IMAX.</w:t>
      </w:r>
    </w:p>
    <w:p>
      <w:pPr>
        <w:spacing w:after="0" w:line="222"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 believes that growth in international box office remains an important driver of growth for the Company. To support continued growth in international markets, the Company is focused on the expansion of the IMAX network and has sought to elevate its international film strategy, supplementing its slate of Hollywood films with appealing local language films released in select markets, including China, Japan, India, France and South Korea. More recently, the Company has further expanded its strategy by distributing local language films in both native and foreign markets.</w:t>
      </w:r>
    </w:p>
    <w:p>
      <w:pPr>
        <w:spacing w:after="0" w:line="209"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films that were released to the Company’s global network during the three and six months ended June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300" w:type="dxa"/>
            <w:vAlign w:val="bottom"/>
            <w:gridSpan w:val="3"/>
          </w:tcPr>
          <w:p>
            <w:pPr>
              <w:jc w:val="center"/>
              <w:ind w:left="8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3"/>
          </w:tcPr>
          <w:p>
            <w:pPr>
              <w:jc w:val="center"/>
              <w:ind w:left="8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2300" w:type="dxa"/>
            <w:vAlign w:val="bottom"/>
            <w:gridSpan w:val="3"/>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3"/>
          </w:tcPr>
          <w:p>
            <w:pPr>
              <w:jc w:val="center"/>
              <w:ind w:left="8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3"/>
        </w:trPr>
        <w:tc>
          <w:tcPr>
            <w:tcW w:w="4620" w:type="dxa"/>
            <w:vAlign w:val="bottom"/>
          </w:tcPr>
          <w:p>
            <w:pPr>
              <w:spacing w:after="0"/>
              <w:rPr>
                <w:sz w:val="15"/>
                <w:szCs w:val="15"/>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62"/>
        </w:trPr>
        <w:tc>
          <w:tcPr>
            <w:tcW w:w="462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Hollywood film releases</w:t>
            </w:r>
            <w:r>
              <w:rPr>
                <w:rFonts w:ascii="Times New Roman" w:cs="Times New Roman" w:eastAsia="Times New Roman" w:hAnsi="Times New Roman"/>
                <w:sz w:val="23"/>
                <w:szCs w:val="23"/>
                <w:color w:val="auto"/>
                <w:vertAlign w:val="superscript"/>
              </w:rPr>
              <w:t>(1)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 Korea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3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22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
        </w:trPr>
        <w:tc>
          <w:tcPr>
            <w:tcW w:w="46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content experiences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7"/>
        </w:trPr>
        <w:tc>
          <w:tcPr>
            <w:tcW w:w="46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hanging="315"/>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i w:val="1"/>
          <w:iCs w:val="1"/>
          <w:color w:val="auto"/>
        </w:rPr>
        <w:t>For the six months ended June 30, 2024, the films released to the Company’s global network include two with IMAX DNA (2023 — three).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 xml:space="preserve">The films distributed through the Company’s global network during the six months ended June 30, 2024 that generated the highest IMAX box office totals were </w:t>
      </w:r>
      <w:r>
        <w:rPr>
          <w:rFonts w:ascii="Times New Roman" w:cs="Times New Roman" w:eastAsia="Times New Roman" w:hAnsi="Times New Roman"/>
          <w:sz w:val="18"/>
          <w:szCs w:val="18"/>
          <w:i w:val="1"/>
          <w:iCs w:val="1"/>
          <w:color w:val="auto"/>
        </w:rPr>
        <w:t>Dune: Part Two, Godzilla x Kong: The New Empire, Inside Out 2, Kingdom of The Planet of The Apes, Furiosa, Bad Boys: Ride or Die, Pegasus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 and YOLO. </w:t>
      </w:r>
      <w:r>
        <w:rPr>
          <w:rFonts w:ascii="Times New Roman" w:cs="Times New Roman" w:eastAsia="Times New Roman" w:hAnsi="Times New Roman"/>
          <w:sz w:val="18"/>
          <w:szCs w:val="18"/>
          <w:color w:val="auto"/>
        </w:rPr>
        <w:t>In addition, during the six months ended June 30, 2024, a number of alternative content films and events were distributed including</w:t>
      </w:r>
      <w:r>
        <w:rPr>
          <w:rFonts w:ascii="Times New Roman" w:cs="Times New Roman" w:eastAsia="Times New Roman" w:hAnsi="Times New Roman"/>
          <w:sz w:val="18"/>
          <w:szCs w:val="18"/>
          <w:i w:val="1"/>
          <w:iCs w:val="1"/>
          <w:color w:val="auto"/>
        </w:rPr>
        <w:t xml:space="preserve"> Queen Rock Montreal, </w:t>
      </w:r>
      <w:r>
        <w:rPr>
          <w:rFonts w:ascii="Times New Roman" w:cs="Times New Roman" w:eastAsia="Times New Roman" w:hAnsi="Times New Roman"/>
          <w:sz w:val="18"/>
          <w:szCs w:val="18"/>
          <w:color w:val="auto"/>
        </w:rPr>
        <w:t>monthly A24 mid-week film series,</w:t>
      </w:r>
      <w:r>
        <w:rPr>
          <w:rFonts w:ascii="Times New Roman" w:cs="Times New Roman" w:eastAsia="Times New Roman" w:hAnsi="Times New Roman"/>
          <w:sz w:val="18"/>
          <w:szCs w:val="18"/>
          <w:i w:val="1"/>
          <w:iCs w:val="1"/>
          <w:color w:val="auto"/>
        </w:rPr>
        <w:t xml:space="preserve"> Suga - Agust D Tour D-Day The Movie, Fallout </w:t>
      </w:r>
      <w:r>
        <w:rPr>
          <w:rFonts w:ascii="Times New Roman" w:cs="Times New Roman" w:eastAsia="Times New Roman" w:hAnsi="Times New Roman"/>
          <w:sz w:val="18"/>
          <w:szCs w:val="18"/>
          <w:color w:val="auto"/>
        </w:rPr>
        <w:t>series launch event and live streaming of the NBA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Finals in select IMAX China locations.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addition to the 46 IMAX films and alternative content experiences released on the Company’s global network during the six months ended June 30, 2024, the Company has announced the following additional 32 films and additional alternative content experiences to be released throughout the remainder of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2060" w:type="dxa"/>
            <w:vAlign w:val="bottom"/>
          </w:tcPr>
          <w:p>
            <w:pPr>
              <w:spacing w:after="0"/>
              <w:rPr>
                <w:sz w:val="14"/>
                <w:szCs w:val="14"/>
                <w:color w:val="auto"/>
              </w:rPr>
            </w:pPr>
          </w:p>
        </w:tc>
      </w:tr>
      <w:tr>
        <w:trPr>
          <w:trHeight w:val="229"/>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Borders>
              <w:bottom w:val="single" w:sz="8" w:color="CCEEFF"/>
            </w:tcBorders>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Studio</w:t>
            </w: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Release Date</w:t>
            </w:r>
            <w:r>
              <w:rPr>
                <w:rFonts w:ascii="Times New Roman" w:cs="Times New Roman" w:eastAsia="Times New Roman" w:hAnsi="Times New Roman"/>
                <w:sz w:val="18"/>
                <w:szCs w:val="18"/>
                <w:b w:val="1"/>
                <w:bCs w:val="1"/>
                <w:color w:val="auto"/>
                <w:w w:val="97"/>
                <w:vertAlign w:val="superscript"/>
              </w:rPr>
              <w:t>(1)</w:t>
            </w:r>
          </w:p>
        </w:tc>
        <w:tc>
          <w:tcPr>
            <w:tcW w:w="14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IMAX DNA</w:t>
            </w:r>
          </w:p>
        </w:tc>
      </w:tr>
      <w:tr>
        <w:trPr>
          <w:trHeight w:val="242"/>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Despicable Me 4</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Universal Pictures</w:t>
            </w:r>
          </w:p>
        </w:tc>
        <w:tc>
          <w:tcPr>
            <w:tcW w:w="1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July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A Place Called Silence</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Maoyan</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July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A Legend</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Bona</w:t>
            </w:r>
          </w:p>
        </w:tc>
        <w:tc>
          <w:tcPr>
            <w:tcW w:w="1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July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Indian 2</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Lyca Productions</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July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Skywalkers: A Love Story</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XYZ</w:t>
            </w:r>
          </w:p>
        </w:tc>
        <w:tc>
          <w:tcPr>
            <w:tcW w:w="1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July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Kingdom 4</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Toho Studios</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July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23"/>
        </w:trPr>
        <w:tc>
          <w:tcPr>
            <w:tcW w:w="4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Twisters</w:t>
            </w:r>
          </w:p>
        </w:tc>
        <w:tc>
          <w:tcPr>
            <w:tcW w:w="2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Universal Pictures/Warner Bros.</w:t>
            </w:r>
          </w:p>
        </w:tc>
        <w:tc>
          <w:tcPr>
            <w:tcW w:w="1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July 2024</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0"/>
        </w:trPr>
        <w:tc>
          <w:tcPr>
            <w:tcW w:w="4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Pictures</w:t>
            </w:r>
          </w:p>
        </w:tc>
        <w:tc>
          <w:tcPr>
            <w:tcW w:w="1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Olympics Opening Ceremony</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Universal/NBC Sports</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July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Successor</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Maoyan</w:t>
            </w:r>
          </w:p>
        </w:tc>
        <w:tc>
          <w:tcPr>
            <w:tcW w:w="1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July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7"/>
              </w:rPr>
              <w:t>Deadpool &amp; Wolverine</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Marvel Studios/Walt Disney Studios</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July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7"/>
              </w:rPr>
              <w:t>The Traveller</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New Classics</w:t>
            </w:r>
          </w:p>
        </w:tc>
        <w:tc>
          <w:tcPr>
            <w:tcW w:w="1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July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Filmed For IMAX</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My Hero Academia The Movie: You're Next</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Toho Studios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Decoded</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Maoyan</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Filmed For IMAX</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5"/>
              </w:rPr>
              <w:t>Upstream</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Alibaba</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White Snake: Afloat</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Wanda</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7"/>
              </w:rPr>
              <w:t>Borderlands</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Lionsgate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Alien: Romulus</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Walt Disney Studios</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Expanded Aspect Ratio</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The Crow</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Lionsgate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Everything Everywhere All At Once</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A24</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2024</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7"/>
              </w:rPr>
              <w:t>Takluk</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GSC Movies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Beetlejuice Beetlejuice</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Warner Bros. Pictures</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Transformers One</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Paramount Pictures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7"/>
              </w:rPr>
              <w:t>Wolfs</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Sony Pictures/Apple</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The Wild Robot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Universal Pictures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7"/>
              </w:rPr>
              <w:t>Megalopolis</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Lionsgate</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Joker: Folie à Deux</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Warner Bros. Pictures/DC Studios</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Filmed For IMAX</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4"/>
              </w:rPr>
              <w:t>Venom 3</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Sony Pictures</w:t>
            </w:r>
          </w:p>
        </w:tc>
        <w:tc>
          <w:tcPr>
            <w:tcW w:w="1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Filmed For IMAX</w:t>
            </w:r>
          </w:p>
        </w:tc>
      </w:tr>
      <w:tr>
        <w:trPr>
          <w:trHeight w:val="242"/>
        </w:trPr>
        <w:tc>
          <w:tcPr>
            <w:tcW w:w="4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Swan Lake</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Pathe Live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Filmed For IMAX</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Red One</w:t>
            </w:r>
          </w:p>
        </w:tc>
        <w:tc>
          <w:tcPr>
            <w:tcW w:w="2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Amazon/MGM</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Gladiator II</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Paramount Pictures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8"/>
        </w:trPr>
        <w:tc>
          <w:tcPr>
            <w:tcW w:w="4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Wicked – Part 1</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Universal Pictures</w:t>
            </w:r>
          </w:p>
        </w:tc>
        <w:tc>
          <w:tcPr>
            <w:tcW w:w="1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2024</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2"/>
        </w:trPr>
        <w:tc>
          <w:tcPr>
            <w:tcW w:w="4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Kraven the Hunter</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Sony Pictures/Marvel Studios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December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22" w:lineRule="exact"/>
        <w:rPr>
          <w:sz w:val="20"/>
          <w:szCs w:val="20"/>
          <w:color w:val="auto"/>
        </w:rPr>
      </w:pPr>
    </w:p>
    <w:p>
      <w:pPr>
        <w:ind w:left="340" w:hanging="315"/>
        <w:spacing w:after="0"/>
        <w:tabs>
          <w:tab w:leader="none" w:pos="34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scheduled release dates in the table above are subject to change, may vary by territory, and may not reflect the date(s) of limited premiere events.</w:t>
      </w:r>
    </w:p>
    <w:p>
      <w:pPr>
        <w:spacing w:after="0" w:line="368"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 xml:space="preserve">The Company remains in active negotiations with studios for additional films to fill out its short- and long-term film slate for the IMAX network. The Company expects to continue announcing additional local language films and exclusive IMAX events and experiences to be released throughout the remainder of 2024 to its global network. The Company has also announced the majority of the titles to be released in IMAX in 2025 including </w:t>
      </w:r>
      <w:r>
        <w:rPr>
          <w:rFonts w:ascii="Times New Roman" w:cs="Times New Roman" w:eastAsia="Times New Roman" w:hAnsi="Times New Roman"/>
          <w:sz w:val="18"/>
          <w:szCs w:val="18"/>
          <w:i w:val="1"/>
          <w:iCs w:val="1"/>
          <w:color w:val="auto"/>
        </w:rPr>
        <w:t>Avatar 3</w:t>
      </w:r>
      <w:r>
        <w:rPr>
          <w:rFonts w:ascii="Times New Roman" w:cs="Times New Roman" w:eastAsia="Times New Roman" w:hAnsi="Times New Roman"/>
          <w:sz w:val="18"/>
          <w:szCs w:val="18"/>
          <w:color w:val="auto"/>
        </w:rPr>
        <w:t xml:space="preserve"> and a record 14 or more </w:t>
      </w:r>
      <w:r>
        <w:rPr>
          <w:rFonts w:ascii="Times New Roman" w:cs="Times New Roman" w:eastAsia="Times New Roman" w:hAnsi="Times New Roman"/>
          <w:sz w:val="18"/>
          <w:szCs w:val="18"/>
          <w:i w:val="1"/>
          <w:iCs w:val="1"/>
          <w:color w:val="auto"/>
        </w:rPr>
        <w:t>Filmed for IMAX</w:t>
      </w:r>
      <w:r>
        <w:rPr>
          <w:rFonts w:ascii="Times New Roman" w:cs="Times New Roman" w:eastAsia="Times New Roman" w:hAnsi="Times New Roman"/>
          <w:sz w:val="18"/>
          <w:szCs w:val="18"/>
          <w:color w:val="auto"/>
        </w:rPr>
        <w:t xml:space="preserve"> titles including four Marvel titles, the latest </w:t>
      </w:r>
      <w:r>
        <w:rPr>
          <w:rFonts w:ascii="Times New Roman" w:cs="Times New Roman" w:eastAsia="Times New Roman" w:hAnsi="Times New Roman"/>
          <w:sz w:val="18"/>
          <w:szCs w:val="18"/>
          <w:i w:val="1"/>
          <w:iCs w:val="1"/>
          <w:color w:val="auto"/>
        </w:rPr>
        <w:t>Mission Impossible</w:t>
      </w:r>
      <w:r>
        <w:rPr>
          <w:rFonts w:ascii="Times New Roman" w:cs="Times New Roman" w:eastAsia="Times New Roman" w:hAnsi="Times New Roman"/>
          <w:sz w:val="18"/>
          <w:szCs w:val="18"/>
          <w:color w:val="auto"/>
        </w:rPr>
        <w:t xml:space="preserve"> installment, </w:t>
      </w:r>
      <w:r>
        <w:rPr>
          <w:rFonts w:ascii="Times New Roman" w:cs="Times New Roman" w:eastAsia="Times New Roman" w:hAnsi="Times New Roman"/>
          <w:sz w:val="18"/>
          <w:szCs w:val="18"/>
          <w:i w:val="1"/>
          <w:iCs w:val="1"/>
          <w:color w:val="auto"/>
        </w:rPr>
        <w:t>Superman Legacy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F1</w:t>
      </w:r>
      <w:r>
        <w:rPr>
          <w:rFonts w:ascii="Times New Roman" w:cs="Times New Roman" w:eastAsia="Times New Roman" w:hAnsi="Times New Roman"/>
          <w:sz w:val="18"/>
          <w:szCs w:val="18"/>
          <w:color w:val="auto"/>
        </w:rPr>
        <w:t xml:space="preserve"> from Apple. Additionally, IMAX expects to distribute a number of major titles in 2026 including an </w:t>
      </w:r>
      <w:r>
        <w:rPr>
          <w:rFonts w:ascii="Times New Roman" w:cs="Times New Roman" w:eastAsia="Times New Roman" w:hAnsi="Times New Roman"/>
          <w:sz w:val="18"/>
          <w:szCs w:val="18"/>
          <w:i w:val="1"/>
          <w:iCs w:val="1"/>
          <w:color w:val="auto"/>
        </w:rPr>
        <w:t>Avengers, Star Wars, Batman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Dune</w:t>
      </w:r>
      <w:r>
        <w:rPr>
          <w:rFonts w:ascii="Times New Roman" w:cs="Times New Roman" w:eastAsia="Times New Roman" w:hAnsi="Times New Roman"/>
          <w:sz w:val="18"/>
          <w:szCs w:val="18"/>
          <w:color w:val="auto"/>
        </w:rPr>
        <w:t xml:space="preserve"> 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Content Solutions</w:t>
      </w:r>
    </w:p>
    <w:p>
      <w:pPr>
        <w:spacing w:after="0" w:line="251"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 xml:space="preserve">The Company distributes large-format documentary feature films through its global commercial network and institutional theaters. The Company traditionally receives as its distribution fee either a fixed amount or a fixed percentage of the theater box office receipts and, following the recoupment of its costs, is typically entitled to receive an additional percentage of gross revenues as participation revenues. In May 2024, Amazon Content LLC (“Amazon Content”) acquired the worldwide rights to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xml:space="preserve">, which was filmed with IMAX digital certified cameras and produced in collaboration with Dolphin Entertainment, Bad Robot Productions, and Zipper Bros Films. The full-length documentary was released to select commercial locations across the IMAX network on May 17, 2024, and a 40-minute version will be released to institutional locations beginning in early 2025. The Company continues to work on </w:t>
      </w:r>
      <w:r>
        <w:rPr>
          <w:rFonts w:ascii="Times New Roman" w:cs="Times New Roman" w:eastAsia="Times New Roman" w:hAnsi="Times New Roman"/>
          <w:sz w:val="18"/>
          <w:szCs w:val="18"/>
          <w:i w:val="1"/>
          <w:iCs w:val="1"/>
          <w:color w:val="auto"/>
        </w:rPr>
        <w:t>The Elephant Odyssey</w:t>
      </w:r>
      <w:r>
        <w:rPr>
          <w:rFonts w:ascii="Times New Roman" w:cs="Times New Roman" w:eastAsia="Times New Roman" w:hAnsi="Times New Roman"/>
          <w:sz w:val="18"/>
          <w:szCs w:val="18"/>
          <w:color w:val="auto"/>
        </w:rPr>
        <w:t xml:space="preserve"> a documentary in collaboration with Beach House Pictures Pte Ltd and China International Communications Group, which was announced in 2023 and is expected to be released in 2025, and </w:t>
      </w:r>
      <w:r>
        <w:rPr>
          <w:rFonts w:ascii="Times New Roman" w:cs="Times New Roman" w:eastAsia="Times New Roman" w:hAnsi="Times New Roman"/>
          <w:sz w:val="18"/>
          <w:szCs w:val="18"/>
          <w:i w:val="1"/>
          <w:iCs w:val="1"/>
          <w:color w:val="auto"/>
        </w:rPr>
        <w:t>Stormbound</w:t>
      </w:r>
      <w:r>
        <w:rPr>
          <w:rFonts w:ascii="Times New Roman" w:cs="Times New Roman" w:eastAsia="Times New Roman" w:hAnsi="Times New Roman"/>
          <w:sz w:val="18"/>
          <w:szCs w:val="18"/>
          <w:color w:val="auto"/>
        </w:rPr>
        <w:t>, an additional feature documentary produced by Academy Award-winning producer, Adam McKay, which will be released in late 2025.</w:t>
      </w:r>
    </w:p>
    <w:p>
      <w:pPr>
        <w:spacing w:after="0" w:line="216"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events and experiences to audiences worldwide. As of June 30, 2024, the Company had a footprint of 263 connected locations in the IMAX network across the United States, Canada, Europe, and Asia configured with connectivity to deliver live and interactive events with low latency and superior sight and sound.</w:t>
      </w:r>
    </w:p>
    <w:p>
      <w:pPr>
        <w:spacing w:after="0" w:line="202" w:lineRule="exact"/>
        <w:rPr>
          <w:sz w:val="20"/>
          <w:szCs w:val="20"/>
          <w:color w:val="auto"/>
        </w:rPr>
      </w:pPr>
    </w:p>
    <w:p>
      <w:pPr>
        <w:jc w:val="both"/>
        <w:ind w:firstLine="193"/>
        <w:spacing w:after="0" w:line="242" w:lineRule="auto"/>
        <w:rPr>
          <w:sz w:val="20"/>
          <w:szCs w:val="20"/>
          <w:color w:val="auto"/>
        </w:rPr>
      </w:pPr>
      <w:r>
        <w:rPr>
          <w:rFonts w:ascii="Times New Roman" w:cs="Times New Roman" w:eastAsia="Times New Roman" w:hAnsi="Times New Roman"/>
          <w:sz w:val="18"/>
          <w:szCs w:val="18"/>
          <w:color w:val="auto"/>
        </w:rPr>
        <w:t xml:space="preserve">In the six months ended June 30, 2024, the Company partnered with Pathé Live for the exclusive release of </w:t>
      </w:r>
      <w:r>
        <w:rPr>
          <w:rFonts w:ascii="Times New Roman" w:cs="Times New Roman" w:eastAsia="Times New Roman" w:hAnsi="Times New Roman"/>
          <w:sz w:val="18"/>
          <w:szCs w:val="18"/>
          <w:i w:val="1"/>
          <w:iCs w:val="1"/>
          <w:color w:val="auto"/>
        </w:rPr>
        <w:t>Queen Rock Montreal</w:t>
      </w:r>
      <w:r>
        <w:rPr>
          <w:rFonts w:ascii="Times New Roman" w:cs="Times New Roman" w:eastAsia="Times New Roman" w:hAnsi="Times New Roman"/>
          <w:sz w:val="18"/>
          <w:szCs w:val="18"/>
          <w:color w:val="auto"/>
        </w:rPr>
        <w:t xml:space="preserve"> which became one of the Company’s highest grossing concert films ever, along with 2023’s </w:t>
      </w:r>
      <w:r>
        <w:rPr>
          <w:rFonts w:ascii="Times New Roman" w:cs="Times New Roman" w:eastAsia="Times New Roman" w:hAnsi="Times New Roman"/>
          <w:sz w:val="18"/>
          <w:szCs w:val="18"/>
          <w:i w:val="1"/>
          <w:iCs w:val="1"/>
          <w:color w:val="auto"/>
        </w:rPr>
        <w:t>Taylor Swift: The Eras Tour.</w:t>
      </w:r>
      <w:r>
        <w:rPr>
          <w:rFonts w:ascii="Times New Roman" w:cs="Times New Roman" w:eastAsia="Times New Roman" w:hAnsi="Times New Roman"/>
          <w:sz w:val="18"/>
          <w:szCs w:val="18"/>
          <w:color w:val="auto"/>
        </w:rPr>
        <w:t xml:space="preserve"> In addition, the Company hosted an IMAX event, </w:t>
      </w:r>
      <w:r>
        <w:rPr>
          <w:rFonts w:ascii="Times New Roman" w:cs="Times New Roman" w:eastAsia="Times New Roman" w:hAnsi="Times New Roman"/>
          <w:sz w:val="18"/>
          <w:szCs w:val="18"/>
          <w:i w:val="1"/>
          <w:iCs w:val="1"/>
          <w:color w:val="auto"/>
        </w:rPr>
        <w:t>Andre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3000: New Blue Sun, </w:t>
      </w:r>
      <w:r>
        <w:rPr>
          <w:rFonts w:ascii="Times New Roman" w:cs="Times New Roman" w:eastAsia="Times New Roman" w:hAnsi="Times New Roman"/>
          <w:sz w:val="18"/>
          <w:szCs w:val="18"/>
          <w:color w:val="auto"/>
        </w:rPr>
        <w:t>and entered into a partnership with A24 for a monthly one-night-only IMAX release of classic A24 titles, including Alex Garland’s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highly acclaimed </w:t>
      </w:r>
      <w:r>
        <w:rPr>
          <w:rFonts w:ascii="Times New Roman" w:cs="Times New Roman" w:eastAsia="Times New Roman" w:hAnsi="Times New Roman"/>
          <w:sz w:val="18"/>
          <w:szCs w:val="18"/>
          <w:i w:val="1"/>
          <w:iCs w:val="1"/>
          <w:color w:val="auto"/>
        </w:rPr>
        <w:t>Ex Machina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Uncut Gems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Hereditary</w:t>
      </w:r>
      <w:r>
        <w:rPr>
          <w:rFonts w:ascii="Times New Roman" w:cs="Times New Roman" w:eastAsia="Times New Roman" w:hAnsi="Times New Roman"/>
          <w:sz w:val="18"/>
          <w:szCs w:val="18"/>
          <w:color w:val="auto"/>
        </w:rPr>
        <w:t>. Additionally, the Company hosted multiple IMAX Live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events, including screening the National Basketball Association finals across multiple IMAX locations in the Asia Pacific region and the screening of </w:t>
      </w:r>
      <w:r>
        <w:rPr>
          <w:rFonts w:ascii="Times New Roman" w:cs="Times New Roman" w:eastAsia="Times New Roman" w:hAnsi="Times New Roman"/>
          <w:sz w:val="18"/>
          <w:szCs w:val="18"/>
          <w:i w:val="1"/>
          <w:iCs w:val="1"/>
          <w:color w:val="auto"/>
        </w:rPr>
        <w:t>The Beach Boys: IMAX Live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On July 26, 2024, the Company, in partnership with NBC television network, will be extending its live coverage of the 2024 Paris Olympics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Opening Ceremony to select IMAX locations throughout the United States.</w:t>
      </w:r>
    </w:p>
    <w:p>
      <w:pPr>
        <w:spacing w:after="0" w:line="226"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provides film post-production and quality control services for large-format films, whether produced by IMAX or third-parties, and digital post-production services. In addition, the Company also provides IMAX film and digital cameras to content creators under the IMAX certified camera program.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Products and Services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works with filmmakers, studios, and artists end-to-end from content creation through content delivery. The Company provides IMAX film cameras to select IMAX and third-party productions and certifies a suite of high-end digital cameras to shoot in the IMAX format under its Filmed for IMAX program. In addition, the Company provides post-production — including its proprietary DMR process — and quality control services for films that play in the IMAX network.</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Sales and Sales-Type Lease Arrangements</w:t>
      </w:r>
    </w:p>
    <w:p>
      <w:pPr>
        <w:spacing w:after="0" w:line="251"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spacing w:after="0" w:line="21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revenue earned from customers under the Company’s IMAX System sale or sales-type lease agreements varies from quarter-to- quarter and year-to-year based on a number of factors, including the number and mix of IMAX System configurations sold or leased, the timing of installation of the IMAX Systems, the nature of the arrangement and other factors specific to individual contracts.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provides IMAX Systems to exhibitors through joint revenue sharing arrangements (“JRSA”). Under the traditional form of these arrangements, the Company provides the IMAX System under a long-term lease in which the Company assumes the majority of the equipment and installation costs. In exchange for its upfront investment, the Company, primarily,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spacing w:after="0" w:line="214"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Under certain other joint revenue sharing arrangements, known as hybrid arrangements, the customer is responsible for making fixed upfront payments prior to the delivery and installation of the IMAX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Hybrid joint revenue sharing arrangements take the form of a sale. The fixed upfront payment is recognized when the lease term commences and is recorded within Revenues – Technology Sales. The contingent rent is recognized as revenue over the lease term and is recorded within Revenues – Technology Rentals.</w:t>
      </w:r>
    </w:p>
    <w:p>
      <w:pPr>
        <w:spacing w:after="0" w:line="21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revenue earned from customers under the Company’s joint revenue sharing arrangements can vary from quarter-to-quarter and year-to-year based on a number of factors that drive box office levels including film performance, the mix of IMAX System configurations, the timing of installation of IMAX Systems, the nature of the arrangement, the location, size and management of the theater and other factors specific to individual arrangements.</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Joint revenue sharing arrangements also require IMAX to provide maintenance and extended warranty services to the customer over the term of the lease in exchange for a separate fixed annual fee. These fees are reported within IMAX Maintenance, as discussed below.</w:t>
      </w:r>
    </w:p>
    <w:p>
      <w:pPr>
        <w:spacing w:after="0" w:line="18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Joint revenue sharing arrangements have been an important factor in the expansion of the Company’s commercial system network. Joint revenue sharing arrangements allow commercial theater exhibitors to install IMAX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June 30, 2024, the Company had 898 locations under joint revenue sharing arrangements in its global commercial multiplex network. The Company also had contracts in backlog for 327 systems under joint revenue sharing arrangements as of June 30, 2024, including 108 upgrades to existing locations and 216 new locations.</w:t>
      </w: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Streaming and Consumer Technology</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Streaming and Consumer Technology includes the Company’s Streaming Technology software offerings and IMAX Enhanced product services.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Streaming Technology consists of several software products including:</w:t>
      </w:r>
    </w:p>
    <w:p>
      <w:pPr>
        <w:spacing w:after="0" w:line="230" w:lineRule="exact"/>
        <w:rPr>
          <w:sz w:val="20"/>
          <w:szCs w:val="20"/>
          <w:color w:val="auto"/>
        </w:rPr>
      </w:pPr>
    </w:p>
    <w:p>
      <w:pPr>
        <w:ind w:left="780" w:hanging="387"/>
        <w:spacing w:after="0" w:line="279" w:lineRule="auto"/>
        <w:tabs>
          <w:tab w:leader="none" w:pos="7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StreamSmart – works within existing video compression workflows to reduce bitrates and retain picture quality across all devices and formats and deliver significant cost savings.</w:t>
      </w:r>
    </w:p>
    <w:p>
      <w:pPr>
        <w:spacing w:after="0" w:line="189" w:lineRule="exact"/>
        <w:rPr>
          <w:rFonts w:ascii="Times New Roman" w:cs="Times New Roman" w:eastAsia="Times New Roman" w:hAnsi="Times New Roman"/>
          <w:sz w:val="18"/>
          <w:szCs w:val="18"/>
          <w:color w:val="auto"/>
        </w:rPr>
      </w:pPr>
    </w:p>
    <w:p>
      <w:pPr>
        <w:ind w:left="780" w:right="20" w:hanging="387"/>
        <w:spacing w:after="0" w:line="279" w:lineRule="auto"/>
        <w:tabs>
          <w:tab w:leader="none" w:pos="7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On-Demand – all-in-one quality assurance and quality control to automate and standardize checks for comprehensive content integrity and regulatory compliance for third-party content libraries, across an entire video compression workflow.</w:t>
      </w:r>
    </w:p>
    <w:p>
      <w:pPr>
        <w:spacing w:after="0" w:line="189" w:lineRule="exact"/>
        <w:rPr>
          <w:rFonts w:ascii="Times New Roman" w:cs="Times New Roman" w:eastAsia="Times New Roman" w:hAnsi="Times New Roman"/>
          <w:sz w:val="18"/>
          <w:szCs w:val="18"/>
          <w:color w:val="auto"/>
        </w:rPr>
      </w:pPr>
    </w:p>
    <w:p>
      <w:pPr>
        <w:ind w:left="780" w:right="20" w:hanging="387"/>
        <w:spacing w:after="0" w:line="279" w:lineRule="auto"/>
        <w:tabs>
          <w:tab w:leader="none" w:pos="7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On-Air – real-time monitoring software for live streams, which enables users to monitor video quality across their networks and to identify and address streaming issues.</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These AI-powered products allow streaming platforms and broadcasters to automate workflows. The Company believes that these products allow users to deliver the highest quality viewing experiences to their subscribers while reducing costs.</w:t>
      </w:r>
    </w:p>
    <w:p>
      <w:pPr>
        <w:spacing w:after="0" w:line="187" w:lineRule="exact"/>
        <w:rPr>
          <w:sz w:val="20"/>
          <w:szCs w:val="20"/>
          <w:color w:val="auto"/>
        </w:rPr>
      </w:pPr>
    </w:p>
    <w:p>
      <w:pPr>
        <w:jc w:val="both"/>
        <w:ind w:firstLine="193"/>
        <w:spacing w:after="0" w:line="265" w:lineRule="auto"/>
        <w:rPr>
          <w:sz w:val="20"/>
          <w:szCs w:val="20"/>
          <w:color w:val="auto"/>
        </w:rPr>
      </w:pPr>
      <w:r>
        <w:rPr>
          <w:rFonts w:ascii="Times New Roman" w:cs="Times New Roman" w:eastAsia="Times New Roman" w:hAnsi="Times New Roman"/>
          <w:sz w:val="18"/>
          <w:szCs w:val="18"/>
          <w:color w:val="auto"/>
        </w:rPr>
        <w:t xml:space="preserve">IMAX Enhanced is a solution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into the home. IMAX Enhanced provides end-to-end premium technology across streaming content and best-in-class entertainment devices, offering consumers high-fidelity playback of image and sound in the home and beyond, including the following features:</w:t>
      </w:r>
    </w:p>
    <w:p>
      <w:pPr>
        <w:spacing w:after="0" w:line="201" w:lineRule="exact"/>
        <w:rPr>
          <w:sz w:val="20"/>
          <w:szCs w:val="20"/>
          <w:color w:val="auto"/>
        </w:rPr>
      </w:pPr>
    </w:p>
    <w:p>
      <w:pPr>
        <w:ind w:left="780" w:hanging="387"/>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expanded aspect ratio, which is available on select titles and streaming platforms, including Disney+;</w:t>
      </w:r>
    </w:p>
    <w:p>
      <w:pPr>
        <w:spacing w:after="0" w:line="248"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proprietary remastering technology, which produces more vivid, higher-fidelity 4K HDR images on premium televisions; and</w:t>
      </w:r>
    </w:p>
    <w:p>
      <w:pPr>
        <w:spacing w:after="0" w:line="248"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signature sound, which was specially recreated and calibrated for the home to unlock more immersive audio.</w:t>
      </w:r>
    </w:p>
    <w:p>
      <w:pPr>
        <w:spacing w:after="0" w:line="24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To be certified as IMAX Enhanced, leading consumer electronics manufacturers spanning 4K/8K televisions, projectors, A/V receivers, loudspeakers, soundbars, smartphones, personal computers, tablets, and more must meet a carefully prescribed set of audiovisual performance standards, set by a certification committee, along with some of Hollywood’s leading technical specialist.</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At present, certified global device partners include Sony Electronics, Hisense, TCL, LG, Phillips, Hewlett Packard, Xiaomi, Sound United and Honor, among others. As of June 30, 2024, more than 300 IMAX Enhanced titles have been released across five of the biggest streaming platforms worldwide: Disney+, Sony Bravia CORE, Tencent Video, iQiyi and Rakuten TV. Over 15 million IMAX Enhanced certified devices are estimated to be in the market today.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1"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All Other also includes revenues from sources including one owned and operated IMAX System in Sacramento, California; a commercial arrangement with one theater resulting in the sharing of profits and losses; the provision of management services to three other theaters; renting the Company’s proprietary 2D and 3D large-format film cameras; and offering production advice and technical assistance to both documentary and Hollywood filmmakers.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251" w:lineRule="exact"/>
        <w:rPr>
          <w:sz w:val="20"/>
          <w:szCs w:val="20"/>
          <w:color w:val="auto"/>
        </w:rPr>
      </w:pPr>
    </w:p>
    <w:p>
      <w:pPr>
        <w:ind w:firstLine="193"/>
        <w:spacing w:after="0" w:line="309" w:lineRule="auto"/>
        <w:rPr>
          <w:sz w:val="20"/>
          <w:szCs w:val="20"/>
          <w:color w:val="auto"/>
        </w:rPr>
      </w:pPr>
      <w:r>
        <w:rPr>
          <w:rFonts w:ascii="Times New Roman" w:cs="Times New Roman" w:eastAsia="Times New Roman" w:hAnsi="Times New Roman"/>
          <w:sz w:val="17"/>
          <w:szCs w:val="17"/>
          <w:color w:val="auto"/>
        </w:rPr>
        <w:t>The following table provides detailed information about the IMAX network by type and geographic location as of June 30, 2024 and 2023. For additional information regarding the composition of the IMAX network, see “Marketing and Customers” in Part I, Item 1 of the Company’s 2023 Form 10-K.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40" w:type="dxa"/>
            <w:vAlign w:val="bottom"/>
          </w:tcPr>
          <w:p>
            <w:pPr>
              <w:spacing w:after="0"/>
              <w:rPr>
                <w:sz w:val="16"/>
                <w:szCs w:val="16"/>
                <w:color w:val="auto"/>
              </w:rPr>
            </w:pPr>
          </w:p>
        </w:tc>
      </w:tr>
      <w:tr>
        <w:trPr>
          <w:trHeight w:val="38"/>
        </w:trPr>
        <w:tc>
          <w:tcPr>
            <w:tcW w:w="202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0"/>
        </w:trPr>
        <w:tc>
          <w:tcPr>
            <w:tcW w:w="20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7"/>
        </w:trPr>
        <w:tc>
          <w:tcPr>
            <w:tcW w:w="20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Destination</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0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2"/>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42"/>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6"/>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6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6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62"/>
        </w:trPr>
        <w:tc>
          <w:tcPr>
            <w:tcW w:w="202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0"/>
        </w:trPr>
        <w:tc>
          <w:tcPr>
            <w:tcW w:w="2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includes China, Hong Kong, Taiwan, and Macau.</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Latin America includes South America, Central America, and Mexico.</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 above are reported net of the effect of permanently closed locations.</w:t>
      </w:r>
    </w:p>
    <w:p>
      <w:pPr>
        <w:spacing w:after="0" w:line="127"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currently estimates a worldwide commercial multiplex addressable market of 3,619 locations, of which there are 1,705 IMAX Systems operating as of June 30, 2024, representing a market penetration of only 47%. The Company believes that the majority of its future growth will come from international markets. As of June 30, 2024, 76% of IMAX Systems in the global commercial multiplex network were located within international markets (defined as all countries other than the United States and Canada). Revenues and GBO derived from international markets continue to exceed revenues and GBO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 Item 1A of the Company’s 2023 Form 10-K.</w:t>
      </w:r>
    </w:p>
    <w:p>
      <w:pPr>
        <w:spacing w:after="0" w:line="21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In the six months ended June 30, 2024 the Company’s revenue generated from its Greater China operations represents 26% of consolidated revenue. As of June 30, 2024, the Company had 803 IMAX Systems operating in Greater China with an additional 263 systems in backlog.</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 xml:space="preserve">In the six months ended June 30, 2024, the IMAX network generated over $80.0 million in box office from local language films, representing approximately 18% of the Company’s total box office in the period. The Company is also seeing its local language films increasingly generate significant IMAX box office in markets outside of those in which they are released, such as the Japanese film </w:t>
      </w:r>
      <w:r>
        <w:rPr>
          <w:rFonts w:ascii="Times New Roman" w:cs="Times New Roman" w:eastAsia="Times New Roman" w:hAnsi="Times New Roman"/>
          <w:sz w:val="18"/>
          <w:szCs w:val="18"/>
          <w:i w:val="1"/>
          <w:iCs w:val="1"/>
          <w:color w:val="auto"/>
        </w:rPr>
        <w:t>Conan 27</w:t>
      </w:r>
      <w:r>
        <w:rPr>
          <w:rFonts w:ascii="Times New Roman" w:cs="Times New Roman" w:eastAsia="Times New Roman" w:hAnsi="Times New Roman"/>
          <w:sz w:val="18"/>
          <w:szCs w:val="18"/>
          <w:color w:val="auto"/>
        </w:rPr>
        <w:t xml:space="preserve"> as well as the Chinese film </w:t>
      </w:r>
      <w:r>
        <w:rPr>
          <w:rFonts w:ascii="Times New Roman" w:cs="Times New Roman" w:eastAsia="Times New Roman" w:hAnsi="Times New Roman"/>
          <w:sz w:val="18"/>
          <w:szCs w:val="18"/>
          <w:i w:val="1"/>
          <w:iCs w:val="1"/>
          <w:color w:val="auto"/>
        </w:rPr>
        <w:t>Formed Police Unit</w:t>
      </w:r>
      <w:r>
        <w:rPr>
          <w:rFonts w:ascii="Times New Roman" w:cs="Times New Roman" w:eastAsia="Times New Roman" w:hAnsi="Times New Roman"/>
          <w:sz w:val="18"/>
          <w:szCs w:val="18"/>
          <w:color w:val="auto"/>
        </w:rPr>
        <w:t xml:space="preserve"> and the Korean film </w:t>
      </w:r>
      <w:r>
        <w:rPr>
          <w:rFonts w:ascii="Times New Roman" w:cs="Times New Roman" w:eastAsia="Times New Roman" w:hAnsi="Times New Roman"/>
          <w:sz w:val="18"/>
          <w:szCs w:val="18"/>
          <w:i w:val="1"/>
          <w:iCs w:val="1"/>
          <w:color w:val="auto"/>
        </w:rPr>
        <w:t>Suga - Agust D Tour D-Day The Movie.</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(See “Risk Factors – The Company faces risks in connection with its significant presence in China and the continued expansion of its business there.” in Part II, Item 1A. of this Form 10-Q and “Risk Factors – General political, social and economic conditions can affect the Company’s business by reducing both revenues generated from existing IMAX Systems and the demand for new IMAX Systems,” and “Risk Factors – The Company may not convert all of its backlog into revenue and cash flows” in Part I, Item 1A of the Company’s 2023 Form 10-K.)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following tables provide detailed information about the Company’s commercial multiplex network by arrangement type and geographic location as of</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60" w:type="dxa"/>
            <w:vAlign w:val="bottom"/>
            <w:gridSpan w:val="3"/>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6"/>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4"/>
        </w:trPr>
        <w:tc>
          <w:tcPr>
            <w:tcW w:w="4600" w:type="dxa"/>
            <w:vAlign w:val="bottom"/>
          </w:tcPr>
          <w:p>
            <w:pPr>
              <w:spacing w:after="0"/>
              <w:rPr>
                <w:sz w:val="20"/>
                <w:szCs w:val="20"/>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46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Arrangements</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115</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678</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807</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60" w:type="dxa"/>
            <w:vAlign w:val="bottom"/>
            <w:gridSpan w:val="3"/>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6"/>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4600" w:type="dxa"/>
            <w:vAlign w:val="bottom"/>
          </w:tcPr>
          <w:p>
            <w:pPr>
              <w:spacing w:after="0"/>
              <w:rPr>
                <w:sz w:val="19"/>
                <w:szCs w:val="19"/>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1"/>
        </w:trPr>
        <w:tc>
          <w:tcPr>
            <w:tcW w:w="4600" w:type="dxa"/>
            <w:vAlign w:val="bottom"/>
          </w:tcPr>
          <w:p>
            <w:pPr>
              <w:spacing w:after="0"/>
              <w:rPr>
                <w:sz w:val="17"/>
                <w:szCs w:val="17"/>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608</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731</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Company’s backlog as of June 30, 2024 and 2023:</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880" w:type="dxa"/>
            <w:vAlign w:val="bottom"/>
          </w:tcPr>
          <w:p>
            <w:pPr>
              <w:spacing w:after="0"/>
              <w:rPr>
                <w:sz w:val="3"/>
                <w:szCs w:val="3"/>
                <w:color w:val="auto"/>
              </w:rPr>
            </w:pPr>
          </w:p>
        </w:tc>
        <w:tc>
          <w:tcPr>
            <w:tcW w:w="212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880" w:type="dxa"/>
            <w:vAlign w:val="bottom"/>
          </w:tcPr>
          <w:p>
            <w:pPr>
              <w:spacing w:after="0"/>
              <w:rPr>
                <w:sz w:val="14"/>
                <w:szCs w:val="14"/>
                <w:color w:val="auto"/>
              </w:rPr>
            </w:pPr>
          </w:p>
        </w:tc>
        <w:tc>
          <w:tcPr>
            <w:tcW w:w="21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880" w:type="dxa"/>
            <w:vAlign w:val="bottom"/>
          </w:tcPr>
          <w:p>
            <w:pPr>
              <w:spacing w:after="0"/>
              <w:rPr>
                <w:sz w:val="16"/>
                <w:szCs w:val="16"/>
                <w:color w:val="auto"/>
              </w:rPr>
            </w:pPr>
          </w:p>
        </w:tc>
        <w:tc>
          <w:tcPr>
            <w:tcW w:w="1240" w:type="dxa"/>
            <w:vAlign w:val="bottom"/>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w:t>
            </w: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except number of systems)</w:t>
            </w: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New</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0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New</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New</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0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80" w:type="dxa"/>
            <w:vAlign w:val="bottom"/>
          </w:tcPr>
          <w:p>
            <w:pPr>
              <w:spacing w:after="0"/>
              <w:rPr>
                <w:sz w:val="16"/>
                <w:szCs w:val="16"/>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0" w:type="dxa"/>
            <w:vAlign w:val="bottom"/>
          </w:tcPr>
          <w:p>
            <w:pPr>
              <w:spacing w:after="0"/>
              <w:rPr>
                <w:sz w:val="1"/>
                <w:szCs w:val="1"/>
                <w:color w:val="auto"/>
              </w:rPr>
            </w:pPr>
          </w:p>
        </w:tc>
      </w:tr>
      <w:tr>
        <w:trPr>
          <w:trHeight w:val="38"/>
        </w:trPr>
        <w:tc>
          <w:tcPr>
            <w:tcW w:w="28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88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190,636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0" w:type="dxa"/>
            <w:vAlign w:val="bottom"/>
          </w:tcPr>
          <w:p>
            <w:pPr>
              <w:spacing w:after="0"/>
              <w:rPr>
                <w:sz w:val="1"/>
                <w:szCs w:val="1"/>
                <w:color w:val="auto"/>
              </w:rPr>
            </w:pPr>
          </w:p>
        </w:tc>
      </w:tr>
      <w:tr>
        <w:trPr>
          <w:trHeight w:val="26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Hybrid JRSA</w:t>
            </w:r>
            <w:r>
              <w:rPr>
                <w:rFonts w:ascii="Times New Roman" w:cs="Times New Roman" w:eastAsia="Times New Roman" w:hAnsi="Times New Roman"/>
                <w:sz w:val="23"/>
                <w:szCs w:val="23"/>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68"/>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JRSA</w:t>
            </w:r>
            <w:r>
              <w:rPr>
                <w:rFonts w:ascii="Times New Roman" w:cs="Times New Roman" w:eastAsia="Times New Roman" w:hAnsi="Times New Roman"/>
                <w:sz w:val="23"/>
                <w:szCs w:val="23"/>
                <w:color w:val="auto"/>
                <w:vertAlign w:val="superscript"/>
              </w:rPr>
              <w:t>(2)(3)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62"/>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22"/>
                <w:szCs w:val="22"/>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236,741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271,194</w:t>
            </w:r>
          </w:p>
        </w:tc>
        <w:tc>
          <w:tcPr>
            <w:tcW w:w="1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7" w:lineRule="exact"/>
        <w:rPr>
          <w:rFonts w:ascii="Times New Roman" w:cs="Times New Roman" w:eastAsia="Times New Roman" w:hAnsi="Times New Roman"/>
          <w:sz w:val="14"/>
          <w:szCs w:val="14"/>
          <w:i w:val="1"/>
          <w:iCs w:val="1"/>
          <w:color w:val="auto"/>
        </w:rPr>
      </w:pPr>
    </w:p>
    <w:p>
      <w:pPr>
        <w:jc w:val="both"/>
        <w:ind w:left="340" w:right="20" w:hanging="315"/>
        <w:spacing w:after="0" w:line="257" w:lineRule="auto"/>
        <w:tabs>
          <w:tab w:leader="none" w:pos="332"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consideration owed under traditional joint revenue sharing arrangements is typically a percentage of contingent box office receipts rather than a fixed upfront fee or fixed annual minimum payments. Accordingly, such arrangements do not usually have a dollar value in backlog; however, hybrid joint revenue sharing arrangements typically provide for contracted upfront payments and therefore carry a backlog value based on those payments.</w:t>
      </w:r>
    </w:p>
    <w:p>
      <w:pPr>
        <w:ind w:left="340" w:right="20" w:hanging="315"/>
        <w:spacing w:after="0" w:line="279" w:lineRule="auto"/>
        <w:tabs>
          <w:tab w:leader="none" w:pos="332"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32 IMAX Systems (2023 ― 38) where certain of the Company’s contracts contain options for the customer to elect to upgrade system type or to alter the contract structure (for example, from a joint revenue sharing arrangement to a sale) after signing, but before installation. Current backlog information reflects all known elections.</w:t>
      </w:r>
    </w:p>
    <w:p>
      <w:pPr>
        <w:spacing w:after="0" w:line="316"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backlog reflects the minimum number of commitments for IMAX Systems according to the signed contracts. The dollar value fluctuates depending on the number of new arrangements signed from year-to-year, which adds to backlog and the installation and acceptance of IMAX Systems and the settlement of contracts, both of which reduce backlog. The dollar value of backlog typically represents the fixed contracted revenue according to the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systems in which the Company has an equity interest, operating leases, and long-term conditional theater commitments. The Company believes that the contractual obligations for IMAX System installations that are listed in backlog are valid and binding commitments.</w:t>
      </w:r>
    </w:p>
    <w:p>
      <w:pPr>
        <w:spacing w:after="0" w:line="21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backlog by arrangement type and geographic location as of June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60" w:type="dxa"/>
            <w:vAlign w:val="bottom"/>
            <w:gridSpan w:val="3"/>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4"/>
        </w:trPr>
        <w:tc>
          <w:tcPr>
            <w:tcW w:w="4600" w:type="dxa"/>
            <w:vAlign w:val="bottom"/>
          </w:tcPr>
          <w:p>
            <w:pPr>
              <w:spacing w:after="0"/>
              <w:rPr>
                <w:sz w:val="20"/>
                <w:szCs w:val="20"/>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46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Arrangements</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165</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504 includes 261 new IMAX Laser Systems and 69 upgrades of existing locations to IMAX Laser Systems.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60" w:type="dxa"/>
            <w:vAlign w:val="bottom"/>
            <w:gridSpan w:val="3"/>
          </w:tcPr>
          <w:p>
            <w:pPr>
              <w:jc w:val="center"/>
              <w:ind w:right="74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4600" w:type="dxa"/>
            <w:vAlign w:val="bottom"/>
          </w:tcPr>
          <w:p>
            <w:pPr>
              <w:spacing w:after="0"/>
              <w:rPr>
                <w:sz w:val="19"/>
                <w:szCs w:val="19"/>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1"/>
        </w:trPr>
        <w:tc>
          <w:tcPr>
            <w:tcW w:w="4600" w:type="dxa"/>
            <w:vAlign w:val="bottom"/>
          </w:tcPr>
          <w:p>
            <w:pPr>
              <w:spacing w:after="0"/>
              <w:rPr>
                <w:sz w:val="17"/>
                <w:szCs w:val="17"/>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178</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193</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496 includes 247 new IMAX Laser Systems and 92 upgrades of existing locations to IMAX Laser Systems.</w:t>
      </w:r>
    </w:p>
    <w:p>
      <w:pPr>
        <w:spacing w:after="0" w:line="35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Approximately 30% of IMAX System arrangements in backlog as of June 30, 2024 are scheduled to be installed in international markets excluding Greater China (2023 — 36%). The Company’s backlog in Greater China represents 52% of its total current backlog including upgrades in system type (2023 — 40%).</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“Risk Factors – The Company may not convert all of its backlog into revenue and cash flows.” in Part II, Item 1A. of this form Form 10-Q.)</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251"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IMAX System signings and installations for the 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3"/>
          </w:tcPr>
          <w:p>
            <w:pPr>
              <w:jc w:val="center"/>
              <w:ind w:left="9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3"/>
          </w:tcPr>
          <w:p>
            <w:pPr>
              <w:jc w:val="center"/>
              <w:ind w:lef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3"/>
        </w:trPr>
        <w:tc>
          <w:tcPr>
            <w:tcW w:w="5560" w:type="dxa"/>
            <w:vAlign w:val="bottom"/>
            <w:gridSpan w:val="2"/>
          </w:tcPr>
          <w:p>
            <w:pPr>
              <w:ind w:left="52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5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 Signings: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68"/>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2"/>
        </w:trPr>
        <w:tc>
          <w:tcPr>
            <w:tcW w:w="462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 IMAX System signings</w:t>
            </w:r>
            <w:r>
              <w:rPr>
                <w:rFonts w:ascii="Times New Roman" w:cs="Times New Roman" w:eastAsia="Times New Roman" w:hAnsi="Times New Roman"/>
                <w:sz w:val="23"/>
                <w:szCs w:val="23"/>
                <w:color w:val="auto"/>
                <w:vertAlign w:val="superscript"/>
              </w:rPr>
              <w:t>(2)</w:t>
            </w:r>
          </w:p>
        </w:tc>
        <w:tc>
          <w:tcPr>
            <w:tcW w:w="9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IMAX System upgrades of 68 for the three and six months ended June 30, 2024 (2023 ― 11 and 12 upgrades, respectively).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3"/>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3"/>
          </w:tcPr>
          <w:p>
            <w:pPr>
              <w:jc w:val="center"/>
              <w:ind w:left="8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3"/>
        </w:trPr>
        <w:tc>
          <w:tcPr>
            <w:tcW w:w="5560" w:type="dxa"/>
            <w:vAlign w:val="bottom"/>
            <w:gridSpan w:val="2"/>
          </w:tcPr>
          <w:p>
            <w:pPr>
              <w:ind w:left="52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5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6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8"/>
        </w:trPr>
        <w:tc>
          <w:tcPr>
            <w:tcW w:w="4620" w:type="dxa"/>
            <w:vAlign w:val="bottom"/>
            <w:shd w:val="clear" w:color="auto" w:fill="CCEEFF"/>
          </w:tcPr>
          <w:p>
            <w:pPr>
              <w:ind w:left="20"/>
              <w:spacing w:after="0" w:line="248" w:lineRule="exact"/>
              <w:rPr>
                <w:sz w:val="20"/>
                <w:szCs w:val="20"/>
                <w:color w:val="auto"/>
              </w:rPr>
            </w:pPr>
            <w:r>
              <w:rPr>
                <w:rFonts w:ascii="Times New Roman" w:cs="Times New Roman" w:eastAsia="Times New Roman" w:hAnsi="Times New Roman"/>
                <w:sz w:val="18"/>
                <w:szCs w:val="18"/>
                <w:color w:val="auto"/>
              </w:rPr>
              <w:t>System Installations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8"/>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Hybrid JRSA</w:t>
            </w:r>
          </w:p>
        </w:tc>
        <w:tc>
          <w:tcPr>
            <w:tcW w:w="136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2"/>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2"/>
        </w:trPr>
        <w:tc>
          <w:tcPr>
            <w:tcW w:w="556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 IMAX System installations</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left="340" w:right="20" w:hanging="315"/>
        <w:spacing w:after="0" w:line="266" w:lineRule="auto"/>
        <w:tabs>
          <w:tab w:leader="none" w:pos="332"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Two IMAX Systems were relocated from their original location (2023 ― two).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ind w:left="340" w:hanging="315"/>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Hybrid Sales and Sales-Type Lease deal types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11 IMAX System upgrades (2023 ― eight upgrades).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films and alternative content to be exhibited across the IMAX network; (ii) the signing, installation, and financial performance of IMAX System arrangements, particularly those involving laser-based projection systems; (iii) the success of the Company’s investments in business evolution and brand extensions into streaming and consumer technology, including the integration of SSIMWAVE and the distribution of live events to the IMAX network; (iv) revenues and gross margins earned by the Company’s segments, as discussed below; (v) consolidated earnings (loss) from operations, as adjusted for unusual items; (vi) the continuing ability to invest in and improve the Company’s technology to enhance the differentiation of </w:t>
      </w:r>
      <w:r>
        <w:rPr>
          <w:rFonts w:ascii="Times New Roman" w:cs="Times New Roman" w:eastAsia="Times New Roman" w:hAnsi="Times New Roman"/>
          <w:sz w:val="18"/>
          <w:szCs w:val="18"/>
          <w:i w:val="1"/>
          <w:iCs w:val="1"/>
          <w:color w:val="auto"/>
        </w:rPr>
        <w:t>The IMAX Experience</w:t>
      </w:r>
      <w:r>
        <w:rPr>
          <w:rFonts w:ascii="Times New Roman" w:cs="Times New Roman" w:eastAsia="Times New Roman" w:hAnsi="Times New Roman"/>
          <w:sz w:val="18"/>
          <w:szCs w:val="18"/>
          <w:color w:val="auto"/>
        </w:rPr>
        <w:t xml:space="preserve"> versus other out-of-home experiences; (vii) the overall execution, reliability, and consumer acceptance of </w:t>
      </w:r>
      <w:r>
        <w:rPr>
          <w:rFonts w:ascii="Times New Roman" w:cs="Times New Roman" w:eastAsia="Times New Roman" w:hAnsi="Times New Roman"/>
          <w:sz w:val="18"/>
          <w:szCs w:val="18"/>
          <w:i w:val="1"/>
          <w:iCs w:val="1"/>
          <w:color w:val="auto"/>
        </w:rPr>
        <w:t>The IMAX Experience</w:t>
      </w:r>
      <w:r>
        <w:rPr>
          <w:rFonts w:ascii="Times New Roman" w:cs="Times New Roman" w:eastAsia="Times New Roman" w:hAnsi="Times New Roman"/>
          <w:sz w:val="18"/>
          <w:szCs w:val="18"/>
          <w:color w:val="auto"/>
        </w:rPr>
        <w:t>; and (viii) short- and long-term cash flow projections.</w:t>
      </w:r>
    </w:p>
    <w:p>
      <w:pPr>
        <w:spacing w:after="0" w:line="212"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CEO is the Company’s Chief Operating Decision Maker (“CODM”), as such term is defined under United States Generally Accepted Accounting Principles (“U.S. GAAP”). The CODM assesses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(See Note 13 of Notes to Condensed Consolidated Financial Statements in Part I, Item 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2024 and 2023</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 diluted share amounts, as well as adjusted net income attributable to common shareholders and adjusted net income attributable to common shareholders per diluted share for the three months ended June 30, 2024 and 2023:</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2"/>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3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attributable to common shareholders</w:t>
            </w:r>
            <w:r>
              <w:rPr>
                <w:rFonts w:ascii="Times New Roman" w:cs="Times New Roman" w:eastAsia="Times New Roman" w:hAnsi="Times New Roman"/>
                <w:sz w:val="23"/>
                <w:szCs w:val="23"/>
                <w:color w:val="auto"/>
                <w:vertAlign w:val="superscript"/>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24"/>
                <w:szCs w:val="24"/>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bl>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*Refer to “Non-GAAP Financial Measures” for a description of this non-GAAP financial measure and a reconciliation to the most comparable GAAP amount.</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Company’s revenues and gross margin decreased by $9.0 million, or 9%, and $14.0 million, or 24%, respectively, when compared to same period in 2023 principally due to IMAX box office performance driven in part by the Hollywood strike impact on the film slate, fewer IMAX systems installed under sales arrangements and a lower contribution from IMAX system amendments and renewals. These year over year declines were partially offset by the sale of commercial and streaming rights for an IMAX documentary.</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three months ended June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8"/>
        </w:trPr>
        <w:tc>
          <w:tcPr>
            <w:tcW w:w="3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42"/>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36,411</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6"/>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85,974</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95,266</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56,407</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8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88,961</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97,979</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57,887</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 xml:space="preserve">For the three months ended June 30, 2024, Content Solutions segment revenues and gross margin increased by $3.8 million, or 12%, and decreased by $3.9 million, or 19%, respectively, when compared to the same period in 2023, which was driven by the sale of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xml:space="preserve"> commercial and streaming rights, as described below.</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 xml:space="preserve">In the second quarter of 2024, box office generated by IMAX films totaled $196.4 million, a $71.9 million, or 27%, decrease versus the prior year comparative period of $268.3 million driven in part by the Hollywood strike impact on the film slate. In the second quarter of 2024, IMAX box office was generated by the exhibition of 34 films (27 new films and 7 films originally released in a prior year), including </w:t>
      </w:r>
      <w:r>
        <w:rPr>
          <w:rFonts w:ascii="Times New Roman" w:cs="Times New Roman" w:eastAsia="Times New Roman" w:hAnsi="Times New Roman"/>
          <w:sz w:val="18"/>
          <w:szCs w:val="18"/>
          <w:i w:val="1"/>
          <w:iCs w:val="1"/>
          <w:color w:val="auto"/>
        </w:rPr>
        <w:t>Inside Out 2</w:t>
      </w:r>
      <w:r>
        <w:rPr>
          <w:rFonts w:ascii="Times New Roman" w:cs="Times New Roman" w:eastAsia="Times New Roman" w:hAnsi="Times New Roman"/>
          <w:sz w:val="18"/>
          <w:szCs w:val="18"/>
          <w:color w:val="auto"/>
        </w:rPr>
        <w:t xml:space="preserve">, which generated IMAX box office of over $37 million. In the second quarter of 2023, IMAX box office was generated by the exhibition of 23 films (17 new films and 6 films originally released in a prior year), including </w:t>
      </w:r>
      <w:r>
        <w:rPr>
          <w:rFonts w:ascii="Times New Roman" w:cs="Times New Roman" w:eastAsia="Times New Roman" w:hAnsi="Times New Roman"/>
          <w:sz w:val="18"/>
          <w:szCs w:val="18"/>
          <w:i w:val="1"/>
          <w:iCs w:val="1"/>
          <w:color w:val="auto"/>
        </w:rPr>
        <w:t>The Super Mario Bro. Movie</w:t>
      </w:r>
      <w:r>
        <w:rPr>
          <w:rFonts w:ascii="Times New Roman" w:cs="Times New Roman" w:eastAsia="Times New Roman" w:hAnsi="Times New Roman"/>
          <w:sz w:val="18"/>
          <w:szCs w:val="18"/>
          <w:color w:val="auto"/>
        </w:rPr>
        <w:t>, which generated box office of $50 million.</w:t>
      </w:r>
    </w:p>
    <w:p>
      <w:pPr>
        <w:spacing w:after="0" w:line="21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 xml:space="preserve">The impact on revenue from the lower box office experienced year over year was more than offset by the revenue earned from the completion of the sale of worldwide commercial and streaming rights of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to Amazon Content as well as from higher revenues from alternative content. The Company continues to build out its alternative content strategy, including evolving its documentary strategy, as a way to increase utilization and revenues across the IMAX system footprint.</w:t>
      </w:r>
    </w:p>
    <w:p>
      <w:pPr>
        <w:spacing w:after="0" w:line="20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level of revenues, Content Solutions segment gross margin is influenced by the costs associated with films and other content (documentaries, live and alternative) exhibited in the period. The costs associated with films and other content can include production, post-production, distribution and marketing, which are expensed as incurred, For the three months ended June 30, 2024, gross margin percent was 46% compared to 64% in the prior year period, with the decrease being driven by the lower level of IMAX box office coupled with a higher mix of self-produced content expensed, including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363"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spacing w:after="0" w:line="21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and the associated revenue recognized at that time, except for traditional joint revenue sharing arrangements as revenue is recognized over the lease term, during the three months ended June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60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20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7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Systems</w:t>
            </w:r>
          </w:p>
        </w:tc>
        <w:tc>
          <w:tcPr>
            <w:tcW w:w="300" w:type="dxa"/>
            <w:vAlign w:val="bottom"/>
          </w:tcPr>
          <w:p>
            <w:pPr>
              <w:spacing w:after="0"/>
              <w:rPr>
                <w:sz w:val="15"/>
                <w:szCs w:val="15"/>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 Systems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IMAX Systems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Included in the table above is one IMAX System which was relocated from its original location (2023 ― one IMAX System).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Technology Products and Services segment revenue and gross margin decreased by $13.1 million, or 20%, and $10.6 million, or 29%, respectively, when compared to the same period in 2023, primarily driven by a lower level of rental revenues, which is box office dependent. Rental revenues decreased by $5.5 million, as a result of GBO from joint revenue sharing arrangements which decreased by $36.8 million or 27% in the second quarter of 2024 when compared to the prior year comparative period, from $137.8 million to $101.0 million.</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Also contributing to the lower level of revenues was the number of systems recognized under sales arrangements, per the table above, and a $4.5 million decrease in revenue contribution from the impact of amendments and renewals to existing IMAX Systems arrangements.</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Technology Products and Services segment gross margin decrease during the three months ended June 30, 2024 as compared to 2023 was primarily due to the lower level of revenues, as described above, coupled with higher maintenance costs incurred.</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June 30, 2024, All Other revenue and gross margin increased by $0.3 million and $0.5 million, respectively, when compared to the same period in 2023, principally due to growth in revenues earned by the Company's Streaming and Consumer Technology business.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three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
        </w:trPr>
        <w:tc>
          <w:tcPr>
            <w:tcW w:w="6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37,564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38,906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(6,506)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(6,469)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share-based</w:t>
            </w:r>
          </w:p>
        </w:tc>
        <w:tc>
          <w:tcPr>
            <w:tcW w:w="2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31,058</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32,437</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5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right="380" w:hanging="315"/>
        <w:spacing w:after="0" w:line="279" w:lineRule="auto"/>
        <w:tabs>
          <w:tab w:leader="none" w:pos="332"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share-based compensation expense is recognized within Costs and Expenses Applicable to Revenues, Research and Development, and Executive Transition Costs. (Refer to “Capital Stock and Reserves — Share-Based Compensation” in Note 11 of Notes to Condensed Consolidated Financial Statements in Part I, Item 1.)</w:t>
      </w:r>
    </w:p>
    <w:p>
      <w:pPr>
        <w:spacing w:after="0" w:line="32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second quarter of 2024, the lower level of Selling, General and Administrative Expenses experienced over the prior year period reflects savings from management’s continued focus on operational efficiencies, which were partially offset by the impact of higher inflation on wages and other business expenses.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believes that it is a premier global technology platform for awe-inspiring entertainment and events with significant proprietary expertise in digital and film-based projection and sound system component design, engineering, and imaging technology, particularly in laser-based technology. A significant portion of the Company’s research and development efforts have been focused on the IMAX Laser Systems, which the Company believes is capable of illuminating the largest screens in the IMAX network and provides greater brightness and clarity, higher contrast, a wider color gamut and deeper blacks, while consuming less power and lasting longer than existing digital technology, to ensure that the Company continues to provide the highest quality, premier cinematic experience available to consumers. The Company has continued research and development aimed at creating more affordable laser-based solutions with various screen sizes for its commercial multiplex customers.</w:t>
      </w:r>
    </w:p>
    <w:p>
      <w:pPr>
        <w:spacing w:after="0" w:line="21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June 30, 2024, Research and Development expenses were $2.0 million, representing an decrease of $0.8 million, or 29%, when compared to $2.8 million during the same period in the prior year. The current period expenses reflect continued investment in developing new IMAX film cameras and Streaming Technology product offerings.</w:t>
      </w:r>
    </w:p>
    <w:p>
      <w:pPr>
        <w:spacing w:after="0" w:line="2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intends to continue research and development to further evolve its end-to-end technology. This includes bringing connectivity to the Company’s global network to support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 Within the Company’s Streaming and Consumer Technology business, there is ongoing research and development in perceptual metrics involving novel measurement and optimization techniques. Investments are also being made to expand existing and/or develop new technologies which are expected to further enhance video quality, delivery, and creation across devices. Furthermore, the Company intends to invest in activities that will capture opportunities to create/build AI and automation into its operations and processes.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Net</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June 30, 2024, the Company recorded a credit loss expense of $0.1 million, as compared to a credit loss expense of $0.8 million recognized in the prior year.</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interest expense was $2.3 million, representing an increase of $0.5 million, or 27% when compared to interest expense of $1.8 million during the same period of the prior year primarily due to increased borrowings under the Credit Facility in the current period. For the three months ended June 30, 2024, interest income was $0.6 million, when compared to interest expense of $0.7 million during the same period of the prior year due to lower average cash balances maintained at major financial institutions.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2024, the Company recorded an income tax benefit of $4.0 million (2023 — tax expense of $3.5 million). The Company’s effective tax rate of (371.5)% for the three months ended June 30, 2024 differs from the Canadian statutory rate of 26.5% primarily due to tax rate differences in foreign jurisdictions and a tax benefit related to an internal asset sale during the quarter which was partially offset by an increase in the valuation allowance and withholding taxes. The Company’s effective tax rate of 26.5% for the three months ended June 30, 2023 is similar to the Canadian statutory rate of 26.5% which includes tax rate differences in foreign jurisdictions that were offset by withholding taxes.</w:t>
      </w:r>
    </w:p>
    <w:p>
      <w:pPr>
        <w:spacing w:after="0" w:line="210" w:lineRule="exact"/>
        <w:rPr>
          <w:sz w:val="20"/>
          <w:szCs w:val="20"/>
          <w:color w:val="auto"/>
        </w:rPr>
      </w:pPr>
    </w:p>
    <w:p>
      <w:pPr>
        <w:jc w:val="both"/>
        <w:ind w:right="20" w:firstLine="193"/>
        <w:spacing w:after="0" w:line="258" w:lineRule="auto"/>
        <w:rPr>
          <w:sz w:val="20"/>
          <w:szCs w:val="20"/>
          <w:color w:val="auto"/>
        </w:rPr>
      </w:pPr>
      <w:r>
        <w:rPr>
          <w:rFonts w:ascii="Times New Roman" w:cs="Times New Roman" w:eastAsia="Times New Roman" w:hAnsi="Times New Roman"/>
          <w:sz w:val="18"/>
          <w:szCs w:val="18"/>
          <w:color w:val="auto"/>
        </w:rPr>
        <w:t>During three months ended June 30, 2024, the Company completed an internal asset sale to more closely align its intellectual property ownership with its operations. In order to effect this internal asset sale, transactions between entities within the group resulted in capital gains for tax purposes. The tax expense related to the capital gain was partially offset by the reversal of the valuation allowance. Net deferred tax assets were also recorded on the transaction, resulting in a net tax benefit of $7.7 million. (Refer to Note 10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primarily include the non-controlling interest in the net income or loss of IMAX China, as well as the impact of non-controlling interests in the activity of its Original Film Fund subsidiary. For the three months ended June 30, 2024, the net income attributable to non-controlling interests of the Company’s subsidiaries was $1.5 million, an increase of $0.2 million, when compared to the same period in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2024 and 2023</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3" w:lineRule="exact"/>
        <w:rPr>
          <w:sz w:val="20"/>
          <w:szCs w:val="20"/>
          <w:color w:val="auto"/>
        </w:rPr>
      </w:pPr>
    </w:p>
    <w:p>
      <w:pPr>
        <w:jc w:val="both"/>
        <w:ind w:firstLine="193"/>
        <w:spacing w:after="0"/>
        <w:rPr>
          <w:sz w:val="20"/>
          <w:szCs w:val="20"/>
          <w:color w:val="auto"/>
        </w:rPr>
      </w:pPr>
      <w:r>
        <w:rPr>
          <w:rFonts w:ascii="Times New Roman" w:cs="Times New Roman" w:eastAsia="Times New Roman" w:hAnsi="Times New Roman"/>
          <w:sz w:val="17"/>
          <w:szCs w:val="17"/>
          <w:color w:val="auto"/>
        </w:rPr>
        <w:t>The following table presents the Company’s net income attributable to common shareholders and the associated per share amounts, as well as adjusted net income attributable to common shareholders* and adjusted net income attributable to common shareholders per share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for the six months ended June 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2"/>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17,688</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r>
    </w:tbl>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*Refer to “Non-GAAP Financial Measures” for a description of this non-GAAP financial measure and a reconciliation to the most comparable GAAP amount.</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 xml:space="preserve">For the six months ended June 30, 2024, the Company’s revenues and gross margin decreased by $16.8 million or 9% and $17.1 million or 16%, respectively, when compared to same period in 2023, principally due to weaker IMAX box office performance driven in part by the Hollywood strike impact on the film slate, fewer IMAX systems installed under sales arrangements and lower aftermarket sales as the first half of 2023 included </w:t>
      </w:r>
      <w:r>
        <w:rPr>
          <w:rFonts w:ascii="Times New Roman" w:cs="Times New Roman" w:eastAsia="Times New Roman" w:hAnsi="Times New Roman"/>
          <w:sz w:val="18"/>
          <w:szCs w:val="18"/>
          <w:i w:val="1"/>
          <w:iCs w:val="1"/>
          <w:color w:val="auto"/>
        </w:rPr>
        <w:t>Avatar: The Way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Water</w:t>
      </w:r>
      <w:r>
        <w:rPr>
          <w:rFonts w:ascii="Times New Roman" w:cs="Times New Roman" w:eastAsia="Times New Roman" w:hAnsi="Times New Roman"/>
          <w:sz w:val="18"/>
          <w:szCs w:val="18"/>
          <w:color w:val="auto"/>
        </w:rPr>
        <w:t>, a 3D film. These year over year declines were partially offset by the sale of commercial and streaming rights for an IMAX documentary.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six months ended June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8"/>
        </w:trPr>
        <w:tc>
          <w:tcPr>
            <w:tcW w:w="36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37,991</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2"/>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66,302</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6"/>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163,137</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87,604</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104,293</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62"/>
        </w:trPr>
        <w:tc>
          <w:tcPr>
            <w:tcW w:w="3660" w:type="dxa"/>
            <w:vAlign w:val="bottom"/>
            <w:tcBorders>
              <w:bottom w:val="single" w:sz="8" w:color="CCEEFF"/>
            </w:tcBorders>
          </w:tcPr>
          <w:p>
            <w:pPr>
              <w:ind w:left="14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8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168,084</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90,816</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107,938</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spacing w:after="0" w:line="209"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 xml:space="preserve">For the six months ended June 30, 2024, Content Solutions segment revenues and gross margin increased by $5.7 million, or 9%, and $0.2 million, or 1%, respectively, when compared to the same period in 2023. In the six months ended June 30, 2024, box office generated by IMAX films totaled $457.1 million, a $84.6 million or 16% decrease versus the prior year comparative period of $541.7 million driven in part by the Hollywood strike impact on the film slate. During the six months ended June 30, 2024, IMAX box office was generated by the exhibition of 60 films (46 new films and 14 films that were originally released in prior years), including </w:t>
      </w:r>
      <w:r>
        <w:rPr>
          <w:rFonts w:ascii="Times New Roman" w:cs="Times New Roman" w:eastAsia="Times New Roman" w:hAnsi="Times New Roman"/>
          <w:sz w:val="18"/>
          <w:szCs w:val="18"/>
          <w:i w:val="1"/>
          <w:iCs w:val="1"/>
          <w:color w:val="auto"/>
        </w:rPr>
        <w:t>Dune: Part Two</w:t>
      </w:r>
      <w:r>
        <w:rPr>
          <w:rFonts w:ascii="Times New Roman" w:cs="Times New Roman" w:eastAsia="Times New Roman" w:hAnsi="Times New Roman"/>
          <w:sz w:val="18"/>
          <w:szCs w:val="18"/>
          <w:color w:val="auto"/>
        </w:rPr>
        <w:t xml:space="preserve"> ($145 million)</w:t>
      </w:r>
      <w:r>
        <w:rPr>
          <w:rFonts w:ascii="Times New Roman" w:cs="Times New Roman" w:eastAsia="Times New Roman" w:hAnsi="Times New Roman"/>
          <w:sz w:val="18"/>
          <w:szCs w:val="18"/>
          <w:i w:val="1"/>
          <w:iCs w:val="1"/>
          <w:color w:val="auto"/>
        </w:rPr>
        <w:t>, Godzilla x Kong: The New Empire</w:t>
      </w:r>
      <w:r>
        <w:rPr>
          <w:rFonts w:ascii="Times New Roman" w:cs="Times New Roman" w:eastAsia="Times New Roman" w:hAnsi="Times New Roman"/>
          <w:sz w:val="18"/>
          <w:szCs w:val="18"/>
          <w:color w:val="auto"/>
        </w:rPr>
        <w:t xml:space="preserve"> ($41 million), </w:t>
      </w:r>
      <w:r>
        <w:rPr>
          <w:rFonts w:ascii="Times New Roman" w:cs="Times New Roman" w:eastAsia="Times New Roman" w:hAnsi="Times New Roman"/>
          <w:sz w:val="18"/>
          <w:szCs w:val="18"/>
          <w:i w:val="1"/>
          <w:iCs w:val="1"/>
          <w:color w:val="auto"/>
        </w:rPr>
        <w:t>Inside Out 2</w:t>
      </w:r>
      <w:r>
        <w:rPr>
          <w:rFonts w:ascii="Times New Roman" w:cs="Times New Roman" w:eastAsia="Times New Roman" w:hAnsi="Times New Roman"/>
          <w:sz w:val="18"/>
          <w:szCs w:val="18"/>
          <w:color w:val="auto"/>
        </w:rPr>
        <w:t xml:space="preserve"> ($37 million), </w:t>
      </w:r>
      <w:r>
        <w:rPr>
          <w:rFonts w:ascii="Times New Roman" w:cs="Times New Roman" w:eastAsia="Times New Roman" w:hAnsi="Times New Roman"/>
          <w:sz w:val="18"/>
          <w:szCs w:val="18"/>
          <w:i w:val="1"/>
          <w:iCs w:val="1"/>
          <w:color w:val="auto"/>
        </w:rPr>
        <w:t xml:space="preserve">Kingdom of The Planet of The Apes </w:t>
      </w:r>
      <w:r>
        <w:rPr>
          <w:rFonts w:ascii="Times New Roman" w:cs="Times New Roman" w:eastAsia="Times New Roman" w:hAnsi="Times New Roman"/>
          <w:sz w:val="18"/>
          <w:szCs w:val="18"/>
          <w:color w:val="auto"/>
        </w:rPr>
        <w:t>($25 million) and</w:t>
      </w:r>
      <w:r>
        <w:rPr>
          <w:rFonts w:ascii="Times New Roman" w:cs="Times New Roman" w:eastAsia="Times New Roman" w:hAnsi="Times New Roman"/>
          <w:sz w:val="18"/>
          <w:szCs w:val="18"/>
          <w:i w:val="1"/>
          <w:iCs w:val="1"/>
          <w:color w:val="auto"/>
        </w:rPr>
        <w:t xml:space="preserve"> Furiosa </w:t>
      </w:r>
      <w:r>
        <w:rPr>
          <w:rFonts w:ascii="Times New Roman" w:cs="Times New Roman" w:eastAsia="Times New Roman" w:hAnsi="Times New Roman"/>
          <w:sz w:val="18"/>
          <w:szCs w:val="18"/>
          <w:color w:val="auto"/>
        </w:rPr>
        <w:t>($23 million). Additionally, in the six months ended June 30, 2024, local language films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exhibited across the Company’s global network generated over $80 million in box office, representing 18% of its total box office. Leading local language titles distributed across the IMAX network in the six months ended June 30, 2024 included the Chinese film </w:t>
      </w:r>
      <w:r>
        <w:rPr>
          <w:rFonts w:ascii="Times New Roman" w:cs="Times New Roman" w:eastAsia="Times New Roman" w:hAnsi="Times New Roman"/>
          <w:sz w:val="18"/>
          <w:szCs w:val="18"/>
          <w:i w:val="1"/>
          <w:iCs w:val="1"/>
          <w:color w:val="auto"/>
        </w:rPr>
        <w:t>Pegasus 2</w:t>
      </w:r>
      <w:r>
        <w:rPr>
          <w:rFonts w:ascii="Times New Roman" w:cs="Times New Roman" w:eastAsia="Times New Roman" w:hAnsi="Times New Roman"/>
          <w:sz w:val="18"/>
          <w:szCs w:val="18"/>
          <w:color w:val="auto"/>
        </w:rPr>
        <w:t xml:space="preserve">, the Japanese film, </w:t>
      </w:r>
      <w:r>
        <w:rPr>
          <w:rFonts w:ascii="Times New Roman" w:cs="Times New Roman" w:eastAsia="Times New Roman" w:hAnsi="Times New Roman"/>
          <w:sz w:val="18"/>
          <w:szCs w:val="18"/>
          <w:i w:val="1"/>
          <w:iCs w:val="1"/>
          <w:color w:val="auto"/>
        </w:rPr>
        <w:t>Conan 27</w:t>
      </w:r>
      <w:r>
        <w:rPr>
          <w:rFonts w:ascii="Times New Roman" w:cs="Times New Roman" w:eastAsia="Times New Roman" w:hAnsi="Times New Roman"/>
          <w:sz w:val="18"/>
          <w:szCs w:val="18"/>
          <w:color w:val="auto"/>
        </w:rPr>
        <w:t xml:space="preserve">, and the Korean film, </w:t>
      </w:r>
      <w:r>
        <w:rPr>
          <w:rFonts w:ascii="Times New Roman" w:cs="Times New Roman" w:eastAsia="Times New Roman" w:hAnsi="Times New Roman"/>
          <w:sz w:val="18"/>
          <w:szCs w:val="18"/>
          <w:i w:val="1"/>
          <w:iCs w:val="1"/>
          <w:color w:val="auto"/>
        </w:rPr>
        <w:t>Suga - Agust D Tour D-Day The Movie</w:t>
      </w:r>
      <w:r>
        <w:rPr>
          <w:rFonts w:ascii="Times New Roman" w:cs="Times New Roman" w:eastAsia="Times New Roman" w:hAnsi="Times New Roman"/>
          <w:sz w:val="18"/>
          <w:szCs w:val="18"/>
          <w:color w:val="auto"/>
        </w:rPr>
        <w:t>. In the six months ended June 30, 2023, IMAX box office was generated by the exhibition of 39 films (33 new films and 10 films that were originally released in prior years).</w:t>
      </w:r>
    </w:p>
    <w:p>
      <w:pPr>
        <w:spacing w:after="0" w:line="21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 xml:space="preserve">The impact on revenue from the lower box office experienced year over year was more than offset by the revenue earned from the completion of the sale of worldwide rights to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to Amazon Content during the period as well as from higher revenues from alternative content.</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level of revenues, Content Solutions segment gross margin is influenced by the costs associated with films and other content (documentaries, live and alternative) exhibited in the period. The costs associated with films and other content can include production, post-production, distribution and marketing, which are expensed as incurred. For the six months ended June 30, 2024, gross margin percent was 55% compared to 60% in the prior year period. The decrease was due to the lower level of IMAX box office receipts and the higher mix of self-produced content being released during the period, including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and the associated revenue recognized at that time, except for traditional joint revenue sharing arrangements as revenue is recognized over the lease term, during the six months ended June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20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0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Included in the table above are two IMAX Systems which were relocated from its original location (2023 ― one IMAX System).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Technology Products and Services segment revenue and gross margin decreased by $21.6 million, or 19%, and $16.9 million, or 26%, respectively, when compared to the same period in the prior year. The lower level of revenue is primarily driven by a lower level of rental revenues which is box office dependent. Rental revenues decreased by $7.0 million, as a result of GBO from joint revenue sharing arrangements which decreased by $53.1 million or 19% in the six months ended June 30, 2024 when compared to the prior year comparative period, from $279.5 million to $226.4 million.</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Also contributing to the lower level of revenue was a decrease resulting from the lower number of systems recognized under sales arrangements, per the table above, and a $9.7 million decrease in revenue contribution from the impact of amendments and renewals to existing IMAX Systems arrangements.</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Technology Products and Services segment gross margin decrease during the six months ended June 30, 2024 is primarily due to the lower level of revenues, as described above.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six months ended June 30, 2024, All Other revenue and gross margin decreased by $0.9 million, or 16%, and $0.4 million, or 12%, respectively, when compared to the same period in 2023, which principally reflects the performance of the Company’s Streaming and Consumer Technology operations.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six months ended June 30,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
        </w:trPr>
        <w:tc>
          <w:tcPr>
            <w:tcW w:w="6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center"/>
              <w:ind w:left="140"/>
              <w:spacing w:after="0"/>
              <w:rPr>
                <w:sz w:val="20"/>
                <w:szCs w:val="20"/>
                <w:color w:val="auto"/>
              </w:rPr>
            </w:pPr>
            <w:r>
              <w:rPr>
                <w:rFonts w:ascii="Times New Roman" w:cs="Times New Roman" w:eastAsia="Times New Roman" w:hAnsi="Times New Roman"/>
                <w:sz w:val="18"/>
                <w:szCs w:val="18"/>
                <w:color w:val="auto"/>
                <w:w w:val="96"/>
              </w:rPr>
              <w:t>68,821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6"/>
              </w:rPr>
              <w:t>73,054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8"/>
                <w:szCs w:val="18"/>
                <w:color w:val="auto"/>
                <w:w w:val="97"/>
              </w:rPr>
              <w:t>(10,843)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97"/>
              </w:rPr>
              <w:t>(11,665)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0"/>
        </w:trPr>
        <w:tc>
          <w:tcPr>
            <w:tcW w:w="614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share-based</w:t>
            </w:r>
          </w:p>
        </w:tc>
        <w:tc>
          <w:tcPr>
            <w:tcW w:w="2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center"/>
              <w:ind w:left="140"/>
              <w:spacing w:after="0"/>
              <w:rPr>
                <w:sz w:val="20"/>
                <w:szCs w:val="20"/>
                <w:color w:val="auto"/>
              </w:rPr>
            </w:pPr>
            <w:r>
              <w:rPr>
                <w:rFonts w:ascii="Times New Roman" w:cs="Times New Roman" w:eastAsia="Times New Roman" w:hAnsi="Times New Roman"/>
                <w:sz w:val="18"/>
                <w:szCs w:val="18"/>
                <w:color w:val="auto"/>
                <w:w w:val="96"/>
              </w:rPr>
              <w:t>57,978</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6"/>
              </w:rPr>
              <w:t>61,389</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right="20" w:hanging="315"/>
        <w:spacing w:after="0" w:line="269" w:lineRule="auto"/>
        <w:tabs>
          <w:tab w:leader="none" w:pos="332"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share-based compensation expense is recognized within Cost and Expenses Applicable to Revenue and Research and Development. (Refer to “Capital Stock and Reserves — Share-Based Compensation” in Note 11 of Notes to Condensed Consolidated Financial Statements in Part I, Item 1.)</w:t>
      </w:r>
    </w:p>
    <w:p>
      <w:pPr>
        <w:ind w:left="340" w:hanging="315"/>
        <w:spacing w:after="0"/>
        <w:tabs>
          <w:tab w:leader="none" w:pos="340"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“Non-GAAP Financial Measures” for a description of this non-GAAP financial measure and a reconciliation to the most comparable GAAP amount.</w:t>
      </w:r>
    </w:p>
    <w:p>
      <w:pPr>
        <w:spacing w:after="0" w:line="35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six months ended June 30, 2024, the lower level of Selling, General and Administrative Expenses experienced over the prior year period reflects management’s continued focus on identifying cost-saving opportunities and realizing operational efficiencies. Management’s cost-saving initiatives were partially offset by increased inflation during the period.</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believes that it is a premier global technology platform for awe-inspiring entertainment and events with significant proprietary expertise in digital and film-based projection and sound system component design, engineering, and imaging technology, particularly in laser-based technology. A significant portion of the Company’s research and development efforts have been focused on the IMAX Laser Systems, which the Company believes is capable of illuminating the largest screens in the IMAX network and provides greater brightness and clarity, higher contrast, a wider color gamut and deeper blacks, while consuming less power and lasting longer than existing digital technology, to ensure that the Company continues to provide the highest quality, premier cinematic experience available to consumers. The Company has continued research and development aimed at creating more affordable laser-based solutions with various screen sizes for its commercial multiplex customers.</w:t>
      </w:r>
    </w:p>
    <w:p>
      <w:pPr>
        <w:spacing w:after="0" w:line="21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six months ended June 30, 2024, Research and Development expenses were $4.2 million, representing a decrease of $0.4 million, or 9%, when compared to Research and Development expenses of $4.6 million during the same period in the prior year. The current period expenses reflect continued investment in the development of new IMAX film cameras and Streaming Technology product offerings that does not qualify for capitalization.</w:t>
      </w:r>
    </w:p>
    <w:p>
      <w:pPr>
        <w:spacing w:after="0" w:line="2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intends to continue research and development to further evolve its end-to-end technology. This includes bringing connectivity to the Company’s global network to support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 Within the Company’s Streaming and Consumer Technology business, there is ongoing research and development in perceptual metrics involving novel measurement and optimization techniques. Investments are also being made to expand existing and/or develop new technologies which are expected to further enhance video quality, delivery, and creation across devices. Furthermore, the Company intends to invest in activities that will capture opportunities to create/build AI and automation into its operations and processes.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Net</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six months ended June 30, 2024, the Company recorded a credit loss expense of $0.2 million, as compared to a credit loss expense of $1.1 million recognized in the prior year.</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six months ended June 30, 2024, interest expense was $4.2 million representing an increase of $0.7 million, or 19% as compared to $3.6 million during the same period of the prior year which primarily reflects a higher average level of outstanding borrowings under the Credit Facility in the current period. For the six months ended June 30, 2024 and 2023, interest income was $1.1 million, respectively.</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2024, the Company recorded an income tax expense of $1.2 million (2023 — tax expense of $8.3 million). The Company’s effective tax rate of 10.0% for the six months ended June 30, 2024 differs from the Canadian statutory rate of 26.5% primarily due to tax rate differences in foreign jurisdictions and a tax benefit related to an internal asset sale during the quarter which is offset by an increase in the valuation allowance, withholding taxes and a shortfall in tax benefits related to share-based compensation. The Company’s effective tax rate of 36.2% for the six months ended June 30, 2023 differs from the Canadian statutory rate of 26.5% primarily due to tax rate differences in foreign jurisdictions which was offset by an increase in the valuation allowance and withholding taxes.</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Company completed an internal asset sale to more closely align its intellectual property ownership with its operations. In order to effect this internal asset sale, transactions between entities within the group resulted in capital gains for tax purposes. The tax expense related to the capital gain was partially offset by the reversal of the valuation allowance. Net deferred tax assets were also recorded on the transaction, resulting in a net tax benefit of $7.7 million. (Refer to Note 10 of Notes to Condensed Consolidated Financial Statements in Part I, Item 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primarily include the non-controlling interest in the net income or loss of IMAX China, as well as the impact of non-controlling interests in the activity of its Original Film Fund subsidiary. For the six months ended June 30, 2024, the net income attributable to non-controlling interests of the Company’s subsidiaries was $3.6 million, a decrease of $0.3 million, when compared to the same period in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SIX MONTHS ENDED JUNE 30, 2024 AND 2023</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net cash used in or provided by the Company’s operating activities is affected by a number of factors, including: (i) the level of cash collections from customers in respect of existing IMAX System sale and lease agreements, (ii) the amount of upfront payments collected in respect of IMAX System sale and lease agreements in backlog, (iii) the box office performance of films and other content distributed by the Company and/or released to IMAX locations, (iv) the level of inventory purchases and investment in joint revenue sharing arrangements, and (v) the level of the Company’s operating expenses, including expenses for research and development and new business initiatives.</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the Company’s operating activities totaled $24.1 million, as compared to net cash provided by operating activities of $25.9 million in the same period of the prior year, a decrease of $1.8 million.</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six months ended June 30, 2024, the net cash provided by the Company’s operating activities is principally a result of a decrease in Accounts Receivable of $14.5 million which reflects an improvement in the financial health of exhibitor customers, partially offset by $12.7 million of expenditures incurred in connection with the development of film assets and $6.3 million in inventory purchases.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2023, the net cash provided by the Company’s operating activities was principally a result of revenue growth attributable to the record box office performance of films distributed through the IMAX network, revenue from the installation of IMAX Systems and revenue associated with the amendments and renewals of IMAX Systems arrangements, and a decrease in Accounts Receivable of $9.5 million as a result of cash collection efforts, partially offset by $13.4 million of variable consideration receivables, $6.1 million in inventory purchases, and $9.2 million of expenditures incurred in connection with the development of film assets.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net cash used in investing activities totaled $15.6 million, as compared to $8.5 million in the same period of the prior year. For the six months ended June 30, 2024, the net cash used in investing activities is primarily driven by $9.8 million invested in equipment to be used as the Company installs systems under joint revenue sharing arrangements with exhibitor customers, $3.2 million of intangible assets principally related to the purchase or continued development of internal use software, and $2.7 million in purchases of property, plant and equipment.</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six months ended June 30, 2023, the net cash used in investing activities was primarily driven by $4.0 million invested in equipment to be used in the Company’s joint revenue sharing arrangements with exhibitor customers, $1.0 million in purchases of property, plant and equipment, and $3.5 million of intangible assets principally related to the purchase or continued development of internal use software.</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Based on management’s current operating plan for 2024, the Company expects to continue to use cash to deploy additional IMAX Systems under joint revenue sharing arrangements.</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Capital expenditures, including the Company’s investment in joint revenue sharing arrangements, the purchase of property, plant and equipment, the acquisition of other intangible assets, and investments in films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were $28.4 million for the six months ended June 30, 2024, as compared to $17.8 million for the six months ended June 30, 2023. The Company expects its investment in joint revenue sharing arrangements to be more heavily weighted toward the remainder of the year which aligns with the historical seasonality of system installations.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financing activities totaled $6.6 million, as compared to $19.8 million used in financing activities in the same period of the prior year. For the six months ended June 30, 2024, the net cash provided by financing activities is principally due to $30.0 million in net borrowings under the Company’s revolving credit facilities, $18.1 million used to repurchase common shares of the Company and $5.0 million in taxes withheld and paid on vested employee stock awards.</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six months ended June 30, 2023, net cash used in financing activities was principally due to $8.2 million in net repayments of revolving credit facility borrowings, $4.0 million used to repurchase common shares of the Company, $6.5 million in taxes withheld and paid on vested employee stock awards, and $1.4 million in dividends paid to non-controlling interests.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As of June 30, 2024, the Company’s principal sources of liquidity included: (i) its balances of cash and cash equivalents of $91.6 million; (ii) the anticipated collection of trade accounts receivable, which includes amounts owed under joint revenue sharing arrangements and film remastering and distribution agreements with movie studios; (iii) the anticipated collection of financing and variable consideration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214"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 xml:space="preserve">In addition, as of June 30, 2024, the Company had $246.0 million in available borrowing capacity under its Sixth Amended and Restated Credit Agreement with Wells Fargo Bank, National Association (the “Credit Agreement”), $26.7 million in available borrowing capacity under the IMAX (Shanghai) Multimedia Technology Co., Ltd. (“IMAX Shanghai”) revolving credit facility with the Bank of China (the “Bank of China Facility”), and $28.1 million in available borrowing capacity under IMAX Shanghai’s revolving credit facility with HSBC Bank (China) Company Limited, Shanghai Branch (the “HSBC China Facility”). (Refer to “Borrowings — </w:t>
      </w:r>
      <w:r>
        <w:rPr>
          <w:rFonts w:ascii="Times New Roman" w:cs="Times New Roman" w:eastAsia="Times New Roman" w:hAnsi="Times New Roman"/>
          <w:sz w:val="18"/>
          <w:szCs w:val="18"/>
          <w:i w:val="1"/>
          <w:iCs w:val="1"/>
          <w:color w:val="auto"/>
        </w:rPr>
        <w:t>Revolving Credit Facility Borrowings, Net</w:t>
      </w:r>
      <w:r>
        <w:rPr>
          <w:rFonts w:ascii="Times New Roman" w:cs="Times New Roman" w:eastAsia="Times New Roman" w:hAnsi="Times New Roman"/>
          <w:sz w:val="18"/>
          <w:szCs w:val="18"/>
          <w:color w:val="auto"/>
        </w:rPr>
        <w:t>” in Note 6 of Notes to Condensed Consolidated Financial Statements in Part I, Item 1 for a description of the material terms of the Credit Agreement, the Bank of China Facility, and the HSBC Facility.)</w:t>
      </w:r>
    </w:p>
    <w:p>
      <w:pPr>
        <w:spacing w:after="0" w:line="200" w:lineRule="exact"/>
        <w:rPr>
          <w:sz w:val="20"/>
          <w:szCs w:val="20"/>
          <w:color w:val="auto"/>
        </w:rPr>
      </w:pPr>
    </w:p>
    <w:p>
      <w:pPr>
        <w:spacing w:after="0" w:line="255"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Company’s $91.6 million balance of cash and cash equivalents as of June 30, 2024 (December 31, 2023 — $76.2 million) includes $83.0 million in cash held outside of Canada (December 31, 2023 — $68.5 million), of which $44.0 million was held in the People’s Republic of China (the “PRC”) (December 31, 2023 — $30.0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six months ended June 30, 2024, no historical earnings from a subsidiary in PRC were distributed (2023 — $24.0 million) and, as a result, no foreign withholding taxes were paid to the relevant tax authorities (2023 — $2.4 million). As of June 30, 2024, the Company’s Condensed Consolidated Balance Sheets include a deferred tax liability of $12.5 million for the applicable foreign withholding taxes associated with the remaining balance of non-repatriated historical earnings that will not be indefinitely reinvested outside of Canada. These taxes will become payable upon the repatriation of any such earnings.</w:t>
      </w:r>
    </w:p>
    <w:p>
      <w:pPr>
        <w:spacing w:after="0" w:line="216"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2023 Form 10-K.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Payments to be made by the Company under contractual obligations as of June 30, 2024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Payments Due by Years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3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7"/>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40" w:type="dxa"/>
            <w:vAlign w:val="bottom"/>
          </w:tcPr>
          <w:p>
            <w:pPr>
              <w:spacing w:after="0"/>
              <w:rPr>
                <w:sz w:val="20"/>
                <w:szCs w:val="20"/>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87"/>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4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40" w:type="dxa"/>
            <w:vAlign w:val="bottom"/>
          </w:tcPr>
          <w:p>
            <w:pPr>
              <w:spacing w:after="0"/>
              <w:rPr>
                <w:sz w:val="16"/>
                <w:szCs w:val="16"/>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8"/>
        </w:trPr>
        <w:tc>
          <w:tcPr>
            <w:tcW w:w="3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62"/>
        </w:trPr>
        <w:tc>
          <w:tcPr>
            <w:tcW w:w="394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26,503</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23,252</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6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4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Facility</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231,151</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6"/>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351,180</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81,223</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260,331</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payments to be made under binding commitments with suppliers and outstanding payments to be made for supplies ordered, but yet to be invoiced.</w:t>
      </w:r>
    </w:p>
    <w:p>
      <w:pPr>
        <w:spacing w:after="0" w:line="17" w:lineRule="exact"/>
        <w:rPr>
          <w:rFonts w:ascii="Times New Roman" w:cs="Times New Roman" w:eastAsia="Times New Roman" w:hAnsi="Times New Roman"/>
          <w:sz w:val="14"/>
          <w:szCs w:val="14"/>
          <w:i w:val="1"/>
          <w:iCs w:val="1"/>
          <w:color w:val="auto"/>
        </w:rPr>
      </w:pPr>
    </w:p>
    <w:p>
      <w:pPr>
        <w:ind w:left="340" w:right="80" w:hanging="315"/>
        <w:spacing w:after="0" w:line="257" w:lineRule="auto"/>
        <w:tabs>
          <w:tab w:leader="none" w:pos="332"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2025, in accordance with the terms of the SERP, although Mr. Gelfond has not informed the Company that he intends to retire at that time. (See Note 14 of Notes to Condensed Consolidated Financial Statements in Part I, Item 1.)</w:t>
      </w:r>
    </w:p>
    <w:p>
      <w:pPr>
        <w:spacing w:after="0" w:line="2"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minimum annual rental payments due under the Company’s operating leases.</w:t>
      </w:r>
    </w:p>
    <w:p>
      <w:pPr>
        <w:spacing w:after="0" w:line="4" w:lineRule="exact"/>
        <w:rPr>
          <w:rFonts w:ascii="Times New Roman" w:cs="Times New Roman" w:eastAsia="Times New Roman" w:hAnsi="Times New Roman"/>
          <w:sz w:val="14"/>
          <w:szCs w:val="14"/>
          <w:i w:val="1"/>
          <w:iCs w:val="1"/>
          <w:color w:val="auto"/>
        </w:rPr>
      </w:pPr>
    </w:p>
    <w:p>
      <w:pPr>
        <w:ind w:left="340" w:right="260" w:hanging="315"/>
        <w:spacing w:after="0" w:line="256" w:lineRule="auto"/>
        <w:tabs>
          <w:tab w:leader="none" w:pos="332"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Federal Economic Development Loan will be repayable over 60 months, with repayments estimated to begin in January 2024. (Refer to “Borrowings — Convertible Notes and Other Borrowings, Net” in Note 6 of Notes to Condensed Consolidated Financial Statements in Part I, Item 1.)</w:t>
      </w:r>
    </w:p>
    <w:p>
      <w:pPr>
        <w:ind w:left="340" w:hanging="315"/>
        <w:spacing w:after="0"/>
        <w:tabs>
          <w:tab w:leader="none" w:pos="340"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Convertible Notes bear interest at a rate of 0.500% per annum on the principal of $230.0 million, payable semi-annually in arrears on April 1 and October 1 of each year. The</w:t>
      </w:r>
    </w:p>
    <w:p>
      <w:pPr>
        <w:spacing w:after="0" w:line="40" w:lineRule="exact"/>
        <w:rPr>
          <w:rFonts w:ascii="Times New Roman" w:cs="Times New Roman" w:eastAsia="Times New Roman" w:hAnsi="Times New Roman"/>
          <w:sz w:val="14"/>
          <w:szCs w:val="14"/>
          <w:i w:val="1"/>
          <w:iCs w:val="1"/>
          <w:color w:val="auto"/>
        </w:rPr>
      </w:pPr>
    </w:p>
    <w:p>
      <w:pPr>
        <w:ind w:left="340" w:right="240"/>
        <w:spacing w:after="0" w:line="299"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Convertible Notes will mature on April 1, 2026, unless earlier repurchased, redeemed or converted. (Refer to “Borrowings — Convertible Notes and Other Borrowings, Net” in Note 6 of Notes to Condensed Consolidated Financial Statements in Part I, Item 1.)</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 refer to the section entitled “Critical Accounting Estimates” in Item 7 “Management’s Discussion and Analysis of Financial Condition and Results of Operations” of the 2023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2 of Notes to Condensed Consolidated Financial Statements in Part I, Item 1 for a discussion of recently issued accounting standards and their impact on the Company’s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204" w:lineRule="exact"/>
        <w:rPr>
          <w:sz w:val="20"/>
          <w:szCs w:val="20"/>
          <w:color w:val="auto"/>
        </w:rPr>
      </w:pPr>
    </w:p>
    <w:p>
      <w:pPr>
        <w:ind w:left="640" w:hanging="440"/>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 per basic and diluted share;</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640" w:hanging="440"/>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w:t>
      </w:r>
    </w:p>
    <w:p>
      <w:pPr>
        <w:spacing w:after="0" w:line="24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Adjusted net income or loss attributable to common shareholders and adjusted net income or loss attributable to common shareholders per basic and diluted share exclude, where applicable: (i) share-based compensation; (ii) realized and unrealized investment gains or losses; (iii) transaction-related expenses; and (iv) restructuring and executive transition costs, as well as the related tax impact of these adjustments.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loss attributable to common shareholders. Although share-based compensation is an important aspect of the Company’s employee and executive compensation packages, it is a non-cash expense and is excluded from certain internal business performance measures.</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and the associated per share amounts to adjusted net income attributable to common shareholders and adjusted net income attributable to common shareholders per diluted share are presented in the tables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amounts)</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2"/>
        </w:trPr>
        <w:tc>
          <w:tcPr>
            <w:tcW w:w="540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54,591</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(1)  Reflects amounts attributable to common shareholders.</w:t>
            </w: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8"/>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executive transition costs</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2"/>
        </w:trPr>
        <w:tc>
          <w:tcPr>
            <w:tcW w:w="540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Reflects amounts attributable to common shareholders.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transaction-related expenses; (iv) restructuring and executive transition costs; and (v) write- downs, net of recoveries, including asset impairments and credit loss expense.</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which is the most directly comparable GAAP measure, to EBITDA and Adjusted EBITDA per Credit Facility are presented in the tables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6"/>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260" w:type="dxa"/>
            <w:vAlign w:val="bottom"/>
          </w:tcPr>
          <w:p>
            <w:pPr>
              <w:spacing w:after="0"/>
              <w:rPr>
                <w:sz w:val="15"/>
                <w:szCs w:val="15"/>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22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Attributable to Common</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Common</w:t>
            </w:r>
          </w:p>
        </w:tc>
        <w:tc>
          <w:tcPr>
            <w:tcW w:w="22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260" w:type="dxa"/>
            <w:vAlign w:val="bottom"/>
          </w:tcPr>
          <w:p>
            <w:pPr>
              <w:spacing w:after="0"/>
              <w:rPr>
                <w:sz w:val="17"/>
                <w:szCs w:val="17"/>
                <w:color w:val="auto"/>
              </w:rPr>
            </w:pPr>
          </w:p>
        </w:tc>
        <w:tc>
          <w:tcPr>
            <w:tcW w:w="13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5"/>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42"/>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17,456</w:t>
            </w:r>
          </w:p>
        </w:tc>
        <w:tc>
          <w:tcPr>
            <w:tcW w:w="0" w:type="dxa"/>
            <w:vAlign w:val="bottom"/>
          </w:tcPr>
          <w:p>
            <w:pPr>
              <w:spacing w:after="0"/>
              <w:rPr>
                <w:sz w:val="1"/>
                <w:szCs w:val="1"/>
                <w:color w:val="auto"/>
              </w:rPr>
            </w:pPr>
          </w:p>
        </w:tc>
      </w:tr>
      <w:tr>
        <w:trPr>
          <w:trHeight w:val="268"/>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42"/>
        </w:trPr>
        <w:tc>
          <w:tcPr>
            <w:tcW w:w="6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6"/>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6"/>
          </w:tcPr>
          <w:p>
            <w:pPr>
              <w:jc w:val="center"/>
              <w:ind w:left="975"/>
              <w:spacing w:after="0"/>
              <w:rPr>
                <w:sz w:val="20"/>
                <w:szCs w:val="20"/>
                <w:color w:val="auto"/>
              </w:rPr>
            </w:pPr>
            <w:r>
              <w:rPr>
                <w:rFonts w:ascii="Times New Roman" w:cs="Times New Roman" w:eastAsia="Times New Roman" w:hAnsi="Times New Roman"/>
                <w:sz w:val="14"/>
                <w:szCs w:val="14"/>
                <w:b w:val="1"/>
                <w:bCs w:val="1"/>
                <w:color w:val="auto"/>
              </w:rPr>
              <w:t>Twelve Months Ended June 30, 2024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260" w:type="dxa"/>
            <w:vAlign w:val="bottom"/>
          </w:tcPr>
          <w:p>
            <w:pPr>
              <w:spacing w:after="0"/>
              <w:rPr>
                <w:sz w:val="15"/>
                <w:szCs w:val="15"/>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22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Attributable to Common</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Common</w:t>
            </w:r>
          </w:p>
        </w:tc>
        <w:tc>
          <w:tcPr>
            <w:tcW w:w="22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280" w:type="dxa"/>
            <w:vAlign w:val="bottom"/>
          </w:tcPr>
          <w:p>
            <w:pPr>
              <w:spacing w:after="0"/>
              <w:rPr>
                <w:sz w:val="17"/>
                <w:szCs w:val="17"/>
                <w:color w:val="auto"/>
              </w:rPr>
            </w:pPr>
          </w:p>
        </w:tc>
        <w:tc>
          <w:tcPr>
            <w:tcW w:w="12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5"/>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w:t>
            </w:r>
          </w:p>
        </w:tc>
        <w:tc>
          <w:tcPr>
            <w:tcW w:w="0" w:type="dxa"/>
            <w:vAlign w:val="bottom"/>
          </w:tcPr>
          <w:p>
            <w:pPr>
              <w:spacing w:after="0"/>
              <w:rPr>
                <w:sz w:val="1"/>
                <w:szCs w:val="1"/>
                <w:color w:val="auto"/>
              </w:rPr>
            </w:pPr>
          </w:p>
        </w:tc>
      </w:tr>
      <w:tr>
        <w:trPr>
          <w:trHeight w:val="242"/>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61,693</w:t>
            </w:r>
          </w:p>
        </w:tc>
        <w:tc>
          <w:tcPr>
            <w:tcW w:w="0" w:type="dxa"/>
            <w:vAlign w:val="bottom"/>
          </w:tcPr>
          <w:p>
            <w:pPr>
              <w:spacing w:after="0"/>
              <w:rPr>
                <w:sz w:val="1"/>
                <w:szCs w:val="1"/>
                <w:color w:val="auto"/>
              </w:rPr>
            </w:pPr>
          </w:p>
        </w:tc>
      </w:tr>
      <w:tr>
        <w:trPr>
          <w:trHeight w:val="268"/>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42"/>
        </w:trPr>
        <w:tc>
          <w:tcPr>
            <w:tcW w:w="6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92,504</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6"/>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0" w:type="dxa"/>
            <w:vAlign w:val="bottom"/>
          </w:tcPr>
          <w:p>
            <w:pPr>
              <w:spacing w:after="0"/>
              <w:rPr>
                <w:sz w:val="1"/>
                <w:szCs w:val="1"/>
                <w:color w:val="auto"/>
              </w:rPr>
            </w:pPr>
          </w:p>
        </w:tc>
      </w:tr>
      <w:tr>
        <w:trPr>
          <w:trHeight w:val="242"/>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executive transition costs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6"/>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00" w:firstLine="193"/>
        <w:spacing w:after="0" w:line="256" w:lineRule="auto"/>
        <w:rPr>
          <w:sz w:val="20"/>
          <w:szCs w:val="20"/>
          <w:color w:val="auto"/>
        </w:rPr>
      </w:pPr>
      <w:r>
        <w:rPr>
          <w:rFonts w:ascii="Times New Roman" w:cs="Times New Roman" w:eastAsia="Times New Roman" w:hAnsi="Times New Roman"/>
          <w:sz w:val="18"/>
          <w:szCs w:val="18"/>
          <w:color w:val="auto"/>
        </w:rPr>
        <w:t>The Company also adjusts Selling, General and Administrative Expenses to exclude a portion of share-based compensation and related payroll taxes. Management uses non-U.S. GAAP and other financial measures such as this, internally for financial and operational decision-making and as a means to evaluate period-to-period comparisons. IMAX believes that this non-U.S. GAAP measure provides useful information about operating results, enhances the overall understanding of past financial performance and future prospects, and allows for greater transparency with respect to key metrics used by management and its financial and operational decision making.</w:t>
      </w:r>
    </w:p>
    <w:p>
      <w:pPr>
        <w:spacing w:after="0" w:line="210" w:lineRule="exact"/>
        <w:rPr>
          <w:sz w:val="20"/>
          <w:szCs w:val="20"/>
          <w:color w:val="auto"/>
        </w:rPr>
      </w:pPr>
    </w:p>
    <w:p>
      <w:pPr>
        <w:jc w:val="both"/>
        <w:ind w:right="100" w:firstLine="193"/>
        <w:spacing w:after="0" w:line="279" w:lineRule="auto"/>
        <w:rPr>
          <w:sz w:val="20"/>
          <w:szCs w:val="20"/>
          <w:color w:val="auto"/>
        </w:rPr>
      </w:pPr>
      <w:r>
        <w:rPr>
          <w:rFonts w:ascii="Times New Roman" w:cs="Times New Roman" w:eastAsia="Times New Roman" w:hAnsi="Times New Roman"/>
          <w:sz w:val="18"/>
          <w:szCs w:val="18"/>
          <w:color w:val="auto"/>
        </w:rPr>
        <w:t>A reconciliation of Selling, General and Administrative Expenses, the most directly comparable U.S. GAAP measure presented in the Condensed Consolidated Statement of Operations in Part I, Item 1, to Adjusted SG&amp;A, is presented in the table below.</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8"/>
        </w:trPr>
        <w:tc>
          <w:tcPr>
            <w:tcW w:w="6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62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37,564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38,906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center"/>
              <w:ind w:left="160"/>
              <w:spacing w:after="0"/>
              <w:rPr>
                <w:sz w:val="20"/>
                <w:szCs w:val="20"/>
                <w:color w:val="auto"/>
              </w:rPr>
            </w:pPr>
            <w:r>
              <w:rPr>
                <w:rFonts w:ascii="Times New Roman" w:cs="Times New Roman" w:eastAsia="Times New Roman" w:hAnsi="Times New Roman"/>
                <w:sz w:val="18"/>
                <w:szCs w:val="18"/>
                <w:color w:val="auto"/>
                <w:w w:val="96"/>
              </w:rPr>
              <w:t>68,821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73,054</w:t>
            </w:r>
          </w:p>
        </w:tc>
        <w:tc>
          <w:tcPr>
            <w:tcW w:w="0" w:type="dxa"/>
            <w:vAlign w:val="bottom"/>
          </w:tcPr>
          <w:p>
            <w:pPr>
              <w:spacing w:after="0"/>
              <w:rPr>
                <w:sz w:val="1"/>
                <w:szCs w:val="1"/>
                <w:color w:val="auto"/>
              </w:rPr>
            </w:pPr>
          </w:p>
        </w:tc>
      </w:tr>
      <w:tr>
        <w:trPr>
          <w:trHeight w:val="242"/>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280" w:type="dxa"/>
            <w:vAlign w:val="bottom"/>
          </w:tcPr>
          <w:p>
            <w:pPr>
              <w:spacing w:after="0"/>
              <w:rPr>
                <w:sz w:val="21"/>
                <w:szCs w:val="21"/>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(6,506)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(6,469)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left="140"/>
              <w:spacing w:after="0"/>
              <w:rPr>
                <w:sz w:val="20"/>
                <w:szCs w:val="20"/>
                <w:color w:val="auto"/>
              </w:rPr>
            </w:pPr>
            <w:r>
              <w:rPr>
                <w:rFonts w:ascii="Times New Roman" w:cs="Times New Roman" w:eastAsia="Times New Roman" w:hAnsi="Times New Roman"/>
                <w:sz w:val="18"/>
                <w:szCs w:val="18"/>
                <w:color w:val="auto"/>
              </w:rPr>
              <w:t>(10,843)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0" w:type="dxa"/>
            <w:vAlign w:val="bottom"/>
          </w:tcPr>
          <w:p>
            <w:pPr>
              <w:spacing w:after="0"/>
              <w:rPr>
                <w:sz w:val="1"/>
                <w:szCs w:val="1"/>
                <w:color w:val="auto"/>
              </w:rPr>
            </w:pPr>
          </w:p>
        </w:tc>
      </w:tr>
      <w:tr>
        <w:trPr>
          <w:trHeight w:val="26"/>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share-based</w:t>
            </w:r>
          </w:p>
        </w:tc>
        <w:tc>
          <w:tcPr>
            <w:tcW w:w="2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31,058</w:t>
            </w:r>
          </w:p>
        </w:tc>
        <w:tc>
          <w:tcPr>
            <w:tcW w:w="14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32,437</w:t>
            </w:r>
          </w:p>
        </w:tc>
        <w:tc>
          <w:tcPr>
            <w:tcW w:w="14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center"/>
              <w:ind w:left="160"/>
              <w:spacing w:after="0"/>
              <w:rPr>
                <w:sz w:val="20"/>
                <w:szCs w:val="20"/>
                <w:color w:val="auto"/>
              </w:rPr>
            </w:pPr>
            <w:r>
              <w:rPr>
                <w:rFonts w:ascii="Times New Roman" w:cs="Times New Roman" w:eastAsia="Times New Roman" w:hAnsi="Times New Roman"/>
                <w:sz w:val="18"/>
                <w:szCs w:val="18"/>
                <w:color w:val="auto"/>
                <w:w w:val="96"/>
              </w:rPr>
              <w:t>57,978</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61,389</w:t>
            </w:r>
          </w:p>
        </w:tc>
        <w:tc>
          <w:tcPr>
            <w:tcW w:w="0" w:type="dxa"/>
            <w:vAlign w:val="bottom"/>
          </w:tcPr>
          <w:p>
            <w:pPr>
              <w:spacing w:after="0"/>
              <w:rPr>
                <w:sz w:val="1"/>
                <w:szCs w:val="1"/>
                <w:color w:val="auto"/>
              </w:rPr>
            </w:pPr>
          </w:p>
        </w:tc>
      </w:tr>
      <w:tr>
        <w:trPr>
          <w:trHeight w:val="25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both"/>
        <w:ind w:right="100" w:firstLine="193"/>
        <w:spacing w:after="0" w:line="263"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2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3" w:lineRule="exact"/>
        <w:rPr>
          <w:sz w:val="20"/>
          <w:szCs w:val="20"/>
          <w:color w:val="auto"/>
        </w:rPr>
      </w:pPr>
    </w:p>
    <w:p>
      <w:pPr>
        <w:jc w:val="both"/>
        <w:ind w:right="100" w:firstLine="193"/>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(“CAD”), and Chinese Renminbi (“RMB”). The Company does not use financial instruments for trading or other speculative purposes.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ectPr>
          <w:pgSz w:w="11900" w:h="16838" w:orient="portrait"/>
          <w:cols w:equalWidth="0" w:num="1">
            <w:col w:w="11340"/>
          </w:cols>
          <w:pgMar w:left="320" w:top="3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362" w:right="2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89 different countries, and therefore unfavorable exchange rates between applicable local currencies and the U.S. Dollar could have an impact on the GBO generated by the Company’s exhibitor customers and its revenues.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w:t>
      </w:r>
    </w:p>
    <w:p>
      <w:pPr>
        <w:spacing w:after="0" w:line="212"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2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Certain of the Company’s PRC subsidiaries held approximately RMB 313.7 million ($44.0 million) in cash and cash equivalents as of June 30, 2024 (December 31, 2023 — RMB 213.0 million or $30.0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 in Part II, Item 1A. of this Form 10-Q.)</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 also monitors the macroeconomic environment as part of its continuous assessment of credit risk. This includes consideration of developments in the U.S. and global banking sectors following recent banking collapses, which informs management’s assessment of any potential direct and indirect impacts on the Company. There are no concentrations of cash and cash equivalents in any regional banking institutions, such that management considers there to be any material risk in this regard.</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foreign exchange net losses of $0.2 million and $0.5 million, respectively, resulting from changes in exchange rates related to foreign currency denominated monetary assets and liabilities (2023 — net losses of $0.5 million and $0.6 million, respectively).</w:t>
      </w:r>
    </w:p>
    <w:p>
      <w:pPr>
        <w:spacing w:after="0" w:line="204" w:lineRule="exact"/>
        <w:rPr>
          <w:sz w:val="20"/>
          <w:szCs w:val="20"/>
          <w:color w:val="auto"/>
        </w:rPr>
      </w:pPr>
    </w:p>
    <w:p>
      <w:pPr>
        <w:jc w:val="both"/>
        <w:ind w:firstLine="193"/>
        <w:spacing w:after="0" w:line="269" w:lineRule="auto"/>
        <w:rPr>
          <w:sz w:val="20"/>
          <w:szCs w:val="20"/>
          <w:color w:val="auto"/>
        </w:rPr>
      </w:pPr>
      <w:r>
        <w:rPr>
          <w:rFonts w:ascii="Times New Roman" w:cs="Times New Roman" w:eastAsia="Times New Roman" w:hAnsi="Times New Roman"/>
          <w:sz w:val="17"/>
          <w:szCs w:val="17"/>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June 30, 2024, with settlement dates throughout 2024 and 2025.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spacing w:after="0" w:line="200"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June 30, 2024 was $39.4 million (December 31, 2023 — $40.6 million). Losses of $0.4 million and $1.3 million were recorded to Other Comprehensive Loss with respect to the change in fair value of these contracts for the three and six months ended June 30, 2024, respectively (2023 — gains of $0.7 million and $0.8 million, respectively). Losses of $0.1 million and $0.1 million were reclassified from Accumulated Other Comprehensive Loss to Selling, General and Administrative Expenses for the three and six months ended June 30, 2024, respectively, (2023 — loss of $0.1 million and $0.5 million, respectively). The Company currently does not hold any derivatives which are not designated as hedging instruments.</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As of June 30, 2024, the Company’s Financing Receivables and working capital items denominated in Canadian Dollars, RMB, Japanese Yen, Euros and other foreign currencies translated into U.S. Dollars was $160.1 million. Assuming a 10% appreciation or depreciation in foreign currency exchange rates from the quoted foreign currency exchange rates as of June 30, 2024, the potential change in the fair value of foreign currency-denominated financing receivables and working capital items would have been $16.0 million. A significant portion of the Company’s Selling, General, and Administrative Expenses is denominated in Canadian Dollars. Assuming a 1% change appreciation or depreciation in foreign currency exchange rates as of June 30, 2024, the potential change in the amount of Selling, General, and Administrative Expenses would be $0.2 million.</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June 30, 2024, the Company had drawn down $54.0 million on its Credit Facility (December 31, 2023 — $24.0 million), and $nil on its HSBC China Facility (December 31, 2023 — $nil) and $nil on its Bank of China Facility (December 31, 2023 — nil), which are subject to variable effective interest rates.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had variable rate debt instruments representing 11.0% and 5.0% of its total liabilities as of June 30, 2024 and December 31, 2023, respectively. If the interest rates available to the Company increased by 10%, the Company’s interest expense would increase by $0.4 million and interest income from cash would increase by $0.3 million. These amounts are determined by considering the impact of the hypothetical interest rates on the Company’s variable rate debt and cash balances as of June 30, 2024.</w:t>
      </w:r>
    </w:p>
    <w:p>
      <w:pPr>
        <w:spacing w:after="0" w:line="2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the Securities Exchange Act of 1934 Rules 13a-15(e) or 15d-15(e)) as of June 30, 2024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7 of Notes to Condensed Consolidated Financial Statements in Part I, Item 1 for information regarding legal proceedings involving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This Form 10-Q should be read together with, and supplement, the risk factors in Item 1A “Risk Factors” in the Company’s 2023 Form 10-K, which describes various risks and uncertainties to which the Company is or may become subject. The risk factors described below update certain risk factors included in the Company’s 2023 Form 10-K in light of recent events. The below risk factors and the risk factors included in the Company’s 2023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in connection with its significant presence in China and the continued expansion of its business there.</w:t>
      </w:r>
    </w:p>
    <w:p>
      <w:pPr>
        <w:spacing w:after="0" w:line="253" w:lineRule="exact"/>
        <w:rPr>
          <w:sz w:val="20"/>
          <w:szCs w:val="20"/>
          <w:color w:val="auto"/>
        </w:rPr>
      </w:pPr>
    </w:p>
    <w:p>
      <w:pPr>
        <w:jc w:val="both"/>
        <w:ind w:firstLine="219"/>
        <w:spacing w:after="0" w:line="258" w:lineRule="auto"/>
        <w:rPr>
          <w:sz w:val="20"/>
          <w:szCs w:val="20"/>
          <w:color w:val="auto"/>
        </w:rPr>
      </w:pPr>
      <w:r>
        <w:rPr>
          <w:rFonts w:ascii="Times New Roman" w:cs="Times New Roman" w:eastAsia="Times New Roman" w:hAnsi="Times New Roman"/>
          <w:sz w:val="18"/>
          <w:szCs w:val="18"/>
          <w:color w:val="auto"/>
        </w:rPr>
        <w:t>Greater China is the Company’s largest market by revenue, with approximately 26% of overall revenues generated from its Greater China operations for the six months ended June 30, 2024. As of June 30, 2024, the Company had 803 IMAX Systems operating in Greater China with an additional 263 systems in backlog, which represent 52% of the Company’s current backlog. Of the IMAX Systems currently scheduled to be installed in Greater China, 77% are under joint revenue sharing arrangements, which further increases the Company’s ongoing exposure to box office performance in this market.</w:t>
      </w:r>
    </w:p>
    <w:p>
      <w:pPr>
        <w:spacing w:after="0" w:line="209" w:lineRule="exact"/>
        <w:rPr>
          <w:sz w:val="20"/>
          <w:szCs w:val="20"/>
          <w:color w:val="auto"/>
        </w:rPr>
      </w:pPr>
    </w:p>
    <w:p>
      <w:pPr>
        <w:jc w:val="both"/>
        <w:ind w:firstLine="219"/>
        <w:spacing w:after="0" w:line="253" w:lineRule="auto"/>
        <w:rPr>
          <w:sz w:val="20"/>
          <w:szCs w:val="20"/>
          <w:color w:val="auto"/>
        </w:rPr>
      </w:pPr>
      <w:r>
        <w:rPr>
          <w:rFonts w:ascii="Times New Roman" w:cs="Times New Roman" w:eastAsia="Times New Roman" w:hAnsi="Times New Roman"/>
          <w:sz w:val="18"/>
          <w:szCs w:val="18"/>
          <w:color w:val="auto"/>
        </w:rPr>
        <w:t>The China market faces a number of risks, including a continued slow recovery from the COVID-19 pandemic, changes in laws and regulations, currency fluctuations, increased competition, and changes in economic conditions, including the risk of an economic downturn or recession, trade embargoes, restrictions or other barriers, as well as other conditions that may impact the Company’s exhibitor and studio partners, and consumer spending. The market’s slow recovery from the pandemic has caused some theatrical exhibitors in Mainland China, including several of the Company’s exhibitor partners, to experience financial difficulties which, in certain cases, has resulted in delays in meeting payment and theater system installation obligations to the Company. There are no guarantees that such financial difficulties will not continue, or that partner delays or failures to meet contractual obligations will not occur in the future, adversely impacting the Company’s future revenues and cash flows.</w:t>
      </w:r>
    </w:p>
    <w:p>
      <w:pPr>
        <w:spacing w:after="0" w:line="215" w:lineRule="exact"/>
        <w:rPr>
          <w:sz w:val="20"/>
          <w:szCs w:val="20"/>
          <w:color w:val="auto"/>
        </w:rPr>
      </w:pPr>
    </w:p>
    <w:p>
      <w:pPr>
        <w:jc w:val="both"/>
        <w:ind w:firstLine="219"/>
        <w:spacing w:after="0" w:line="252" w:lineRule="auto"/>
        <w:rPr>
          <w:sz w:val="20"/>
          <w:szCs w:val="20"/>
          <w:color w:val="auto"/>
        </w:rPr>
      </w:pPr>
      <w:r>
        <w:rPr>
          <w:rFonts w:ascii="Times New Roman" w:cs="Times New Roman" w:eastAsia="Times New Roman" w:hAnsi="Times New Roman"/>
          <w:sz w:val="18"/>
          <w:szCs w:val="18"/>
          <w:color w:val="auto"/>
        </w:rPr>
        <w:t>The Company does not believe that it is currently required to obtain any permission or approval from the China Securities Regulatory Commission, the Cyberspace Administration of China or any other regulatory authority in the PRC for its operations, but there can be no assurance that such permissions or approvals would not be required in the future and, if required, that they would be granted in a timely manner, on acceptable terms, or at all. Furthermore, PRC regulators, including the Cyberspace Administration of China, the Ministry of Industry and Information Technology, and the Ministry of Public Security, have been increasingly focused on regulation in data security and data protection. Regulatory requirements concerning data protection and cybersecurity, as well as other requirements concerning operations of foreign businesses, in the PRC are evolving, and their enactment timetable, interpretation and implementation involve significant uncertainties. To the extent any additional PRC laws and regulations become applicable to the Company, it may be subject to increased risks and uncertainties associated with the legal system in the PRC, including with respect to the enforcement of laws and the possibility of changes of rules and regulations with little or no advance notice.</w:t>
      </w:r>
    </w:p>
    <w:p>
      <w:pPr>
        <w:spacing w:after="0" w:line="216" w:lineRule="exact"/>
        <w:rPr>
          <w:sz w:val="20"/>
          <w:szCs w:val="20"/>
          <w:color w:val="auto"/>
        </w:rPr>
      </w:pPr>
    </w:p>
    <w:p>
      <w:pPr>
        <w:jc w:val="both"/>
        <w:ind w:firstLine="219"/>
        <w:spacing w:after="0" w:line="252" w:lineRule="auto"/>
        <w:rPr>
          <w:sz w:val="20"/>
          <w:szCs w:val="20"/>
          <w:color w:val="auto"/>
        </w:rPr>
      </w:pPr>
      <w:r>
        <w:rPr>
          <w:rFonts w:ascii="Times New Roman" w:cs="Times New Roman" w:eastAsia="Times New Roman" w:hAnsi="Times New Roman"/>
          <w:sz w:val="18"/>
          <w:szCs w:val="18"/>
          <w:color w:val="auto"/>
        </w:rPr>
        <w:t>Certain risks and uncertainties of doing business in China are solely within the control of the Chinese government, and Chinese law regulates both the scope of the Company’s continued expansion in China and the Company’s business within China. For instance, the Chinese government regulates the number, timing, and terms of Hollywood films released to the China market. A number of prominent Hollywood films were denied release dates in China in 2021 and 2022, including several films released in IMAX format in other markets. While significantly more Hollywood films were given release dates in China in 2023 and 2024, several of the prominent Hollywood sequels or franchise films released into China have underperformed their predecessors in that market. The Company cannot provide assurance that the Chinese government will continue to permit the release of Hollywood IMAX films in China or that the timing, number or performance of IMAX releases will be favorable to the Company. There are also uncertainties regarding the interpretation and application of laws and regulations and the enforceability of intellectual property and contract rights in China. If the Company were unable to navigate China’s regulatory environment, or if the Company were unable to enforce its intellectual property or contract rights in China, the Company’s business could be adversely impacted.</w:t>
      </w:r>
    </w:p>
    <w:p>
      <w:pPr>
        <w:spacing w:after="0" w:line="213" w:lineRule="exact"/>
        <w:rPr>
          <w:sz w:val="20"/>
          <w:szCs w:val="20"/>
          <w:color w:val="auto"/>
        </w:rPr>
      </w:pPr>
    </w:p>
    <w:p>
      <w:pPr>
        <w:jc w:val="both"/>
        <w:ind w:firstLine="219"/>
        <w:spacing w:after="0" w:line="279" w:lineRule="auto"/>
        <w:rPr>
          <w:sz w:val="20"/>
          <w:szCs w:val="20"/>
          <w:color w:val="auto"/>
        </w:rPr>
      </w:pPr>
      <w:r>
        <w:rPr>
          <w:rFonts w:ascii="Times New Roman" w:cs="Times New Roman" w:eastAsia="Times New Roman" w:hAnsi="Times New Roman"/>
          <w:sz w:val="18"/>
          <w:szCs w:val="18"/>
          <w:color w:val="auto"/>
        </w:rPr>
        <w:t>The worsening of United States–China political tensions could exacerbate any or all of these risks, and adverse developments in any of these areas could impact the Company’s future revenues and cash flows and could cause the Company to fail to achieve anticipated growth in Mainland China.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convert all of its backlog into revenue and cash flows.</w:t>
      </w:r>
    </w:p>
    <w:p>
      <w:pPr>
        <w:spacing w:after="0" w:line="253" w:lineRule="exact"/>
        <w:rPr>
          <w:sz w:val="20"/>
          <w:szCs w:val="20"/>
          <w:color w:val="auto"/>
        </w:rPr>
      </w:pPr>
    </w:p>
    <w:p>
      <w:pPr>
        <w:jc w:val="both"/>
        <w:ind w:firstLine="219"/>
        <w:spacing w:after="0" w:line="251" w:lineRule="auto"/>
        <w:rPr>
          <w:sz w:val="20"/>
          <w:szCs w:val="20"/>
          <w:color w:val="auto"/>
        </w:rPr>
      </w:pPr>
      <w:r>
        <w:rPr>
          <w:rFonts w:ascii="Times New Roman" w:cs="Times New Roman" w:eastAsia="Times New Roman" w:hAnsi="Times New Roman"/>
          <w:sz w:val="18"/>
          <w:szCs w:val="18"/>
          <w:color w:val="auto"/>
        </w:rPr>
        <w:t>As of June 30, 2024, the Company’s backlog included 504 IMAX Systems, consisting of 177 IMAX Systems under sales or lease arrangements and 327 IMAX Systems under joint revenue sharing arrangements. The Company lists signed contracts for IMAX Systems for which revenue has not been recognized as backlog prior to the time of revenue recognition. The total value of the backlog represents all binding IMAX System sale or lease agreements scheduled to be installed in the future. Backlog value includes initial fees along with the estimated present value of contractual ongoing fees due over the term, and a variable consideration estimate for the IMAX Systems under sales arrangements, but excludes amounts allocated to maintenance and extended warranty revenues. Notwithstanding their legal obligations, some of the Company’s exhibition customers with which it has signed contracts may be delinquent in their contractual payments and/or not accept delivery of IMAX Systems that are included in the Company’s backlog. An economic or industry downturn may exacerbate exhibition customer liquidity constraints and the risk of customers not accepting delivery of IMAX Systems. Customers sometimes request that the Company agree to modify their obligations concerning systems in backlog, which the Company has agreed to do in the past under certain circumstances, and may agree to do in the future. Customer-requested delays in the installation of IMAX Systems in backlog remain a recurring and unpredictable part of the Company’s business. China’s slow recovery from the COVID-19 pandemic has caused several of the Company’s</w:t>
      </w:r>
    </w:p>
    <w:p>
      <w:pPr>
        <w:spacing w:after="0" w:line="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exhibition partners there to delay payment or theater system installation obligations to the Company. Any reduction or change in backlog could adversely affect the Company’s future revenues and cash flows.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There is collection risk associated with payments to be received over the terms of the Company’s IMAX System agreements.</w:t>
      </w:r>
    </w:p>
    <w:p>
      <w:pPr>
        <w:spacing w:after="0" w:line="253" w:lineRule="exact"/>
        <w:rPr>
          <w:sz w:val="20"/>
          <w:szCs w:val="20"/>
          <w:color w:val="auto"/>
        </w:rPr>
      </w:pPr>
    </w:p>
    <w:p>
      <w:pPr>
        <w:jc w:val="both"/>
        <w:ind w:firstLine="219"/>
        <w:spacing w:after="0" w:line="263" w:lineRule="auto"/>
        <w:rPr>
          <w:sz w:val="20"/>
          <w:szCs w:val="20"/>
          <w:color w:val="auto"/>
        </w:rPr>
      </w:pPr>
      <w:r>
        <w:rPr>
          <w:rFonts w:ascii="Times New Roman" w:cs="Times New Roman" w:eastAsia="Times New Roman" w:hAnsi="Times New Roman"/>
          <w:sz w:val="18"/>
          <w:szCs w:val="18"/>
          <w:color w:val="auto"/>
        </w:rPr>
        <w:t>The Company is dependent in part on the viability of its exhibitors for collections under long-term leases, sales financing agreements, and joint revenue sharing arrangements. Exhibitors or other operators may experience financial difficulties that could cause them to be unable to fulfill their contractual payment obligations to the Company. As a result, the Company’s future revenues and cash flows could be adversely affected.</w:t>
      </w:r>
    </w:p>
    <w:p>
      <w:pPr>
        <w:spacing w:after="0" w:line="2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for a 12-month period in 2020, 2021, and 2022 and increased in the total share repurchase authority to $400.0 million. In 2023, the Board of Directors approved a 36-month extension to the share repurchase program through June 30, 2026. As of June 30, 2024, the Company had $150.7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21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During the three months ended June 30, 2024, the Company repurchased 7,646 common shares at an average price of $14.98 per share for a total of $0.1 million, excluding commission. All share repurchases were made under the Company’s publicly announced program, and there are no other programs under which the Company repurchases shares.</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common share repurchase program activity for the three months ended June 30, 2024 was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1"/>
        </w:trPr>
        <w:tc>
          <w:tcPr>
            <w:tcW w:w="4600" w:type="dxa"/>
            <w:vAlign w:val="bottom"/>
          </w:tcPr>
          <w:p>
            <w:pPr>
              <w:spacing w:after="0"/>
              <w:rPr>
                <w:sz w:val="17"/>
                <w:szCs w:val="17"/>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purchased</w:t>
            </w:r>
          </w:p>
        </w:tc>
        <w:tc>
          <w:tcPr>
            <w:tcW w:w="36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5"/>
        </w:trPr>
        <w:tc>
          <w:tcPr>
            <w:tcW w:w="46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through April 30, 2024</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150,834,924</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through May 31, 2024</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150,834,924</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through June 30, 2024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150,724,352</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2023, IMAX China's shareholders granted its Board of Directors a general mandate authorizing the Board, subject to applicable laws, to repurchase shares of IMAX China not to exceed 10% of the total number of issued shares as of June 7, 2023 (33,959,314 shares). This program expired on the date of the 2024 Annual General Meeting of IMAX China on June 7, 2024. During the 2024 Annual General Meeting, shareholders approved the repurchase of shares of IMAX China not to exceed 10% of the total number of shares as of June 7, 2024 (34,000,845 shares). This program will be valid until the 2025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June 30, 2024, IMAX China repurchased 119,900 ordinary shares at an average price of HKD 7.43 per share ($0.95 per share) for a total of HKD 0.9 million ($0.1 million).</w:t>
      </w:r>
    </w:p>
    <w:p>
      <w:pPr>
        <w:spacing w:after="0" w:line="212"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6 of Notes to Condensed Consolidated Financial Statements in Part I, Item 1 for a summary of the material terms and conditions of the Company’s revolving credit facility, which include a limitation of the amount of permitted share repurchases.)</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3" w:lineRule="exact"/>
        <w:rPr>
          <w:sz w:val="20"/>
          <w:szCs w:val="20"/>
          <w:color w:val="auto"/>
        </w:rPr>
      </w:pPr>
    </w:p>
    <w:p>
      <w:pPr>
        <w:ind w:left="780" w:hanging="387"/>
        <w:spacing w:after="0"/>
        <w:tabs>
          <w:tab w:leader="none" w:pos="78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48" w:lineRule="exact"/>
        <w:rPr>
          <w:rFonts w:ascii="Times New Roman" w:cs="Times New Roman" w:eastAsia="Times New Roman" w:hAnsi="Times New Roman"/>
          <w:sz w:val="18"/>
          <w:szCs w:val="18"/>
          <w:b w:val="1"/>
          <w:bCs w:val="1"/>
          <w:i w:val="1"/>
          <w:iCs w:val="1"/>
          <w:color w:val="auto"/>
        </w:rPr>
      </w:pPr>
    </w:p>
    <w:p>
      <w:pPr>
        <w:ind w:left="780" w:hanging="387"/>
        <w:spacing w:after="0"/>
        <w:tabs>
          <w:tab w:leader="none" w:pos="78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44" w:lineRule="exact"/>
        <w:rPr>
          <w:rFonts w:ascii="Times New Roman" w:cs="Times New Roman" w:eastAsia="Times New Roman" w:hAnsi="Times New Roman"/>
          <w:sz w:val="18"/>
          <w:szCs w:val="18"/>
          <w:b w:val="1"/>
          <w:bCs w:val="1"/>
          <w:i w:val="1"/>
          <w:iCs w:val="1"/>
          <w:color w:val="auto"/>
        </w:rPr>
      </w:pPr>
    </w:p>
    <w:p>
      <w:pPr>
        <w:ind w:left="780" w:hanging="387"/>
        <w:spacing w:after="0"/>
        <w:tabs>
          <w:tab w:leader="none" w:pos="78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10b5- 1 trading arrangement during the Company’s fiscal quarter ended June 30, 2024.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48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6"/>
        </w:trPr>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4"/>
        </w:trPr>
        <w:tc>
          <w:tcPr>
            <w:tcW w:w="7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Employment Agreement, dated as of January 9, 2023, between IMAX China (Hong Kong) Limited and Daniel Manwaring</w:t>
            </w: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Amendment Agreement to Employment Agreement, dated as of March 7, 2024, between IMAX China (Hong Kong) Limited and Daniel</w:t>
            </w:r>
          </w:p>
        </w:tc>
        <w:tc>
          <w:tcPr>
            <w:tcW w:w="400" w:type="dxa"/>
            <w:vAlign w:val="bottom"/>
          </w:tcPr>
          <w:p>
            <w:pPr>
              <w:spacing w:after="0"/>
              <w:rPr>
                <w:sz w:val="21"/>
                <w:szCs w:val="2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8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Manwaring</w:t>
            </w: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24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July 24, 2024, by Richard L. Gelfond</w:t>
            </w: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dated July 24, 2024, by Natasha Fernandes</w:t>
            </w:r>
          </w:p>
        </w:tc>
        <w:tc>
          <w:tcPr>
            <w:tcW w:w="1800" w:type="dxa"/>
            <w:vAlign w:val="bottom"/>
            <w:gridSpan w:val="3"/>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40" w:type="dxa"/>
            <w:vAlign w:val="bottom"/>
            <w:gridSpan w:val="2"/>
            <w:shd w:val="clear" w:color="auto" w:fill="0000FF"/>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July 24, 2024, by Richard L. Gelfond</w:t>
            </w: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 dated July 24, 2024, by Natasha Fernandes</w:t>
            </w:r>
          </w:p>
        </w:tc>
        <w:tc>
          <w:tcPr>
            <w:tcW w:w="1800" w:type="dxa"/>
            <w:vAlign w:val="bottom"/>
            <w:gridSpan w:val="3"/>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40" w:type="dxa"/>
            <w:vAlign w:val="bottom"/>
            <w:gridSpan w:val="2"/>
            <w:shd w:val="clear" w:color="auto" w:fill="0000FF"/>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r>
      <w:tr>
        <w:trPr>
          <w:trHeight w:val="37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33"/>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 PRE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460" w:type="dxa"/>
            <w:vAlign w:val="bottom"/>
          </w:tcPr>
          <w:p>
            <w:pPr>
              <w:spacing w:after="0"/>
              <w:rPr>
                <w:sz w:val="20"/>
                <w:szCs w:val="20"/>
                <w:color w:val="auto"/>
              </w:rPr>
            </w:pPr>
          </w:p>
        </w:tc>
        <w:tc>
          <w:tcPr>
            <w:tcW w:w="77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IMAX CORPORATION</w:t>
            </w:r>
          </w:p>
        </w:tc>
      </w:tr>
      <w:tr>
        <w:trPr>
          <w:trHeight w:val="53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2024</w:t>
            </w:r>
          </w:p>
        </w:tc>
        <w:tc>
          <w:tcPr>
            <w:tcW w:w="25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6"/>
        </w:trPr>
        <w:tc>
          <w:tcPr>
            <w:tcW w:w="3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5"/>
        </w:trPr>
        <w:tc>
          <w:tcPr>
            <w:tcW w:w="3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68"/>
        </w:trPr>
        <w:tc>
          <w:tcPr>
            <w:tcW w:w="34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68"/>
        </w:trPr>
        <w:tc>
          <w:tcPr>
            <w:tcW w:w="34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3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2024</w:t>
            </w:r>
          </w:p>
        </w:tc>
        <w:tc>
          <w:tcPr>
            <w:tcW w:w="25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ELIZABETH GITAJN</w:t>
            </w:r>
          </w:p>
        </w:tc>
      </w:tr>
      <w:tr>
        <w:trPr>
          <w:trHeight w:val="26"/>
        </w:trPr>
        <w:tc>
          <w:tcPr>
            <w:tcW w:w="3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5"/>
        </w:trPr>
        <w:tc>
          <w:tcPr>
            <w:tcW w:w="3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Gitajn</w:t>
            </w:r>
          </w:p>
        </w:tc>
      </w:tr>
      <w:tr>
        <w:trPr>
          <w:trHeight w:val="268"/>
        </w:trPr>
        <w:tc>
          <w:tcPr>
            <w:tcW w:w="34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Vice-President, Finance &amp; Controller</w:t>
            </w:r>
          </w:p>
        </w:tc>
      </w:tr>
      <w:tr>
        <w:trPr>
          <w:trHeight w:val="268"/>
        </w:trPr>
        <w:tc>
          <w:tcPr>
            <w:tcW w:w="34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764"/>
        </w:trPr>
        <w:tc>
          <w:tcPr>
            <w:tcW w:w="3460" w:type="dxa"/>
            <w:vAlign w:val="bottom"/>
          </w:tcPr>
          <w:p>
            <w:pPr>
              <w:spacing w:after="0"/>
              <w:rPr>
                <w:sz w:val="24"/>
                <w:szCs w:val="24"/>
                <w:color w:val="auto"/>
              </w:rPr>
            </w:pPr>
          </w:p>
        </w:tc>
        <w:tc>
          <w:tcPr>
            <w:tcW w:w="25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73</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36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EMPLOYMENT AGREEMENT</w:t>
      </w:r>
      <w:r>
        <w:rPr>
          <w:rFonts w:ascii="Times New Roman" w:cs="Times New Roman" w:eastAsia="Times New Roman" w:hAnsi="Times New Roman"/>
          <w:sz w:val="21"/>
          <w:szCs w:val="21"/>
          <w:color w:val="auto"/>
        </w:rPr>
        <w:t xml:space="preserve"> is dated as of January 9, 2023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between </w:t>
      </w:r>
      <w:r>
        <w:rPr>
          <w:rFonts w:ascii="Times New Roman" w:cs="Times New Roman" w:eastAsia="Times New Roman" w:hAnsi="Times New Roman"/>
          <w:sz w:val="21"/>
          <w:szCs w:val="21"/>
          <w:b w:val="1"/>
          <w:bCs w:val="1"/>
          <w:color w:val="auto"/>
        </w:rPr>
        <w:t>IMAX CHINA (HONG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KONG) LIMITED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b w:val="1"/>
          <w:bCs w:val="1"/>
          <w:color w:val="auto"/>
        </w:rPr>
        <w:t xml:space="preserve"> DANIEL WADE MANWARING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wishes to employ the Executive and the Executive wishes to be employed by the Company; and</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the Executive have agreed to formalize the terms and conditions which will govern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employment with the Company, all as set out in this Agreement;</w:t>
      </w:r>
    </w:p>
    <w:p>
      <w:pPr>
        <w:spacing w:after="0" w:line="13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premises and of the mutual covenants and agreements herein contained,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hereto agree as follows:</w:t>
      </w:r>
    </w:p>
    <w:p>
      <w:pPr>
        <w:spacing w:after="0" w:line="132" w:lineRule="exact"/>
        <w:rPr>
          <w:sz w:val="20"/>
          <w:szCs w:val="20"/>
          <w:color w:val="auto"/>
        </w:rPr>
      </w:pPr>
    </w:p>
    <w:p>
      <w:pPr>
        <w:ind w:left="4560"/>
        <w:spacing w:after="0"/>
        <w:tabs>
          <w:tab w:leader="none" w:pos="5860" w:val="left"/>
        </w:tabs>
        <w:rPr>
          <w:sz w:val="20"/>
          <w:szCs w:val="20"/>
          <w:color w:val="auto"/>
        </w:rPr>
      </w:pPr>
      <w:r>
        <w:rPr>
          <w:rFonts w:ascii="Times New Roman" w:cs="Times New Roman" w:eastAsia="Times New Roman" w:hAnsi="Times New Roman"/>
          <w:sz w:val="21"/>
          <w:szCs w:val="21"/>
          <w:b w:val="1"/>
          <w:bCs w:val="1"/>
          <w:color w:val="auto"/>
        </w:rPr>
        <w:t>Article I</w:t>
      </w:r>
      <w:r>
        <w:rPr>
          <w:sz w:val="20"/>
          <w:szCs w:val="20"/>
          <w:color w:val="auto"/>
        </w:rPr>
        <w:tab/>
      </w:r>
      <w:r>
        <w:rPr>
          <w:rFonts w:ascii="Times New Roman" w:cs="Times New Roman" w:eastAsia="Times New Roman" w:hAnsi="Times New Roman"/>
          <w:sz w:val="21"/>
          <w:szCs w:val="21"/>
          <w:b w:val="1"/>
          <w:bCs w:val="1"/>
          <w:color w:val="auto"/>
        </w:rPr>
        <w:t>– TERM</w:t>
      </w:r>
    </w:p>
    <w:p>
      <w:pPr>
        <w:spacing w:after="0" w:line="2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I.1</w:t>
      </w:r>
      <w:r>
        <w:rPr>
          <w:sz w:val="20"/>
          <w:szCs w:val="20"/>
          <w:color w:val="auto"/>
        </w:rPr>
        <w:tab/>
      </w:r>
      <w:r>
        <w:rPr>
          <w:rFonts w:ascii="Times New Roman" w:cs="Times New Roman" w:eastAsia="Times New Roman" w:hAnsi="Times New Roman"/>
          <w:sz w:val="21"/>
          <w:szCs w:val="21"/>
          <w:b w:val="1"/>
          <w:bCs w:val="1"/>
          <w:color w:val="auto"/>
        </w:rPr>
        <w:t>Term</w:t>
      </w:r>
    </w:p>
    <w:p>
      <w:pPr>
        <w:spacing w:after="0" w:line="228" w:lineRule="exact"/>
        <w:rPr>
          <w:sz w:val="20"/>
          <w:szCs w:val="20"/>
          <w:color w:val="auto"/>
        </w:rPr>
      </w:pPr>
    </w:p>
    <w:p>
      <w:pPr>
        <w:jc w:val="both"/>
        <w:ind w:firstLine="643"/>
        <w:spacing w:after="0" w:line="273" w:lineRule="auto"/>
        <w:rPr>
          <w:sz w:val="20"/>
          <w:szCs w:val="20"/>
          <w:color w:val="auto"/>
        </w:rPr>
      </w:pPr>
      <w:r>
        <w:rPr>
          <w:rFonts w:ascii="Times New Roman" w:cs="Times New Roman" w:eastAsia="Times New Roman" w:hAnsi="Times New Roman"/>
          <w:sz w:val="21"/>
          <w:szCs w:val="21"/>
          <w:color w:val="auto"/>
        </w:rPr>
        <w:t>This Agreement shall commence on and shall be deemed effective as of January 9, 2023 (the “</w:t>
      </w:r>
      <w:r>
        <w:rPr>
          <w:rFonts w:ascii="Times New Roman" w:cs="Times New Roman" w:eastAsia="Times New Roman" w:hAnsi="Times New Roman"/>
          <w:sz w:val="21"/>
          <w:szCs w:val="21"/>
          <w:b w:val="1"/>
          <w:bCs w:val="1"/>
          <w:color w:val="auto"/>
        </w:rPr>
        <w:t>Commencement Date</w:t>
      </w:r>
      <w:r>
        <w:rPr>
          <w:rFonts w:ascii="Times New Roman" w:cs="Times New Roman" w:eastAsia="Times New Roman" w:hAnsi="Times New Roman"/>
          <w:sz w:val="21"/>
          <w:szCs w:val="21"/>
          <w:color w:val="auto"/>
        </w:rPr>
        <w:t>”) and the Executive’s employment with the Company shall terminate on the earlier to occur of (a) the termination of the Executive’s employment pursuant to Article IV of this Agreement, or (b) December 31, 2025.</w:t>
      </w:r>
    </w:p>
    <w:p>
      <w:pPr>
        <w:spacing w:after="0" w:line="155" w:lineRule="exact"/>
        <w:rPr>
          <w:sz w:val="20"/>
          <w:szCs w:val="20"/>
          <w:color w:val="auto"/>
        </w:rPr>
      </w:pPr>
    </w:p>
    <w:p>
      <w:pPr>
        <w:ind w:left="2820"/>
        <w:spacing w:after="0"/>
        <w:tabs>
          <w:tab w:leader="none" w:pos="4140" w:val="left"/>
        </w:tabs>
        <w:rPr>
          <w:sz w:val="20"/>
          <w:szCs w:val="20"/>
          <w:color w:val="auto"/>
        </w:rPr>
      </w:pPr>
      <w:r>
        <w:rPr>
          <w:rFonts w:ascii="Times New Roman" w:cs="Times New Roman" w:eastAsia="Times New Roman" w:hAnsi="Times New Roman"/>
          <w:sz w:val="21"/>
          <w:szCs w:val="21"/>
          <w:b w:val="1"/>
          <w:bCs w:val="1"/>
          <w:color w:val="auto"/>
        </w:rPr>
        <w:t>Article II</w:t>
      </w:r>
      <w:r>
        <w:rPr>
          <w:sz w:val="20"/>
          <w:szCs w:val="20"/>
          <w:color w:val="auto"/>
        </w:rPr>
        <w:tab/>
      </w:r>
      <w:r>
        <w:rPr>
          <w:rFonts w:ascii="Times New Roman" w:cs="Times New Roman" w:eastAsia="Times New Roman" w:hAnsi="Times New Roman"/>
          <w:sz w:val="21"/>
          <w:szCs w:val="21"/>
          <w:b w:val="1"/>
          <w:bCs w:val="1"/>
          <w:color w:val="auto"/>
        </w:rPr>
        <w:t>– EMPLOYMENT: POSITION AND DUTIES</w:t>
      </w:r>
    </w:p>
    <w:p>
      <w:pPr>
        <w:spacing w:after="0" w:line="2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II.1</w:t>
        <w:tab/>
        <w:t>Position</w:t>
      </w:r>
    </w:p>
    <w:p>
      <w:pPr>
        <w:spacing w:after="0" w:line="232" w:lineRule="exact"/>
        <w:rPr>
          <w:sz w:val="20"/>
          <w:szCs w:val="20"/>
          <w:color w:val="auto"/>
        </w:rPr>
      </w:pPr>
    </w:p>
    <w:p>
      <w:pPr>
        <w:jc w:val="both"/>
        <w:ind w:firstLine="643"/>
        <w:spacing w:after="0" w:line="290" w:lineRule="auto"/>
        <w:rPr>
          <w:sz w:val="20"/>
          <w:szCs w:val="20"/>
          <w:color w:val="auto"/>
        </w:rPr>
      </w:pPr>
      <w:r>
        <w:rPr>
          <w:rFonts w:ascii="Times New Roman" w:cs="Times New Roman" w:eastAsia="Times New Roman" w:hAnsi="Times New Roman"/>
          <w:sz w:val="21"/>
          <w:szCs w:val="21"/>
          <w:color w:val="auto"/>
        </w:rPr>
        <w:t xml:space="preserve">Subject to the terms and conditions set out in this Agreement, the Company agrees to employ the Executive, and the Executive agrees to be employed by the Company and to serve the Company, in the position of </w:t>
      </w:r>
      <w:r>
        <w:rPr>
          <w:rFonts w:ascii="Times New Roman" w:cs="Times New Roman" w:eastAsia="Times New Roman" w:hAnsi="Times New Roman"/>
          <w:sz w:val="21"/>
          <w:szCs w:val="21"/>
          <w:b w:val="1"/>
          <w:bCs w:val="1"/>
          <w:color w:val="auto"/>
        </w:rPr>
        <w:t>Chief Executive Officer</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II.2</w:t>
        <w:tab/>
        <w:t>Duties and Reporting</w:t>
      </w:r>
    </w:p>
    <w:p>
      <w:pPr>
        <w:spacing w:after="0" w:line="228" w:lineRule="exact"/>
        <w:rPr>
          <w:sz w:val="20"/>
          <w:szCs w:val="20"/>
          <w:color w:val="auto"/>
        </w:rPr>
      </w:pPr>
    </w:p>
    <w:p>
      <w:pPr>
        <w:jc w:val="both"/>
        <w:ind w:firstLine="643"/>
        <w:spacing w:after="0" w:line="280" w:lineRule="auto"/>
        <w:rPr>
          <w:sz w:val="20"/>
          <w:szCs w:val="20"/>
          <w:color w:val="auto"/>
        </w:rPr>
      </w:pPr>
      <w:r>
        <w:rPr>
          <w:rFonts w:ascii="Times New Roman" w:cs="Times New Roman" w:eastAsia="Times New Roman" w:hAnsi="Times New Roman"/>
          <w:sz w:val="21"/>
          <w:szCs w:val="21"/>
          <w:color w:val="auto"/>
        </w:rPr>
        <w:t xml:space="preserve">Reporting to Rich Gelfond, Chairman of the Board of </w:t>
      </w:r>
      <w:r>
        <w:rPr>
          <w:rFonts w:ascii="Times New Roman" w:cs="Times New Roman" w:eastAsia="Times New Roman" w:hAnsi="Times New Roman"/>
          <w:sz w:val="21"/>
          <w:szCs w:val="21"/>
          <w:b w:val="1"/>
          <w:bCs w:val="1"/>
          <w:color w:val="auto"/>
        </w:rPr>
        <w:t>IMAX CHINA HOLDING, INC.,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IMAX China</w:t>
      </w:r>
      <w:r>
        <w:rPr>
          <w:rFonts w:ascii="Times New Roman" w:cs="Times New Roman" w:eastAsia="Times New Roman" w:hAnsi="Times New Roman"/>
          <w:sz w:val="21"/>
          <w:szCs w:val="21"/>
          <w:color w:val="auto"/>
        </w:rPr>
        <w:t>”), the Executive shall be responsible for the day-to-day management of the business and operations of IMAX China, as well as to perform all duties and responsibilities consistent with his position as may be assigned to him by the Company from time to time.</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II.3</w:t>
        <w:tab/>
        <w:t>Compliance</w:t>
      </w:r>
    </w:p>
    <w:p>
      <w:pPr>
        <w:spacing w:after="0" w:line="232" w:lineRule="exact"/>
        <w:rPr>
          <w:sz w:val="20"/>
          <w:szCs w:val="20"/>
          <w:color w:val="auto"/>
        </w:rPr>
      </w:pPr>
    </w:p>
    <w:p>
      <w:pPr>
        <w:jc w:val="both"/>
        <w:ind w:firstLine="643"/>
        <w:spacing w:after="0" w:line="271" w:lineRule="auto"/>
        <w:rPr>
          <w:sz w:val="20"/>
          <w:szCs w:val="20"/>
          <w:color w:val="auto"/>
        </w:rPr>
      </w:pPr>
      <w:r>
        <w:rPr>
          <w:rFonts w:ascii="Times New Roman" w:cs="Times New Roman" w:eastAsia="Times New Roman" w:hAnsi="Times New Roman"/>
          <w:sz w:val="21"/>
          <w:szCs w:val="21"/>
          <w:color w:val="auto"/>
        </w:rPr>
        <w:t>The Executive agrees to abide by the confidentiality and non-competition agreement he has entered into with the Company, the Company’s Code of Ethics and Business Conduct, the Company’s Anti-Bribery and Anti-Corruption Policy, IMAX Corporation Insider Trading</w:t>
      </w:r>
    </w:p>
    <w:p>
      <w:pPr>
        <w:sectPr>
          <w:pgSz w:w="11900" w:h="16838" w:orient="portrait"/>
          <w:cols w:equalWidth="0" w:num="1">
            <w:col w:w="11240"/>
          </w:cols>
          <w:pgMar w:left="320" w:top="96" w:right="339" w:bottom="1440" w:gutter="0" w:footer="0" w:header="0"/>
        </w:sectPr>
      </w:pPr>
    </w:p>
    <w:bookmarkStart w:id="75" w:name="page76"/>
    <w:bookmarkEnd w:id="75"/>
    <w:p>
      <w:pPr>
        <w:jc w:val="center"/>
        <w:spacing w:after="0"/>
        <w:rPr>
          <w:sz w:val="20"/>
          <w:szCs w:val="20"/>
          <w:color w:val="auto"/>
        </w:rPr>
      </w:pPr>
      <w:r>
        <w:rPr>
          <w:rFonts w:ascii="Calibri" w:cs="Calibri" w:eastAsia="Calibri" w:hAnsi="Calibri"/>
          <w:sz w:val="21"/>
          <w:szCs w:val="21"/>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1"/>
          <w:szCs w:val="21"/>
          <w:color w:val="auto"/>
        </w:rPr>
        <w:t>Policy, IMAX China Insider Trading Policy, and IMAX China Protocol for Reporting Suspected Violations of Code of Business Conduct and Ethics.</w:t>
      </w:r>
    </w:p>
    <w:p>
      <w:pPr>
        <w:spacing w:after="0" w:line="136" w:lineRule="exact"/>
        <w:rPr>
          <w:sz w:val="20"/>
          <w:szCs w:val="20"/>
          <w:color w:val="auto"/>
        </w:rPr>
      </w:pPr>
    </w:p>
    <w:p>
      <w:pPr>
        <w:jc w:val="center"/>
        <w:spacing w:after="0"/>
        <w:tabs>
          <w:tab w:leader="none" w:pos="320" w:val="left"/>
        </w:tabs>
        <w:rPr>
          <w:sz w:val="20"/>
          <w:szCs w:val="20"/>
          <w:color w:val="auto"/>
        </w:rPr>
      </w:pPr>
      <w:r>
        <w:rPr>
          <w:rFonts w:ascii="Times New Roman" w:cs="Times New Roman" w:eastAsia="Times New Roman" w:hAnsi="Times New Roman"/>
          <w:sz w:val="21"/>
          <w:szCs w:val="21"/>
          <w:b w:val="1"/>
          <w:bCs w:val="1"/>
          <w:color w:val="auto"/>
        </w:rPr>
        <w:t>Article III</w:t>
      </w:r>
      <w:r>
        <w:rPr>
          <w:sz w:val="20"/>
          <w:szCs w:val="20"/>
          <w:color w:val="auto"/>
        </w:rPr>
        <w:tab/>
      </w:r>
      <w:r>
        <w:rPr>
          <w:rFonts w:ascii="Times New Roman" w:cs="Times New Roman" w:eastAsia="Times New Roman" w:hAnsi="Times New Roman"/>
          <w:sz w:val="21"/>
          <w:szCs w:val="21"/>
          <w:b w:val="1"/>
          <w:bCs w:val="1"/>
          <w:color w:val="auto"/>
        </w:rPr>
        <w:t>– COMPENSATION AND BENEFITS</w:t>
      </w:r>
    </w:p>
    <w:p>
      <w:pPr>
        <w:spacing w:after="0" w:line="22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III.1</w:t>
        <w:tab/>
        <w:t>Base Salary</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Executive’s base salary will be $600,000 USD, less applicable withholding taxes and deductions.</w:t>
      </w:r>
    </w:p>
    <w:p>
      <w:pPr>
        <w:spacing w:after="0" w:line="2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III.2</w:t>
        <w:tab/>
        <w:t>Bonus</w:t>
      </w:r>
    </w:p>
    <w:p>
      <w:pPr>
        <w:spacing w:after="0" w:line="245" w:lineRule="exact"/>
        <w:rPr>
          <w:sz w:val="20"/>
          <w:szCs w:val="20"/>
          <w:color w:val="auto"/>
        </w:rPr>
      </w:pPr>
    </w:p>
    <w:p>
      <w:pPr>
        <w:jc w:val="both"/>
        <w:ind w:firstLine="643"/>
        <w:spacing w:after="0" w:line="271" w:lineRule="auto"/>
        <w:rPr>
          <w:sz w:val="20"/>
          <w:szCs w:val="20"/>
          <w:color w:val="auto"/>
        </w:rPr>
      </w:pPr>
      <w:r>
        <w:rPr>
          <w:rFonts w:ascii="Times New Roman" w:cs="Times New Roman" w:eastAsia="Times New Roman" w:hAnsi="Times New Roman"/>
          <w:sz w:val="21"/>
          <w:szCs w:val="21"/>
          <w:color w:val="auto"/>
        </w:rPr>
        <w:t>The Executive shall be eligible to participate in the IMAX China bonus program, with a target bonus equal to 40% of Executive’s annual base salary. Calculation of this bonus is based on both Company performance and personal performance. Any bonus payment shall be at the discretion of the Company, and eligibility is subject to employment on the day of payment.</w:t>
      </w:r>
    </w:p>
    <w:p>
      <w:pPr>
        <w:spacing w:after="0" w:line="15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III.3</w:t>
        <w:tab/>
        <w:t>Benefits</w:t>
      </w:r>
    </w:p>
    <w:p>
      <w:pPr>
        <w:spacing w:after="0" w:line="232" w:lineRule="exact"/>
        <w:rPr>
          <w:sz w:val="20"/>
          <w:szCs w:val="20"/>
          <w:color w:val="auto"/>
        </w:rPr>
      </w:pPr>
    </w:p>
    <w:p>
      <w:pPr>
        <w:jc w:val="both"/>
        <w:ind w:right="20" w:firstLine="643"/>
        <w:spacing w:after="0" w:line="303" w:lineRule="auto"/>
        <w:rPr>
          <w:sz w:val="20"/>
          <w:szCs w:val="20"/>
          <w:color w:val="auto"/>
        </w:rPr>
      </w:pPr>
      <w:r>
        <w:rPr>
          <w:rFonts w:ascii="Times New Roman" w:cs="Times New Roman" w:eastAsia="Times New Roman" w:hAnsi="Times New Roman"/>
          <w:sz w:val="21"/>
          <w:szCs w:val="21"/>
          <w:color w:val="auto"/>
        </w:rPr>
        <w:t>During his employment with the Company, the Executive shall be eligible to participate in the Company’s benefit plans consistent with benefits given to senior executives at the Company.</w:t>
      </w:r>
    </w:p>
    <w:p>
      <w:pPr>
        <w:spacing w:after="0" w:line="1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III.4</w:t>
        <w:tab/>
        <w:t>Vacation</w:t>
      </w:r>
    </w:p>
    <w:p>
      <w:pPr>
        <w:spacing w:after="0" w:line="232" w:lineRule="exact"/>
        <w:rPr>
          <w:sz w:val="20"/>
          <w:szCs w:val="20"/>
          <w:color w:val="auto"/>
        </w:rPr>
      </w:pPr>
    </w:p>
    <w:p>
      <w:pPr>
        <w:jc w:val="both"/>
        <w:ind w:firstLine="643"/>
        <w:spacing w:after="0" w:line="290" w:lineRule="auto"/>
        <w:rPr>
          <w:sz w:val="20"/>
          <w:szCs w:val="20"/>
          <w:color w:val="auto"/>
        </w:rPr>
      </w:pPr>
      <w:r>
        <w:rPr>
          <w:rFonts w:ascii="Times New Roman" w:cs="Times New Roman" w:eastAsia="Times New Roman" w:hAnsi="Times New Roman"/>
          <w:sz w:val="21"/>
          <w:szCs w:val="21"/>
          <w:color w:val="auto"/>
        </w:rPr>
        <w:t>The Executive will be entitled to receive vacation time of twenty (20) days per year, subject to proration based on partial years of service.</w:t>
      </w:r>
    </w:p>
    <w:p>
      <w:pPr>
        <w:spacing w:after="0" w:line="13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III.5</w:t>
        <w:tab/>
        <w:t>Equity</w:t>
      </w:r>
    </w:p>
    <w:p>
      <w:pPr>
        <w:spacing w:after="0" w:line="245" w:lineRule="exact"/>
        <w:rPr>
          <w:sz w:val="20"/>
          <w:szCs w:val="20"/>
          <w:color w:val="auto"/>
        </w:rPr>
      </w:pPr>
    </w:p>
    <w:p>
      <w:pPr>
        <w:jc w:val="both"/>
        <w:ind w:firstLine="643"/>
        <w:spacing w:after="0" w:line="261" w:lineRule="auto"/>
        <w:rPr>
          <w:sz w:val="20"/>
          <w:szCs w:val="20"/>
          <w:color w:val="auto"/>
        </w:rPr>
      </w:pPr>
      <w:r>
        <w:rPr>
          <w:rFonts w:ascii="Times New Roman" w:cs="Times New Roman" w:eastAsia="Times New Roman" w:hAnsi="Times New Roman"/>
          <w:sz w:val="21"/>
          <w:szCs w:val="21"/>
          <w:color w:val="auto"/>
        </w:rPr>
        <w:t>The Executive will receive an annual equity award under the IMAX China Rules of the Post-IPO Restricted Share Unit Scheme and Rules of the Post-IPO Performance-based Restricted Share Unit Scheme with an aggregate grant date monetary value of $700,000 USD. The vehicles, mix of RSUs, PSUs, and/or other equity vehicles, grant timing and vesting schedules for any annual grant will be consistent with the Company’s standard process and grants given to other senior executives at the time. All grants are subject to the terms and conditions of the IMAX China equity plans, including the requirement that Executive be employed by the Company on each applicable grant date. Notwithstanding the above, Executive’s initial 2023 equity grant shall have an aggregate grant date monetary value of $725,000 USD.</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III.6</w:t>
        <w:tab/>
        <w:t>Signing Bonus</w:t>
      </w:r>
    </w:p>
    <w:p>
      <w:pPr>
        <w:spacing w:after="0" w:line="232" w:lineRule="exact"/>
        <w:rPr>
          <w:sz w:val="20"/>
          <w:szCs w:val="20"/>
          <w:color w:val="auto"/>
        </w:rPr>
      </w:pPr>
    </w:p>
    <w:p>
      <w:pPr>
        <w:jc w:val="both"/>
        <w:ind w:right="20" w:firstLine="643"/>
        <w:spacing w:after="0" w:line="290" w:lineRule="auto"/>
        <w:rPr>
          <w:sz w:val="20"/>
          <w:szCs w:val="20"/>
          <w:color w:val="auto"/>
        </w:rPr>
      </w:pPr>
      <w:r>
        <w:rPr>
          <w:rFonts w:ascii="Times New Roman" w:cs="Times New Roman" w:eastAsia="Times New Roman" w:hAnsi="Times New Roman"/>
          <w:sz w:val="21"/>
          <w:szCs w:val="21"/>
          <w:color w:val="auto"/>
        </w:rPr>
        <w:t>As soon as practicable after the Commencement Date, the Executive shall receive a one-time cash payment of $75,000 USD, which Executive agrees to repay to the Company if he resigns before December 31, 2023.</w:t>
      </w:r>
    </w:p>
    <w:p>
      <w:pPr>
        <w:sectPr>
          <w:pgSz w:w="11900" w:h="16838" w:orient="portrait"/>
          <w:cols w:equalWidth="0" w:num="1">
            <w:col w:w="11240"/>
          </w:cols>
          <w:pgMar w:left="320" w:top="110" w:right="339" w:bottom="1440" w:gutter="0" w:footer="0" w:header="0"/>
        </w:sectPr>
      </w:pPr>
    </w:p>
    <w:bookmarkStart w:id="76" w:name="page77"/>
    <w:bookmarkEnd w:id="76"/>
    <w:p>
      <w:pPr>
        <w:jc w:val="center"/>
        <w:spacing w:after="0"/>
        <w:rPr>
          <w:sz w:val="20"/>
          <w:szCs w:val="20"/>
          <w:color w:val="auto"/>
        </w:rPr>
      </w:pPr>
      <w:r>
        <w:rPr>
          <w:rFonts w:ascii="Calibri" w:cs="Calibri" w:eastAsia="Calibri" w:hAnsi="Calibri"/>
          <w:sz w:val="21"/>
          <w:szCs w:val="21"/>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III.7</w:t>
        <w:tab/>
        <w:t>Allowance</w:t>
      </w:r>
    </w:p>
    <w:p>
      <w:pPr>
        <w:spacing w:after="0" w:line="232" w:lineRule="exact"/>
        <w:rPr>
          <w:sz w:val="20"/>
          <w:szCs w:val="20"/>
          <w:color w:val="auto"/>
        </w:rPr>
      </w:pPr>
    </w:p>
    <w:p>
      <w:pPr>
        <w:jc w:val="both"/>
        <w:ind w:firstLine="643"/>
        <w:spacing w:after="0" w:line="282" w:lineRule="auto"/>
        <w:rPr>
          <w:sz w:val="20"/>
          <w:szCs w:val="20"/>
          <w:color w:val="auto"/>
        </w:rPr>
      </w:pPr>
      <w:r>
        <w:rPr>
          <w:rFonts w:ascii="Times New Roman" w:cs="Times New Roman" w:eastAsia="Times New Roman" w:hAnsi="Times New Roman"/>
          <w:sz w:val="21"/>
          <w:szCs w:val="21"/>
          <w:color w:val="auto"/>
        </w:rPr>
        <w:t>The Executive will be entitled to an annual allowance of USD217,200, which the Executive may apply toward his housing in Shanghai, a car and a driver for his use in Shanghai, and reimbursement of tuition fees for his children to attend school in Shanghai.</w:t>
      </w:r>
    </w:p>
    <w:p>
      <w:pPr>
        <w:spacing w:after="0" w:line="200" w:lineRule="exact"/>
        <w:rPr>
          <w:sz w:val="20"/>
          <w:szCs w:val="20"/>
          <w:color w:val="auto"/>
        </w:rPr>
      </w:pPr>
    </w:p>
    <w:p>
      <w:pPr>
        <w:spacing w:after="0" w:line="2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III.8</w:t>
        <w:tab/>
        <w:t>Moving Costs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Company will reimburse the Executive for the costs of relocating from Beijing to Shanghai.</w:t>
      </w:r>
    </w:p>
    <w:p>
      <w:pPr>
        <w:spacing w:after="0" w:line="2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III.9</w:t>
        <w:tab/>
        <w:t>Tax Advice</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Company will provide the Executive with a tax advisor at the Company’s cost.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III.10 Tax Treatment</w:t>
      </w:r>
    </w:p>
    <w:p>
      <w:pPr>
        <w:spacing w:after="0" w:line="228" w:lineRule="exact"/>
        <w:rPr>
          <w:sz w:val="20"/>
          <w:szCs w:val="20"/>
          <w:color w:val="auto"/>
        </w:rPr>
      </w:pPr>
    </w:p>
    <w:p>
      <w:pPr>
        <w:jc w:val="both"/>
        <w:ind w:firstLine="643"/>
        <w:spacing w:after="0" w:line="266" w:lineRule="auto"/>
        <w:rPr>
          <w:sz w:val="20"/>
          <w:szCs w:val="20"/>
          <w:color w:val="auto"/>
        </w:rPr>
      </w:pPr>
      <w:r>
        <w:rPr>
          <w:rFonts w:ascii="Times New Roman" w:cs="Times New Roman" w:eastAsia="Times New Roman" w:hAnsi="Times New Roman"/>
          <w:sz w:val="21"/>
          <w:szCs w:val="21"/>
          <w:color w:val="auto"/>
        </w:rPr>
        <w:t>The parties understand that the People’s Republic of China (the “</w:t>
      </w:r>
      <w:r>
        <w:rPr>
          <w:rFonts w:ascii="Times New Roman" w:cs="Times New Roman" w:eastAsia="Times New Roman" w:hAnsi="Times New Roman"/>
          <w:sz w:val="21"/>
          <w:szCs w:val="21"/>
          <w:b w:val="1"/>
          <w:bCs w:val="1"/>
          <w:color w:val="auto"/>
        </w:rPr>
        <w:t>PRC</w:t>
      </w:r>
      <w:r>
        <w:rPr>
          <w:rFonts w:ascii="Times New Roman" w:cs="Times New Roman" w:eastAsia="Times New Roman" w:hAnsi="Times New Roman"/>
          <w:sz w:val="21"/>
          <w:szCs w:val="21"/>
          <w:color w:val="auto"/>
        </w:rPr>
        <w:t>”) may end the policy providing preferential tax treatment to foreigners in relation to expenses for housing, education and home visits, etc. on or after January 1, 2024. If the relevant PRC authorities announce a material change to the current policy, the parties hereby agree to discuss and decide in good faith how to address Executive’s incremental tax payment on the earlier of (a) the thirtieth (30th) day after the announcement of the change; or (b) November 30 of the year prior to the effective date of the announced change.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III.11 Currency</w:t>
      </w:r>
    </w:p>
    <w:p>
      <w:pPr>
        <w:spacing w:after="0" w:line="232" w:lineRule="exact"/>
        <w:rPr>
          <w:sz w:val="20"/>
          <w:szCs w:val="20"/>
          <w:color w:val="auto"/>
        </w:rPr>
      </w:pPr>
    </w:p>
    <w:p>
      <w:pPr>
        <w:jc w:val="both"/>
        <w:ind w:firstLine="643"/>
        <w:spacing w:after="0" w:line="303" w:lineRule="auto"/>
        <w:rPr>
          <w:sz w:val="20"/>
          <w:szCs w:val="20"/>
          <w:color w:val="auto"/>
        </w:rPr>
      </w:pPr>
      <w:r>
        <w:rPr>
          <w:rFonts w:ascii="Times New Roman" w:cs="Times New Roman" w:eastAsia="Times New Roman" w:hAnsi="Times New Roman"/>
          <w:sz w:val="21"/>
          <w:szCs w:val="21"/>
          <w:color w:val="auto"/>
        </w:rPr>
        <w:t>Executive’s salary and bonus shall be paid in United States currency. Executive’s allowances shall be made in the USD amounts listed herein.</w:t>
      </w:r>
    </w:p>
    <w:p>
      <w:pPr>
        <w:spacing w:after="0" w:line="124" w:lineRule="exact"/>
        <w:rPr>
          <w:sz w:val="20"/>
          <w:szCs w:val="20"/>
          <w:color w:val="auto"/>
        </w:rPr>
      </w:pPr>
    </w:p>
    <w:p>
      <w:pPr>
        <w:ind w:right="3120" w:firstLine="3114"/>
        <w:spacing w:after="0" w:line="468" w:lineRule="auto"/>
        <w:rPr>
          <w:sz w:val="20"/>
          <w:szCs w:val="20"/>
          <w:color w:val="auto"/>
        </w:rPr>
      </w:pPr>
      <w:r>
        <w:rPr>
          <w:rFonts w:ascii="Times New Roman" w:cs="Times New Roman" w:eastAsia="Times New Roman" w:hAnsi="Times New Roman"/>
          <w:sz w:val="21"/>
          <w:szCs w:val="21"/>
          <w:b w:val="1"/>
          <w:bCs w:val="1"/>
          <w:color w:val="auto"/>
        </w:rPr>
        <w:t>Article IV – TERMINATION OF EMPLOYMENT IV.1 Termination by the Company</w:t>
      </w:r>
    </w:p>
    <w:p>
      <w:pPr>
        <w:spacing w:after="0" w:line="1" w:lineRule="exact"/>
        <w:rPr>
          <w:sz w:val="20"/>
          <w:szCs w:val="20"/>
          <w:color w:val="auto"/>
        </w:rPr>
      </w:pPr>
    </w:p>
    <w:p>
      <w:pPr>
        <w:jc w:val="both"/>
        <w:ind w:firstLine="643"/>
        <w:spacing w:after="0" w:line="265" w:lineRule="auto"/>
        <w:rPr>
          <w:sz w:val="20"/>
          <w:szCs w:val="20"/>
          <w:color w:val="auto"/>
        </w:rPr>
      </w:pPr>
      <w:r>
        <w:rPr>
          <w:rFonts w:ascii="Times New Roman" w:cs="Times New Roman" w:eastAsia="Times New Roman" w:hAnsi="Times New Roman"/>
          <w:sz w:val="21"/>
          <w:szCs w:val="21"/>
          <w:color w:val="auto"/>
        </w:rPr>
        <w:t>The Company may terminate the Executive’s employment at any time, with or without cause. If the Company terminates the Executive’s employment without cause, the Executive will receive either (a) four months of notice or (b) severance pay of base salary and allowances for the lesser of (i) four months, or (ii) the remaining term of this Agreement. In the event of a termination by the Company for cause, the Executive will not be entitled to any notice period or any severance payment, and all compensation, entitlements, allowances and benefits provided hereunder will terminate on the termination date.</w:t>
      </w:r>
    </w:p>
    <w:p>
      <w:pPr>
        <w:spacing w:after="0" w:line="16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IV.2</w:t>
        <w:tab/>
        <w:t>Termination by the Executive</w:t>
      </w:r>
    </w:p>
    <w:p>
      <w:pPr>
        <w:spacing w:after="0" w:line="232" w:lineRule="exact"/>
        <w:rPr>
          <w:sz w:val="20"/>
          <w:szCs w:val="20"/>
          <w:color w:val="auto"/>
        </w:rPr>
      </w:pPr>
    </w:p>
    <w:p>
      <w:pPr>
        <w:jc w:val="both"/>
        <w:ind w:firstLine="643"/>
        <w:spacing w:after="0" w:line="290" w:lineRule="auto"/>
        <w:rPr>
          <w:sz w:val="20"/>
          <w:szCs w:val="20"/>
          <w:color w:val="auto"/>
        </w:rPr>
      </w:pPr>
      <w:r>
        <w:rPr>
          <w:rFonts w:ascii="Times New Roman" w:cs="Times New Roman" w:eastAsia="Times New Roman" w:hAnsi="Times New Roman"/>
          <w:sz w:val="21"/>
          <w:szCs w:val="21"/>
          <w:color w:val="auto"/>
        </w:rPr>
        <w:t>The Executive may terminate his employment with the Company at any time, if he gives the Company no less than three months of written notice. If the Executive terminates his</w:t>
      </w:r>
    </w:p>
    <w:p>
      <w:pPr>
        <w:sectPr>
          <w:pgSz w:w="11900" w:h="16838" w:orient="portrait"/>
          <w:cols w:equalWidth="0" w:num="1">
            <w:col w:w="11240"/>
          </w:cols>
          <w:pgMar w:left="320" w:top="110" w:right="339" w:bottom="1440" w:gutter="0" w:footer="0" w:header="0"/>
        </w:sectPr>
      </w:pPr>
    </w:p>
    <w:bookmarkStart w:id="77" w:name="page78"/>
    <w:bookmarkEnd w:id="77"/>
    <w:p>
      <w:pPr>
        <w:jc w:val="center"/>
        <w:ind w:right="-19"/>
        <w:spacing w:after="0"/>
        <w:rPr>
          <w:sz w:val="20"/>
          <w:szCs w:val="20"/>
          <w:color w:val="auto"/>
        </w:rPr>
      </w:pPr>
      <w:r>
        <w:rPr>
          <w:rFonts w:ascii="Calibri" w:cs="Calibri" w:eastAsia="Calibri" w:hAnsi="Calibri"/>
          <w:sz w:val="21"/>
          <w:szCs w:val="21"/>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520"/>
        <w:spacing w:after="0" w:line="466" w:lineRule="auto"/>
        <w:rPr>
          <w:sz w:val="20"/>
          <w:szCs w:val="20"/>
          <w:color w:val="auto"/>
        </w:rPr>
      </w:pPr>
      <w:r>
        <w:rPr>
          <w:rFonts w:ascii="Times New Roman" w:cs="Times New Roman" w:eastAsia="Times New Roman" w:hAnsi="Times New Roman"/>
          <w:sz w:val="21"/>
          <w:szCs w:val="21"/>
          <w:color w:val="auto"/>
        </w:rPr>
        <w:t xml:space="preserve">employment, all entitlements, allowances and benefits provided hereunder will terminate on the termination date. </w:t>
      </w:r>
      <w:r>
        <w:rPr>
          <w:rFonts w:ascii="Times New Roman" w:cs="Times New Roman" w:eastAsia="Times New Roman" w:hAnsi="Times New Roman"/>
          <w:sz w:val="21"/>
          <w:szCs w:val="21"/>
          <w:b w:val="1"/>
          <w:bCs w:val="1"/>
          <w:color w:val="auto"/>
        </w:rPr>
        <w:t>IV.3 Resignation as Director and Officer</w:t>
      </w:r>
    </w:p>
    <w:p>
      <w:pPr>
        <w:spacing w:after="0" w:line="1"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21"/>
          <w:szCs w:val="21"/>
          <w:color w:val="auto"/>
        </w:rPr>
        <w:t>The Executive covenants and agrees that, upon any termination of his employment, however caused, he shall forthwith tender his resignation from all offices and directorships then held by the Executive at the Company or any of its affiliates, such resignation to be effective upon the termination date. If the Executive fails to resign as set out above, the Executive will be deemed to have resigned from all such offices and directorships and the Company is hereby authorized by the Executive to appoint any person in the Executive’s name and on the Executive’s behalf to sign any documents or do anything necessary or required to give effect to such resignation.</w:t>
      </w:r>
    </w:p>
    <w:p>
      <w:pPr>
        <w:spacing w:after="0" w:line="164" w:lineRule="exact"/>
        <w:rPr>
          <w:sz w:val="20"/>
          <w:szCs w:val="20"/>
          <w:color w:val="auto"/>
        </w:rPr>
      </w:pPr>
    </w:p>
    <w:p>
      <w:pPr>
        <w:ind w:left="3960"/>
        <w:spacing w:after="0"/>
        <w:tabs>
          <w:tab w:leader="none" w:pos="5220" w:val="left"/>
        </w:tabs>
        <w:rPr>
          <w:sz w:val="20"/>
          <w:szCs w:val="20"/>
          <w:color w:val="auto"/>
        </w:rPr>
      </w:pPr>
      <w:r>
        <w:rPr>
          <w:rFonts w:ascii="Times New Roman" w:cs="Times New Roman" w:eastAsia="Times New Roman" w:hAnsi="Times New Roman"/>
          <w:sz w:val="21"/>
          <w:szCs w:val="21"/>
          <w:b w:val="1"/>
          <w:bCs w:val="1"/>
          <w:color w:val="auto"/>
        </w:rPr>
        <w:t>Article V</w:t>
      </w:r>
      <w:r>
        <w:rPr>
          <w:sz w:val="20"/>
          <w:szCs w:val="20"/>
          <w:color w:val="auto"/>
        </w:rPr>
        <w:tab/>
      </w:r>
      <w:r>
        <w:rPr>
          <w:rFonts w:ascii="Times New Roman" w:cs="Times New Roman" w:eastAsia="Times New Roman" w:hAnsi="Times New Roman"/>
          <w:sz w:val="21"/>
          <w:szCs w:val="21"/>
          <w:b w:val="1"/>
          <w:bCs w:val="1"/>
          <w:color w:val="auto"/>
        </w:rPr>
        <w:t>– MISCELLANEOUS</w:t>
      </w:r>
    </w:p>
    <w:p>
      <w:pPr>
        <w:spacing w:after="0" w:line="22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V.1</w:t>
        <w:tab/>
        <w:t>Severability</w:t>
      </w:r>
    </w:p>
    <w:p>
      <w:pPr>
        <w:spacing w:after="0" w:line="232" w:lineRule="exact"/>
        <w:rPr>
          <w:sz w:val="20"/>
          <w:szCs w:val="20"/>
          <w:color w:val="auto"/>
        </w:rPr>
      </w:pPr>
    </w:p>
    <w:p>
      <w:pPr>
        <w:jc w:val="both"/>
        <w:ind w:firstLine="643"/>
        <w:spacing w:after="0" w:line="270" w:lineRule="auto"/>
        <w:rPr>
          <w:sz w:val="20"/>
          <w:szCs w:val="20"/>
          <w:color w:val="auto"/>
        </w:rPr>
      </w:pPr>
      <w:r>
        <w:rPr>
          <w:rFonts w:ascii="Times New Roman" w:cs="Times New Roman" w:eastAsia="Times New Roman" w:hAnsi="Times New Roman"/>
          <w:sz w:val="21"/>
          <w:szCs w:val="21"/>
          <w:color w:val="auto"/>
        </w:rPr>
        <w:t>Any provision of this Agreement that is prohibited or unenforceable in any jurisdiction shall, as to that jurisdiction, be ineffective to the extent of the prohibition or unenforceability and shall be severed from the balance of this Agreement, all without affecting the remaining provisions of this Agreement or affecting the validity or enforceability of such provision in any other jurisdiction.</w:t>
      </w:r>
    </w:p>
    <w:p>
      <w:pPr>
        <w:spacing w:after="0" w:line="1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V.2</w:t>
        <w:tab/>
        <w:t>Entire Agreement</w:t>
      </w:r>
    </w:p>
    <w:p>
      <w:pPr>
        <w:spacing w:after="0" w:line="232" w:lineRule="exact"/>
        <w:rPr>
          <w:sz w:val="20"/>
          <w:szCs w:val="20"/>
          <w:color w:val="auto"/>
        </w:rPr>
      </w:pPr>
    </w:p>
    <w:p>
      <w:pPr>
        <w:jc w:val="both"/>
        <w:ind w:firstLine="643"/>
        <w:spacing w:after="0" w:line="303" w:lineRule="auto"/>
        <w:rPr>
          <w:sz w:val="20"/>
          <w:szCs w:val="20"/>
          <w:color w:val="auto"/>
        </w:rPr>
      </w:pPr>
      <w:r>
        <w:rPr>
          <w:rFonts w:ascii="Times New Roman" w:cs="Times New Roman" w:eastAsia="Times New Roman" w:hAnsi="Times New Roman"/>
          <w:sz w:val="21"/>
          <w:szCs w:val="21"/>
          <w:color w:val="auto"/>
        </w:rPr>
        <w:t>This Agreement constitutes the entire agreement between the parties pertaining to the subject matter of this Agreement and supersedes all prior agreements, understandings, negotiations and discussions, whether oral or written.</w:t>
      </w:r>
    </w:p>
    <w:p>
      <w:pPr>
        <w:spacing w:after="0" w:line="1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V.3</w:t>
        <w:tab/>
        <w:t>Governing Law</w:t>
      </w:r>
    </w:p>
    <w:p>
      <w:pPr>
        <w:spacing w:after="0" w:line="232" w:lineRule="exact"/>
        <w:rPr>
          <w:sz w:val="20"/>
          <w:szCs w:val="20"/>
          <w:color w:val="auto"/>
        </w:rPr>
      </w:pPr>
    </w:p>
    <w:p>
      <w:pPr>
        <w:jc w:val="both"/>
        <w:ind w:firstLine="643"/>
        <w:spacing w:after="0" w:line="290" w:lineRule="auto"/>
        <w:rPr>
          <w:sz w:val="20"/>
          <w:szCs w:val="20"/>
          <w:color w:val="auto"/>
        </w:rPr>
      </w:pPr>
      <w:r>
        <w:rPr>
          <w:rFonts w:ascii="Times New Roman" w:cs="Times New Roman" w:eastAsia="Times New Roman" w:hAnsi="Times New Roman"/>
          <w:sz w:val="21"/>
          <w:szCs w:val="21"/>
          <w:color w:val="auto"/>
        </w:rPr>
        <w:t>This Agreement shall be construed in accordance with and governed by the laws of the Hong Kong Special Administrative Region of the People’s Republic of China.</w:t>
      </w:r>
    </w:p>
    <w:p>
      <w:pPr>
        <w:sectPr>
          <w:pgSz w:w="11900" w:h="16838" w:orient="portrait"/>
          <w:cols w:equalWidth="0" w:num="1">
            <w:col w:w="11240"/>
          </w:cols>
          <w:pgMar w:left="320" w:top="109" w:right="339" w:bottom="1440" w:gutter="0" w:footer="0" w:header="0"/>
        </w:sectPr>
      </w:pPr>
    </w:p>
    <w:bookmarkStart w:id="78" w:name="page79"/>
    <w:bookmarkEnd w:id="78"/>
    <w:p>
      <w:pPr>
        <w:ind w:left="5460"/>
        <w:spacing w:after="0"/>
        <w:rPr>
          <w:sz w:val="20"/>
          <w:szCs w:val="20"/>
          <w:color w:val="auto"/>
        </w:rPr>
      </w:pPr>
      <w:r>
        <w:rPr>
          <w:rFonts w:ascii="Calibri" w:cs="Calibri" w:eastAsia="Calibri" w:hAnsi="Calibri"/>
          <w:sz w:val="21"/>
          <w:szCs w:val="21"/>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this Agreement has been executed as of the date first above written.</w:t>
      </w: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21"/>
          <w:szCs w:val="21"/>
          <w:b w:val="1"/>
          <w:bCs w:val="1"/>
          <w:color w:val="auto"/>
        </w:rPr>
        <w:t>IMAX CHINA (HONG KONG) LIMITED</w:t>
      </w:r>
      <w:r>
        <w:rPr>
          <w:sz w:val="20"/>
          <w:szCs w:val="20"/>
          <w:color w:val="auto"/>
        </w:rPr>
        <w:tab/>
      </w:r>
      <w:r>
        <w:rPr>
          <w:rFonts w:ascii="Times New Roman" w:cs="Times New Roman" w:eastAsia="Times New Roman" w:hAnsi="Times New Roman"/>
          <w:sz w:val="21"/>
          <w:szCs w:val="21"/>
          <w:b w:val="1"/>
          <w:bCs w:val="1"/>
          <w:color w:val="auto"/>
        </w:rPr>
        <w:t>DANIEL WADE MANWARING</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Jessie Chou</w:t>
      </w:r>
    </w:p>
    <w:p>
      <w:pPr>
        <w:ind w:left="20"/>
        <w:spacing w:after="0"/>
        <w:tabs>
          <w:tab w:leader="none" w:pos="5340" w:val="left"/>
        </w:tabs>
        <w:rPr>
          <w:sz w:val="20"/>
          <w:szCs w:val="20"/>
          <w:color w:val="auto"/>
        </w:rPr>
      </w:pPr>
      <w:r>
        <w:rPr>
          <w:rFonts w:ascii="Times New Roman" w:cs="Times New Roman" w:eastAsia="Times New Roman" w:hAnsi="Times New Roman"/>
          <w:sz w:val="37"/>
          <w:szCs w:val="37"/>
          <w:color w:val="auto"/>
          <w:vertAlign w:val="subscript"/>
        </w:rPr>
        <w:t>Name: Jessie Chou</w:t>
      </w:r>
      <w:r>
        <w:rPr>
          <w:sz w:val="20"/>
          <w:szCs w:val="20"/>
          <w:color w:val="auto"/>
        </w:rPr>
        <w:tab/>
      </w:r>
      <w:r>
        <w:rPr>
          <w:rFonts w:ascii="Times New Roman" w:cs="Times New Roman" w:eastAsia="Times New Roman" w:hAnsi="Times New Roman"/>
          <w:sz w:val="21"/>
          <w:szCs w:val="21"/>
          <w:color w:val="auto"/>
        </w:rPr>
        <w:t>/s/ Daniel Wade Manwaring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-39370</wp:posOffset>
            </wp:positionV>
            <wp:extent cx="37452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74523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1"/>
          <w:szCs w:val="21"/>
          <w:color w:val="auto"/>
        </w:rPr>
        <w:t>Title: Chief Marketing Office</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Jim Athanasopoulos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Jim Athanasopoulos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Title: Chief Financial Officer &amp; Chief Operating Officer</w:t>
      </w:r>
    </w:p>
    <w:p>
      <w:pPr>
        <w:sectPr>
          <w:pgSz w:w="11900" w:h="16838" w:orient="portrait"/>
          <w:cols w:equalWidth="0" w:num="1">
            <w:col w:w="10139"/>
          </w:cols>
          <w:pgMar w:left="320" w:top="109" w:right="1440"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AGREEMENT TO EMPLOYMENT AGREEMENT</w:t>
      </w:r>
    </w:p>
    <w:p>
      <w:pPr>
        <w:spacing w:after="0" w:line="200" w:lineRule="exact"/>
        <w:rPr>
          <w:sz w:val="20"/>
          <w:szCs w:val="20"/>
          <w:color w:val="auto"/>
        </w:rPr>
      </w:pPr>
    </w:p>
    <w:p>
      <w:pPr>
        <w:spacing w:after="0" w:line="28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AMENDMENT AGREEMENT</w:t>
      </w:r>
      <w:r>
        <w:rPr>
          <w:rFonts w:ascii="Times New Roman" w:cs="Times New Roman" w:eastAsia="Times New Roman" w:hAnsi="Times New Roman"/>
          <w:sz w:val="21"/>
          <w:szCs w:val="21"/>
          <w:color w:val="auto"/>
        </w:rPr>
        <w:t xml:space="preserve"> to the </w:t>
      </w:r>
      <w:r>
        <w:rPr>
          <w:rFonts w:ascii="Times New Roman" w:cs="Times New Roman" w:eastAsia="Times New Roman" w:hAnsi="Times New Roman"/>
          <w:sz w:val="21"/>
          <w:szCs w:val="21"/>
          <w:b w:val="1"/>
          <w:bCs w:val="1"/>
          <w:color w:val="auto"/>
        </w:rPr>
        <w:t>EMPLOYMENT AGREEMENT</w:t>
      </w:r>
      <w:r>
        <w:rPr>
          <w:rFonts w:ascii="Times New Roman" w:cs="Times New Roman" w:eastAsia="Times New Roman" w:hAnsi="Times New Roman"/>
          <w:sz w:val="21"/>
          <w:szCs w:val="21"/>
          <w:color w:val="auto"/>
        </w:rPr>
        <w:t xml:space="preserve"> is dated as of March 7, 2024, with effect from January 1, 2024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between </w:t>
      </w:r>
      <w:r>
        <w:rPr>
          <w:rFonts w:ascii="Times New Roman" w:cs="Times New Roman" w:eastAsia="Times New Roman" w:hAnsi="Times New Roman"/>
          <w:sz w:val="21"/>
          <w:szCs w:val="21"/>
          <w:b w:val="1"/>
          <w:bCs w:val="1"/>
          <w:color w:val="auto"/>
        </w:rPr>
        <w:t>IMAX CHINA (HONG KONG) LIMITED</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DANIEL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WADE MANWARING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w:t>
      </w:r>
    </w:p>
    <w:p>
      <w:pPr>
        <w:spacing w:after="0" w:line="10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the Executive have entered into an employment agreement dated as of January 9, 2023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Employment Agreement</w:t>
      </w:r>
      <w:r>
        <w:rPr>
          <w:rFonts w:ascii="Times New Roman" w:cs="Times New Roman" w:eastAsia="Times New Roman" w:hAnsi="Times New Roman"/>
          <w:sz w:val="21"/>
          <w:szCs w:val="21"/>
          <w:color w:val="auto"/>
        </w:rPr>
        <w:t>”) to govern the Executive’s employment with the Company; and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the Executive desire to amend certain terms of the Employment Agreement as set forth herein.</w:t>
      </w:r>
    </w:p>
    <w:p>
      <w:pPr>
        <w:spacing w:after="0" w:line="214"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premises and of the mutual covenants and agreements herein contained,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hereto agree as follows:</w:t>
      </w:r>
    </w:p>
    <w:p>
      <w:pPr>
        <w:spacing w:after="0" w:line="95" w:lineRule="exact"/>
        <w:rPr>
          <w:sz w:val="20"/>
          <w:szCs w:val="20"/>
          <w:color w:val="auto"/>
        </w:rPr>
      </w:pPr>
    </w:p>
    <w:p>
      <w:pPr>
        <w:ind w:left="320" w:hanging="313"/>
        <w:spacing w:after="0"/>
        <w:tabs>
          <w:tab w:leader="none" w:pos="32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Article 3.5 of the Employment Agreement shall be amended by deleting it in its entirety and replacing it with the following:</w:t>
      </w:r>
    </w:p>
    <w:p>
      <w:pPr>
        <w:spacing w:after="0" w:line="214" w:lineRule="exact"/>
        <w:rPr>
          <w:rFonts w:ascii="Times New Roman" w:cs="Times New Roman" w:eastAsia="Times New Roman" w:hAnsi="Times New Roman"/>
          <w:sz w:val="21"/>
          <w:szCs w:val="21"/>
          <w:color w:val="auto"/>
        </w:rPr>
      </w:pPr>
    </w:p>
    <w:p>
      <w:pPr>
        <w:jc w:val="both"/>
        <w:ind w:left="320"/>
        <w:spacing w:after="0" w:line="29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2023 calendar year, the Executive will receive an annual equity award under the IMAX China Rules of the Post-IPO Restricted Share Unit Scheme and Rules of the Post-IPO Performance Share Unit Scheme (the “IMAX China LTIP”) with an aggregate grant date monetary value of $725,000 USD. The Restricted Stock Units (the “RSUs”), the Performance Stock Units (the “PSUs”), and/or other equity vehicles, grant timing and vesting schedules for any annual grant will be consistent with the Company’s standard process and grants given to other senior executives at the time. All grants are subject to the terms and conditions of the IMAX China LTIP equity plans, including the requirement that Executive be employed by the Company on each applicable grant date.</w:t>
      </w:r>
    </w:p>
    <w:p>
      <w:pPr>
        <w:spacing w:after="0" w:line="128" w:lineRule="exact"/>
        <w:rPr>
          <w:rFonts w:ascii="Times New Roman" w:cs="Times New Roman" w:eastAsia="Times New Roman" w:hAnsi="Times New Roman"/>
          <w:sz w:val="21"/>
          <w:szCs w:val="21"/>
          <w:color w:val="auto"/>
        </w:rPr>
      </w:pPr>
    </w:p>
    <w:p>
      <w:pPr>
        <w:jc w:val="both"/>
        <w:ind w:left="320"/>
        <w:spacing w:after="0" w:line="29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2024 calendar year, the Executive will receive an annual equity award under </w:t>
      </w:r>
      <w:r>
        <w:rPr>
          <w:rFonts w:ascii="Times New Roman" w:cs="Times New Roman" w:eastAsia="Times New Roman" w:hAnsi="Times New Roman"/>
          <w:sz w:val="19"/>
          <w:szCs w:val="19"/>
          <w:color w:val="auto"/>
        </w:rPr>
        <w:t>IMAX Corporation Long-Term Incentive Plan</w:t>
      </w:r>
      <w:r>
        <w:rPr>
          <w:rFonts w:ascii="Times New Roman" w:cs="Times New Roman" w:eastAsia="Times New Roman" w:hAnsi="Times New Roman"/>
          <w:sz w:val="21"/>
          <w:szCs w:val="21"/>
          <w:color w:val="auto"/>
        </w:rPr>
        <w:t xml:space="preserve"> (the “IMAX LTIP”) with an aggregate grant date monetary value of USD750,000 which consists of 50% of RSUs and 50% of</w:t>
      </w:r>
    </w:p>
    <w:p>
      <w:pPr>
        <w:spacing w:after="0" w:line="1" w:lineRule="exact"/>
        <w:rPr>
          <w:rFonts w:ascii="Times New Roman" w:cs="Times New Roman" w:eastAsia="Times New Roman" w:hAnsi="Times New Roman"/>
          <w:sz w:val="21"/>
          <w:szCs w:val="21"/>
          <w:color w:val="auto"/>
        </w:rPr>
      </w:pPr>
    </w:p>
    <w:p>
      <w:pPr>
        <w:jc w:val="both"/>
        <w:ind w:left="320"/>
        <w:spacing w:after="0" w:line="29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PSUs. Within the PSUs portion, it's divided into 60% based on earnings before interest, taxes, depreciation, and amortization (“EBIDTA”) performance and 40% based on total shareholder return (“TSR”). Maximum PSU vesting</w:t>
      </w:r>
    </w:p>
    <w:p>
      <w:pPr>
        <w:spacing w:after="0" w:line="1" w:lineRule="exact"/>
        <w:rPr>
          <w:rFonts w:ascii="Times New Roman" w:cs="Times New Roman" w:eastAsia="Times New Roman" w:hAnsi="Times New Roman"/>
          <w:sz w:val="21"/>
          <w:szCs w:val="21"/>
          <w:color w:val="auto"/>
        </w:rPr>
      </w:pPr>
    </w:p>
    <w:p>
      <w:pPr>
        <w:jc w:val="both"/>
        <w:ind w:left="320"/>
        <w:spacing w:after="0" w:line="3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percentage of EBIDTA is 175% and maximum PSU vesting percentage of TSR is 150%. All grants are subject to the terms and conditions of the IMAX LTIP and applicable award agreements, including the requirement that the Executive be employed by the Company on each applicable grant date to receive the grant and that the Executive be employed on the vesting day for vesting to occur. The vesting schedule of the RSUs granted to the Executive shall be: 33%</w:t>
      </w:r>
    </w:p>
    <w:p>
      <w:pPr>
        <w:sectPr>
          <w:pgSz w:w="11900" w:h="16838" w:orient="portrait"/>
          <w:cols w:equalWidth="0" w:num="1">
            <w:col w:w="11240"/>
          </w:cols>
          <w:pgMar w:left="320" w:top="95" w:right="339" w:bottom="1440" w:gutter="0" w:footer="0" w:header="0"/>
        </w:sectPr>
      </w:pPr>
    </w:p>
    <w:bookmarkStart w:id="80" w:name="page81"/>
    <w:bookmarkEnd w:id="80"/>
    <w:p>
      <w:pPr>
        <w:jc w:val="both"/>
        <w:ind w:left="313"/>
        <w:spacing w:after="0" w:line="314" w:lineRule="auto"/>
        <w:rPr>
          <w:sz w:val="20"/>
          <w:szCs w:val="20"/>
          <w:color w:val="auto"/>
        </w:rPr>
      </w:pPr>
      <w:r>
        <w:rPr>
          <w:rFonts w:ascii="Times New Roman" w:cs="Times New Roman" w:eastAsia="Times New Roman" w:hAnsi="Times New Roman"/>
          <w:sz w:val="21"/>
          <w:szCs w:val="21"/>
          <w:color w:val="auto"/>
        </w:rPr>
        <w:t>on the first anniversary of the grant; 33% on the second anniversary of the grant; and 34% on the third anniversary. The PSUs granted will vest in whole or in part promptly following the public disclosure of IMAX Corporation’s financial statements for the year of 2026, unless previously cancelled or forfeited in accordance with the provisions of the PSU Scheme or the Notice of Grant. ”</w:t>
      </w:r>
    </w:p>
    <w:p>
      <w:pPr>
        <w:spacing w:after="0" w:line="104" w:lineRule="exact"/>
        <w:rPr>
          <w:sz w:val="20"/>
          <w:szCs w:val="20"/>
          <w:color w:val="auto"/>
        </w:rPr>
      </w:pPr>
    </w:p>
    <w:p>
      <w:pPr>
        <w:ind w:left="313" w:hanging="313"/>
        <w:spacing w:after="0" w:line="330" w:lineRule="auto"/>
        <w:tabs>
          <w:tab w:leader="none" w:pos="313"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Save as expressly set out in Article 1 above, none of the terms of the Employment Agreement shall be varied and all of the terms of the Employment Agreement shall continue to have full force and effect.</w:t>
      </w:r>
    </w:p>
    <w:p>
      <w:pPr>
        <w:spacing w:after="0" w:line="73" w:lineRule="exact"/>
        <w:rPr>
          <w:rFonts w:ascii="Times New Roman" w:cs="Times New Roman" w:eastAsia="Times New Roman" w:hAnsi="Times New Roman"/>
          <w:sz w:val="21"/>
          <w:szCs w:val="21"/>
          <w:color w:val="auto"/>
        </w:rPr>
      </w:pPr>
    </w:p>
    <w:p>
      <w:pPr>
        <w:ind w:left="313" w:hanging="313"/>
        <w:spacing w:after="0" w:line="330" w:lineRule="auto"/>
        <w:tabs>
          <w:tab w:leader="none" w:pos="313"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executed in counterparts, each of which when executed and delivered shall be an original, and together constitute the same document.</w:t>
      </w:r>
    </w:p>
    <w:p>
      <w:pPr>
        <w:spacing w:after="0" w:line="86" w:lineRule="exact"/>
        <w:rPr>
          <w:rFonts w:ascii="Times New Roman" w:cs="Times New Roman" w:eastAsia="Times New Roman" w:hAnsi="Times New Roman"/>
          <w:sz w:val="21"/>
          <w:szCs w:val="21"/>
          <w:color w:val="auto"/>
        </w:rPr>
      </w:pPr>
    </w:p>
    <w:p>
      <w:pPr>
        <w:ind w:left="313" w:hanging="313"/>
        <w:spacing w:after="0"/>
        <w:tabs>
          <w:tab w:leader="none" w:pos="313"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Article 5.3 (Governing Law) of the Employment Agreement shall apply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53"/>
        <w:spacing w:after="0"/>
        <w:rPr>
          <w:sz w:val="20"/>
          <w:szCs w:val="20"/>
          <w:color w:val="auto"/>
        </w:rPr>
      </w:pPr>
      <w:r>
        <w:rPr>
          <w:rFonts w:ascii="Times New Roman" w:cs="Times New Roman" w:eastAsia="Times New Roman" w:hAnsi="Times New Roman"/>
          <w:sz w:val="14"/>
          <w:szCs w:val="14"/>
          <w:color w:val="auto"/>
        </w:rPr>
        <w:t>Page 2</w:t>
      </w:r>
    </w:p>
    <w:p>
      <w:pPr>
        <w:sectPr>
          <w:pgSz w:w="11900" w:h="16838" w:orient="portrait"/>
          <w:cols w:equalWidth="0" w:num="1">
            <w:col w:w="11233"/>
          </w:cols>
          <w:pgMar w:left="327" w:top="142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this Agreement has been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310"/>
        </w:trPr>
        <w:tc>
          <w:tcPr>
            <w:tcW w:w="466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IMAX CHINA (HONG KONG) LIMITED</w:t>
            </w:r>
          </w:p>
        </w:tc>
        <w:tc>
          <w:tcPr>
            <w:tcW w:w="6560" w:type="dxa"/>
            <w:vAlign w:val="bottom"/>
            <w:gridSpan w:val="2"/>
          </w:tcPr>
          <w:p>
            <w:pPr>
              <w:ind w:left="740"/>
              <w:spacing w:after="0"/>
              <w:rPr>
                <w:sz w:val="20"/>
                <w:szCs w:val="20"/>
                <w:color w:val="auto"/>
              </w:rPr>
            </w:pPr>
            <w:r>
              <w:rPr>
                <w:rFonts w:ascii="Times New Roman" w:cs="Times New Roman" w:eastAsia="Times New Roman" w:hAnsi="Times New Roman"/>
                <w:sz w:val="21"/>
                <w:szCs w:val="21"/>
                <w:b w:val="1"/>
                <w:bCs w:val="1"/>
                <w:color w:val="auto"/>
              </w:rPr>
              <w:t>DANIEL WADE MANWARING</w:t>
            </w:r>
          </w:p>
        </w:tc>
        <w:tc>
          <w:tcPr>
            <w:tcW w:w="0" w:type="dxa"/>
            <w:vAlign w:val="bottom"/>
          </w:tcPr>
          <w:p>
            <w:pPr>
              <w:spacing w:after="0"/>
              <w:rPr>
                <w:sz w:val="1"/>
                <w:szCs w:val="1"/>
                <w:color w:val="auto"/>
              </w:rPr>
            </w:pPr>
          </w:p>
        </w:tc>
      </w:tr>
      <w:tr>
        <w:trPr>
          <w:trHeight w:val="472"/>
        </w:trPr>
        <w:tc>
          <w:tcPr>
            <w:tcW w:w="46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By: /s/ Jiande Chen</w:t>
            </w:r>
          </w:p>
        </w:tc>
        <w:tc>
          <w:tcPr>
            <w:tcW w:w="800" w:type="dxa"/>
            <w:vAlign w:val="bottom"/>
          </w:tcPr>
          <w:p>
            <w:pPr>
              <w:spacing w:after="0"/>
              <w:rPr>
                <w:sz w:val="24"/>
                <w:szCs w:val="24"/>
                <w:color w:val="auto"/>
              </w:rPr>
            </w:pPr>
          </w:p>
        </w:tc>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21"/>
                <w:szCs w:val="21"/>
                <w:color w:val="auto"/>
              </w:rPr>
              <w:t>/s/ Daniel Wade Manwaring</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6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color w:val="auto"/>
              </w:rPr>
              <w:t>Name: Jiande Chen</w:t>
            </w:r>
          </w:p>
        </w:tc>
        <w:tc>
          <w:tcPr>
            <w:tcW w:w="800" w:type="dxa"/>
            <w:vAlign w:val="bottom"/>
          </w:tcPr>
          <w:p>
            <w:pPr>
              <w:spacing w:after="0"/>
              <w:rPr>
                <w:sz w:val="16"/>
                <w:szCs w:val="16"/>
                <w:color w:val="auto"/>
              </w:rPr>
            </w:pPr>
          </w:p>
        </w:tc>
        <w:tc>
          <w:tcPr>
            <w:tcW w:w="5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660" w:type="dxa"/>
            <w:vAlign w:val="bottom"/>
            <w:gridSpan w:val="4"/>
            <w:vMerge w:val="continue"/>
          </w:tcPr>
          <w:p>
            <w:pPr>
              <w:spacing w:after="0"/>
              <w:rPr>
                <w:sz w:val="9"/>
                <w:szCs w:val="9"/>
                <w:color w:val="auto"/>
              </w:rPr>
            </w:pPr>
          </w:p>
        </w:tc>
        <w:tc>
          <w:tcPr>
            <w:tcW w:w="800" w:type="dxa"/>
            <w:vAlign w:val="bottom"/>
          </w:tcPr>
          <w:p>
            <w:pPr>
              <w:spacing w:after="0"/>
              <w:rPr>
                <w:sz w:val="9"/>
                <w:szCs w:val="9"/>
                <w:color w:val="auto"/>
              </w:rPr>
            </w:pPr>
          </w:p>
        </w:tc>
        <w:tc>
          <w:tcPr>
            <w:tcW w:w="5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46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Title: Director</w:t>
            </w:r>
          </w:p>
        </w:tc>
        <w:tc>
          <w:tcPr>
            <w:tcW w:w="8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By: /s/ Jim Athanasopoulos</w:t>
            </w:r>
          </w:p>
        </w:tc>
        <w:tc>
          <w:tcPr>
            <w:tcW w:w="8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6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Name: Jim Athanasopoulos</w:t>
            </w:r>
          </w:p>
        </w:tc>
        <w:tc>
          <w:tcPr>
            <w:tcW w:w="800" w:type="dxa"/>
            <w:vAlign w:val="bottom"/>
          </w:tcPr>
          <w:p>
            <w:pPr>
              <w:spacing w:after="0"/>
              <w:rPr>
                <w:sz w:val="23"/>
                <w:szCs w:val="23"/>
                <w:color w:val="auto"/>
              </w:rPr>
            </w:pP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6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Title: Director</w:t>
            </w:r>
          </w:p>
        </w:tc>
        <w:tc>
          <w:tcPr>
            <w:tcW w:w="8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3</w:t>
      </w:r>
    </w:p>
    <w:p>
      <w:pPr>
        <w:sectPr>
          <w:pgSz w:w="11900" w:h="16838" w:orient="portrait"/>
          <w:cols w:equalWidth="0" w:num="1">
            <w:col w:w="11240"/>
          </w:cols>
          <w:pgMar w:left="320" w:top="1422"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49" w:lineRule="exact"/>
        <w:rPr>
          <w:sz w:val="20"/>
          <w:szCs w:val="20"/>
          <w:color w:val="auto"/>
        </w:rPr>
      </w:pPr>
    </w:p>
    <w:p>
      <w:pPr>
        <w:ind w:left="380" w:hanging="320"/>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the registrant, IMAX Corporation;</w:t>
      </w:r>
    </w:p>
    <w:p>
      <w:pPr>
        <w:spacing w:after="0" w:line="248"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020" w:hanging="317"/>
        <w:spacing w:after="0" w:line="279" w:lineRule="auto"/>
        <w:tabs>
          <w:tab w:leader="none" w:pos="10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20" w:right="20" w:hanging="317"/>
        <w:spacing w:after="0" w:line="279" w:lineRule="auto"/>
        <w:tabs>
          <w:tab w:leader="none" w:pos="10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20" w:hanging="317"/>
        <w:spacing w:after="0" w:line="279" w:lineRule="auto"/>
        <w:tabs>
          <w:tab w:leader="none" w:pos="10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24, 2024</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6"/>
        </w:trPr>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3"/>
        </w:trPr>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56"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Natasha Fernandes, certify that:</w:t>
      </w:r>
    </w:p>
    <w:p>
      <w:pPr>
        <w:spacing w:after="0" w:line="249" w:lineRule="exact"/>
        <w:rPr>
          <w:sz w:val="20"/>
          <w:szCs w:val="20"/>
          <w:color w:val="auto"/>
        </w:rPr>
      </w:pPr>
    </w:p>
    <w:p>
      <w:pPr>
        <w:ind w:left="380" w:hanging="320"/>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the registrant, IMAX Corporation;</w:t>
      </w:r>
    </w:p>
    <w:p>
      <w:pPr>
        <w:spacing w:after="0" w:line="248"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80" w:hanging="320"/>
        <w:spacing w:after="0" w:line="255"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020" w:hanging="317"/>
        <w:spacing w:after="0" w:line="253" w:lineRule="auto"/>
        <w:tabs>
          <w:tab w:leader="none" w:pos="101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020" w:hanging="317"/>
        <w:spacing w:after="0" w:line="279" w:lineRule="auto"/>
        <w:tabs>
          <w:tab w:leader="none" w:pos="101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20" w:right="20" w:hanging="317"/>
        <w:spacing w:after="0" w:line="279" w:lineRule="auto"/>
        <w:tabs>
          <w:tab w:leader="none" w:pos="101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20" w:hanging="317"/>
        <w:spacing w:after="0" w:line="279" w:lineRule="auto"/>
        <w:tabs>
          <w:tab w:leader="none" w:pos="101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24, 2024</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6"/>
        </w:trPr>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33"/>
        </w:trPr>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756"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204"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Quarterly Report on Form 10-Q for the quarter ended June 30, 2024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24, 2024</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6"/>
        </w:trPr>
        <w:tc>
          <w:tcPr>
            <w:tcW w:w="8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3"/>
        </w:trPr>
        <w:tc>
          <w:tcPr>
            <w:tcW w:w="8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56"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3" w:lineRule="exact"/>
        <w:rPr>
          <w:sz w:val="20"/>
          <w:szCs w:val="20"/>
          <w:color w:val="auto"/>
        </w:rPr>
      </w:pPr>
    </w:p>
    <w:p>
      <w:pPr>
        <w:jc w:val="both"/>
        <w:ind w:firstLine="643"/>
        <w:spacing w:after="0" w:line="279"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spacing w:after="0" w:line="189"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Quarterly Report on Form 10-Q for the quarter ended June 30, 2024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24, 2024</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6"/>
        </w:trPr>
        <w:tc>
          <w:tcPr>
            <w:tcW w:w="8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33"/>
        </w:trPr>
        <w:tc>
          <w:tcPr>
            <w:tcW w:w="8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7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5"/>
    </w:lvl>
  </w:abstractNum>
  <w:abstractNum w:abstractNumId="6">
    <w:nsid w:val="2CA88611"/>
    <w:multiLevelType w:val="hybridMultilevel"/>
    <w:lvl w:ilvl="0">
      <w:lvlJc w:val="left"/>
      <w:lvlText w:val="%1."/>
      <w:numFmt w:val="decimal"/>
      <w:start w:val="6"/>
    </w:lvl>
  </w:abstractNum>
  <w:abstractNum w:abstractNumId="7">
    <w:nsid w:val="836C40E"/>
    <w:multiLevelType w:val="hybridMultilevel"/>
    <w:lvl w:ilvl="0">
      <w:lvlJc w:val="left"/>
      <w:lvlText w:val="%1."/>
      <w:numFmt w:val="decimal"/>
      <w:start w:val="7"/>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1."/>
      <w:numFmt w:val="decimal"/>
      <w:start w:val="8"/>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emdash "/>
      <w:numFmt w:val="bullet"/>
      <w:start w:val="1"/>
    </w:lvl>
  </w:abstractNum>
  <w:abstractNum w:abstractNumId="17">
    <w:nsid w:val="3006C83E"/>
    <w:multiLevelType w:val="hybridMultilevel"/>
    <w:lvl w:ilvl="0">
      <w:lvlJc w:val="left"/>
      <w:lvlText w:val="(%1)"/>
      <w:numFmt w:val="lowerRoman"/>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emdash "/>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2"/>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2024-07-25T07:59:09Z</dcterms:created>
  <dcterms:modified xsi:type="dcterms:W3CDTF">2024-07-25T07:59:09Z</dcterms:modified>
</cp:coreProperties>
</file>