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imax-20230630.htm"/>
      <w:bookmarkStart w:id="1" w:name="ksimax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28"/>
        </w:rPr>
        <w:t>UNITED STATES</w:t>
      </w:r>
      <w:r>
        <w:rPr>
          <w:rFonts w:ascii="Times New Roman" w:hAnsi="Times New Roman"/>
          <w:sz w:val="20"/>
        </w:rPr>
        <w:t xml:space="preserve"> </w:t>
      </w:r>
    </w:p>
    <w:p>
      <w:pPr>
        <w:pStyle w:val="TextBody"/>
        <w:bidi w:val="0"/>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bidi w:val="0"/>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p>
      <w:pPr>
        <w:pStyle w:val="TextBody"/>
        <w:bidi w:val="0"/>
        <w:spacing w:before="120" w:after="0"/>
        <w:jc w:val="both"/>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4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40" w:after="0"/>
        <w:jc w:val="center"/>
        <w:rPr>
          <w:rFonts w:ascii="Times New Roman;serif" w:hAnsi="Times New Roman;serif"/>
          <w:b/>
          <w:sz w:val="20"/>
        </w:rPr>
      </w:pPr>
      <w:r>
        <w:rPr>
          <w:rFonts w:ascii="Times New Roman;serif" w:hAnsi="Times New Roman;serif"/>
          <w:b/>
          <w:sz w:val="20"/>
        </w:rPr>
        <w:t>OR</w:t>
      </w:r>
    </w:p>
    <w:p>
      <w:pPr>
        <w:pStyle w:val="TextBody"/>
        <w:bidi w:val="0"/>
        <w:spacing w:before="40" w:after="0"/>
        <w:jc w:val="both"/>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4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40" w:after="0"/>
        <w:jc w:val="center"/>
        <w:rPr>
          <w:rFonts w:ascii="Times New Roman;serif" w:hAnsi="Times New Roman;serif"/>
          <w:b/>
          <w:sz w:val="20"/>
        </w:rPr>
      </w:pPr>
      <w:r>
        <w:rPr>
          <w:rFonts w:ascii="Times New Roman;serif" w:hAnsi="Times New Roman;serif"/>
          <w:b/>
          <w:sz w:val="20"/>
        </w:rPr>
        <w:t>Commission File Number 001-35066</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IMAX Corporation</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(Exact name of registrant as specified in its charter)</w:t>
      </w:r>
    </w:p>
    <w:p>
      <w:pPr>
        <w:pStyle w:val="TextBody"/>
        <w:bidi w:val="0"/>
        <w:spacing w:before="0" w:after="0"/>
        <w:jc w:val="center"/>
        <w:rPr/>
      </w:pPr>
      <w:r>
        <w:rPr/>
        <w:t> </w:t>
      </w:r>
    </w:p>
    <w:p>
      <w:pPr>
        <w:pStyle w:val="TextBody"/>
        <w:bidi w:val="0"/>
        <w:spacing w:before="0" w:after="0"/>
        <w:jc w:val="center"/>
        <w:rPr/>
      </w:pPr>
      <w:r>
        <w:rPr/>
        <w:t> </w:t>
      </w:r>
    </w:p>
    <w:tbl>
      <w:tblPr>
        <w:tblW w:w="6437" w:type="dxa"/>
        <w:jc w:val="left"/>
        <w:tblInd w:w="0" w:type="dxa"/>
        <w:tblLayout w:type="fixed"/>
        <w:tblCellMar>
          <w:top w:w="28" w:type="dxa"/>
          <w:left w:w="28" w:type="dxa"/>
          <w:bottom w:w="28" w:type="dxa"/>
          <w:right w:w="28" w:type="dxa"/>
        </w:tblCellMar>
      </w:tblPr>
      <w:tblGrid>
        <w:gridCol w:w="3481"/>
        <w:gridCol w:w="2956"/>
      </w:tblGrid>
      <w:tr>
        <w:trPr/>
        <w:tc>
          <w:tcPr>
            <w:tcW w:w="348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Canada</w:t>
            </w:r>
          </w:p>
        </w:tc>
        <w:tc>
          <w:tcPr>
            <w:tcW w:w="29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98-0140269</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(State or other jurisdiction of</w:t>
            </w:r>
          </w:p>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incorporation or organization)</w:t>
            </w:r>
          </w:p>
        </w:tc>
        <w:tc>
          <w:tcPr>
            <w:tcW w:w="295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(I.R.S. Employer</w:t>
            </w:r>
          </w:p>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Identification Number)</w:t>
            </w:r>
          </w:p>
        </w:tc>
      </w:tr>
      <w:tr>
        <w:trPr/>
        <w:tc>
          <w:tcPr>
            <w:tcW w:w="3481" w:type="dxa"/>
            <w:tcBorders/>
            <w:vAlign w:val="center"/>
          </w:tcPr>
          <w:p>
            <w:pPr>
              <w:pStyle w:val="TableContents"/>
              <w:bidi w:val="0"/>
              <w:spacing w:before="0" w:after="0"/>
              <w:ind w:left="0" w:right="0" w:hanging="0"/>
              <w:jc w:val="center"/>
              <w:rPr/>
            </w:pPr>
            <w:r>
              <w:rPr/>
              <w:t> </w:t>
            </w:r>
          </w:p>
        </w:tc>
        <w:tc>
          <w:tcPr>
            <w:tcW w:w="2956" w:type="dxa"/>
            <w:tcBorders/>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2525 Speakman Drive,</w:t>
            </w:r>
          </w:p>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Mississauga, Ontario, Canada</w:t>
            </w:r>
            <w:r>
              <w:rPr>
                <w:rFonts w:ascii="Times New Roman" w:hAnsi="Times New Roman"/>
                <w:sz w:val="20"/>
              </w:rPr>
              <w:t xml:space="preserve"> </w:t>
            </w:r>
            <w:r>
              <w:rPr>
                <w:rFonts w:ascii="Times New Roman;serif" w:hAnsi="Times New Roman;serif"/>
                <w:b/>
                <w:sz w:val="20"/>
              </w:rPr>
              <w:t>L5K 1B1</w:t>
            </w:r>
          </w:p>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(905)</w:t>
            </w:r>
            <w:r>
              <w:rPr>
                <w:rFonts w:ascii="Times New Roman" w:hAnsi="Times New Roman"/>
                <w:sz w:val="20"/>
              </w:rPr>
              <w:t xml:space="preserve"> </w:t>
            </w:r>
            <w:r>
              <w:rPr>
                <w:rFonts w:ascii="Times New Roman;serif" w:hAnsi="Times New Roman;serif"/>
                <w:b/>
                <w:sz w:val="20"/>
              </w:rPr>
              <w:t>403-6500</w:t>
            </w:r>
          </w:p>
        </w:tc>
        <w:tc>
          <w:tcPr>
            <w:tcW w:w="29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902 Broadway, Floor 20</w:t>
            </w:r>
          </w:p>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New York, New York, USA</w:t>
            </w:r>
            <w:r>
              <w:rPr>
                <w:rFonts w:ascii="Times New Roman" w:hAnsi="Times New Roman"/>
                <w:sz w:val="20"/>
              </w:rPr>
              <w:t xml:space="preserve"> </w:t>
            </w:r>
            <w:r>
              <w:rPr>
                <w:rFonts w:ascii="Times New Roman;serif" w:hAnsi="Times New Roman;serif"/>
                <w:b/>
                <w:sz w:val="20"/>
              </w:rPr>
              <w:t>10010</w:t>
            </w:r>
          </w:p>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(212)</w:t>
            </w:r>
            <w:r>
              <w:rPr>
                <w:rFonts w:ascii="Times New Roman" w:hAnsi="Times New Roman"/>
                <w:sz w:val="20"/>
              </w:rPr>
              <w:t xml:space="preserve"> </w:t>
            </w:r>
            <w:r>
              <w:rPr>
                <w:rFonts w:ascii="Times New Roman;serif" w:hAnsi="Times New Roman;serif"/>
                <w:b/>
                <w:sz w:val="20"/>
              </w:rPr>
              <w:t>821-0100</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(Address of principal executive offices, zip code, telephone numbers)</w:t>
      </w:r>
    </w:p>
    <w:p>
      <w:pPr>
        <w:pStyle w:val="TextBody"/>
        <w:bidi w:val="0"/>
        <w:spacing w:before="8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bidi w:val="0"/>
        <w:spacing w:before="0" w:after="0"/>
        <w:jc w:val="center"/>
        <w:rPr/>
      </w:pPr>
      <w:r>
        <w:rPr/>
        <w:t> </w:t>
      </w:r>
    </w:p>
    <w:tbl>
      <w:tblPr>
        <w:tblW w:w="7735" w:type="dxa"/>
        <w:jc w:val="left"/>
        <w:tblInd w:w="0" w:type="dxa"/>
        <w:tblLayout w:type="fixed"/>
        <w:tblCellMar>
          <w:top w:w="28" w:type="dxa"/>
          <w:left w:w="28" w:type="dxa"/>
          <w:bottom w:w="28" w:type="dxa"/>
          <w:right w:w="28" w:type="dxa"/>
        </w:tblCellMar>
      </w:tblPr>
      <w:tblGrid>
        <w:gridCol w:w="2671"/>
        <w:gridCol w:w="146"/>
        <w:gridCol w:w="1456"/>
        <w:gridCol w:w="146"/>
        <w:gridCol w:w="3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 of each exchange on which registered</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Common Shares, no par value</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IMAX</w:t>
            </w:r>
          </w:p>
        </w:tc>
        <w:tc>
          <w:tcPr>
            <w:tcW w:w="1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The New York Stock Exchange</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center"/>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0"/>
        <w:jc w:val="both"/>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60" w:after="0"/>
        <w:jc w:val="both"/>
        <w:rPr>
          <w:rFonts w:ascii="Times New Roman;serif" w:hAnsi="Times New Roman;serif"/>
          <w:b w:val="false"/>
          <w:sz w:val="20"/>
        </w:rPr>
      </w:pPr>
      <w:r>
        <w:rPr>
          <w:rFonts w:ascii="Times New Roman;serif" w:hAnsi="Times New Roman;serif"/>
          <w:b w:val="false"/>
          <w:sz w:val="20"/>
        </w:rPr>
        <w:t>Indicate the number of shares outstanding of each of the issuer’s classes of common stock, as of the latest practicable date:</w:t>
      </w:r>
    </w:p>
    <w:p>
      <w:pPr>
        <w:pStyle w:val="TextBody"/>
        <w:bidi w:val="0"/>
        <w:spacing w:before="0" w:after="0"/>
        <w:jc w:val="center"/>
        <w:rPr/>
      </w:pPr>
      <w:r>
        <w:rPr/>
        <w:t> </w:t>
      </w:r>
    </w:p>
    <w:tbl>
      <w:tblPr>
        <w:tblW w:w="5188" w:type="dxa"/>
        <w:jc w:val="left"/>
        <w:tblInd w:w="0" w:type="dxa"/>
        <w:tblLayout w:type="fixed"/>
        <w:tblCellMar>
          <w:top w:w="28" w:type="dxa"/>
          <w:left w:w="28" w:type="dxa"/>
          <w:bottom w:w="28" w:type="dxa"/>
          <w:right w:w="28" w:type="dxa"/>
        </w:tblCellMar>
      </w:tblPr>
      <w:tblGrid>
        <w:gridCol w:w="2536"/>
        <w:gridCol w:w="146"/>
        <w:gridCol w:w="250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Outstanding as of June 30, 2023</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 no par value</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54,620,083</w:t>
            </w:r>
          </w:p>
        </w:tc>
      </w:tr>
    </w:tbl>
    <w:p>
      <w:pPr>
        <w:pStyle w:val="TextBody"/>
        <w:bidi w:val="0"/>
        <w:spacing w:before="0" w:after="0"/>
        <w:jc w:val="left"/>
        <w:rPr/>
      </w:pPr>
      <w:r>
        <w:rPr/>
        <w:t>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853" w:type="dxa"/>
        <w:jc w:val="left"/>
        <w:tblInd w:w="0" w:type="dxa"/>
        <w:tblLayout w:type="fixed"/>
        <w:tblCellMar>
          <w:top w:w="28" w:type="dxa"/>
          <w:left w:w="28" w:type="dxa"/>
          <w:bottom w:w="28" w:type="dxa"/>
          <w:right w:w="28" w:type="dxa"/>
        </w:tblCellMar>
      </w:tblPr>
      <w:tblGrid>
        <w:gridCol w:w="976"/>
        <w:gridCol w:w="736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53"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PART I. FINANCIAL INFORMATION</w:t>
              </w:r>
            </w:hyperlink>
          </w:p>
          <w:p>
            <w:pPr>
              <w:pStyle w:val="TableContents"/>
              <w:bidi w:val="0"/>
              <w:spacing w:before="0" w:after="0"/>
              <w:ind w:left="0" w:right="0" w:hanging="0"/>
              <w:jc w:val="lef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factors_">
              <w:r>
                <w:rPr>
                  <w:rStyle w:val="InternetLink"/>
                  <w:rFonts w:ascii="Times New Roman;serif" w:hAnsi="Times New Roman;serif"/>
                  <w:b w:val="false"/>
                  <w:sz w:val="20"/>
                  <w:u w:val="single"/>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r>
        <w:trPr/>
        <w:tc>
          <w:tcPr>
            <w:tcW w:w="8853" w:type="dxa"/>
            <w:gridSpan w:val="3"/>
            <w:tcBorders/>
            <w:vAlign w:val="center"/>
          </w:tcPr>
          <w:p>
            <w:pPr>
              <w:pStyle w:val="TableContents"/>
              <w:bidi w:val="0"/>
              <w:spacing w:before="0" w:after="0"/>
              <w:ind w:left="0" w:right="0" w:hanging="0"/>
              <w:jc w:val="left"/>
              <w:rPr/>
            </w:pPr>
            <w:r>
              <w:rPr/>
              <w:t> </w:t>
            </w:r>
          </w:p>
        </w:tc>
      </w:tr>
      <w:tr>
        <w:trPr/>
        <w:tc>
          <w:tcPr>
            <w:tcW w:w="8853"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OTHER INFORMATION</w:t>
              </w:r>
            </w:hyperlink>
          </w:p>
          <w:p>
            <w:pPr>
              <w:pStyle w:val="TableContents"/>
              <w:bidi w:val="0"/>
              <w:spacing w:before="0" w:after="0"/>
              <w:ind w:left="0" w:right="0" w:hanging="0"/>
              <w:jc w:val="lef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r>
      <w:tr>
        <w:trPr/>
        <w:tc>
          <w:tcPr>
            <w:tcW w:w="976" w:type="dxa"/>
            <w:tcBorders/>
            <w:vAlign w:val="center"/>
          </w:tcPr>
          <w:p>
            <w:pPr>
              <w:pStyle w:val="TableContents"/>
              <w:bidi w:val="0"/>
              <w:spacing w:before="0" w:after="0"/>
              <w:ind w:left="0" w:right="0" w:hanging="0"/>
              <w:jc w:val="left"/>
              <w:rPr/>
            </w:pPr>
            <w:hyperlink w:anchor="sig">
              <w:r>
                <w:rPr>
                  <w:rStyle w:val="InternetLink"/>
                  <w:rFonts w:ascii="Times New Roman;serif" w:hAnsi="Times New Roman;serif"/>
                  <w:b w:val="false"/>
                  <w:sz w:val="20"/>
                  <w:u w:val="single"/>
                </w:rPr>
                <w:t>Signatures</w:t>
              </w:r>
            </w:hyperlink>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financials"/>
      <w:bookmarkEnd w:id="2"/>
      <w:r>
        <w:rPr>
          <w:rFonts w:ascii="Times New Roman;serif" w:hAnsi="Times New Roman;serif"/>
          <w:b/>
          <w:sz w:val="20"/>
        </w:rPr>
        <w:t>IMAX CORPORATION</w:t>
      </w:r>
    </w:p>
    <w:p>
      <w:pPr>
        <w:pStyle w:val="TextBody"/>
        <w:bidi w:val="0"/>
        <w:spacing w:before="0" w:after="0"/>
        <w:jc w:val="both"/>
        <w:rPr/>
      </w:pPr>
      <w:r>
        <w:rPr/>
        <w:t> </w:t>
      </w:r>
    </w:p>
    <w:p>
      <w:pPr>
        <w:pStyle w:val="TextBody"/>
        <w:bidi w:val="0"/>
        <w:spacing w:before="0" w:after="0"/>
        <w:jc w:val="center"/>
        <w:rPr>
          <w:rFonts w:ascii="Times New Roman;serif" w:hAnsi="Times New Roman;serif"/>
          <w:b/>
          <w:sz w:val="20"/>
        </w:rPr>
      </w:pPr>
      <w:bookmarkStart w:id="3" w:name="part_i_financial_information"/>
      <w:bookmarkEnd w:id="3"/>
      <w:r>
        <w:rPr>
          <w:rFonts w:ascii="Times New Roman;serif" w:hAnsi="Times New Roman;serif"/>
          <w:b/>
          <w:sz w:val="20"/>
        </w:rPr>
        <w:t>PART I. FINANCIAL INFORMATION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4" w:name="item_1_financial_statements"/>
      <w:bookmarkEnd w:id="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i/>
          <w:sz w:val="20"/>
        </w:rPr>
        <w:t>Financial Statements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694" w:type="dxa"/>
            <w:tcBorders/>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6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unaudited Condensed Consolidated Financial Statements are filed as part of this Report:</w:t>
            </w:r>
          </w:p>
        </w:tc>
        <w:tc>
          <w:tcPr>
            <w:tcW w:w="511" w:type="dxa"/>
            <w:tcBorders/>
            <w:vAlign w:val="center"/>
          </w:tcPr>
          <w:p>
            <w:pPr>
              <w:pStyle w:val="TableContents"/>
              <w:bidi w:val="0"/>
              <w:spacing w:before="0" w:after="0"/>
              <w:ind w:left="0" w:right="0" w:hanging="0"/>
              <w:jc w:val="left"/>
              <w:rPr/>
            </w:pPr>
            <w:r>
              <w:rPr/>
              <w:t> </w:t>
            </w:r>
          </w:p>
        </w:tc>
      </w:tr>
      <w:tr>
        <w:trPr/>
        <w:tc>
          <w:tcPr>
            <w:tcW w:w="9694"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9694"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June 30, 2023 and December 31,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694"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for the three and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694" w:type="dxa"/>
            <w:tcBorders/>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Income (Loss) for the three and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694"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694" w:type="dxa"/>
            <w:tcBorders/>
            <w:vAlign w:val="center"/>
          </w:tcPr>
          <w:p>
            <w:pPr>
              <w:pStyle w:val="TableContents"/>
              <w:bidi w:val="0"/>
              <w:spacing w:before="0" w:after="0"/>
              <w:ind w:left="0" w:right="0" w:hanging="0"/>
              <w:jc w:val="left"/>
              <w:rPr/>
            </w:pPr>
            <w:hyperlink w:anchor="equity_statement">
              <w:r>
                <w:rPr>
                  <w:rStyle w:val="InternetLink"/>
                  <w:rFonts w:ascii="Times New Roman;serif" w:hAnsi="Times New Roman;serif"/>
                  <w:b w:val="false"/>
                  <w:sz w:val="20"/>
                  <w:u w:val="single"/>
                </w:rPr>
                <w:t>Condensed Consolidated Statements of Shareholders’ Equity for the three and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694"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bl>
    <w:p>
      <w:pPr>
        <w:pStyle w:val="TextBody"/>
        <w:bidi w:val="0"/>
        <w:spacing w:before="0" w:after="16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rFonts w:ascii="Times New Roman;serif" w:hAnsi="Times New Roman;serif"/>
          <w:b/>
          <w:sz w:val="20"/>
        </w:rPr>
      </w:pPr>
      <w:bookmarkStart w:id="5" w:name="condensed_consolidated_balance_sheets"/>
      <w:bookmarkEnd w:id="5"/>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of U.S. Dollars, except share amounts)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213"/>
        <w:gridCol w:w="146"/>
        <w:gridCol w:w="211"/>
        <w:gridCol w:w="841"/>
        <w:gridCol w:w="166"/>
        <w:gridCol w:w="146"/>
        <w:gridCol w:w="218"/>
        <w:gridCol w:w="872"/>
        <w:gridCol w:w="392"/>
      </w:tblGrid>
      <w:tr>
        <w:trPr/>
        <w:tc>
          <w:tcPr>
            <w:tcW w:w="7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2" w:type="dxa"/>
            <w:tcBorders/>
            <w:vAlign w:val="center"/>
          </w:tcPr>
          <w:p>
            <w:pPr>
              <w:pStyle w:val="TableContents"/>
              <w:bidi w:val="0"/>
              <w:spacing w:before="0" w:after="0"/>
              <w:ind w:left="0" w:right="0" w:hanging="0"/>
              <w:jc w:val="center"/>
              <w:rPr/>
            </w:pPr>
            <w:r>
              <w:rPr/>
              <w:t> </w:t>
            </w:r>
          </w:p>
        </w:tc>
      </w:tr>
      <w:tr>
        <w:trPr/>
        <w:tc>
          <w:tcPr>
            <w:tcW w:w="72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 of 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136,142</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receivables, net of 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consideration receivables, net of 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44,024</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31,534</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12,343</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 net of accumulated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5,277</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 of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252,896</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equity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15,665</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 net of valuation allowance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9,900</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52,815</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assets, net of accumulated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32,738</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815,706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821,154</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25,237</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117,286</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70,940</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 borrowings, net of 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36,111</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and other borrowings, net of unamortized discounts and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226,912</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14,900</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478,093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491,386</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Commitments, contingencies and guarantees</w:t>
            </w:r>
            <w:r>
              <w:rPr>
                <w:rFonts w:ascii="Times New Roman" w:hAnsi="Times New Roman"/>
                <w:sz w:val="20"/>
              </w:rPr>
              <w:t xml:space="preserve"> </w:t>
            </w:r>
            <w:r>
              <w:rPr>
                <w:rFonts w:ascii="Times New Roman;serif" w:hAnsi="Times New Roman;serif"/>
                <w:b w:val="false"/>
                <w:sz w:val="20"/>
              </w:rPr>
              <w:t>(see Note 7)</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Shareholders'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Capital stock common shares — no</w:t>
            </w:r>
            <w:r>
              <w:rPr>
                <w:rFonts w:ascii="Times New Roman" w:hAnsi="Times New Roman"/>
                <w:sz w:val="20"/>
              </w:rPr>
              <w:t> </w:t>
            </w:r>
            <w:r>
              <w:rPr>
                <w:rFonts w:ascii="Times New Roman;serif" w:hAnsi="Times New Roman;serif"/>
                <w:b w:val="false"/>
                <w:sz w:val="20"/>
              </w:rPr>
              <w:t>par value. Authorized — unlimited number.</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firstLine="200"/>
              <w:jc w:val="right"/>
              <w:rPr/>
            </w:pPr>
            <w:r>
              <w:rPr/>
              <w:t> </w:t>
            </w:r>
          </w:p>
        </w:tc>
      </w:tr>
      <w:tr>
        <w:trPr/>
        <w:tc>
          <w:tcPr>
            <w:tcW w:w="7213"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54,620,083</w:t>
            </w:r>
            <w:r>
              <w:rPr>
                <w:rFonts w:ascii="Times New Roman" w:hAnsi="Times New Roman"/>
                <w:sz w:val="20"/>
              </w:rPr>
              <w:t> </w:t>
            </w:r>
            <w:r>
              <w:rPr>
                <w:rFonts w:ascii="Times New Roman;serif" w:hAnsi="Times New Roman;serif"/>
                <w:b w:val="false"/>
                <w:sz w:val="20"/>
              </w:rPr>
              <w:t>issued and outstanding (December 31, 2022 — 54,148,614</w:t>
            </w:r>
            <w:r>
              <w:rPr>
                <w:rFonts w:ascii="Times New Roman" w:hAnsi="Times New Roman"/>
                <w:sz w:val="20"/>
              </w:rPr>
              <w:t> </w:t>
            </w:r>
            <w:r>
              <w:rPr>
                <w:rFonts w:ascii="Times New Roman;serif" w:hAnsi="Times New Roman;serif"/>
                <w:b w:val="false"/>
                <w:sz w:val="20"/>
              </w:rPr>
              <w:t>issued and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390,238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376,715</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185,678</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Statutory surplus reserve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(293,124</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shareholders' equity attributable to common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270,714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263,355</w:t>
            </w:r>
          </w:p>
        </w:tc>
        <w:tc>
          <w:tcPr>
            <w:tcW w:w="39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65,691</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336,881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329,046</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815,706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821,154</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rFonts w:ascii="Times New Roman;serif" w:hAnsi="Times New Roman;serif"/>
          <w:b/>
          <w:sz w:val="20"/>
        </w:rPr>
      </w:pPr>
      <w:bookmarkStart w:id="6" w:name="condensed_consolidated_statements_operat"/>
      <w:bookmarkEnd w:id="6"/>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of U.S. Dollars, except per share amounts)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154"/>
        <w:gridCol w:w="146"/>
        <w:gridCol w:w="211"/>
        <w:gridCol w:w="676"/>
        <w:gridCol w:w="166"/>
        <w:gridCol w:w="146"/>
        <w:gridCol w:w="211"/>
        <w:gridCol w:w="676"/>
        <w:gridCol w:w="166"/>
        <w:gridCol w:w="146"/>
        <w:gridCol w:w="211"/>
        <w:gridCol w:w="781"/>
        <w:gridCol w:w="166"/>
        <w:gridCol w:w="146"/>
        <w:gridCol w:w="211"/>
        <w:gridCol w:w="781"/>
        <w:gridCol w:w="211"/>
      </w:tblGrid>
      <w:tr>
        <w:trPr/>
        <w:tc>
          <w:tcPr>
            <w:tcW w:w="5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51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sales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17,205</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Image enhancement and maintenance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81,052</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31,186</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97,979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73,968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184,925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134,004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Costs and expenses applicable to revenues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10,203</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Image enhancement and maintenance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35,696</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rentals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40,092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29,932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76,987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58,197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57,887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44,036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107,938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75,807</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67,276</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2,552</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2,301</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loss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7,341</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impairments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4,470</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transition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(8,133</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benefits non-service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(loss) before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(1,118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(10,458</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(4,251</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(16,201</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 attributable to common shareholders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8,351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10,805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(16,460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1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9994" w:type="dxa"/>
            <w:gridSpan w:val="16"/>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 per share attributable to common shareholders:</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shares outstanding (in thousands):</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rFonts w:ascii="Times New Roman;serif" w:hAnsi="Times New Roman;serif"/>
          <w:b/>
          <w:sz w:val="20"/>
        </w:rPr>
      </w:pPr>
      <w:bookmarkStart w:id="7" w:name="condensed_consolidated_statements_compre"/>
      <w:bookmarkEnd w:id="7"/>
      <w:r>
        <w:rPr>
          <w:rFonts w:ascii="Times New Roman;serif" w:hAnsi="Times New Roman;serif"/>
          <w:b/>
          <w:sz w:val="20"/>
        </w:rPr>
        <w:t>CONDENSED CONSOLIDATED STATEMENTS OF COMPREHENSIVE INCOME (LOSS)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904"/>
        <w:gridCol w:w="146"/>
        <w:gridCol w:w="211"/>
        <w:gridCol w:w="736"/>
        <w:gridCol w:w="166"/>
        <w:gridCol w:w="146"/>
        <w:gridCol w:w="211"/>
        <w:gridCol w:w="736"/>
        <w:gridCol w:w="166"/>
        <w:gridCol w:w="146"/>
        <w:gridCol w:w="211"/>
        <w:gridCol w:w="676"/>
        <w:gridCol w:w="166"/>
        <w:gridCol w:w="146"/>
        <w:gridCol w:w="211"/>
        <w:gridCol w:w="736"/>
        <w:gridCol w:w="491"/>
      </w:tblGrid>
      <w:tr>
        <w:trPr/>
        <w:tc>
          <w:tcPr>
            <w:tcW w:w="4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9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vAlign w:val="center"/>
          </w:tcPr>
          <w:p>
            <w:pPr>
              <w:pStyle w:val="TableContents"/>
              <w:bidi w:val="0"/>
              <w:spacing w:before="0" w:after="0"/>
              <w:ind w:left="0" w:right="0" w:hanging="0"/>
              <w:jc w:val="center"/>
              <w:rPr/>
            </w:pPr>
            <w:r>
              <w:rPr/>
              <w:t> </w:t>
            </w:r>
          </w:p>
        </w:tc>
      </w:tr>
      <w:tr>
        <w:trPr/>
        <w:tc>
          <w:tcPr>
            <w:tcW w:w="49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(4,251</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(16,201</w:t>
            </w:r>
          </w:p>
        </w:tc>
        <w:tc>
          <w:tcPr>
            <w:tcW w:w="49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comprehensive income (loss), before tax</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49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net gain (loss) from cash flow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net loss from cash flow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491" w:type="dxa"/>
            <w:tcBorders/>
            <w:vAlign w:val="center"/>
          </w:tcPr>
          <w:p>
            <w:pPr>
              <w:pStyle w:val="TableContents"/>
              <w:bidi w:val="0"/>
              <w:spacing w:before="0" w:after="0"/>
              <w:ind w:left="0" w:right="0" w:firstLine="200"/>
              <w:jc w:val="left"/>
              <w:rPr/>
            </w:pPr>
            <w:r>
              <w:rPr/>
              <w:t> </w:t>
            </w:r>
          </w:p>
        </w:tc>
      </w:tr>
      <w:tr>
        <w:trPr/>
        <w:tc>
          <w:tcPr>
            <w:tcW w:w="49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(12,941</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Defined benefit and postretirement benefit plans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491" w:type="dxa"/>
            <w:tcBorders/>
            <w:vAlign w:val="center"/>
          </w:tcPr>
          <w:p>
            <w:pPr>
              <w:pStyle w:val="TableContents"/>
              <w:bidi w:val="0"/>
              <w:spacing w:before="0" w:after="0"/>
              <w:ind w:left="0" w:right="0" w:firstLine="300"/>
              <w:jc w:val="left"/>
              <w:rPr/>
            </w:pPr>
            <w:r>
              <w:rPr/>
              <w:t> </w:t>
            </w:r>
          </w:p>
        </w:tc>
      </w:tr>
      <w:tr>
        <w:trPr/>
        <w:tc>
          <w:tcPr>
            <w:tcW w:w="4904"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Total other comprehensive loss, before tax</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(9,424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(14,019</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(6,687</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(13,049</w:t>
            </w:r>
          </w:p>
        </w:tc>
        <w:tc>
          <w:tcPr>
            <w:tcW w:w="4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related to other comprehensive (loss)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(18,140</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(29,222</w:t>
            </w:r>
          </w:p>
        </w:tc>
        <w:tc>
          <w:tcPr>
            <w:tcW w:w="49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0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income (loss) attributable to common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(12,834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(25,742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397"/>
        <w:gridCol w:w="146"/>
        <w:gridCol w:w="211"/>
        <w:gridCol w:w="736"/>
        <w:gridCol w:w="166"/>
        <w:gridCol w:w="146"/>
        <w:gridCol w:w="211"/>
        <w:gridCol w:w="781"/>
        <w:gridCol w:w="411"/>
      </w:tblGrid>
      <w:tr>
        <w:trPr/>
        <w:tc>
          <w:tcPr>
            <w:tcW w:w="7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73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27,023</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Credit loss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7,341</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Write-downs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13,966</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foreign currency exchange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Film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other operating assets and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25,855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(5,293</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plant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equipment for joint revenue sharing arrangements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 film classified as a financial instrument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other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(8,520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(17,996</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of revolving credit facility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facility amendment fees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(49,355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shares, IMAX China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withheld and paid on employee stock awards vested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payment under finance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paid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397"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(57,510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Effects of exchange rate changes on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Decrease in cash and cash equivalents during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(2,135</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(79,599</w:t>
            </w:r>
          </w:p>
        </w:tc>
        <w:tc>
          <w:tcPr>
            <w:tcW w:w="4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97,401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189,711</w:t>
            </w:r>
          </w:p>
        </w:tc>
        <w:tc>
          <w:tcPr>
            <w:tcW w:w="411" w:type="dxa"/>
            <w:tcBorders/>
            <w:vAlign w:val="center"/>
          </w:tcPr>
          <w:p>
            <w:pPr>
              <w:pStyle w:val="TableContents"/>
              <w:bidi w:val="0"/>
              <w:spacing w:before="0" w:after="0"/>
              <w:ind w:left="0" w:right="0" w:hanging="0"/>
              <w:jc w:val="left"/>
              <w:rPr/>
            </w:pPr>
            <w:r>
              <w:rPr/>
              <w:t> </w:t>
            </w:r>
          </w:p>
        </w:tc>
      </w:tr>
      <w:tr>
        <w:trPr/>
        <w:tc>
          <w:tcPr>
            <w:tcW w:w="7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95,266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110,112</w:t>
            </w:r>
          </w:p>
        </w:tc>
        <w:tc>
          <w:tcPr>
            <w:tcW w:w="4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9" w:name="condensed_consolidated_statements_equity"/>
      <w:bookmarkEnd w:id="9"/>
      <w:r>
        <w:rPr>
          <w:rFonts w:ascii="Times New Roman;serif" w:hAnsi="Times New Roman;serif"/>
          <w:b/>
          <w:sz w:val="20"/>
        </w:rPr>
        <w:t>IMAX CORPORATION</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10" w:name="equity_statement"/>
      <w:bookmarkEnd w:id="10"/>
      <w:r>
        <w:rPr>
          <w:rFonts w:ascii="Times New Roman;serif" w:hAnsi="Times New Roman;serif"/>
          <w:b/>
          <w:sz w:val="20"/>
        </w:rPr>
        <w:t>CONDENSED CONSOLIDATED STATEMENTS OF SHAREHOLDERS' EQUITY</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tbl>
      <w:tblPr>
        <w:tblW w:w="10205" w:type="dxa"/>
        <w:jc w:val="left"/>
        <w:tblInd w:w="0" w:type="dxa"/>
        <w:tblLayout w:type="fixed"/>
        <w:tblCellMar>
          <w:top w:w="28" w:type="dxa"/>
          <w:left w:w="28" w:type="dxa"/>
          <w:bottom w:w="28" w:type="dxa"/>
          <w:right w:w="28" w:type="dxa"/>
        </w:tblCellMar>
      </w:tblPr>
      <w:tblGrid>
        <w:gridCol w:w="4650"/>
        <w:gridCol w:w="211"/>
        <w:gridCol w:w="841"/>
        <w:gridCol w:w="166"/>
        <w:gridCol w:w="146"/>
        <w:gridCol w:w="211"/>
        <w:gridCol w:w="841"/>
        <w:gridCol w:w="166"/>
        <w:gridCol w:w="146"/>
        <w:gridCol w:w="211"/>
        <w:gridCol w:w="841"/>
        <w:gridCol w:w="166"/>
        <w:gridCol w:w="146"/>
        <w:gridCol w:w="211"/>
        <w:gridCol w:w="841"/>
        <w:gridCol w:w="411"/>
      </w:tblGrid>
      <w:tr>
        <w:trPr/>
        <w:tc>
          <w:tcPr>
            <w:tcW w:w="4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0"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4650"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0"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capital stock:</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409,979</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Average carrying value of repurchased and retired common shares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share units vested, net of shares withheld for employee tax obligations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9,896</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390,238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391,107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390,238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391,107</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other equity:</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170,871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174,620</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stock options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restricted share units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10,212</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performance stock units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share units vested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ownership interest related to IMAX China common share repurchases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174,668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174,668</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statutory surplus reserve:</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accumulated deficit:</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(234,975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shares repurchased and retired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accumulated other comprehensive (loss) income:</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2,527</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non-controlling interests:</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73,531</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non-controlling interests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paid to non-controlling shareholders of IMAX China</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attributable to non-controlling interests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411" w:type="dxa"/>
            <w:tcBorders/>
            <w:vAlign w:val="center"/>
          </w:tcPr>
          <w:p>
            <w:pPr>
              <w:pStyle w:val="TableContents"/>
              <w:bidi w:val="0"/>
              <w:spacing w:before="0" w:after="0"/>
              <w:ind w:left="0" w:right="0" w:firstLine="200"/>
              <w:jc w:val="left"/>
              <w:rPr/>
            </w:pPr>
            <w:r>
              <w:rPr/>
              <w:t> </w:t>
            </w:r>
          </w:p>
        </w:tc>
      </w:tr>
      <w:tr>
        <w:trPr/>
        <w:tc>
          <w:tcPr>
            <w:tcW w:w="465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ownership interest related to IMAX China common share repurchases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336,881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357,485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336,881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357,485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IMAX CORPORATION</w:t>
      </w:r>
    </w:p>
    <w:p>
      <w:pPr>
        <w:pStyle w:val="TextBody"/>
        <w:bidi w:val="0"/>
        <w:spacing w:before="0" w:after="0"/>
        <w:jc w:val="center"/>
        <w:rPr>
          <w:rFonts w:ascii="Times New Roman;serif" w:hAnsi="Times New Roman;serif"/>
          <w:b/>
          <w:sz w:val="20"/>
        </w:rPr>
      </w:pPr>
      <w:bookmarkStart w:id="11" w:name="notes_to_condensed_consolidated_financia"/>
      <w:bookmarkEnd w:id="11"/>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(Tabular amounts in thousands of U.S. Dollars, unless otherwise stated)</w:t>
      </w:r>
    </w:p>
    <w:p>
      <w:pPr>
        <w:pStyle w:val="TextBody"/>
        <w:bidi w:val="0"/>
        <w:spacing w:before="0" w:after="0"/>
        <w:jc w:val="center"/>
        <w:rPr>
          <w:rFonts w:ascii="Times New Roman" w:hAnsi="Times New Roman"/>
          <w:sz w:val="20"/>
        </w:rPr>
      </w:pPr>
      <w:r>
        <w:rPr>
          <w:rFonts w:ascii="Times New Roman;serif" w:hAnsi="Times New Roman;serif"/>
          <w:b w:val="false"/>
          <w:i/>
          <w:sz w:val="20"/>
        </w:rPr>
        <w:t>(Unaudited</w:t>
      </w:r>
      <w:r>
        <w:rPr>
          <w:rFonts w:ascii="Times New Roman;serif" w:hAnsi="Times New Roman;serif"/>
          <w:b/>
          <w:i/>
          <w:sz w:val="20"/>
        </w:rPr>
        <w:t>)</w:t>
      </w:r>
    </w:p>
    <w:p>
      <w:pPr>
        <w:pStyle w:val="TextBody"/>
        <w:bidi w:val="0"/>
        <w:spacing w:before="0" w:after="0"/>
        <w:jc w:val="both"/>
        <w:rPr>
          <w:rFonts w:ascii="Times New Roman;serif" w:hAnsi="Times New Roman;serif"/>
          <w:b/>
          <w:sz w:val="20"/>
        </w:rPr>
      </w:pPr>
      <w:r>
        <w:rPr>
          <w:rFonts w:ascii="Times New Roman;serif" w:hAnsi="Times New Roman;serif"/>
          <w:b/>
          <w:sz w:val="20"/>
        </w:rPr>
        <w:t>1. Basis of Presentation</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Accounting Principles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2022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Condensed Consolidated Financial Statements should be read in conjunction with the audited Consolidated Financial Statements included in the Company’s 2022 Annual Report on Form 10-K (the “2022 Form 10-K”), which should be consulted for a summary of the significant accounting policies utilized by the Company. These Condensed Consolidated Financial Statements are prepared following the same accounting policies disclosed in the 2022 Form 10-K.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disclosed in Note 13 to the Condensed Consolidated Financial Statements, in the first quarter of 2023, the Company revised its reportable segments.</w:t>
      </w:r>
    </w:p>
    <w:p>
      <w:pPr>
        <w:pStyle w:val="TextBody"/>
        <w:bidi w:val="0"/>
        <w:spacing w:before="200" w:after="0"/>
        <w:jc w:val="both"/>
        <w:rPr>
          <w:rFonts w:ascii="Times New Roman" w:hAnsi="Times New Roman"/>
          <w:sz w:val="20"/>
        </w:rPr>
      </w:pPr>
      <w:r>
        <w:rPr>
          <w:rFonts w:ascii="Times New Roman;serif" w:hAnsi="Times New Roman;serif"/>
          <w:b w:val="false"/>
          <w:i/>
          <w:sz w:val="20"/>
        </w:rPr>
        <w:t>Principles of Consolidation</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interests in ten</w:t>
      </w:r>
      <w:r>
        <w:rPr>
          <w:rFonts w:ascii="Times New Roman" w:hAnsi="Times New Roman"/>
          <w:sz w:val="20"/>
        </w:rPr>
        <w:t xml:space="preserve"> </w:t>
      </w:r>
      <w:r>
        <w:rPr>
          <w:rFonts w:ascii="Times New Roman;serif" w:hAnsi="Times New Roman;serif"/>
          <w:b w:val="false"/>
          <w:sz w:val="20"/>
        </w:rPr>
        <w:t>film production companies, which have been identified as VIEs. The Company is the primary beneficiary of and consolidates five</w:t>
      </w:r>
      <w:r>
        <w:rPr>
          <w:rFonts w:ascii="Times New Roman" w:hAnsi="Times New Roman"/>
          <w:sz w:val="20"/>
        </w:rPr>
        <w:t xml:space="preserve"> </w:t>
      </w:r>
      <w:r>
        <w:rPr>
          <w:rFonts w:ascii="Times New Roman;serif" w:hAnsi="Times New Roman;serif"/>
          <w:b w:val="false"/>
          <w:sz w:val="20"/>
        </w:rPr>
        <w:t>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w:t>
      </w:r>
      <w:r>
        <w:rPr>
          <w:rFonts w:ascii="Times New Roman" w:hAnsi="Times New Roman"/>
          <w:sz w:val="20"/>
        </w:rPr>
        <w:t xml:space="preserve"> </w:t>
      </w:r>
      <w:r>
        <w:rPr>
          <w:rFonts w:ascii="Times New Roman;serif" w:hAnsi="Times New Roman;serif"/>
          <w:b w:val="false"/>
          <w:sz w:val="20"/>
        </w:rPr>
        <w:t>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Statements of Operations.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and December 31, 2022, total assets and liabilities of the Company’s consolidated VIEs are as follows:</w:t>
      </w:r>
    </w:p>
    <w:p>
      <w:pPr>
        <w:pStyle w:val="TextBody"/>
        <w:bidi w:val="0"/>
        <w:spacing w:before="0" w:after="0"/>
        <w:jc w:val="both"/>
        <w:rPr/>
      </w:pPr>
      <w:r>
        <w:rPr/>
        <w:t> </w:t>
      </w:r>
    </w:p>
    <w:tbl>
      <w:tblPr>
        <w:tblW w:w="4927" w:type="dxa"/>
        <w:jc w:val="left"/>
        <w:tblInd w:w="0" w:type="dxa"/>
        <w:tblLayout w:type="fixed"/>
        <w:tblCellMar>
          <w:top w:w="28" w:type="dxa"/>
          <w:left w:w="28" w:type="dxa"/>
          <w:bottom w:w="28" w:type="dxa"/>
          <w:right w:w="28" w:type="dxa"/>
        </w:tblCellMar>
      </w:tblPr>
      <w:tblGrid>
        <w:gridCol w:w="2221"/>
        <w:gridCol w:w="146"/>
        <w:gridCol w:w="211"/>
        <w:gridCol w:w="571"/>
        <w:gridCol w:w="146"/>
        <w:gridCol w:w="146"/>
        <w:gridCol w:w="294"/>
        <w:gridCol w:w="80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Estimates and Assumptions</w:t>
      </w:r>
    </w:p>
    <w:p>
      <w:pPr>
        <w:pStyle w:val="TextBody"/>
        <w:bidi w:val="0"/>
        <w:spacing w:before="200" w:after="0"/>
        <w:jc w:val="both"/>
        <w:rPr>
          <w:rFonts w:ascii="Times New Roman" w:hAnsi="Times New Roman"/>
          <w:sz w:val="20"/>
        </w:rPr>
      </w:pPr>
      <w:r>
        <w:rPr>
          <w:rFonts w:ascii="Times New Roman;serif" w:hAnsi="Times New Roman;serif"/>
          <w:b w:val="false"/>
          <w:sz w:val="20"/>
        </w:rPr>
        <w:t>In preparing the Company’s Condensed Consolidated Financial Statements, management makes judgments in applying various accounting policies. The areas of policy judgment are consistent with those reported in Note 3(b) of the Company’s audited Consolidated Financial Statements included in its 2022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2. Recently Issued Accounting Standards</w:t>
      </w:r>
    </w:p>
    <w:p>
      <w:pPr>
        <w:pStyle w:val="TextBody"/>
        <w:bidi w:val="0"/>
        <w:spacing w:before="200" w:after="200"/>
        <w:jc w:val="both"/>
        <w:rPr>
          <w:rFonts w:ascii="Times New Roman;serif" w:hAnsi="Times New Roman;serif"/>
          <w:b/>
          <w:i/>
          <w:sz w:val="20"/>
        </w:rPr>
      </w:pPr>
      <w:r>
        <w:rPr>
          <w:rFonts w:ascii="Times New Roman;serif" w:hAnsi="Times New Roman;serif"/>
          <w:b/>
          <w:i/>
          <w:sz w:val="20"/>
        </w:rPr>
        <w:t>Adoption of New Accounting Policies</w:t>
      </w:r>
    </w:p>
    <w:p>
      <w:pPr>
        <w:pStyle w:val="TextBody"/>
        <w:bidi w:val="0"/>
        <w:spacing w:before="200" w:after="0"/>
        <w:jc w:val="both"/>
        <w:rPr>
          <w:rFonts w:ascii="Times New Roman" w:hAnsi="Times New Roman"/>
          <w:sz w:val="20"/>
        </w:rPr>
      </w:pPr>
      <w:r>
        <w:rPr>
          <w:rFonts w:ascii="Times New Roman;serif" w:hAnsi="Times New Roman;serif"/>
          <w:b w:val="false"/>
          <w:sz w:val="20"/>
        </w:rPr>
        <w:t>In March 2022, the FASB issued ASU No. 2022-02, “2022-02: Financial Instruments — 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for public business entities, to disclose current-period gross write offs by year of origination for financing receivables and net investments in leases. ASU 2022-02 is effective for fiscal years beginning after December 15, 2022, including interim periods within those fiscal years. Early adoption is permitted. The Company adopted</w:t>
      </w:r>
      <w:r>
        <w:rPr>
          <w:rFonts w:ascii="Times New Roman" w:hAnsi="Times New Roman"/>
          <w:sz w:val="20"/>
        </w:rPr>
        <w:t xml:space="preserve"> </w:t>
      </w:r>
      <w:r>
        <w:rPr>
          <w:rFonts w:ascii="Times New Roman;serif" w:hAnsi="Times New Roman;serif"/>
          <w:b w:val="false"/>
          <w:sz w:val="20"/>
        </w:rPr>
        <w:t>ASU 2022-02 on January 1, 2023. The adoption of ASU 2022-02 did not have a material impact on the Company</w:t>
      </w:r>
      <w:r>
        <w:rPr>
          <w:rFonts w:ascii="Times New Roman" w:hAnsi="Times New Roman"/>
          <w:sz w:val="20"/>
        </w:rPr>
        <w:t>’</w:t>
      </w:r>
      <w:r>
        <w:rPr>
          <w:rFonts w:ascii="Times New Roman;serif" w:hAnsi="Times New Roman;serif"/>
          <w:b w:val="false"/>
          <w:sz w:val="20"/>
        </w:rPr>
        <w:t>s Condensed Consolidated Financial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In September 2022, the FASB issued ASU No. 2022-04, “2022-04: Liabilities — Supplier Finance Programs (Subtopic 405-50): Disclosure of Supplier Finance Program Obligations” (“ASU 2022-04”). ASU 2022-04 requires that a buyer in a supplier finance program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Early adoption is permitted. The Company adopted</w:t>
      </w:r>
      <w:r>
        <w:rPr>
          <w:rFonts w:ascii="Times New Roman" w:hAnsi="Times New Roman"/>
          <w:sz w:val="20"/>
        </w:rPr>
        <w:t xml:space="preserve"> </w:t>
      </w:r>
      <w:r>
        <w:rPr>
          <w:rFonts w:ascii="Times New Roman;serif" w:hAnsi="Times New Roman;serif"/>
          <w:b w:val="false"/>
          <w:sz w:val="20"/>
        </w:rPr>
        <w:t>ASU 2022-04 on January 1, 2023. The adoption of ASU 2022-04 did not have a material impact on the Company</w:t>
      </w:r>
      <w:r>
        <w:rPr>
          <w:rFonts w:ascii="Times New Roman" w:hAnsi="Times New Roman"/>
          <w:sz w:val="20"/>
        </w:rPr>
        <w:t>’</w:t>
      </w:r>
      <w:r>
        <w:rPr>
          <w:rFonts w:ascii="Times New Roman;serif" w:hAnsi="Times New Roman;serif"/>
          <w:b w:val="false"/>
          <w:sz w:val="20"/>
        </w:rPr>
        <w:t>s Condensed Consolidated Financial Statements.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Recently Issued FASB Accounting Standard Codification Updates Not Yet Adopted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June 30, 2023.</w:t>
      </w:r>
    </w:p>
    <w:p>
      <w:pPr>
        <w:pStyle w:val="TextBody"/>
        <w:bidi w:val="0"/>
        <w:spacing w:before="200" w:after="0"/>
        <w:jc w:val="both"/>
        <w:rPr>
          <w:rFonts w:ascii="Times New Roman" w:hAnsi="Times New Roman"/>
          <w:sz w:val="20"/>
        </w:rPr>
      </w:pPr>
      <w:r>
        <w:rPr>
          <w:rFonts w:ascii="Times New Roman;serif" w:hAnsi="Times New Roman;serif"/>
          <w:b/>
          <w:sz w:val="20"/>
        </w:rPr>
        <w:t>3. Receivables</w:t>
      </w:r>
      <w:r>
        <w:rPr>
          <w:rFonts w:ascii="Times New Roman" w:hAnsi="Times New Roman"/>
          <w:sz w:val="20"/>
        </w:rPr>
        <w:t xml:space="preserve"> </w:t>
      </w:r>
    </w:p>
    <w:p>
      <w:pPr>
        <w:pStyle w:val="TextBody"/>
        <w:bidi w:val="0"/>
        <w:spacing w:before="200" w:after="160"/>
        <w:jc w:val="both"/>
        <w:rPr>
          <w:rFonts w:ascii="Times New Roman" w:hAnsi="Times New Roman"/>
          <w:sz w:val="20"/>
        </w:rPr>
      </w:pPr>
      <w:r>
        <w:rPr>
          <w:rFonts w:ascii="Times New Roman;serif" w:hAnsi="Times New Roman;serif"/>
          <w:b w:val="false"/>
          <w:sz w:val="20"/>
        </w:rPr>
        <w:t>The</w:t>
      </w:r>
      <w:r>
        <w:rPr>
          <w:rFonts w:ascii="Times New Roman" w:hAnsi="Times New Roman"/>
          <w:sz w:val="20"/>
        </w:rPr>
        <w:t xml:space="preserve"> </w:t>
      </w:r>
      <w:r>
        <w:rPr>
          <w:rFonts w:ascii="Times New Roman;serif" w:hAnsi="Times New Roman;serif"/>
          <w:b w:val="false"/>
          <w:sz w:val="20"/>
        </w:rPr>
        <w:t>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Good Standing — The theater operator continues to be in good standing as payments and reporting are received on a regular basis.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xml:space="preserve">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 </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pStyle w:val="TextBody"/>
        <w:bidi w:val="0"/>
        <w:spacing w:before="200" w:after="160"/>
        <w:jc w:val="both"/>
        <w:rPr>
          <w:rFonts w:ascii="Times New Roman" w:hAnsi="Times New Roman"/>
          <w:sz w:val="20"/>
        </w:rPr>
      </w:pPr>
      <w:r>
        <w:rPr>
          <w:rFonts w:ascii="Times New Roman;serif" w:hAnsi="Times New Roman;serif"/>
          <w:b w:val="false"/>
          <w:sz w:val="20"/>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r>
        <w:rPr>
          <w:rFonts w:ascii="Times New Roman" w:hAnsi="Times New Roman"/>
          <w:sz w:val="20"/>
        </w:rPr>
        <w:t xml:space="preserve"> </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In the first quarter of 2022, the Company recorded provisions for potential credit losses against substantially all of its receivables in Russia due to uncertainties associated with the ongoing conflict and resulting sanctions.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Beginning in the second quarter of 2023, due to the resumption of operations throughout Ukraine’s theatrical exhibition industry, as evidenced by the reopening of all eight IMAX Systems in Ukraine and payments received from exhibitor customers, the Company recognized maintenance revenue and finance income. The Company continues to closely monitor the evolving impacts of this conflict (including the sanctions imposed by the United States, Canada and the European Union) and its effects on the global economy and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On September 7, 2022,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w:t>
      </w:r>
      <w:r>
        <w:rPr>
          <w:rFonts w:ascii="Times New Roman" w:hAnsi="Times New Roman"/>
          <w:sz w:val="20"/>
        </w:rPr>
        <w:t xml:space="preserve"> </w:t>
      </w:r>
      <w:r>
        <w:rPr>
          <w:rFonts w:ascii="Times New Roman;serif" w:hAnsi="Times New Roman;serif"/>
          <w:b w:val="false"/>
          <w:sz w:val="20"/>
        </w:rPr>
        <w:t>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Cineworld had its Plan of Reorganization approved by the Court on June 28, 2023, in which it disclosed that it plans to emerge from the Chapter 11 proceedings on or about July 28, 2023. As part of the Plan, Cineworld agreed to assume the Global Agreement between IMAX and the Cineworld entities (the “Assumption”). The Assumption shall expressly provide for (i) Cineworld’s assumption of the Global Agreement, (ii) Cineworld’s payment of all current arrears and (iii) a revised schedule of system installations.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Accounts Receivable</w:t>
      </w:r>
    </w:p>
    <w:p>
      <w:pPr>
        <w:pStyle w:val="TextBody"/>
        <w:bidi w:val="0"/>
        <w:spacing w:before="200" w:after="160"/>
        <w:jc w:val="both"/>
        <w:rPr>
          <w:rFonts w:ascii="Times New Roman" w:hAnsi="Times New Roman"/>
          <w:sz w:val="20"/>
        </w:rPr>
      </w:pPr>
      <w:r>
        <w:rPr>
          <w:rFonts w:ascii="Times New Roman;serif" w:hAnsi="Times New Roman;serif"/>
          <w:b w:val="false"/>
          <w:sz w:val="20"/>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tables summarize the activity in the allowance for credit losses related to Accounts Receivable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034"/>
        <w:gridCol w:w="211"/>
        <w:gridCol w:w="676"/>
        <w:gridCol w:w="166"/>
        <w:gridCol w:w="146"/>
        <w:gridCol w:w="211"/>
        <w:gridCol w:w="571"/>
        <w:gridCol w:w="166"/>
        <w:gridCol w:w="146"/>
        <w:gridCol w:w="211"/>
        <w:gridCol w:w="571"/>
        <w:gridCol w:w="166"/>
        <w:gridCol w:w="146"/>
        <w:gridCol w:w="211"/>
        <w:gridCol w:w="676"/>
        <w:gridCol w:w="166"/>
        <w:gridCol w:w="146"/>
        <w:gridCol w:w="211"/>
        <w:gridCol w:w="676"/>
        <w:gridCol w:w="166"/>
        <w:gridCol w:w="146"/>
        <w:gridCol w:w="211"/>
        <w:gridCol w:w="571"/>
        <w:gridCol w:w="166"/>
        <w:gridCol w:w="146"/>
        <w:gridCol w:w="211"/>
        <w:gridCol w:w="571"/>
        <w:gridCol w:w="166"/>
        <w:gridCol w:w="146"/>
        <w:gridCol w:w="211"/>
        <w:gridCol w:w="676"/>
        <w:gridCol w:w="311"/>
      </w:tblGrid>
      <w:tr>
        <w:trPr/>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0"/>
              <w:ind w:left="0" w:right="0" w:hanging="0"/>
              <w:jc w:val="left"/>
              <w:rPr/>
            </w:pPr>
            <w:r>
              <w:rPr/>
              <w:t> </w:t>
            </w:r>
          </w:p>
        </w:tc>
        <w:tc>
          <w:tcPr>
            <w:tcW w:w="42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14,119</w:t>
            </w:r>
          </w:p>
        </w:tc>
        <w:tc>
          <w:tcPr>
            <w:tcW w:w="311" w:type="dxa"/>
            <w:tcBorders/>
            <w:vAlign w:val="center"/>
          </w:tcPr>
          <w:p>
            <w:pPr>
              <w:pStyle w:val="TableContents"/>
              <w:bidi w:val="0"/>
              <w:spacing w:before="0" w:after="0"/>
              <w:ind w:left="0" w:right="0" w:firstLine="100"/>
              <w:jc w:val="left"/>
              <w:rPr/>
            </w:pPr>
            <w:r>
              <w:rPr/>
              <w:t> </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provision (reversal), net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311" w:type="dxa"/>
            <w:tcBorders/>
            <w:vAlign w:val="center"/>
          </w:tcPr>
          <w:p>
            <w:pPr>
              <w:pStyle w:val="TableContents"/>
              <w:bidi w:val="0"/>
              <w:spacing w:before="0" w:after="0"/>
              <w:ind w:left="0" w:right="0" w:firstLine="100"/>
              <w:jc w:val="left"/>
              <w:rPr/>
            </w:pPr>
            <w:r>
              <w:rPr/>
              <w:t> </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14,020</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4"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1034" w:type="dxa"/>
            <w:tcBorders/>
            <w:vAlign w:val="center"/>
          </w:tcPr>
          <w:p>
            <w:pPr>
              <w:pStyle w:val="TableContents"/>
              <w:bidi w:val="0"/>
              <w:spacing w:before="0" w:after="0"/>
              <w:ind w:left="0" w:right="0" w:hanging="0"/>
              <w:jc w:val="left"/>
              <w:rPr/>
            </w:pPr>
            <w:r>
              <w:rPr/>
              <w:t> </w:t>
            </w:r>
          </w:p>
        </w:tc>
        <w:tc>
          <w:tcPr>
            <w:tcW w:w="42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7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11,946</w:t>
            </w:r>
          </w:p>
        </w:tc>
        <w:tc>
          <w:tcPr>
            <w:tcW w:w="311" w:type="dxa"/>
            <w:tcBorders/>
            <w:vAlign w:val="center"/>
          </w:tcPr>
          <w:p>
            <w:pPr>
              <w:pStyle w:val="TableContents"/>
              <w:bidi w:val="0"/>
              <w:spacing w:before="0" w:after="0"/>
              <w:ind w:left="0" w:right="0" w:firstLine="100"/>
              <w:jc w:val="left"/>
              <w:rPr/>
            </w:pPr>
            <w:r>
              <w:rPr/>
              <w:t> </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provision (reversal), net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311" w:type="dxa"/>
            <w:tcBorders/>
            <w:vAlign w:val="center"/>
          </w:tcPr>
          <w:p>
            <w:pPr>
              <w:pStyle w:val="TableContents"/>
              <w:bidi w:val="0"/>
              <w:spacing w:before="0" w:after="0"/>
              <w:ind w:left="0" w:right="0" w:firstLine="100"/>
              <w:jc w:val="left"/>
              <w:rPr/>
            </w:pPr>
            <w:r>
              <w:rPr/>
              <w:t> </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0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13,355</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the Company’s allowance for current expected credit losses related to Accounts Receivable increased by $0.2</w:t>
      </w:r>
      <w:r>
        <w:rPr>
          <w:rFonts w:ascii="Times New Roman" w:hAnsi="Times New Roman"/>
          <w:sz w:val="20"/>
        </w:rPr>
        <w:t xml:space="preserve"> </w:t>
      </w:r>
      <w:r>
        <w:rPr>
          <w:rFonts w:ascii="Times New Roman;serif" w:hAnsi="Times New Roman;serif"/>
          <w:b w:val="false"/>
          <w:sz w:val="20"/>
        </w:rPr>
        <w:t>million and decreased by less than $0.1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2022, the Company’s allowance for current expected credit losses related to Accounts Receivable decreased by $0.8</w:t>
      </w:r>
      <w:r>
        <w:rPr>
          <w:rFonts w:ascii="Times New Roman" w:hAnsi="Times New Roman"/>
          <w:sz w:val="20"/>
        </w:rPr>
        <w:t xml:space="preserve"> </w:t>
      </w:r>
      <w:r>
        <w:rPr>
          <w:rFonts w:ascii="Times New Roman;serif" w:hAnsi="Times New Roman;serif"/>
          <w:b w:val="false"/>
          <w:sz w:val="20"/>
        </w:rPr>
        <w:t>million and increased by $2.4</w:t>
      </w:r>
      <w:r>
        <w:rPr>
          <w:rFonts w:ascii="Times New Roman" w:hAnsi="Times New Roman"/>
          <w:sz w:val="20"/>
        </w:rPr>
        <w:t xml:space="preserve"> </w:t>
      </w:r>
      <w:r>
        <w:rPr>
          <w:rFonts w:ascii="Times New Roman;serif" w:hAnsi="Times New Roman;serif"/>
          <w:b w:val="false"/>
          <w:sz w:val="20"/>
        </w:rPr>
        <w:t>million respectively, principally due to reserves established against its receivables in Russia due to uncertainties associated with the ongoing Russia-Ukraine conflict, partially offset by the reversal of provisions associated with the COVID-19 pandemic.</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Financing Receivables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Financing receivables are due from theater operators and consist of the Company’s net investment in sales-type leases and receivables associated with financed sales of IMAX Systems. As of June 30, 2023 and December 31, 2022, financing receivables consist of the following:</w:t>
      </w:r>
    </w:p>
    <w:tbl>
      <w:tblPr>
        <w:tblW w:w="7906" w:type="dxa"/>
        <w:jc w:val="left"/>
        <w:tblInd w:w="0" w:type="dxa"/>
        <w:tblLayout w:type="fixed"/>
        <w:tblCellMar>
          <w:top w:w="28" w:type="dxa"/>
          <w:left w:w="28" w:type="dxa"/>
          <w:bottom w:w="28" w:type="dxa"/>
          <w:right w:w="28" w:type="dxa"/>
        </w:tblCellMar>
      </w:tblPr>
      <w:tblGrid>
        <w:gridCol w:w="5296"/>
        <w:gridCol w:w="211"/>
        <w:gridCol w:w="781"/>
        <w:gridCol w:w="166"/>
        <w:gridCol w:w="146"/>
        <w:gridCol w:w="233"/>
        <w:gridCol w:w="862"/>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minimum payments due under sales-type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29,727</w:t>
            </w:r>
          </w:p>
        </w:tc>
        <w:tc>
          <w:tcPr>
            <w:tcW w:w="211" w:type="dxa"/>
            <w:tcBorders/>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Unearned finance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minimum payments due under sales-type leases</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211" w:type="dxa"/>
            <w:tcBorders/>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minimum payments due under financed sales</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141,337</w:t>
            </w:r>
          </w:p>
        </w:tc>
        <w:tc>
          <w:tcPr>
            <w:tcW w:w="211" w:type="dxa"/>
            <w:tcBorders/>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Unearned finance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(29,340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minimum payments due under financed sales</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211" w:type="dxa"/>
            <w:tcBorders/>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financing receivables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 due within one year</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32,366</w:t>
            </w:r>
          </w:p>
        </w:tc>
        <w:tc>
          <w:tcPr>
            <w:tcW w:w="211" w:type="dxa"/>
            <w:tcBorders/>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 due after one year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68,686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financed sales receivables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As of June 30, 2023 and December 31, 2022, the weighted-average remaining lease term and weighted-average interest rate associated with the Company’s sales-type lease arrangements and financed sale receivables, as applicable, are as follows:</w:t>
      </w:r>
    </w:p>
    <w:tbl>
      <w:tblPr>
        <w:tblW w:w="6809" w:type="dxa"/>
        <w:jc w:val="left"/>
        <w:tblInd w:w="0" w:type="dxa"/>
        <w:tblLayout w:type="fixed"/>
        <w:tblCellMar>
          <w:top w:w="28" w:type="dxa"/>
          <w:left w:w="28" w:type="dxa"/>
          <w:bottom w:w="28" w:type="dxa"/>
          <w:right w:w="28" w:type="dxa"/>
        </w:tblCellMar>
      </w:tblPr>
      <w:tblGrid>
        <w:gridCol w:w="4145"/>
        <w:gridCol w:w="220"/>
        <w:gridCol w:w="207"/>
        <w:gridCol w:w="513"/>
        <w:gridCol w:w="146"/>
        <w:gridCol w:w="146"/>
        <w:gridCol w:w="146"/>
        <w:gridCol w:w="314"/>
        <w:gridCol w:w="781"/>
        <w:gridCol w:w="191"/>
      </w:tblGrid>
      <w:tr>
        <w:trPr/>
        <w:tc>
          <w:tcPr>
            <w:tcW w:w="41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4145"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5"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Weighted-average remaining lease term (in years)</w:t>
            </w:r>
          </w:p>
        </w:tc>
        <w:tc>
          <w:tcPr>
            <w:tcW w:w="7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Sales-type lease arrangements</w:t>
            </w:r>
          </w:p>
        </w:tc>
        <w:tc>
          <w:tcPr>
            <w:tcW w:w="220"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Weighted-average interest rate</w:t>
            </w:r>
          </w:p>
        </w:tc>
        <w:tc>
          <w:tcPr>
            <w:tcW w:w="220"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Sales-type lease arrangements</w:t>
            </w:r>
          </w:p>
        </w:tc>
        <w:tc>
          <w:tcPr>
            <w:tcW w:w="220" w:type="dxa"/>
            <w:tcBorders/>
            <w:vAlign w:val="center"/>
          </w:tcPr>
          <w:p>
            <w:pPr>
              <w:pStyle w:val="TableContents"/>
              <w:bidi w:val="0"/>
              <w:spacing w:before="0" w:after="0"/>
              <w:ind w:left="0" w:right="0" w:hanging="0"/>
              <w:jc w:val="left"/>
              <w:rPr/>
            </w:pPr>
            <w:r>
              <w:rPr/>
              <w:t> </w:t>
            </w:r>
          </w:p>
        </w:tc>
        <w:tc>
          <w:tcPr>
            <w:tcW w:w="720"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20" w:type="dxa"/>
            <w:tcBorders/>
            <w:vAlign w:val="center"/>
          </w:tcPr>
          <w:p>
            <w:pPr>
              <w:pStyle w:val="TableContents"/>
              <w:bidi w:val="0"/>
              <w:spacing w:before="0" w:after="0"/>
              <w:ind w:left="0" w:right="0" w:hanging="0"/>
              <w:jc w:val="left"/>
              <w:rPr/>
            </w:pPr>
            <w:r>
              <w:rPr/>
              <w:t> </w:t>
            </w:r>
          </w:p>
        </w:tc>
        <w:tc>
          <w:tcPr>
            <w:tcW w:w="720"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tables below provide information on the Company’s net investment in leases by credit quality indicator as of June 30, 2023 and December 31, 2022. The amounts disclosed for each credit quality classification are determined on a customer-by-customer basis and include both billed and unbilled amounts.</w:t>
      </w:r>
    </w:p>
    <w:tbl>
      <w:tblPr>
        <w:tblW w:w="10205" w:type="dxa"/>
        <w:jc w:val="left"/>
        <w:tblInd w:w="0" w:type="dxa"/>
        <w:tblLayout w:type="fixed"/>
        <w:tblCellMar>
          <w:top w:w="28" w:type="dxa"/>
          <w:left w:w="28" w:type="dxa"/>
          <w:bottom w:w="28" w:type="dxa"/>
          <w:right w:w="28" w:type="dxa"/>
        </w:tblCellMar>
      </w:tblPr>
      <w:tblGrid>
        <w:gridCol w:w="2478"/>
        <w:gridCol w:w="211"/>
        <w:gridCol w:w="571"/>
        <w:gridCol w:w="146"/>
        <w:gridCol w:w="146"/>
        <w:gridCol w:w="211"/>
        <w:gridCol w:w="676"/>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676"/>
        <w:gridCol w:w="291"/>
      </w:tblGrid>
      <w:tr>
        <w:trPr/>
        <w:tc>
          <w:tcPr>
            <w:tcW w:w="2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257"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2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June 30, 2023</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18,149</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11,419</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net investment in leases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29,969</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8"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257"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2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16,604</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12,103</w:t>
            </w:r>
          </w:p>
        </w:tc>
        <w:tc>
          <w:tcPr>
            <w:tcW w:w="291" w:type="dxa"/>
            <w:tcBorders/>
            <w:vAlign w:val="center"/>
          </w:tcPr>
          <w:p>
            <w:pPr>
              <w:pStyle w:val="TableContents"/>
              <w:bidi w:val="0"/>
              <w:spacing w:before="0" w:after="0"/>
              <w:ind w:left="0" w:right="0" w:firstLine="100"/>
              <w:jc w:val="left"/>
              <w:rPr/>
            </w:pPr>
            <w:r>
              <w:rPr/>
              <w:t> </w:t>
            </w:r>
          </w:p>
        </w:tc>
      </w:tr>
      <w:tr>
        <w:trPr/>
        <w:tc>
          <w:tcPr>
            <w:tcW w:w="24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net investment in leases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tables below provide information on the Company’s financed sale receivables by credit quality indicator as of June 30, 2023 and December 31, 2022. The amounts disclosed for each credit quality classification are determined on a customer-by-customer basis and include both billed and unbilled amounts.</w:t>
      </w:r>
    </w:p>
    <w:tbl>
      <w:tblPr>
        <w:tblW w:w="10205" w:type="dxa"/>
        <w:jc w:val="left"/>
        <w:tblInd w:w="0" w:type="dxa"/>
        <w:tblLayout w:type="fixed"/>
        <w:tblCellMar>
          <w:top w:w="28" w:type="dxa"/>
          <w:left w:w="28" w:type="dxa"/>
          <w:bottom w:w="28" w:type="dxa"/>
          <w:right w:w="28" w:type="dxa"/>
        </w:tblCellMar>
      </w:tblPr>
      <w:tblGrid>
        <w:gridCol w:w="1848"/>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781"/>
        <w:gridCol w:w="291"/>
      </w:tblGrid>
      <w:tr>
        <w:trPr/>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78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June 30, 2023</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76,101</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16,964</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financed sales receivables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107,197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8"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78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83,482</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15,543</w:t>
            </w:r>
          </w:p>
        </w:tc>
        <w:tc>
          <w:tcPr>
            <w:tcW w:w="291" w:type="dxa"/>
            <w:tcBorders/>
            <w:vAlign w:val="center"/>
          </w:tcPr>
          <w:p>
            <w:pPr>
              <w:pStyle w:val="TableContents"/>
              <w:bidi w:val="0"/>
              <w:spacing w:before="0" w:after="0"/>
              <w:ind w:left="0" w:right="0" w:firstLine="100"/>
              <w:jc w:val="left"/>
              <w:rPr/>
            </w:pPr>
            <w:r>
              <w:rPr/>
              <w:t> </w:t>
            </w:r>
          </w:p>
        </w:tc>
      </w:tr>
      <w:tr>
        <w:trPr/>
        <w:tc>
          <w:tcPr>
            <w:tcW w:w="18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financed sales receivables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tables provide an aging analysis for the Company’s net investment in leases and financed sale receivables as of June 30, 2023 and December 31, 2022:</w:t>
      </w:r>
    </w:p>
    <w:tbl>
      <w:tblPr>
        <w:tblW w:w="10552" w:type="dxa"/>
        <w:jc w:val="left"/>
        <w:tblInd w:w="0" w:type="dxa"/>
        <w:tblLayout w:type="fixed"/>
        <w:tblCellMar>
          <w:top w:w="28" w:type="dxa"/>
          <w:left w:w="28" w:type="dxa"/>
          <w:bottom w:w="28" w:type="dxa"/>
          <w:right w:w="28" w:type="dxa"/>
        </w:tblCellMar>
      </w:tblPr>
      <w:tblGrid>
        <w:gridCol w:w="1036"/>
        <w:gridCol w:w="211"/>
        <w:gridCol w:w="571"/>
        <w:gridCol w:w="146"/>
        <w:gridCol w:w="146"/>
        <w:gridCol w:w="211"/>
        <w:gridCol w:w="571"/>
        <w:gridCol w:w="146"/>
        <w:gridCol w:w="146"/>
        <w:gridCol w:w="211"/>
        <w:gridCol w:w="676"/>
        <w:gridCol w:w="146"/>
        <w:gridCol w:w="146"/>
        <w:gridCol w:w="211"/>
        <w:gridCol w:w="676"/>
        <w:gridCol w:w="146"/>
        <w:gridCol w:w="146"/>
        <w:gridCol w:w="211"/>
        <w:gridCol w:w="781"/>
        <w:gridCol w:w="146"/>
        <w:gridCol w:w="146"/>
        <w:gridCol w:w="211"/>
        <w:gridCol w:w="781"/>
        <w:gridCol w:w="146"/>
        <w:gridCol w:w="146"/>
        <w:gridCol w:w="211"/>
        <w:gridCol w:w="736"/>
        <w:gridCol w:w="166"/>
        <w:gridCol w:w="146"/>
        <w:gridCol w:w="211"/>
        <w:gridCol w:w="781"/>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0"/>
              <w:ind w:left="0" w:right="0" w:hanging="0"/>
              <w:jc w:val="left"/>
              <w:rPr/>
            </w:pPr>
            <w:r>
              <w:rPr/>
              <w:t> </w:t>
            </w:r>
          </w:p>
        </w:tc>
        <w:tc>
          <w:tcPr>
            <w:tcW w:w="9325"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w:t>
              <w:br/>
              <w:t>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w:t>
              <w:br/>
              <w:t>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29,280</w:t>
            </w:r>
          </w:p>
        </w:tc>
        <w:tc>
          <w:tcPr>
            <w:tcW w:w="19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137,166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125,450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9325"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w:t>
              <w:br/>
              <w:t>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w:t>
              <w:br/>
              <w:t>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19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provide information about the Company’s net investment in leases and financed sale receivables with billed amounts past due for which it continues to accrue finance income as of June 30, 2023 and December 31, 2022. The amounts disclosed for each credit quality classification are determined on a customer-by-customer basis and include both billed and unbilled amounts.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141"/>
        <w:gridCol w:w="211"/>
        <w:gridCol w:w="571"/>
        <w:gridCol w:w="146"/>
        <w:gridCol w:w="146"/>
        <w:gridCol w:w="246"/>
        <w:gridCol w:w="668"/>
        <w:gridCol w:w="146"/>
        <w:gridCol w:w="146"/>
        <w:gridCol w:w="211"/>
        <w:gridCol w:w="676"/>
        <w:gridCol w:w="146"/>
        <w:gridCol w:w="146"/>
        <w:gridCol w:w="211"/>
        <w:gridCol w:w="676"/>
        <w:gridCol w:w="146"/>
        <w:gridCol w:w="146"/>
        <w:gridCol w:w="211"/>
        <w:gridCol w:w="676"/>
        <w:gridCol w:w="146"/>
        <w:gridCol w:w="146"/>
        <w:gridCol w:w="214"/>
        <w:gridCol w:w="642"/>
        <w:gridCol w:w="166"/>
        <w:gridCol w:w="146"/>
        <w:gridCol w:w="211"/>
        <w:gridCol w:w="676"/>
        <w:gridCol w:w="192"/>
      </w:tblGrid>
      <w:tr>
        <w:trPr/>
        <w:tc>
          <w:tcPr>
            <w:tcW w:w="2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41" w:type="dxa"/>
            <w:tcBorders/>
            <w:vAlign w:val="center"/>
          </w:tcPr>
          <w:p>
            <w:pPr>
              <w:pStyle w:val="TableContents"/>
              <w:bidi w:val="0"/>
              <w:spacing w:before="0" w:after="0"/>
              <w:ind w:left="0" w:right="0" w:hanging="0"/>
              <w:jc w:val="left"/>
              <w:rPr/>
            </w:pPr>
            <w:r>
              <w:rPr/>
              <w:t> </w:t>
            </w:r>
          </w:p>
        </w:tc>
        <w:tc>
          <w:tcPr>
            <w:tcW w:w="7872"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 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 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23,282</w:t>
            </w:r>
          </w:p>
        </w:tc>
        <w:tc>
          <w:tcPr>
            <w:tcW w:w="192" w:type="dxa"/>
            <w:tcBorders/>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49,941</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73,223</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pPr>
            <w:r>
              <w:rPr/>
              <w:t> </w:t>
            </w:r>
          </w:p>
        </w:tc>
        <w:tc>
          <w:tcPr>
            <w:tcW w:w="7872"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 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 Days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19,804</w:t>
            </w:r>
          </w:p>
        </w:tc>
        <w:tc>
          <w:tcPr>
            <w:tcW w:w="192" w:type="dxa"/>
            <w:tcBorders/>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55,064</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74,868</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information about the Company’s net investment in leases and financed sale receivables that are on nonaccrual status as of June 30, 2023 and December 31, 2022:</w:t>
      </w:r>
    </w:p>
    <w:p>
      <w:pPr>
        <w:pStyle w:val="TextBody"/>
        <w:bidi w:val="0"/>
        <w:spacing w:before="0" w:after="0"/>
        <w:jc w:val="both"/>
        <w:rPr/>
      </w:pPr>
      <w:r>
        <w:rPr/>
        <w:t> </w:t>
      </w:r>
    </w:p>
    <w:tbl>
      <w:tblPr>
        <w:tblW w:w="9502" w:type="dxa"/>
        <w:jc w:val="left"/>
        <w:tblInd w:w="0" w:type="dxa"/>
        <w:tblLayout w:type="fixed"/>
        <w:tblCellMar>
          <w:top w:w="28" w:type="dxa"/>
          <w:left w:w="28" w:type="dxa"/>
          <w:bottom w:w="28" w:type="dxa"/>
          <w:right w:w="28" w:type="dxa"/>
        </w:tblCellMar>
      </w:tblPr>
      <w:tblGrid>
        <w:gridCol w:w="2551"/>
        <w:gridCol w:w="211"/>
        <w:gridCol w:w="676"/>
        <w:gridCol w:w="146"/>
        <w:gridCol w:w="146"/>
        <w:gridCol w:w="214"/>
        <w:gridCol w:w="642"/>
        <w:gridCol w:w="166"/>
        <w:gridCol w:w="146"/>
        <w:gridCol w:w="211"/>
        <w:gridCol w:w="676"/>
        <w:gridCol w:w="146"/>
        <w:gridCol w:w="146"/>
        <w:gridCol w:w="211"/>
        <w:gridCol w:w="676"/>
        <w:gridCol w:w="146"/>
        <w:gridCol w:w="146"/>
        <w:gridCol w:w="214"/>
        <w:gridCol w:w="642"/>
        <w:gridCol w:w="166"/>
        <w:gridCol w:w="146"/>
        <w:gridCol w:w="211"/>
        <w:gridCol w:w="67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 </w:t>
            </w:r>
          </w:p>
        </w:tc>
        <w:tc>
          <w:tcPr>
            <w:tcW w:w="32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the Company recognized less than $0.1</w:t>
      </w:r>
      <w:r>
        <w:rPr>
          <w:rFonts w:ascii="Times New Roman" w:hAnsi="Times New Roman"/>
          <w:sz w:val="20"/>
        </w:rPr>
        <w:t xml:space="preserve"> </w:t>
      </w:r>
      <w:r>
        <w:rPr>
          <w:rFonts w:ascii="Times New Roman;serif" w:hAnsi="Times New Roman;serif"/>
          <w:b w:val="false"/>
          <w:sz w:val="20"/>
        </w:rPr>
        <w:t>million (2022</w:t>
      </w:r>
      <w:r>
        <w:rPr>
          <w:rFonts w:ascii="Times New Roman" w:hAnsi="Times New Roman"/>
          <w:sz w:val="20"/>
        </w:rPr>
        <w:t xml:space="preserve"> — </w:t>
      </w:r>
      <w:r>
        <w:rPr>
          <w:rFonts w:ascii="Times New Roman;serif" w:hAnsi="Times New Roman;serif"/>
          <w:b w:val="false"/>
          <w:sz w:val="20"/>
        </w:rPr>
        <w:t>less than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in Finance Income related to the net investment in leases with billed amounts past due. For the three and six months ended June 30, 2023 and 2022, the Company did not recognize Finance Income related to the net investment in leases on nonaccrual status. For the three and six months ended June 30, 2023, the Company recognized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w:t>
      </w:r>
      <w:r>
        <w:rPr>
          <w:rFonts w:ascii="Times New Roman" w:hAnsi="Times New Roman"/>
          <w:sz w:val="20"/>
        </w:rPr>
        <w:t xml:space="preserve"> </w:t>
      </w:r>
      <w:r>
        <w:rPr>
          <w:rFonts w:ascii="Times New Roman;serif" w:hAnsi="Times New Roman;serif"/>
          <w:b w:val="false"/>
          <w:sz w:val="20"/>
        </w:rPr>
        <w:t>million (2022</w:t>
      </w:r>
      <w:r>
        <w:rPr>
          <w:rFonts w:ascii="Times New Roman" w:hAnsi="Times New Roman"/>
          <w:sz w:val="20"/>
        </w:rPr>
        <w:t xml:space="preserve"> — </w:t>
      </w:r>
      <w:r>
        <w:rPr>
          <w:rFonts w:ascii="Times New Roman;serif" w:hAnsi="Times New Roman;serif"/>
          <w:b w:val="false"/>
          <w:sz w:val="20"/>
        </w:rPr>
        <w:t>$1.3</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respectively) in Finance Income related to the financed sale receivables with billed amounts past due. For the three and six months ended June 30, 2023, the Company recognized less than $0.1</w:t>
      </w:r>
      <w:r>
        <w:rPr>
          <w:rFonts w:ascii="Times New Roman" w:hAnsi="Times New Roman"/>
          <w:sz w:val="20"/>
        </w:rPr>
        <w:t xml:space="preserve"> </w:t>
      </w:r>
      <w:r>
        <w:rPr>
          <w:rFonts w:ascii="Times New Roman;serif" w:hAnsi="Times New Roman;serif"/>
          <w:b w:val="false"/>
          <w:sz w:val="20"/>
        </w:rPr>
        <w:t>million (2022</w:t>
      </w:r>
      <w:r>
        <w:rPr>
          <w:rFonts w:ascii="Times New Roman" w:hAnsi="Times New Roman"/>
          <w:sz w:val="20"/>
        </w:rPr>
        <w:t xml:space="preserve"> — </w:t>
      </w:r>
      <w:r>
        <w:rPr>
          <w:rFonts w:ascii="Times New Roman;serif" w:hAnsi="Times New Roman;serif"/>
          <w:b w:val="false"/>
          <w:sz w:val="20"/>
        </w:rPr>
        <w:t>$0.3</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in Finance Income related to the financed sales receivables in nonaccrual status.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160"/>
        <w:jc w:val="left"/>
        <w:rPr>
          <w:rFonts w:ascii="Times New Roman;serif" w:hAnsi="Times New Roman;serif"/>
          <w:b w:val="false"/>
          <w:sz w:val="20"/>
        </w:rPr>
      </w:pPr>
      <w:r>
        <w:rPr>
          <w:rFonts w:ascii="Times New Roman;serif" w:hAnsi="Times New Roman;serif"/>
          <w:b w:val="false"/>
          <w:sz w:val="20"/>
        </w:rPr>
        <w:t>The following tables summarize the activity in the allowance for credit losses related to the Company’s net investment in leases and financed sale receivables for the three and six months ended June 30, 2023 and 2022:</w:t>
      </w:r>
    </w:p>
    <w:tbl>
      <w:tblPr>
        <w:tblW w:w="9849" w:type="dxa"/>
        <w:jc w:val="left"/>
        <w:tblInd w:w="0" w:type="dxa"/>
        <w:tblLayout w:type="fixed"/>
        <w:tblCellMar>
          <w:top w:w="28" w:type="dxa"/>
          <w:left w:w="28" w:type="dxa"/>
          <w:bottom w:w="28" w:type="dxa"/>
          <w:right w:w="28" w:type="dxa"/>
        </w:tblCellMar>
      </w:tblPr>
      <w:tblGrid>
        <w:gridCol w:w="3271"/>
        <w:gridCol w:w="400"/>
        <w:gridCol w:w="800"/>
        <w:gridCol w:w="242"/>
        <w:gridCol w:w="212"/>
        <w:gridCol w:w="320"/>
        <w:gridCol w:w="1030"/>
        <w:gridCol w:w="166"/>
        <w:gridCol w:w="146"/>
        <w:gridCol w:w="399"/>
        <w:gridCol w:w="801"/>
        <w:gridCol w:w="224"/>
        <w:gridCol w:w="197"/>
        <w:gridCol w:w="321"/>
        <w:gridCol w:w="1029"/>
        <w:gridCol w:w="291"/>
      </w:tblGrid>
      <w:tr>
        <w:trPr/>
        <w:tc>
          <w:tcPr>
            <w:tcW w:w="3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30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42" w:type="dxa"/>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24" w:type="dxa"/>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Financed</w:t>
            </w:r>
          </w:p>
        </w:tc>
        <w:tc>
          <w:tcPr>
            <w:tcW w:w="291"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4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24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224"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net</w:t>
            </w:r>
          </w:p>
        </w:tc>
        <w:tc>
          <w:tcPr>
            <w:tcW w:w="40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40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4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righ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righ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4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30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42" w:type="dxa"/>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Financed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24" w:type="dxa"/>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Financed</w:t>
            </w:r>
          </w:p>
        </w:tc>
        <w:tc>
          <w:tcPr>
            <w:tcW w:w="291"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4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24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w:t>
            </w:r>
          </w:p>
        </w:tc>
        <w:tc>
          <w:tcPr>
            <w:tcW w:w="224"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provision, net</w:t>
            </w:r>
          </w:p>
        </w:tc>
        <w:tc>
          <w:tcPr>
            <w:tcW w:w="40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40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4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2" w:type="dxa"/>
            <w:tcBorders/>
            <w:vAlign w:val="center"/>
          </w:tcPr>
          <w:p>
            <w:pPr>
              <w:pStyle w:val="TableContents"/>
              <w:bidi w:val="0"/>
              <w:spacing w:before="0" w:after="0"/>
              <w:ind w:left="0" w:right="0" w:hanging="0"/>
              <w:jc w:val="righ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righ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4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righ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the Company’s allowance for current expected credit losses related to its net investment in leases and financed sale receivables decreased by $0.6</w:t>
      </w:r>
      <w:r>
        <w:rPr>
          <w:rFonts w:ascii="Times New Roman" w:hAnsi="Times New Roman"/>
          <w:sz w:val="20"/>
        </w:rPr>
        <w:t xml:space="preserve"> </w:t>
      </w:r>
      <w:r>
        <w:rPr>
          <w:rFonts w:ascii="Times New Roman;serif" w:hAnsi="Times New Roman;serif"/>
          <w:b w:val="false"/>
          <w:sz w:val="20"/>
        </w:rPr>
        <w:t>million and increased by less than $0.1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2022, the Company’s allowance for current expected credit losses related to its net investment in leases and financed sale receivables decreased by $0.1</w:t>
      </w:r>
      <w:r>
        <w:rPr>
          <w:rFonts w:ascii="Times New Roman" w:hAnsi="Times New Roman"/>
          <w:sz w:val="20"/>
        </w:rPr>
        <w:t xml:space="preserve"> </w:t>
      </w:r>
      <w:r>
        <w:rPr>
          <w:rFonts w:ascii="Times New Roman;serif" w:hAnsi="Times New Roman;serif"/>
          <w:b w:val="false"/>
          <w:sz w:val="20"/>
        </w:rPr>
        <w:t>million and increased by $5.5</w:t>
      </w:r>
      <w:r>
        <w:rPr>
          <w:rFonts w:ascii="Times New Roman" w:hAnsi="Times New Roman"/>
          <w:sz w:val="20"/>
        </w:rPr>
        <w:t xml:space="preserve"> </w:t>
      </w:r>
      <w:r>
        <w:rPr>
          <w:rFonts w:ascii="Times New Roman;serif" w:hAnsi="Times New Roman;serif"/>
          <w:b w:val="false"/>
          <w:sz w:val="20"/>
        </w:rPr>
        <w:t>million, respectively. The increase is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improved.</w:t>
      </w:r>
      <w:r>
        <w:rPr>
          <w:rFonts w:ascii="Times New Roman" w:hAnsi="Times New Roman"/>
          <w:sz w:val="20"/>
        </w:rPr>
        <w:t xml:space="preserve">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Variable Consideration Receivables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activity in the Allowance for Credit Losses related to Variable Consideration Receivables for the three and six months ended June 30, 2023 and 2022:</w:t>
      </w:r>
    </w:p>
    <w:tbl>
      <w:tblPr>
        <w:tblW w:w="8325" w:type="dxa"/>
        <w:jc w:val="left"/>
        <w:tblInd w:w="0" w:type="dxa"/>
        <w:tblLayout w:type="fixed"/>
        <w:tblCellMar>
          <w:top w:w="28" w:type="dxa"/>
          <w:left w:w="28" w:type="dxa"/>
          <w:bottom w:w="28" w:type="dxa"/>
          <w:right w:w="28" w:type="dxa"/>
        </w:tblCellMar>
      </w:tblPr>
      <w:tblGrid>
        <w:gridCol w:w="3271"/>
        <w:gridCol w:w="303"/>
        <w:gridCol w:w="605"/>
        <w:gridCol w:w="238"/>
        <w:gridCol w:w="209"/>
        <w:gridCol w:w="303"/>
        <w:gridCol w:w="605"/>
        <w:gridCol w:w="166"/>
        <w:gridCol w:w="146"/>
        <w:gridCol w:w="285"/>
        <w:gridCol w:w="571"/>
        <w:gridCol w:w="199"/>
        <w:gridCol w:w="175"/>
        <w:gridCol w:w="253"/>
        <w:gridCol w:w="685"/>
        <w:gridCol w:w="311"/>
      </w:tblGrid>
      <w:tr>
        <w:trPr/>
        <w:tc>
          <w:tcPr>
            <w:tcW w:w="3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9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center"/>
              <w:rPr/>
            </w:pPr>
            <w:r>
              <w:rPr/>
              <w:t> </w:t>
            </w:r>
          </w:p>
        </w:tc>
        <w:tc>
          <w:tcPr>
            <w:tcW w:w="9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center"/>
              <w:rPr/>
            </w:pPr>
            <w:r>
              <w:rPr/>
              <w:t> </w:t>
            </w:r>
          </w:p>
        </w:tc>
        <w:tc>
          <w:tcPr>
            <w:tcW w:w="9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left"/>
              <w:rPr/>
            </w:pPr>
            <w:r>
              <w:rPr/>
              <w:t> </w:t>
            </w:r>
          </w:p>
        </w:tc>
        <w:tc>
          <w:tcPr>
            <w:tcW w:w="9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left"/>
              <w:rPr/>
            </w:pPr>
            <w:r>
              <w:rPr/>
              <w:t> </w:t>
            </w:r>
          </w:p>
        </w:tc>
        <w:tc>
          <w:tcPr>
            <w:tcW w:w="9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238"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99"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w:t>
            </w:r>
          </w:p>
        </w:tc>
        <w:tc>
          <w:tcPr>
            <w:tcW w:w="31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provision (reversal), net</w:t>
            </w:r>
          </w:p>
        </w:tc>
        <w:tc>
          <w:tcPr>
            <w:tcW w:w="303"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238"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99"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303"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firstLine="100"/>
              <w:jc w:val="left"/>
              <w:rPr/>
            </w:pPr>
            <w:r>
              <w:rPr/>
              <w:t> </w:t>
            </w:r>
          </w:p>
        </w:tc>
      </w:tr>
      <w:tr>
        <w:trPr/>
        <w:tc>
          <w:tcPr>
            <w:tcW w:w="32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9"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the Company’s allowance for current expected credit losses related to Variable Consideration Receivables increased by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2022, the Company’s allowance for current expected credit losses related to Variable Consideration Receivables increased by $0.1</w:t>
      </w:r>
      <w:r>
        <w:rPr>
          <w:rFonts w:ascii="Times New Roman" w:hAnsi="Times New Roman"/>
          <w:sz w:val="20"/>
        </w:rPr>
        <w:t xml:space="preserve"> </w:t>
      </w:r>
      <w:r>
        <w:rPr>
          <w:rFonts w:ascii="Times New Roman;serif" w:hAnsi="Times New Roman;serif"/>
          <w:b w:val="false"/>
          <w:sz w:val="20"/>
        </w:rPr>
        <w:t>million and decreased by $0.6</w:t>
      </w:r>
      <w:r>
        <w:rPr>
          <w:rFonts w:ascii="Times New Roman" w:hAnsi="Times New Roman"/>
          <w:sz w:val="20"/>
        </w:rPr>
        <w:t xml:space="preserve"> </w:t>
      </w:r>
      <w:r>
        <w:rPr>
          <w:rFonts w:ascii="Times New Roman;serif" w:hAnsi="Times New Roman;serif"/>
          <w:b w:val="false"/>
          <w:sz w:val="20"/>
        </w:rPr>
        <w:t>million, respectively. This decrease is principally due to the reversal of provisions associated with the COVID-19 pandemic as the outlook for the theatrical exhibition industry in Domestic and Rest of World markets improved.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160"/>
        <w:jc w:val="left"/>
        <w:rPr>
          <w:rFonts w:ascii="Times New Roman;serif" w:hAnsi="Times New Roman;serif"/>
          <w:b/>
          <w:sz w:val="20"/>
        </w:rPr>
      </w:pPr>
      <w:r>
        <w:rPr>
          <w:rFonts w:ascii="Times New Roman;serif" w:hAnsi="Times New Roman;serif"/>
          <w:b/>
          <w:sz w:val="20"/>
        </w:rPr>
        <w:t>4. Lease Arrangements</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IMAX Corporation as a Lessee</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w:t>
      </w:r>
      <w:r>
        <w:rPr>
          <w:rFonts w:ascii="Times New Roman" w:hAnsi="Times New Roman"/>
          <w:sz w:val="20"/>
        </w:rPr>
        <w:t xml:space="preserve"> </w:t>
      </w:r>
      <w:r>
        <w:rPr>
          <w:rFonts w:ascii="Times New Roman;serif" w:hAnsi="Times New Roman;serif"/>
          <w:b w:val="false"/>
          <w:sz w:val="20"/>
        </w:rPr>
        <w:t>Most of the Company’s leases include one or more options to renew, with renewal terms that can extend</w:t>
      </w:r>
      <w:r>
        <w:rPr>
          <w:rFonts w:ascii="Times New Roman" w:hAnsi="Times New Roman"/>
          <w:sz w:val="20"/>
        </w:rPr>
        <w:t xml:space="preserve"> </w:t>
      </w:r>
      <w:r>
        <w:rPr>
          <w:rFonts w:ascii="Times New Roman;serif" w:hAnsi="Times New Roman;serif"/>
          <w:b w:val="false"/>
          <w:sz w:val="20"/>
        </w:rPr>
        <w:t>the lease term from one</w:t>
      </w:r>
      <w:r>
        <w:rPr>
          <w:rFonts w:ascii="Times New Roman" w:hAnsi="Times New Roman"/>
          <w:sz w:val="20"/>
        </w:rPr>
        <w:t xml:space="preserve"> </w:t>
      </w:r>
      <w:r>
        <w:rPr>
          <w:rFonts w:ascii="Times New Roman;serif" w:hAnsi="Times New Roman;serif"/>
          <w:b w:val="false"/>
          <w:sz w:val="20"/>
        </w:rPr>
        <w:t>to five years</w:t>
      </w:r>
      <w:r>
        <w:rPr>
          <w:rFonts w:ascii="Times New Roman" w:hAnsi="Times New Roman"/>
          <w:sz w:val="20"/>
        </w:rPr>
        <w:t xml:space="preserve"> </w:t>
      </w:r>
      <w:r>
        <w:rPr>
          <w:rFonts w:ascii="Times New Roman;serif" w:hAnsi="Times New Roman;serif"/>
          <w:b w:val="false"/>
          <w:sz w:val="20"/>
        </w:rPr>
        <w:t>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w:t>
      </w:r>
      <w:r>
        <w:rPr>
          <w:rFonts w:ascii="Times New Roman" w:hAnsi="Times New Roman"/>
          <w:sz w:val="20"/>
        </w:rPr>
        <w:t xml:space="preserve"> </w:t>
      </w:r>
      <w:r>
        <w:rPr>
          <w:rFonts w:ascii="Times New Roman;serif" w:hAnsi="Times New Roman;serif"/>
          <w:b w:val="false"/>
          <w:sz w:val="20"/>
        </w:rPr>
        <w:t>The incremental borrowing rate used in the calculation of the Company’s lease liabilities is based on the location of each leased property.</w:t>
      </w:r>
      <w:r>
        <w:rPr>
          <w:rFonts w:ascii="Times New Roman" w:hAnsi="Times New Roman"/>
          <w:sz w:val="20"/>
        </w:rPr>
        <w:t xml:space="preserve"> </w:t>
      </w:r>
      <w:r>
        <w:rPr>
          <w:rFonts w:ascii="Times New Roman;serif" w:hAnsi="Times New Roman;serif"/>
          <w:b w:val="false"/>
          <w:sz w:val="20"/>
        </w:rPr>
        <w:t>None</w:t>
      </w:r>
      <w:r>
        <w:rPr>
          <w:rFonts w:ascii="Times New Roman" w:hAnsi="Times New Roman"/>
          <w:sz w:val="20"/>
        </w:rPr>
        <w:t xml:space="preserve"> </w:t>
      </w:r>
      <w:r>
        <w:rPr>
          <w:rFonts w:ascii="Times New Roman;serif" w:hAnsi="Times New Roman;serif"/>
          <w:b w:val="false"/>
          <w:sz w:val="20"/>
        </w:rPr>
        <w:t>of the Company’s leases include options to purchase the leased property. The depreciable lives of right-of-use assets and related leasehold improvements are limited by the expected lease term. The Company’s lease agreements do not contain any material residual value guarantees</w:t>
      </w:r>
      <w:r>
        <w:rPr>
          <w:rFonts w:ascii="Times New Roman" w:hAnsi="Times New Roman"/>
          <w:sz w:val="20"/>
        </w:rPr>
        <w:t xml:space="preserve"> </w:t>
      </w:r>
      <w:r>
        <w:rPr>
          <w:rFonts w:ascii="Times New Roman;serif" w:hAnsi="Times New Roman;serif"/>
          <w:b w:val="false"/>
          <w:sz w:val="20"/>
        </w:rPr>
        <w:t>or material restrictive covenants. The Company rents or subleases certain office space to third parties, which have a remaining term of less than 12 months and are not expected to be renewed.</w:t>
      </w:r>
    </w:p>
    <w:p>
      <w:pPr>
        <w:pStyle w:val="TextBody"/>
        <w:bidi w:val="0"/>
        <w:spacing w:before="200" w:after="0"/>
        <w:jc w:val="both"/>
        <w:rPr>
          <w:rFonts w:ascii="Times New Roman" w:hAnsi="Times New Roman"/>
          <w:sz w:val="20"/>
        </w:rPr>
      </w:pPr>
      <w:r>
        <w:rPr>
          <w:rFonts w:ascii="Times New Roman;serif" w:hAnsi="Times New Roman;serif"/>
          <w:b w:val="false"/>
          <w:sz w:val="20"/>
        </w:rPr>
        <w:t>In the second quarter of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 No</w:t>
      </w:r>
      <w:r>
        <w:rPr>
          <w:rFonts w:ascii="Times New Roman" w:hAnsi="Times New Roman"/>
          <w:sz w:val="20"/>
        </w:rPr>
        <w:t xml:space="preserve"> </w:t>
      </w:r>
      <w:r>
        <w:rPr>
          <w:rFonts w:ascii="Times New Roman;serif" w:hAnsi="Times New Roman;serif"/>
          <w:b w:val="false"/>
          <w:sz w:val="20"/>
        </w:rPr>
        <w:t>finance lease costs were recorded during the three and six months ended June 30, 2022 as the lease commencement dates occurred at the end of the second quarter in 2022.</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For the three and six months ended June 30, 2023 and 2022, the components of lease expense recorded within Selling, General and Administrative Expenses are as follows:</w:t>
      </w:r>
    </w:p>
    <w:tbl>
      <w:tblPr>
        <w:tblW w:w="8257" w:type="dxa"/>
        <w:jc w:val="left"/>
        <w:tblInd w:w="0" w:type="dxa"/>
        <w:tblLayout w:type="fixed"/>
        <w:tblCellMar>
          <w:top w:w="28" w:type="dxa"/>
          <w:left w:w="28" w:type="dxa"/>
          <w:bottom w:w="28" w:type="dxa"/>
          <w:right w:w="28" w:type="dxa"/>
        </w:tblCellMar>
      </w:tblPr>
      <w:tblGrid>
        <w:gridCol w:w="3196"/>
        <w:gridCol w:w="146"/>
        <w:gridCol w:w="238"/>
        <w:gridCol w:w="646"/>
        <w:gridCol w:w="165"/>
        <w:gridCol w:w="165"/>
        <w:gridCol w:w="165"/>
        <w:gridCol w:w="238"/>
        <w:gridCol w:w="646"/>
        <w:gridCol w:w="146"/>
        <w:gridCol w:w="146"/>
        <w:gridCol w:w="218"/>
        <w:gridCol w:w="590"/>
        <w:gridCol w:w="151"/>
        <w:gridCol w:w="151"/>
        <w:gridCol w:w="151"/>
        <w:gridCol w:w="218"/>
        <w:gridCol w:w="590"/>
        <w:gridCol w:w="2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9"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884" w:type="dxa"/>
            <w:gridSpan w:val="2"/>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88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operating lease assets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1,362</w:t>
            </w:r>
          </w:p>
        </w:tc>
        <w:tc>
          <w:tcPr>
            <w:tcW w:w="291" w:type="dxa"/>
            <w:tcBorders/>
            <w:vAlign w:val="center"/>
          </w:tcPr>
          <w:p>
            <w:pPr>
              <w:pStyle w:val="TableContents"/>
              <w:bidi w:val="0"/>
              <w:spacing w:before="0" w:after="0"/>
              <w:ind w:left="0" w:right="0" w:firstLine="100"/>
              <w:jc w:val="lef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on operating lease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291" w:type="dxa"/>
            <w:tcBorders/>
            <w:vAlign w:val="center"/>
          </w:tcPr>
          <w:p>
            <w:pPr>
              <w:pStyle w:val="TableContents"/>
              <w:bidi w:val="0"/>
              <w:spacing w:before="0" w:after="0"/>
              <w:ind w:left="0" w:right="0" w:firstLine="100"/>
              <w:jc w:val="lef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Short-term and variable lease costs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884" w:type="dxa"/>
            <w:gridSpan w:val="2"/>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88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finance lease assets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884"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vAlign w:val="center"/>
          </w:tcPr>
          <w:p>
            <w:pPr>
              <w:pStyle w:val="TableContents"/>
              <w:bidi w:val="0"/>
              <w:spacing w:before="0" w:after="0"/>
              <w:ind w:left="0" w:right="0" w:firstLine="100"/>
              <w:jc w:val="right"/>
              <w:rPr/>
            </w:pPr>
            <w:r>
              <w:rPr/>
              <w:t> </w:t>
            </w:r>
          </w:p>
        </w:tc>
      </w:tr>
      <w:tr>
        <w:trPr/>
        <w:tc>
          <w:tcPr>
            <w:tcW w:w="31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on finance lease liabilities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10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w:t>
            </w:r>
          </w:p>
        </w:tc>
        <w:tc>
          <w:tcPr>
            <w:tcW w:w="1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righ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2023 and 2022, supplemental cash and non-cash information related to leases is as follows:</w:t>
      </w:r>
    </w:p>
    <w:p>
      <w:pPr>
        <w:pStyle w:val="TextBody"/>
        <w:bidi w:val="0"/>
        <w:spacing w:before="0" w:after="0"/>
        <w:jc w:val="both"/>
        <w:rPr/>
      </w:pPr>
      <w:r>
        <w:rPr/>
        <w:t> </w:t>
      </w:r>
    </w:p>
    <w:tbl>
      <w:tblPr>
        <w:tblW w:w="8410" w:type="dxa"/>
        <w:jc w:val="left"/>
        <w:tblInd w:w="0" w:type="dxa"/>
        <w:tblLayout w:type="fixed"/>
        <w:tblCellMar>
          <w:top w:w="28" w:type="dxa"/>
          <w:left w:w="28" w:type="dxa"/>
          <w:bottom w:w="28" w:type="dxa"/>
          <w:right w:w="28" w:type="dxa"/>
        </w:tblCellMar>
      </w:tblPr>
      <w:tblGrid>
        <w:gridCol w:w="5971"/>
        <w:gridCol w:w="211"/>
        <w:gridCol w:w="146"/>
        <w:gridCol w:w="571"/>
        <w:gridCol w:w="146"/>
        <w:gridCol w:w="146"/>
        <w:gridCol w:w="211"/>
        <w:gridCol w:w="146"/>
        <w:gridCol w:w="571"/>
        <w:gridCol w:w="291"/>
      </w:tblGrid>
      <w:tr>
        <w:trPr/>
        <w:tc>
          <w:tcPr>
            <w:tcW w:w="5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0"/>
              <w:ind w:left="0" w:right="0" w:hanging="0"/>
              <w:jc w:val="left"/>
              <w:rPr/>
            </w:pPr>
            <w:r>
              <w:rPr/>
              <w:t> </w:t>
            </w:r>
          </w:p>
        </w:tc>
        <w:tc>
          <w:tcPr>
            <w:tcW w:w="214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leasing activities:</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Right-of-use assets obtained in exchange for operating lease obligations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Right-of-use assets obtained in exchange for finance lease obligations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and December 31, 2022, supplemental balance sheet information related to leases is as follows:</w:t>
      </w:r>
    </w:p>
    <w:p>
      <w:pPr>
        <w:pStyle w:val="TextBody"/>
        <w:bidi w:val="0"/>
        <w:spacing w:before="0" w:after="0"/>
        <w:jc w:val="both"/>
        <w:rPr/>
      </w:pPr>
      <w:r>
        <w:rPr/>
        <w:t> </w:t>
      </w:r>
    </w:p>
    <w:tbl>
      <w:tblPr>
        <w:tblW w:w="8058" w:type="dxa"/>
        <w:jc w:val="left"/>
        <w:tblInd w:w="0" w:type="dxa"/>
        <w:tblLayout w:type="fixed"/>
        <w:tblCellMar>
          <w:top w:w="28" w:type="dxa"/>
          <w:left w:w="28" w:type="dxa"/>
          <w:bottom w:w="28" w:type="dxa"/>
          <w:right w:w="28" w:type="dxa"/>
        </w:tblCellMar>
      </w:tblPr>
      <w:tblGrid>
        <w:gridCol w:w="2881"/>
        <w:gridCol w:w="2566"/>
        <w:gridCol w:w="146"/>
        <w:gridCol w:w="211"/>
        <w:gridCol w:w="676"/>
        <w:gridCol w:w="146"/>
        <w:gridCol w:w="146"/>
        <w:gridCol w:w="260"/>
        <w:gridCol w:w="835"/>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5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Sheet Location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w:t>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25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Sheet Location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Finance lease liabilities</w:t>
            </w:r>
            <w:r>
              <w:rPr>
                <w:rFonts w:ascii="Times New Roman;serif" w:hAnsi="Times New Roman;serif"/>
                <w:b w:val="false"/>
                <w:sz w:val="13"/>
              </w:rPr>
              <w:t>(1)</w:t>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sz w:val="20"/>
        </w:rPr>
      </w:pPr>
      <w:r>
        <w:rPr>
          <w:rFonts w:ascii="Times New Roman;serif" w:hAnsi="Times New Roman;serif"/>
          <w:b w:val="false"/>
          <w:sz w:val="20"/>
        </w:rPr>
        <w:t>Recorded net of a $0.9</w:t>
      </w:r>
      <w:r>
        <w:rPr>
          <w:rFonts w:ascii="Times New Roman;serif" w:hAnsi="Times New Roman;serif"/>
          <w:sz w:val="20"/>
        </w:rPr>
        <w:t xml:space="preserve"> </w:t>
      </w:r>
      <w:r>
        <w:rPr>
          <w:rFonts w:ascii="Times New Roman;serif" w:hAnsi="Times New Roman;serif"/>
          <w:b w:val="false"/>
          <w:sz w:val="20"/>
        </w:rPr>
        <w:t>million upfront payment made upon execution of the finance lease arrangement.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and December 31, 2022, the weighted-average remaining lease term and weighted-average interest rate associated with the Company’s leases are as follows:</w:t>
      </w:r>
      <w:r>
        <w:rPr>
          <w:rFonts w:ascii="Times New Roman" w:hAnsi="Times New Roman"/>
          <w:sz w:val="20"/>
        </w:rPr>
        <w:t xml:space="preserve"> </w:t>
      </w:r>
    </w:p>
    <w:p>
      <w:pPr>
        <w:pStyle w:val="TextBody"/>
        <w:bidi w:val="0"/>
        <w:spacing w:before="0" w:after="0"/>
        <w:jc w:val="both"/>
        <w:rPr/>
      </w:pPr>
      <w:r>
        <w:rPr/>
        <w:t> </w:t>
      </w:r>
    </w:p>
    <w:tbl>
      <w:tblPr>
        <w:tblW w:w="6459" w:type="dxa"/>
        <w:jc w:val="left"/>
        <w:tblInd w:w="0" w:type="dxa"/>
        <w:tblLayout w:type="fixed"/>
        <w:tblCellMar>
          <w:top w:w="28" w:type="dxa"/>
          <w:left w:w="28" w:type="dxa"/>
          <w:bottom w:w="28" w:type="dxa"/>
          <w:right w:w="28" w:type="dxa"/>
        </w:tblCellMar>
      </w:tblPr>
      <w:tblGrid>
        <w:gridCol w:w="2050"/>
        <w:gridCol w:w="1865"/>
        <w:gridCol w:w="146"/>
        <w:gridCol w:w="207"/>
        <w:gridCol w:w="513"/>
        <w:gridCol w:w="146"/>
        <w:gridCol w:w="146"/>
        <w:gridCol w:w="314"/>
        <w:gridCol w:w="781"/>
        <w:gridCol w:w="291"/>
      </w:tblGrid>
      <w:tr>
        <w:trPr/>
        <w:tc>
          <w:tcPr>
            <w:tcW w:w="205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0" w:type="dxa"/>
            <w:tcBorders/>
            <w:vAlign w:val="center"/>
          </w:tcPr>
          <w:p>
            <w:pPr>
              <w:pStyle w:val="TableContents"/>
              <w:bidi w:val="0"/>
              <w:spacing w:before="0" w:after="0"/>
              <w:ind w:left="0" w:right="0" w:hanging="0"/>
              <w:jc w:val="left"/>
              <w:rPr/>
            </w:pPr>
            <w:r>
              <w:rPr/>
              <w:t> </w:t>
            </w:r>
          </w:p>
        </w:tc>
        <w:tc>
          <w:tcPr>
            <w:tcW w:w="18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1" w:type="dxa"/>
            <w:tcBorders/>
            <w:vAlign w:val="center"/>
          </w:tcPr>
          <w:p>
            <w:pPr>
              <w:pStyle w:val="TableContents"/>
              <w:bidi w:val="0"/>
              <w:spacing w:before="0" w:after="0"/>
              <w:ind w:left="0" w:right="0" w:hanging="0"/>
              <w:jc w:val="center"/>
              <w:rPr/>
            </w:pPr>
            <w:r>
              <w:rPr/>
              <w:t> </w:t>
            </w:r>
          </w:p>
        </w:tc>
      </w:tr>
      <w:tr>
        <w:trPr/>
        <w:tc>
          <w:tcPr>
            <w:tcW w:w="2050" w:type="dxa"/>
            <w:tcBorders/>
            <w:vAlign w:val="center"/>
          </w:tcPr>
          <w:p>
            <w:pPr>
              <w:pStyle w:val="TableContents"/>
              <w:bidi w:val="0"/>
              <w:spacing w:before="0" w:after="0"/>
              <w:ind w:left="0" w:right="0" w:hanging="0"/>
              <w:jc w:val="left"/>
              <w:rPr/>
            </w:pPr>
            <w:r>
              <w:rPr/>
              <w:t> </w:t>
            </w:r>
          </w:p>
        </w:tc>
        <w:tc>
          <w:tcPr>
            <w:tcW w:w="18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915" w:type="dxa"/>
            <w:gridSpan w:val="2"/>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remaining lease term (years)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915" w:type="dxa"/>
            <w:gridSpan w:val="2"/>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91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915" w:type="dxa"/>
            <w:gridSpan w:val="2"/>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remaining lease term (years)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915" w:type="dxa"/>
            <w:gridSpan w:val="2"/>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June 30, 2023, the maturities of the Company’s operating and finance lease liabilities are as follows:</w:t>
      </w:r>
    </w:p>
    <w:p>
      <w:pPr>
        <w:pStyle w:val="TextBody"/>
        <w:bidi w:val="0"/>
        <w:spacing w:before="0" w:after="0"/>
        <w:jc w:val="both"/>
        <w:rPr/>
      </w:pPr>
      <w:r>
        <w:rPr/>
        <w:t> </w:t>
      </w:r>
    </w:p>
    <w:tbl>
      <w:tblPr>
        <w:tblW w:w="5905" w:type="dxa"/>
        <w:jc w:val="left"/>
        <w:tblInd w:w="0" w:type="dxa"/>
        <w:tblLayout w:type="fixed"/>
        <w:tblCellMar>
          <w:top w:w="28" w:type="dxa"/>
          <w:left w:w="28" w:type="dxa"/>
          <w:bottom w:w="28" w:type="dxa"/>
          <w:right w:w="28" w:type="dxa"/>
        </w:tblCellMar>
      </w:tblPr>
      <w:tblGrid>
        <w:gridCol w:w="2686"/>
        <w:gridCol w:w="146"/>
        <w:gridCol w:w="324"/>
        <w:gridCol w:w="1041"/>
        <w:gridCol w:w="166"/>
        <w:gridCol w:w="146"/>
        <w:gridCol w:w="320"/>
        <w:gridCol w:w="865"/>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(six months remaining)</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 expense</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IMAX Corporation as a Lessor</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w:t>
      </w:r>
      <w:r>
        <w:rPr>
          <w:rFonts w:ascii="Times New Roman" w:hAnsi="Times New Roman"/>
          <w:sz w:val="20"/>
        </w:rPr>
        <w:t xml:space="preserve"> </w:t>
      </w:r>
      <w:r>
        <w:rPr>
          <w:rFonts w:ascii="Times New Roman;serif" w:hAnsi="Times New Roman;serif"/>
          <w:b w:val="false"/>
          <w:sz w:val="20"/>
        </w:rPr>
        <w:t>The customer’s rights under the Company’s sales-type lease arrangements are described in Note 3(o) of the Company’s audited Consolidated Financial Statements included in its 2022</w:t>
      </w:r>
      <w:r>
        <w:rPr>
          <w:rFonts w:ascii="Times New Roman" w:hAnsi="Times New Roman"/>
          <w:sz w:val="20"/>
        </w:rPr>
        <w:t xml:space="preserve"> </w:t>
      </w:r>
      <w:r>
        <w:rPr>
          <w:rFonts w:ascii="Times New Roman;serif" w:hAnsi="Times New Roman;serif"/>
          <w:b w:val="false"/>
          <w:sz w:val="20"/>
        </w:rPr>
        <w:t>Form 10-K. Under the Company’s sales-type lease arrangements, the customer has the ability and the right to operate the hardware components or direct others to operate them in a manner determined by the customer. The Company’s lease portfolio terms are typically non-cancellable for 10</w:t>
      </w:r>
      <w:r>
        <w:rPr>
          <w:rFonts w:ascii="Times New Roman" w:hAnsi="Times New Roman"/>
          <w:sz w:val="20"/>
        </w:rPr>
        <w:t xml:space="preserve"> </w:t>
      </w:r>
      <w:r>
        <w:rPr>
          <w:rFonts w:ascii="Times New Roman;serif" w:hAnsi="Times New Roman;serif"/>
          <w:b w:val="false"/>
          <w:sz w:val="20"/>
        </w:rPr>
        <w:t>years or longer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w:t>
      </w:r>
      <w:r>
        <w:rPr>
          <w:rFonts w:ascii="Times New Roman" w:hAnsi="Times New Roman"/>
          <w:sz w:val="20"/>
        </w:rPr>
        <w:t xml:space="preserve"> </w:t>
      </w:r>
      <w:r>
        <w:rPr>
          <w:rFonts w:ascii="Times New Roman;serif" w:hAnsi="Times New Roman;serif"/>
          <w:b w:val="false"/>
          <w:sz w:val="20"/>
        </w:rPr>
        <w:t>are typically non-cancellable for 10</w:t>
      </w:r>
      <w:r>
        <w:rPr>
          <w:rFonts w:ascii="Times New Roman" w:hAnsi="Times New Roman"/>
          <w:sz w:val="20"/>
        </w:rPr>
        <w:t xml:space="preserve"> </w:t>
      </w:r>
      <w:r>
        <w:rPr>
          <w:rFonts w:ascii="Times New Roman;serif" w:hAnsi="Times New Roman;serif"/>
          <w:b w:val="false"/>
          <w:sz w:val="20"/>
        </w:rPr>
        <w:t>years or longer</w:t>
      </w:r>
      <w:r>
        <w:rPr>
          <w:rFonts w:ascii="Times New Roman" w:hAnsi="Times New Roman"/>
          <w:sz w:val="20"/>
        </w:rPr>
        <w:t xml:space="preserve"> </w:t>
      </w:r>
      <w:r>
        <w:rPr>
          <w:rFonts w:ascii="Times New Roman;serif" w:hAnsi="Times New Roman;serif"/>
          <w:b w:val="false"/>
          <w:sz w:val="20"/>
        </w:rPr>
        <w:t>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lease payments are expected to be received by the Company for its sales-type leases and joint revenue sharing arrangements in each of the next five years and thereafter following the June 30, 2023 balance sheet date:</w:t>
      </w:r>
    </w:p>
    <w:tbl>
      <w:tblPr>
        <w:tblW w:w="5732"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583"/>
        <w:gridCol w:w="1172"/>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Sales-Type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Joint Revenue</w:t>
            </w:r>
          </w:p>
        </w:tc>
        <w:tc>
          <w:tcPr>
            <w:tcW w:w="191"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Sharing Arrangements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(six months remaining)</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5. Inventories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As of June 30, 2023 and December 31, 2022, Inventories consist of the following:</w:t>
      </w:r>
    </w:p>
    <w:tbl>
      <w:tblPr>
        <w:tblW w:w="4832" w:type="dxa"/>
        <w:jc w:val="left"/>
        <w:tblInd w:w="0" w:type="dxa"/>
        <w:tblLayout w:type="fixed"/>
        <w:tblCellMar>
          <w:top w:w="28" w:type="dxa"/>
          <w:left w:w="28" w:type="dxa"/>
          <w:bottom w:w="28" w:type="dxa"/>
          <w:right w:w="28" w:type="dxa"/>
        </w:tblCellMar>
      </w:tblPr>
      <w:tblGrid>
        <w:gridCol w:w="2221"/>
        <w:gridCol w:w="146"/>
        <w:gridCol w:w="211"/>
        <w:gridCol w:w="676"/>
        <w:gridCol w:w="146"/>
        <w:gridCol w:w="146"/>
        <w:gridCol w:w="260"/>
        <w:gridCol w:w="835"/>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25,365</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Inventories include finished goods of $5.3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$3.5</w:t>
      </w:r>
      <w:r>
        <w:rPr>
          <w:rFonts w:ascii="Times New Roman" w:hAnsi="Times New Roman"/>
          <w:sz w:val="20"/>
        </w:rPr>
        <w:t xml:space="preserve"> </w:t>
      </w:r>
      <w:r>
        <w:rPr>
          <w:rFonts w:ascii="Times New Roman;serif" w:hAnsi="Times New Roman;serif"/>
          <w:b w:val="false"/>
          <w:sz w:val="20"/>
        </w:rPr>
        <w:t>million) for which title had passed to the customer, but the criteria for revenue recognition were not met as of the balance sheet date.</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three and six months ended June 30, 2023, the Company had recorded write-downs of $0.1</w:t>
      </w:r>
      <w:r>
        <w:rPr>
          <w:rFonts w:ascii="Times New Roman" w:hAnsi="Times New Roman"/>
          <w:sz w:val="20"/>
        </w:rPr>
        <w:t xml:space="preserve"> </w:t>
      </w:r>
      <w:r>
        <w:rPr>
          <w:rFonts w:ascii="Times New Roman;serif" w:hAnsi="Times New Roman;serif"/>
          <w:b w:val="false"/>
          <w:sz w:val="20"/>
        </w:rPr>
        <w:t>million (2022 — $0.3</w:t>
      </w:r>
      <w:r>
        <w:rPr>
          <w:rFonts w:ascii="Times New Roman" w:hAnsi="Times New Roman"/>
          <w:sz w:val="20"/>
        </w:rPr>
        <w:t xml:space="preserve"> </w:t>
      </w:r>
      <w:r>
        <w:rPr>
          <w:rFonts w:ascii="Times New Roman;serif" w:hAnsi="Times New Roman;serif"/>
          <w:b w:val="false"/>
          <w:sz w:val="20"/>
        </w:rPr>
        <w:t>million) in Costs and Expenses Applicable to Revenues ― Technology Sales.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6. Borrowings</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Revolving Credit Facility Borrowings, Net</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As of June 30, 2023 and December 31, 2022, Revolving Credit Facility Borrowings, Net includes the following:</w:t>
      </w:r>
    </w:p>
    <w:tbl>
      <w:tblPr>
        <w:tblW w:w="6161" w:type="dxa"/>
        <w:jc w:val="left"/>
        <w:tblInd w:w="0" w:type="dxa"/>
        <w:tblLayout w:type="fixed"/>
        <w:tblCellMar>
          <w:top w:w="28" w:type="dxa"/>
          <w:left w:w="28" w:type="dxa"/>
          <w:bottom w:w="28" w:type="dxa"/>
          <w:right w:w="28" w:type="dxa"/>
        </w:tblCellMar>
      </w:tblPr>
      <w:tblGrid>
        <w:gridCol w:w="3556"/>
        <w:gridCol w:w="211"/>
        <w:gridCol w:w="676"/>
        <w:gridCol w:w="166"/>
        <w:gridCol w:w="146"/>
        <w:gridCol w:w="260"/>
        <w:gridCol w:w="835"/>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11" w:type="dxa"/>
            <w:tcBorders/>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Wells Fargo Credit Facility borrowings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HSBC China Facility borrowings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Bank of China Facility borrowings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issuance costs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(1,759</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Revolving Credit Facility Borrowings, net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36,111</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Wells Fargo Credit Agreement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pStyle w:val="TextBody"/>
        <w:bidi w:val="0"/>
        <w:spacing w:before="200" w:after="0"/>
        <w:jc w:val="both"/>
        <w:rPr>
          <w:rFonts w:ascii="Times New Roman" w:hAnsi="Times New Roman"/>
          <w:sz w:val="20"/>
        </w:rPr>
      </w:pPr>
      <w:r>
        <w:rPr>
          <w:rFonts w:ascii="Times New Roman;serif" w:hAnsi="Times New Roman;serif"/>
          <w:b w:val="false"/>
          <w:sz w:val="20"/>
        </w:rPr>
        <w:t>The Credit Agreement has a revolving borrowing capacity of $300.0</w:t>
      </w:r>
      <w:r>
        <w:rPr>
          <w:rFonts w:ascii="Times New Roman" w:hAnsi="Times New Roman"/>
          <w:sz w:val="20"/>
        </w:rPr>
        <w:t xml:space="preserve"> </w:t>
      </w:r>
      <w:r>
        <w:rPr>
          <w:rFonts w:ascii="Times New Roman;serif" w:hAnsi="Times New Roman;serif"/>
          <w:b w:val="false"/>
          <w:sz w:val="20"/>
        </w:rPr>
        <w:t>million, and contains an uncommitted accordion feature allowing the Company to further increase its borrowing capacity by the greater of $140.0</w:t>
      </w:r>
      <w:r>
        <w:rPr>
          <w:rFonts w:ascii="Times New Roman" w:hAnsi="Times New Roman"/>
          <w:sz w:val="20"/>
        </w:rPr>
        <w:t xml:space="preserve"> </w:t>
      </w:r>
      <w:r>
        <w:rPr>
          <w:rFonts w:ascii="Times New Roman;serif" w:hAnsi="Times New Roman;serif"/>
          <w:b w:val="false"/>
          <w:sz w:val="20"/>
        </w:rPr>
        <w:t>million, for a total of $440.0</w:t>
      </w:r>
      <w:r>
        <w:rPr>
          <w:rFonts w:ascii="Times New Roman" w:hAnsi="Times New Roman"/>
          <w:sz w:val="20"/>
        </w:rPr>
        <w:t xml:space="preserve"> </w:t>
      </w:r>
      <w:r>
        <w:rPr>
          <w:rFonts w:ascii="Times New Roman;serif" w:hAnsi="Times New Roman;serif"/>
          <w:b w:val="false"/>
          <w:sz w:val="20"/>
        </w:rPr>
        <w:t>million, or by the Company’s EBITDA for the sum of the four most recently ended fiscal quarters, subject to certain conditions, depending on the mix of revolving loans and/or term loans under the incremental facility and subject to conditions set forth in the Credit Agreement.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Credit Facility requires that the Company maintain a maximum Senior Secured Net Leverage Ratio (as defined in the Credit Agreement) of no greater than 3.25:1.00, on the last day of each Fiscal Quarter.</w:t>
      </w:r>
      <w:r>
        <w:rPr>
          <w:rFonts w:ascii="Times New Roman" w:hAnsi="Times New Roman"/>
          <w:sz w:val="20"/>
        </w:rPr>
        <w:t xml:space="preserve"> </w:t>
      </w:r>
      <w:r>
        <w:rPr>
          <w:rFonts w:ascii="Times New Roman;serif" w:hAnsi="Times New Roman;serif"/>
          <w:b w:val="false"/>
          <w:sz w:val="20"/>
        </w:rPr>
        <w:t>The Senior Secured Net Leverage Ratio is the ratio of Total Debt (as defined in the Credit Agreement), secured by liens, net of unrestricted cash and cash equivalents held outside of the People’s Republic of China (“the PRC”) to a maximum of $75.0</w:t>
      </w:r>
      <w:r>
        <w:rPr>
          <w:rFonts w:ascii="Times New Roman" w:hAnsi="Times New Roman"/>
          <w:sz w:val="20"/>
        </w:rPr>
        <w:t xml:space="preserve"> </w:t>
      </w:r>
      <w:r>
        <w:rPr>
          <w:rFonts w:ascii="Times New Roman;serif" w:hAnsi="Times New Roman;serif"/>
          <w:b w:val="false"/>
          <w:sz w:val="20"/>
        </w:rPr>
        <w:t>million, relative to Adjusted EBITDA per Credit Facility for the four prior quarters. The Senior Secured Net Leverage Ratio is calculated using Adjusted EBITDA per Credit Facility determined on a trailing twelve-month basis. The Company was in compliance with this requirement as of June 30, 2023</w:t>
      </w:r>
      <w:r>
        <w:rPr>
          <w:rFonts w:ascii="Times New Roman" w:hAnsi="Times New Roman"/>
          <w:sz w:val="20"/>
        </w:rPr>
        <w:t xml:space="preserve"> </w:t>
      </w:r>
      <w:r>
        <w:rPr>
          <w:rFonts w:ascii="Times New Roman;serif" w:hAnsi="Times New Roman;serif"/>
          <w:b w:val="false"/>
          <w:sz w:val="20"/>
        </w:rPr>
        <w:t>as the Senior Secured Net Leverage Ratio was 0.00:1.00.</w:t>
      </w:r>
    </w:p>
    <w:p>
      <w:pPr>
        <w:pStyle w:val="TextBody"/>
        <w:bidi w:val="0"/>
        <w:spacing w:before="200" w:after="0"/>
        <w:jc w:val="both"/>
        <w:rPr>
          <w:rFonts w:ascii="Times New Roman" w:hAnsi="Times New Roman"/>
          <w:sz w:val="20"/>
        </w:rPr>
      </w:pPr>
      <w:r>
        <w:rPr>
          <w:rFonts w:ascii="Times New Roman;serif" w:hAnsi="Times New Roman;serif"/>
          <w:b w:val="false"/>
          <w:sz w:val="20"/>
        </w:rPr>
        <w:t>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borrowings under the Credit Facility were $20.0</w:t>
      </w:r>
      <w:r>
        <w:rPr>
          <w:rFonts w:ascii="Times New Roman" w:hAnsi="Times New Roman"/>
          <w:sz w:val="20"/>
        </w:rPr>
        <w:t xml:space="preserve"> </w:t>
      </w:r>
      <w:r>
        <w:rPr>
          <w:rFonts w:ascii="Times New Roman;serif" w:hAnsi="Times New Roman;serif"/>
          <w:b w:val="false"/>
          <w:sz w:val="20"/>
        </w:rPr>
        <w:t>million (December 31, 2022</w:t>
      </w:r>
      <w:r>
        <w:rPr>
          <w:rFonts w:ascii="Times New Roman" w:hAnsi="Times New Roman"/>
          <w:sz w:val="20"/>
        </w:rPr>
        <w:t xml:space="preserve"> — </w:t>
      </w:r>
      <w:r>
        <w:rPr>
          <w:rFonts w:ascii="Times New Roman;serif" w:hAnsi="Times New Roman;serif"/>
          <w:b w:val="false"/>
          <w:sz w:val="20"/>
        </w:rPr>
        <w:t>$25.0</w:t>
      </w:r>
      <w:r>
        <w:rPr>
          <w:rFonts w:ascii="Times New Roman" w:hAnsi="Times New Roman"/>
          <w:sz w:val="20"/>
        </w:rPr>
        <w:t xml:space="preserve"> </w:t>
      </w:r>
      <w:r>
        <w:rPr>
          <w:rFonts w:ascii="Times New Roman;serif" w:hAnsi="Times New Roman;serif"/>
          <w:b w:val="false"/>
          <w:sz w:val="20"/>
        </w:rPr>
        <w:t>million) and bear interest at Term SOFR, plus a margin of 1.75% per annum based on the Company’s total leverage ratio. The effective interest rate for the three and six months ended June 30, 2023</w:t>
      </w:r>
      <w:r>
        <w:rPr>
          <w:rFonts w:ascii="Times New Roman" w:hAnsi="Times New Roman"/>
          <w:sz w:val="20"/>
        </w:rPr>
        <w:t xml:space="preserve"> </w:t>
      </w:r>
      <w:r>
        <w:rPr>
          <w:rFonts w:ascii="Times New Roman;serif" w:hAnsi="Times New Roman;serif"/>
          <w:b w:val="false"/>
          <w:sz w:val="20"/>
        </w:rPr>
        <w:t>was 6.85% and 6.59%. There were no</w:t>
      </w:r>
      <w:r>
        <w:rPr>
          <w:rFonts w:ascii="Times New Roman" w:hAnsi="Times New Roman"/>
          <w:sz w:val="20"/>
        </w:rPr>
        <w:t xml:space="preserve"> </w:t>
      </w:r>
      <w:r>
        <w:rPr>
          <w:rFonts w:ascii="Times New Roman;serif" w:hAnsi="Times New Roman;serif"/>
          <w:b w:val="false"/>
          <w:sz w:val="20"/>
        </w:rPr>
        <w:t>amounts drawn under the Credit Facility during the six months ended June 30,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incurred fees of approximately $2.5</w:t>
      </w:r>
      <w:r>
        <w:rPr>
          <w:rFonts w:ascii="Times New Roman" w:hAnsi="Times New Roman"/>
          <w:sz w:val="20"/>
        </w:rPr>
        <w:t xml:space="preserve"> </w:t>
      </w:r>
      <w:r>
        <w:rPr>
          <w:rFonts w:ascii="Times New Roman;serif" w:hAnsi="Times New Roman;serif"/>
          <w:b w:val="false"/>
          <w:sz w:val="20"/>
        </w:rPr>
        <w:t>million in connection with the March 25, 2022 amendment of the Credit Agreement, which are being amortized on a straight-line basis over the term of the Credit Agreement. In the first quarter of 2022, the Company expensed $0.4</w:t>
      </w:r>
      <w:r>
        <w:rPr>
          <w:rFonts w:ascii="Times New Roman" w:hAnsi="Times New Roman"/>
          <w:sz w:val="20"/>
        </w:rPr>
        <w:t xml:space="preserve"> </w:t>
      </w:r>
      <w:r>
        <w:rPr>
          <w:rFonts w:ascii="Times New Roman;serif" w:hAnsi="Times New Roman;serif"/>
          <w:b w:val="false"/>
          <w:sz w:val="20"/>
        </w:rPr>
        <w:t>million in unamortized deferred financing costs associated with lenders that are no longer parties to the Credit Agreement.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and December 31, 2022, the Company did not have any letters of credit or advance payment guarantees outstanding under the Credit Facility. As of June 30, 2023, the amount available for future borrowings under the Credit Facility was $280.0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In conjunction with the transaction described in Note 18 – Subsequent Event, the Company obtained a consent on June 30, 2023 under the Credit Facility to temporarily increase the Letter of Credit Accommodations Sublimit from $25.0</w:t>
      </w:r>
      <w:r>
        <w:rPr>
          <w:rFonts w:ascii="Times New Roman" w:hAnsi="Times New Roman"/>
          <w:sz w:val="20"/>
        </w:rPr>
        <w:t xml:space="preserve"> </w:t>
      </w:r>
      <w:r>
        <w:rPr>
          <w:rFonts w:ascii="Times New Roman;serif" w:hAnsi="Times New Roman;serif"/>
          <w:b w:val="false"/>
          <w:sz w:val="20"/>
        </w:rPr>
        <w:t>million to $130.0</w:t>
      </w:r>
      <w:r>
        <w:rPr>
          <w:rFonts w:ascii="Times New Roman" w:hAnsi="Times New Roman"/>
          <w:sz w:val="20"/>
        </w:rPr>
        <w:t xml:space="preserve"> </w:t>
      </w:r>
      <w:r>
        <w:rPr>
          <w:rFonts w:ascii="Times New Roman;serif" w:hAnsi="Times New Roman;serif"/>
          <w:b w:val="false"/>
          <w:sz w:val="20"/>
        </w:rPr>
        <w:t>million. On July 11, 2023, the Company obtained a Standby Letter of Credit (“LC”) in the amount of $130.0</w:t>
      </w:r>
      <w:r>
        <w:rPr>
          <w:rFonts w:ascii="Times New Roman" w:hAnsi="Times New Roman"/>
          <w:sz w:val="20"/>
        </w:rPr>
        <w:t xml:space="preserve"> </w:t>
      </w:r>
      <w:r>
        <w:rPr>
          <w:rFonts w:ascii="Times New Roman;serif" w:hAnsi="Times New Roman;serif"/>
          <w:b w:val="false"/>
          <w:sz w:val="20"/>
        </w:rPr>
        <w:t>million in favor of Morgan Stanley Asia Limited, the financial adviser for the transaction, to provide certainty of funds for the proposed proceeds and transaction costs payable with respect to the transaction. The LC and the temporary increase of the Sublimit will expire upon the earlier of the draw or cancellation of the LC by Morgan Stanley or January 15, 2024.</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Foreign Exchange Facility</w:t>
      </w:r>
    </w:p>
    <w:p>
      <w:pPr>
        <w:pStyle w:val="TextBody"/>
        <w:bidi w:val="0"/>
        <w:spacing w:before="200" w:after="0"/>
        <w:jc w:val="both"/>
        <w:rPr>
          <w:rFonts w:ascii="Times New Roman" w:hAnsi="Times New Roman"/>
          <w:sz w:val="20"/>
        </w:rPr>
      </w:pPr>
      <w:r>
        <w:rPr>
          <w:rFonts w:ascii="Times New Roman;serif" w:hAnsi="Times New Roman;serif"/>
          <w:b w:val="false"/>
          <w:sz w:val="20"/>
        </w:rPr>
        <w:t>Within the Credit Facility, the Company is able to purchase foreign currency forward contracts and/or other swap arrangements. As of June 30, 2023, the net unrealized gain on the Company’s outstanding foreign currency forward contracts was $0.6</w:t>
      </w:r>
      <w:r>
        <w:rPr>
          <w:rFonts w:ascii="Times New Roman" w:hAnsi="Times New Roman"/>
          <w:sz w:val="20"/>
        </w:rPr>
        <w:t xml:space="preserve"> </w:t>
      </w:r>
      <w:r>
        <w:rPr>
          <w:rFonts w:ascii="Times New Roman;serif" w:hAnsi="Times New Roman;serif"/>
          <w:b w:val="false"/>
          <w:sz w:val="20"/>
        </w:rPr>
        <w:t>million, representing the amount by which the notional value of these forward contracts exceeded their fair value (December 31, 2022</w:t>
      </w:r>
      <w:r>
        <w:rPr>
          <w:rFonts w:ascii="Times New Roman" w:hAnsi="Times New Roman"/>
          <w:sz w:val="20"/>
        </w:rPr>
        <w:t xml:space="preserve"> — </w:t>
      </w:r>
      <w:r>
        <w:rPr>
          <w:rFonts w:ascii="Times New Roman;serif" w:hAnsi="Times New Roman;serif"/>
          <w:b w:val="false"/>
          <w:sz w:val="20"/>
        </w:rPr>
        <w:t>net unrealized loss of $(0.6) million). As of June 30, 2023, the notional value of the Company’s outstanding foreign currency forward contracts was $39.2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$24.7</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Bank of China Facility</w:t>
      </w:r>
    </w:p>
    <w:p>
      <w:pPr>
        <w:pStyle w:val="TextBody"/>
        <w:bidi w:val="0"/>
        <w:spacing w:before="200" w:after="0"/>
        <w:jc w:val="both"/>
        <w:rPr>
          <w:rFonts w:ascii="Times New Roman" w:hAnsi="Times New Roman"/>
          <w:sz w:val="20"/>
        </w:rPr>
      </w:pPr>
      <w:r>
        <w:rPr>
          <w:rFonts w:ascii="Times New Roman;serif" w:hAnsi="Times New Roman;serif"/>
          <w:b w:val="false"/>
          <w:sz w:val="20"/>
        </w:rPr>
        <w:t>In June 2022, IMAX (Shanghai) Multimedia Technology Co., Ltd. (“IMAX Shanghai”), one of the Company’s majority-owned subsidiaries in China, renewed its unsecured revolving facility with Bank of China for up to 200.0</w:t>
      </w:r>
      <w:r>
        <w:rPr>
          <w:rFonts w:ascii="Times New Roman;serif" w:hAnsi="Times New Roman;serif"/>
          <w:sz w:val="20"/>
        </w:rPr>
        <w:t xml:space="preserve"> </w:t>
      </w:r>
      <w:r>
        <w:rPr>
          <w:rFonts w:ascii="Times New Roman;serif" w:hAnsi="Times New Roman;serif"/>
          <w:b w:val="false"/>
          <w:sz w:val="20"/>
        </w:rPr>
        <w:t>million Chinese Renminbi (“RMB”) ($27.7</w:t>
      </w:r>
      <w:r>
        <w:rPr>
          <w:rFonts w:ascii="Times New Roman;serif" w:hAnsi="Times New Roman;serif"/>
          <w:sz w:val="20"/>
        </w:rPr>
        <w:t xml:space="preserve"> </w:t>
      </w:r>
      <w:r>
        <w:rPr>
          <w:rFonts w:ascii="Times New Roman;serif" w:hAnsi="Times New Roman;serif"/>
          <w:b w:val="false"/>
          <w:sz w:val="20"/>
        </w:rPr>
        <w:t>million), including RMB 10.0</w:t>
      </w:r>
      <w:r>
        <w:rPr>
          <w:rFonts w:ascii="Times New Roman;serif" w:hAnsi="Times New Roman;serif"/>
          <w:sz w:val="20"/>
        </w:rPr>
        <w:t xml:space="preserve"> </w:t>
      </w:r>
      <w:r>
        <w:rPr>
          <w:rFonts w:ascii="Times New Roman;serif" w:hAnsi="Times New Roman;serif"/>
          <w:b w:val="false"/>
          <w:sz w:val="20"/>
        </w:rPr>
        <w:t>million ($1.4</w:t>
      </w:r>
      <w:r>
        <w:rPr>
          <w:rFonts w:ascii="Times New Roman;serif" w:hAnsi="Times New Roman;serif"/>
          <w:sz w:val="20"/>
        </w:rPr>
        <w:t xml:space="preserve"> </w:t>
      </w:r>
      <w:r>
        <w:rPr>
          <w:rFonts w:ascii="Times New Roman;serif" w:hAnsi="Times New Roman;serif"/>
          <w:b w:val="false"/>
          <w:sz w:val="20"/>
        </w:rPr>
        <w:t>million) for letters of guarantee, to fund ongoing working capital requirements (the “Bank of China Facility”).</w:t>
      </w:r>
      <w:r>
        <w:rPr>
          <w:rFonts w:ascii="Times New Roman" w:hAnsi="Times New Roman"/>
          <w:sz w:val="20"/>
        </w:rPr>
        <w:t xml:space="preserve"> </w:t>
      </w:r>
      <w:r>
        <w:rPr>
          <w:rFonts w:ascii="Times New Roman;serif" w:hAnsi="Times New Roman;serif"/>
          <w:b w:val="false"/>
          <w:sz w:val="20"/>
        </w:rPr>
        <w:t>The Bank of China Facility expires in September 2023.</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RMB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of borrowings were outstanding under the Bank of China Facility and outstanding letters of guarantee were RMB 3.0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As of December 31, 2022, outstanding Bank of China Facility borrowings were RMB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and outstanding letters of guarantee were RMB 2.8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amount available for future borrowings under the Bank of China Facility was RMB 187.4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($25.9</w:t>
      </w:r>
      <w:r>
        <w:rPr>
          <w:rFonts w:ascii="Times New Roman" w:hAnsi="Times New Roman"/>
          <w:sz w:val="20"/>
        </w:rPr>
        <w:t xml:space="preserve"> </w:t>
      </w:r>
      <w:r>
        <w:rPr>
          <w:rFonts w:ascii="Times New Roman;serif" w:hAnsi="Times New Roman;serif"/>
          <w:b w:val="false"/>
          <w:sz w:val="20"/>
        </w:rPr>
        <w:t>million) and the amount available for letters of guarantee was RMB 7.0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 The amount available for future borrowings under the Bank of China Facility is not subject to a standby fee. The effective interest rate for the three and six months ended June 30, 2023 was 3.85%</w:t>
      </w:r>
      <w:r>
        <w:rPr>
          <w:rFonts w:ascii="Times New Roman" w:hAnsi="Times New Roman"/>
          <w:sz w:val="20"/>
        </w:rPr>
        <w:t xml:space="preserve"> </w:t>
      </w:r>
      <w:r>
        <w:rPr>
          <w:rFonts w:ascii="Times New Roman;serif" w:hAnsi="Times New Roman;serif"/>
          <w:b w:val="false"/>
          <w:sz w:val="20"/>
        </w:rPr>
        <w:t>and 4.15%, respectively (2022 — 4.15%).</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HSBC China Facility</w:t>
      </w:r>
    </w:p>
    <w:p>
      <w:pPr>
        <w:pStyle w:val="TextBody"/>
        <w:bidi w:val="0"/>
        <w:spacing w:before="200" w:after="0"/>
        <w:jc w:val="both"/>
        <w:rPr>
          <w:rFonts w:ascii="Times New Roman" w:hAnsi="Times New Roman"/>
          <w:sz w:val="20"/>
        </w:rPr>
      </w:pPr>
      <w:r>
        <w:rPr>
          <w:rFonts w:ascii="Times New Roman;serif" w:hAnsi="Times New Roman;serif"/>
          <w:b w:val="false"/>
          <w:sz w:val="20"/>
        </w:rPr>
        <w:t>In June 2022, IMAX Shanghai entered into an unsecured revolving facility for up to RMB 200.0</w:t>
      </w:r>
      <w:r>
        <w:rPr>
          <w:rFonts w:ascii="Times New Roman" w:hAnsi="Times New Roman"/>
          <w:sz w:val="20"/>
        </w:rPr>
        <w:t xml:space="preserve"> </w:t>
      </w:r>
      <w:r>
        <w:rPr>
          <w:rFonts w:ascii="Times New Roman;serif" w:hAnsi="Times New Roman;serif"/>
          <w:b w:val="false"/>
          <w:sz w:val="20"/>
        </w:rPr>
        <w:t>million ($27.7</w:t>
      </w:r>
      <w:r>
        <w:rPr>
          <w:rFonts w:ascii="Times New Roman" w:hAnsi="Times New Roman"/>
          <w:sz w:val="20"/>
        </w:rPr>
        <w:t xml:space="preserve"> </w:t>
      </w:r>
      <w:r>
        <w:rPr>
          <w:rFonts w:ascii="Times New Roman;serif" w:hAnsi="Times New Roman;serif"/>
          <w:b w:val="false"/>
          <w:sz w:val="20"/>
        </w:rPr>
        <w:t>million) with HSBC Bank (China) Company Limited, Shanghai Branch to fund ongoing working capital requirements (the “HSBC China Facility”). As of June 30, 2023, RMB 64.4</w:t>
      </w:r>
      <w:r>
        <w:rPr>
          <w:rFonts w:ascii="Times New Roman" w:hAnsi="Times New Roman"/>
          <w:sz w:val="20"/>
        </w:rPr>
        <w:t xml:space="preserve"> </w:t>
      </w:r>
      <w:r>
        <w:rPr>
          <w:rFonts w:ascii="Times New Roman;serif" w:hAnsi="Times New Roman;serif"/>
          <w:b w:val="false"/>
          <w:sz w:val="20"/>
        </w:rPr>
        <w:t>million ($8.9</w:t>
      </w:r>
      <w:r>
        <w:rPr>
          <w:rFonts w:ascii="Times New Roman" w:hAnsi="Times New Roman"/>
          <w:sz w:val="20"/>
        </w:rPr>
        <w:t xml:space="preserve"> </w:t>
      </w:r>
      <w:r>
        <w:rPr>
          <w:rFonts w:ascii="Times New Roman;serif" w:hAnsi="Times New Roman;serif"/>
          <w:b w:val="false"/>
          <w:sz w:val="20"/>
        </w:rPr>
        <w:t>million) of borrowings were outstanding under the HSBC China Facility. As of December 31, 2022, outstanding HSBC China Facility borrowings were RMB 87.0</w:t>
      </w:r>
      <w:r>
        <w:rPr>
          <w:rFonts w:ascii="Times New Roman" w:hAnsi="Times New Roman"/>
          <w:sz w:val="20"/>
        </w:rPr>
        <w:t xml:space="preserve"> </w:t>
      </w:r>
      <w:r>
        <w:rPr>
          <w:rFonts w:ascii="Times New Roman;serif" w:hAnsi="Times New Roman;serif"/>
          <w:b w:val="false"/>
          <w:sz w:val="20"/>
        </w:rPr>
        <w:t>million ($12.5</w:t>
      </w:r>
      <w:r>
        <w:rPr>
          <w:rFonts w:ascii="Times New Roman" w:hAnsi="Times New Roman"/>
          <w:sz w:val="20"/>
        </w:rPr>
        <w:t xml:space="preserve"> </w:t>
      </w:r>
      <w:r>
        <w:rPr>
          <w:rFonts w:ascii="Times New Roman;serif" w:hAnsi="Times New Roman;serif"/>
          <w:b w:val="false"/>
          <w:sz w:val="20"/>
        </w:rPr>
        <w:t>million). As of June 30, 2023, the amount available for future borrowings under the HSBC China Facility was RMB 135.6</w:t>
      </w:r>
      <w:r>
        <w:rPr>
          <w:rFonts w:ascii="Times New Roman" w:hAnsi="Times New Roman"/>
          <w:sz w:val="20"/>
        </w:rPr>
        <w:t xml:space="preserve"> </w:t>
      </w:r>
      <w:r>
        <w:rPr>
          <w:rFonts w:ascii="Times New Roman;serif" w:hAnsi="Times New Roman;serif"/>
          <w:b w:val="false"/>
          <w:sz w:val="20"/>
        </w:rPr>
        <w:t>million ($18.8</w:t>
      </w:r>
      <w:r>
        <w:rPr>
          <w:rFonts w:ascii="Times New Roman" w:hAnsi="Times New Roman"/>
          <w:sz w:val="20"/>
        </w:rPr>
        <w:t xml:space="preserve"> </w:t>
      </w:r>
      <w:r>
        <w:rPr>
          <w:rFonts w:ascii="Times New Roman;serif" w:hAnsi="Times New Roman;serif"/>
          <w:b w:val="false"/>
          <w:sz w:val="20"/>
        </w:rPr>
        <w:t>million). The effective interest rate for the three and six months ended June 30, 2023</w:t>
      </w:r>
      <w:r>
        <w:rPr>
          <w:rFonts w:ascii="Times New Roman" w:hAnsi="Times New Roman"/>
          <w:sz w:val="20"/>
        </w:rPr>
        <w:t xml:space="preserve"> </w:t>
      </w:r>
      <w:r>
        <w:rPr>
          <w:rFonts w:ascii="Times New Roman;serif" w:hAnsi="Times New Roman;serif"/>
          <w:b w:val="false"/>
          <w:sz w:val="20"/>
        </w:rPr>
        <w:t>was 3.88%. There were no</w:t>
      </w:r>
      <w:r>
        <w:rPr>
          <w:rFonts w:ascii="Times New Roman" w:hAnsi="Times New Roman"/>
          <w:sz w:val="20"/>
        </w:rPr>
        <w:t xml:space="preserve"> </w:t>
      </w:r>
      <w:r>
        <w:rPr>
          <w:rFonts w:ascii="Times New Roman;serif" w:hAnsi="Times New Roman;serif"/>
          <w:b w:val="false"/>
          <w:sz w:val="20"/>
        </w:rPr>
        <w:t>amounts drawn under the HSBC China Facility for the three and six months ended June 30, 2022.</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NBC Facility</w:t>
      </w:r>
    </w:p>
    <w:p>
      <w:pPr>
        <w:pStyle w:val="TextBody"/>
        <w:bidi w:val="0"/>
        <w:spacing w:before="200" w:after="0"/>
        <w:jc w:val="both"/>
        <w:rPr>
          <w:rFonts w:ascii="Times New Roman" w:hAnsi="Times New Roman"/>
          <w:sz w:val="20"/>
        </w:rPr>
      </w:pPr>
      <w:r>
        <w:rPr>
          <w:rFonts w:ascii="Times New Roman;serif" w:hAnsi="Times New Roman;serif"/>
          <w:b w:val="false"/>
          <w:sz w:val="20"/>
        </w:rPr>
        <w:t>In October 2019, the Company entered into a $5.0</w:t>
      </w:r>
      <w:r>
        <w:rPr>
          <w:rFonts w:ascii="Times New Roman" w:hAnsi="Times New Roman"/>
          <w:sz w:val="20"/>
        </w:rPr>
        <w:t xml:space="preserve"> </w:t>
      </w:r>
      <w:r>
        <w:rPr>
          <w:rFonts w:ascii="Times New Roman;serif" w:hAnsi="Times New Roman;serif"/>
          <w:b w:val="false"/>
          <w:sz w:val="20"/>
        </w:rPr>
        <w:t>million facility with National Bank of Canada (the “NBC Facility”) fully insured by Export Development Canada for use solely in conjunction with the issuance of performance guarantees and letters of credit. The NBC Facility was scheduled to expire on June 30, 2023, but was extended through to July 31, 2023. The NBC Facility is renewable on the same terms and conditions on an annual basis. The Company did not have any letters of credit or advance payment guarantees outstanding as of June 30, 2023 and December 31, 2022 under the NBC Facility.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Convertible Notes and Other Borrowings, Net</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As of June 30, 2023 and December 31, 2022, Convertible Notes and Other Borrowings, Net includes the following:</w:t>
      </w:r>
    </w:p>
    <w:tbl>
      <w:tblPr>
        <w:tblW w:w="6541" w:type="dxa"/>
        <w:jc w:val="left"/>
        <w:tblInd w:w="0" w:type="dxa"/>
        <w:tblLayout w:type="fixed"/>
        <w:tblCellMar>
          <w:top w:w="28" w:type="dxa"/>
          <w:left w:w="28" w:type="dxa"/>
          <w:bottom w:w="28" w:type="dxa"/>
          <w:right w:w="28" w:type="dxa"/>
        </w:tblCellMar>
      </w:tblPr>
      <w:tblGrid>
        <w:gridCol w:w="3931"/>
        <w:gridCol w:w="211"/>
        <w:gridCol w:w="781"/>
        <w:gridCol w:w="166"/>
        <w:gridCol w:w="146"/>
        <w:gridCol w:w="233"/>
        <w:gridCol w:w="862"/>
        <w:gridCol w:w="211"/>
      </w:tblGrid>
      <w:tr>
        <w:trPr/>
        <w:tc>
          <w:tcPr>
            <w:tcW w:w="3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21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discounts and debt issuance costs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net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225,130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Economic Development Loan</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2,812</w:t>
            </w:r>
          </w:p>
        </w:tc>
        <w:tc>
          <w:tcPr>
            <w:tcW w:w="21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Unaccreted interest benefit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Economic Development Loan, net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and Other Borrowings, net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226,912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Convertible Notes</w:t>
      </w:r>
    </w:p>
    <w:p>
      <w:pPr>
        <w:pStyle w:val="TextBody"/>
        <w:bidi w:val="0"/>
        <w:spacing w:before="200" w:after="0"/>
        <w:jc w:val="both"/>
        <w:rPr>
          <w:rFonts w:ascii="Times New Roman" w:hAnsi="Times New Roman"/>
          <w:sz w:val="20"/>
        </w:rPr>
      </w:pPr>
      <w:r>
        <w:rPr>
          <w:rFonts w:ascii="Times New Roman;serif" w:hAnsi="Times New Roman;serif"/>
          <w:b w:val="false"/>
          <w:sz w:val="20"/>
        </w:rPr>
        <w:t>On March 19, 2021, the Company issued $230.0</w:t>
      </w:r>
      <w:r>
        <w:rPr>
          <w:rFonts w:ascii="Times New Roman" w:hAnsi="Times New Roman"/>
          <w:sz w:val="20"/>
        </w:rPr>
        <w:t xml:space="preserve"> </w:t>
      </w:r>
      <w:r>
        <w:rPr>
          <w:rFonts w:ascii="Times New Roman;serif" w:hAnsi="Times New Roman;serif"/>
          <w:b w:val="false"/>
          <w:sz w:val="20"/>
        </w:rPr>
        <w:t>million of 0.500% Convertible Senior Notes due 2026 (the “Convertible Notes”) in a private placement conducted pursuant to Rule 144A under the Securities Act of 1933, as amended. The net proceeds from the issuance of the Convertible Notes were $223.7</w:t>
      </w:r>
      <w:r>
        <w:rPr>
          <w:rFonts w:ascii="Times New Roman" w:hAnsi="Times New Roman"/>
          <w:sz w:val="20"/>
        </w:rPr>
        <w:t xml:space="preserve"> </w:t>
      </w:r>
      <w:r>
        <w:rPr>
          <w:rFonts w:ascii="Times New Roman;serif" w:hAnsi="Times New Roman;serif"/>
          <w:b w:val="false"/>
          <w:sz w:val="20"/>
        </w:rPr>
        <w:t>million, after deducting the initial purchasers</w:t>
      </w:r>
      <w:r>
        <w:rPr>
          <w:rFonts w:ascii="Times New Roman" w:hAnsi="Times New Roman"/>
          <w:sz w:val="20"/>
        </w:rPr>
        <w:t xml:space="preserve">’ </w:t>
      </w:r>
      <w:r>
        <w:rPr>
          <w:rFonts w:ascii="Times New Roman;serif" w:hAnsi="Times New Roman;serif"/>
          <w:b w:val="false"/>
          <w:sz w:val="20"/>
        </w:rPr>
        <w:t>discounts and commissions.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Convertible Notes are senior unsecured obligations of the Company and bear interest at a rate of 0.500% per annum on the principal of $230.0</w:t>
      </w:r>
      <w:r>
        <w:rPr>
          <w:rFonts w:ascii="Times New Roman;serif" w:hAnsi="Times New Roman;serif"/>
          <w:sz w:val="20"/>
        </w:rPr>
        <w:t xml:space="preserve"> </w:t>
      </w:r>
      <w:r>
        <w:rPr>
          <w:rFonts w:ascii="Times New Roman;serif" w:hAnsi="Times New Roman;serif"/>
          <w:b w:val="false"/>
          <w:sz w:val="20"/>
        </w:rPr>
        <w:t>million, payable semi-annually</w:t>
      </w:r>
      <w:r>
        <w:rPr>
          <w:rFonts w:ascii="Times New Roman;serif" w:hAnsi="Times New Roman;serif"/>
          <w:sz w:val="20"/>
        </w:rPr>
        <w:t xml:space="preserve"> </w:t>
      </w:r>
      <w:r>
        <w:rPr>
          <w:rFonts w:ascii="Times New Roman;serif" w:hAnsi="Times New Roman;serif"/>
          <w:b w:val="false"/>
          <w:sz w:val="20"/>
        </w:rPr>
        <w:t>in arrears on April 1 and October 1 of each year, beginning on October 1, 2021.</w:t>
      </w:r>
      <w:r>
        <w:rPr>
          <w:rFonts w:ascii="Times New Roman" w:hAnsi="Times New Roman"/>
          <w:sz w:val="20"/>
        </w:rPr>
        <w:t xml:space="preserve"> </w:t>
      </w:r>
      <w:r>
        <w:rPr>
          <w:rFonts w:ascii="Times New Roman;serif" w:hAnsi="Times New Roman;serif"/>
          <w:b w:val="false"/>
          <w:sz w:val="20"/>
        </w:rPr>
        <w:t>The Convertible Notes will mature on April 1, 2026, unless they are redeemed or repurchased by the Company or converted on an earlier date.</w:t>
      </w:r>
      <w:r>
        <w:rPr>
          <w:rFonts w:ascii="Times New Roman" w:hAnsi="Times New Roman"/>
          <w:sz w:val="20"/>
        </w:rPr>
        <w:t xml:space="preserve"> </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w:t>
      </w:r>
      <w:r>
        <w:rPr>
          <w:rFonts w:ascii="Times New Roman;serif" w:hAnsi="Times New Roman;serif"/>
          <w:sz w:val="20"/>
        </w:rPr>
        <w:t xml:space="preserve"> </w:t>
      </w:r>
      <w:r>
        <w:rPr>
          <w:rFonts w:ascii="Times New Roman;serif" w:hAnsi="Times New Roman;serif"/>
          <w:b w:val="false"/>
          <w:sz w:val="20"/>
        </w:rPr>
        <w:t>common shares per $1,000</w:t>
      </w:r>
      <w:r>
        <w:rPr>
          <w:rFonts w:ascii="Times New Roman;serif" w:hAnsi="Times New Roman;serif"/>
          <w:sz w:val="20"/>
        </w:rPr>
        <w:t xml:space="preserve"> </w:t>
      </w:r>
      <w:r>
        <w:rPr>
          <w:rFonts w:ascii="Times New Roman;serif" w:hAnsi="Times New Roman;serif"/>
          <w:b w:val="false"/>
          <w:sz w:val="20"/>
        </w:rPr>
        <w:t>principal amount of Convertible Notes, which represents an initial conversion price of approximately $28.75</w:t>
      </w:r>
      <w:r>
        <w:rPr>
          <w:rFonts w:ascii="Times New Roman;serif" w:hAnsi="Times New Roman;serif"/>
          <w:sz w:val="20"/>
        </w:rPr>
        <w:t xml:space="preserve"> </w:t>
      </w:r>
      <w:r>
        <w:rPr>
          <w:rFonts w:ascii="Times New Roman;serif" w:hAnsi="Times New Roman;serif"/>
          <w:b w:val="false"/>
          <w:sz w:val="20"/>
        </w:rPr>
        <w:t>per common share, and is subject to adjustment upon the occurrence of certain events.</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The Convertible Notes are redeemable, in whole or in part, at the Company’s option at any time, and from time to time, on or after April 6, 2024</w:t>
      </w:r>
      <w:r>
        <w:rPr>
          <w:rFonts w:ascii="Times New Roman;serif" w:hAnsi="Times New Roman;serif"/>
          <w:sz w:val="20"/>
        </w:rPr>
        <w:t xml:space="preserve"> </w:t>
      </w:r>
      <w:r>
        <w:rPr>
          <w:rFonts w:ascii="Times New Roman;serif" w:hAnsi="Times New Roman;serif"/>
          <w:b w:val="false"/>
          <w:sz w:val="20"/>
        </w:rPr>
        <w:t>and on or before the 40th scheduled trading day immediately before the maturity date, at a cash redemption price equal to the principal amount of the Convertible Notes to be redeemed, plus accrued and unpaid interest, if any,</w:t>
      </w:r>
      <w:r>
        <w:rPr>
          <w:rFonts w:ascii="Times New Roman;serif" w:hAnsi="Times New Roman;serif"/>
          <w:sz w:val="20"/>
        </w:rPr>
        <w:t xml:space="preserve"> </w:t>
      </w:r>
      <w:r>
        <w:rPr>
          <w:rFonts w:ascii="Times New Roman;serif" w:hAnsi="Times New Roman;serif"/>
          <w:b w:val="false"/>
          <w:sz w:val="20"/>
        </w:rPr>
        <w:t>but only if the last reported sale price per share of the Company’s common stock exceeds 130% of the conversion price for a specified period of time. In addition, calling any Convertible Notes for redemption will constitute a “make-whole fundamental change”</w:t>
      </w:r>
      <w:r>
        <w:rPr>
          <w:rFonts w:ascii="Times New Roman;serif" w:hAnsi="Times New Roman;serif"/>
          <w:sz w:val="20"/>
        </w:rPr>
        <w:t xml:space="preserve"> </w:t>
      </w:r>
      <w:r>
        <w:rPr>
          <w:rFonts w:ascii="Times New Roman;serif" w:hAnsi="Times New Roman;serif"/>
          <w:b w:val="false"/>
          <w:sz w:val="20"/>
        </w:rPr>
        <w:t>with respect to such notes, in which case the conversion rate applicable to the conversion of such notes will be increased in certain circumstances if such notes are converted after they are called for redemption.</w:t>
      </w:r>
    </w:p>
    <w:p>
      <w:pPr>
        <w:pStyle w:val="TextBody"/>
        <w:bidi w:val="0"/>
        <w:spacing w:before="200" w:after="0"/>
        <w:jc w:val="both"/>
        <w:rPr>
          <w:rFonts w:ascii="Times New Roman" w:hAnsi="Times New Roman"/>
          <w:sz w:val="20"/>
        </w:rPr>
      </w:pPr>
      <w:r>
        <w:rPr>
          <w:rFonts w:ascii="Times New Roman;serif" w:hAnsi="Times New Roman;serif"/>
          <w:b w:val="false"/>
          <w:sz w:val="20"/>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w:t>
      </w:r>
      <w:r>
        <w:rPr>
          <w:rFonts w:ascii="Times New Roman" w:hAnsi="Times New Roman"/>
          <w:sz w:val="20"/>
        </w:rPr>
        <w:t xml:space="preserve"> </w:t>
      </w:r>
      <w:r>
        <w:rPr>
          <w:rFonts w:ascii="Times New Roman;serif" w:hAnsi="Times New Roman;serif"/>
          <w:b w:val="false"/>
          <w:sz w:val="20"/>
        </w:rPr>
        <w:t>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Capped Call Transactions meet all of the applicable criteria for equity classification in accordance with ASC 815-10-15-74(a), “Derivatives and Hedging—Embedded Derivatives—Certain Contracts Involving an Entity’s Own Equity,” and, as a result, the related $19.1</w:t>
      </w:r>
      <w:r>
        <w:rPr>
          <w:rFonts w:ascii="Times New Roman" w:hAnsi="Times New Roman"/>
          <w:sz w:val="20"/>
        </w:rPr>
        <w:t xml:space="preserve"> </w:t>
      </w:r>
      <w:r>
        <w:rPr>
          <w:rFonts w:ascii="Times New Roman;serif" w:hAnsi="Times New Roman;serif"/>
          <w:b w:val="false"/>
          <w:sz w:val="20"/>
        </w:rPr>
        <w:t>million cost was recorded as a reduction to Other Equity within Shareholders’ Equity on the Company’s Condensed Consolidated Statements of Shareholders’ Equity and Condensed Consolidated Balance Sheets.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Federal Economic Development Loan</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wholly-owned subsidiary, SSIMWAVE, entered into a contribution agreement with the Federal Economic Development Agency for Southern Ontario (the “Federal Economic Development Loan”) on May 29, 2019, under which SSIMWAVE received $4.2</w:t>
      </w:r>
      <w:r>
        <w:rPr>
          <w:rFonts w:ascii="Times New Roman" w:hAnsi="Times New Roman"/>
          <w:sz w:val="20"/>
        </w:rPr>
        <w:t xml:space="preserve"> </w:t>
      </w:r>
      <w:r>
        <w:rPr>
          <w:rFonts w:ascii="Times New Roman;serif" w:hAnsi="Times New Roman;serif"/>
          <w:b w:val="false"/>
          <w:sz w:val="20"/>
        </w:rPr>
        <w:t>million Canadian Dollars (</w:t>
      </w:r>
      <w:r>
        <w:rPr>
          <w:rFonts w:ascii="Times New Roman" w:hAnsi="Times New Roman"/>
          <w:sz w:val="20"/>
        </w:rPr>
        <w:t>“</w:t>
      </w:r>
      <w:r>
        <w:rPr>
          <w:rFonts w:ascii="Times New Roman;serif" w:hAnsi="Times New Roman;serif"/>
          <w:b w:val="false"/>
          <w:sz w:val="20"/>
        </w:rPr>
        <w:t>CAD”) ($3.2</w:t>
      </w:r>
      <w:r>
        <w:rPr>
          <w:rFonts w:ascii="Times New Roman" w:hAnsi="Times New Roman"/>
          <w:sz w:val="20"/>
        </w:rPr>
        <w:t xml:space="preserve"> </w:t>
      </w:r>
      <w:r>
        <w:rPr>
          <w:rFonts w:ascii="Times New Roman;serif" w:hAnsi="Times New Roman;serif"/>
          <w:b w:val="false"/>
          <w:sz w:val="20"/>
        </w:rPr>
        <w:t>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benefit of the interest free loan has been determined by calculating the present value of the payments using a market-based interest rate and comparing this to the proceeds received. The benefit is being recorded as the interest free benefit of government funding within Interest Income on the Condensed Consolidated Statements of Operations. No</w:t>
      </w:r>
      <w:r>
        <w:rPr>
          <w:rFonts w:ascii="Times New Roman" w:hAnsi="Times New Roman"/>
          <w:sz w:val="20"/>
        </w:rPr>
        <w:t xml:space="preserve"> </w:t>
      </w:r>
      <w:r>
        <w:rPr>
          <w:rFonts w:ascii="Times New Roman;serif" w:hAnsi="Times New Roman;serif"/>
          <w:b w:val="false"/>
          <w:sz w:val="20"/>
        </w:rPr>
        <w:t>benefit was recorded for the three and six months ended June 30, 2023, as the Company received the maximum contribution. The obligation is being accreted to its maturity amount, resulting in an interest expense of less than $0.1</w:t>
      </w:r>
      <w:r>
        <w:rPr>
          <w:rFonts w:ascii="Times New Roman" w:hAnsi="Times New Roman"/>
          <w:sz w:val="20"/>
        </w:rPr>
        <w:t xml:space="preserve"> </w:t>
      </w:r>
      <w:r>
        <w:rPr>
          <w:rFonts w:ascii="Times New Roman;serif" w:hAnsi="Times New Roman;serif"/>
          <w:b w:val="false"/>
          <w:sz w:val="20"/>
        </w:rPr>
        <w:t>million during the three months ended June 30, 2023</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during the six months ended June 30, 2023, which is being recorded within Interest Expense on the Company’s Condensed Consolidated Statements of Operations.</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Federal Economic Development Loan has a carrying value of $2.2</w:t>
      </w:r>
      <w:r>
        <w:rPr>
          <w:rFonts w:ascii="Times New Roman" w:hAnsi="Times New Roman"/>
          <w:sz w:val="20"/>
        </w:rPr>
        <w:t xml:space="preserve"> </w:t>
      </w:r>
      <w:r>
        <w:rPr>
          <w:rFonts w:ascii="Times New Roman;serif" w:hAnsi="Times New Roman;serif"/>
          <w:b w:val="false"/>
          <w:sz w:val="20"/>
        </w:rPr>
        <w:t>million, net of unaccreted interest benefit and is</w:t>
      </w:r>
      <w:r>
        <w:rPr>
          <w:rFonts w:ascii="Times New Roman" w:hAnsi="Times New Roman"/>
          <w:sz w:val="20"/>
        </w:rPr>
        <w:t xml:space="preserve"> </w:t>
      </w:r>
      <w:r>
        <w:rPr>
          <w:rFonts w:ascii="Times New Roman;serif" w:hAnsi="Times New Roman;serif"/>
          <w:b w:val="false"/>
          <w:sz w:val="20"/>
        </w:rPr>
        <w:t>recorded within Convertible Notes and Other Borrowings, Net on the Company’s Condensed Consolidated Balance Sheets.</w:t>
      </w:r>
    </w:p>
    <w:p>
      <w:pPr>
        <w:pStyle w:val="TextBody"/>
        <w:bidi w:val="0"/>
        <w:spacing w:before="200" w:after="0"/>
        <w:jc w:val="both"/>
        <w:rPr>
          <w:rFonts w:ascii="Times New Roman" w:hAnsi="Times New Roman"/>
          <w:sz w:val="20"/>
        </w:rPr>
      </w:pPr>
      <w:r>
        <w:rPr>
          <w:rFonts w:ascii="Times New Roman;serif" w:hAnsi="Times New Roman;serif"/>
          <w:b/>
          <w:sz w:val="20"/>
        </w:rPr>
        <w:t>7. Commitments, Contingencies and Guarantees</w:t>
      </w:r>
      <w:r>
        <w:rPr>
          <w:rFonts w:ascii="Times New Roman" w:hAnsi="Times New Roman"/>
          <w:sz w:val="20"/>
        </w:rPr>
        <w:t xml:space="preserve"> </w:t>
      </w:r>
    </w:p>
    <w:p>
      <w:pPr>
        <w:pStyle w:val="TextBody"/>
        <w:bidi w:val="0"/>
        <w:spacing w:before="200" w:after="0"/>
        <w:jc w:val="left"/>
        <w:rPr>
          <w:rFonts w:ascii="Times New Roman" w:hAnsi="Times New Roman"/>
          <w:b/>
          <w:i/>
          <w:sz w:val="20"/>
        </w:rPr>
      </w:pPr>
      <w:r>
        <w:rPr>
          <w:rFonts w:ascii="Times New Roman" w:hAnsi="Times New Roman"/>
          <w:b/>
          <w:i/>
          <w:sz w:val="20"/>
        </w:rPr>
        <w:t>(a)</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Commitments</w:t>
      </w:r>
    </w:p>
    <w:p>
      <w:pPr>
        <w:pStyle w:val="TextBody"/>
        <w:bidi w:val="0"/>
        <w:spacing w:before="200" w:after="0"/>
        <w:jc w:val="both"/>
        <w:rPr>
          <w:rFonts w:ascii="Times New Roman" w:hAnsi="Times New Roman"/>
          <w:sz w:val="20"/>
        </w:rPr>
      </w:pPr>
      <w:r>
        <w:rPr>
          <w:rFonts w:ascii="Times New Roman;serif" w:hAnsi="Times New Roman;serif"/>
          <w:b w:val="false"/>
          <w:sz w:val="20"/>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b/>
          <w:i/>
          <w:sz w:val="20"/>
        </w:rPr>
      </w:pPr>
      <w:r>
        <w:rPr>
          <w:rFonts w:ascii="Times New Roman" w:hAnsi="Times New Roman"/>
          <w:b/>
          <w:i/>
          <w:sz w:val="20"/>
        </w:rPr>
        <w:t>(b)</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Contingencies and guarantees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pStyle w:val="TextBody"/>
        <w:bidi w:val="0"/>
        <w:spacing w:before="200" w:after="160"/>
        <w:jc w:val="both"/>
        <w:rPr>
          <w:rFonts w:ascii="Times New Roman" w:hAnsi="Times New Roman"/>
          <w:sz w:val="20"/>
        </w:rPr>
      </w:pPr>
      <w:r>
        <w:rPr>
          <w:rFonts w:ascii="Times New Roman;serif" w:hAnsi="Times New Roman;serif"/>
          <w:b w:val="false"/>
          <w:sz w:val="20"/>
        </w:rPr>
        <w:t>(i) 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w:t>
      </w:r>
      <w:r>
        <w:rPr>
          <w:rFonts w:ascii="Times New Roman;serif" w:hAnsi="Times New Roman;serif"/>
          <w:sz w:val="20"/>
        </w:rPr>
        <w:t xml:space="preserve"> </w:t>
      </w:r>
      <w:r>
        <w:rPr>
          <w:rFonts w:ascii="Times New Roman;serif" w:hAnsi="Times New Roman;serif"/>
          <w:b w:val="false"/>
          <w:sz w:val="20"/>
        </w:rPr>
        <w:t>million, as well as an additional $2,512</w:t>
      </w:r>
      <w:r>
        <w:rPr>
          <w:rFonts w:ascii="Times New Roman;serif" w:hAnsi="Times New Roman;serif"/>
          <w:sz w:val="20"/>
        </w:rPr>
        <w:t xml:space="preserve"> </w:t>
      </w:r>
      <w:r>
        <w:rPr>
          <w:rFonts w:ascii="Times New Roman;serif" w:hAnsi="Times New Roman;serif"/>
          <w:b w:val="false"/>
          <w:sz w:val="20"/>
        </w:rPr>
        <w:t>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$25.8</w:t>
      </w:r>
      <w:r>
        <w:rPr>
          <w:rFonts w:ascii="Times New Roman" w:hAnsi="Times New Roman"/>
          <w:sz w:val="20"/>
        </w:rPr>
        <w:t xml:space="preserve"> </w:t>
      </w:r>
      <w:r>
        <w:rPr>
          <w:rFonts w:ascii="Times New Roman;serif" w:hAnsi="Times New Roman;serif"/>
          <w:b w:val="false"/>
          <w:sz w:val="20"/>
        </w:rPr>
        <w:t>million, inclusive of interest, as of June 30, 2023. That matter is currently pending. The Company has also taken steps to enforce the ICC final award outside of India. In December 2011, the Ontario Superior Court of Justice issued an order recognizing the final award and requiring E-City to pay the Company $30,000</w:t>
      </w:r>
      <w:r>
        <w:rPr>
          <w:rFonts w:ascii="Times New Roman;serif" w:hAnsi="Times New Roman;serif"/>
          <w:sz w:val="20"/>
        </w:rPr>
        <w:t xml:space="preserve"> </w:t>
      </w:r>
      <w:r>
        <w:rPr>
          <w:rFonts w:ascii="Times New Roman;serif" w:hAnsi="Times New Roman;serif"/>
          <w:b w:val="false"/>
          <w:sz w:val="20"/>
        </w:rPr>
        <w:t>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(ii) 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(iii) 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pStyle w:val="TextBody"/>
        <w:bidi w:val="0"/>
        <w:spacing w:before="200" w:after="0"/>
        <w:jc w:val="left"/>
        <w:rPr>
          <w:rFonts w:ascii="Times New Roman" w:hAnsi="Times New Roman"/>
          <w:b/>
          <w:i/>
          <w:sz w:val="20"/>
        </w:rPr>
      </w:pPr>
      <w:r>
        <w:rPr>
          <w:rFonts w:ascii="Times New Roman" w:hAnsi="Times New Roman"/>
          <w:b/>
          <w:i/>
          <w:sz w:val="20"/>
        </w:rPr>
        <w:t>(c)</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Financial Guarantees</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Certain subsidiaries of the Company have provided significant financial guarantees to third parties under the Credit Agreement.</w:t>
      </w:r>
    </w:p>
    <w:p>
      <w:pPr>
        <w:pStyle w:val="TextBody"/>
        <w:bidi w:val="0"/>
        <w:spacing w:before="200" w:after="0"/>
        <w:jc w:val="left"/>
        <w:rPr>
          <w:rFonts w:ascii="Times New Roman" w:hAnsi="Times New Roman"/>
          <w:b/>
          <w:i/>
          <w:sz w:val="20"/>
        </w:rPr>
      </w:pPr>
      <w:r>
        <w:rPr>
          <w:rFonts w:ascii="Times New Roman" w:hAnsi="Times New Roman"/>
          <w:b/>
          <w:i/>
          <w:sz w:val="20"/>
        </w:rPr>
        <w:t>(d)</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Product Warranties</w:t>
      </w:r>
    </w:p>
    <w:p>
      <w:pPr>
        <w:pStyle w:val="TextBody"/>
        <w:bidi w:val="0"/>
        <w:spacing w:before="200" w:after="160"/>
        <w:jc w:val="both"/>
        <w:rPr>
          <w:rFonts w:ascii="Times New Roman" w:hAnsi="Times New Roman"/>
          <w:sz w:val="20"/>
        </w:rPr>
      </w:pPr>
      <w:r>
        <w:rPr>
          <w:rFonts w:ascii="Times New Roman;serif" w:hAnsi="Times New Roman;serif"/>
          <w:b w:val="false"/>
          <w:sz w:val="20"/>
        </w:rPr>
        <w:t>The Company’s accrual for product warranties, which is recorded within Accrued and Other Liabilities in the Condensed Consolidated Balance Sheets, was $0.1</w:t>
      </w:r>
      <w:r>
        <w:rPr>
          <w:rFonts w:ascii="Times New Roman" w:hAnsi="Times New Roman"/>
          <w:sz w:val="20"/>
        </w:rPr>
        <w:t xml:space="preserve"> </w:t>
      </w:r>
      <w:r>
        <w:rPr>
          <w:rFonts w:ascii="Times New Roman;serif" w:hAnsi="Times New Roman;serif"/>
          <w:b w:val="false"/>
          <w:sz w:val="20"/>
        </w:rPr>
        <w:t>million and $nil</w:t>
      </w:r>
      <w:r>
        <w:rPr>
          <w:rFonts w:ascii="Times New Roman" w:hAnsi="Times New Roman"/>
          <w:sz w:val="20"/>
        </w:rPr>
        <w:t xml:space="preserve"> </w:t>
      </w:r>
      <w:r>
        <w:rPr>
          <w:rFonts w:ascii="Times New Roman;serif" w:hAnsi="Times New Roman;serif"/>
          <w:b w:val="false"/>
          <w:sz w:val="20"/>
        </w:rPr>
        <w:t>as of June 30, 2023 and December 31,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b/>
          <w:i/>
          <w:sz w:val="20"/>
        </w:rPr>
      </w:pPr>
      <w:r>
        <w:rPr>
          <w:rFonts w:ascii="Times New Roman" w:hAnsi="Times New Roman"/>
          <w:b/>
          <w:i/>
          <w:sz w:val="20"/>
        </w:rPr>
        <w:t>(e)</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Director and Officer Indemnifications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w:t>
      </w:r>
      <w:r>
        <w:rPr>
          <w:rFonts w:ascii="Times New Roman" w:hAnsi="Times New Roman"/>
          <w:sz w:val="20"/>
        </w:rPr>
        <w:t xml:space="preserve"> </w:t>
      </w:r>
      <w:r>
        <w:rPr>
          <w:rFonts w:ascii="Times New Roman;serif" w:hAnsi="Times New Roman;serif"/>
          <w:b w:val="false"/>
          <w:i/>
          <w:sz w:val="20"/>
        </w:rPr>
        <w:t>Canada Business Corporations Act</w:t>
      </w:r>
      <w:r>
        <w:rPr>
          <w:rFonts w:ascii="Times New Roman;serif" w:hAnsi="Times New Roman;serif"/>
          <w:b w:val="false"/>
          <w:sz w:val="20"/>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w:t>
      </w:r>
      <w:r>
        <w:rPr>
          <w:rFonts w:ascii="Times New Roman" w:hAnsi="Times New Roman"/>
          <w:sz w:val="20"/>
        </w:rPr>
        <w:t xml:space="preserve"> </w:t>
      </w:r>
      <w:r>
        <w:rPr>
          <w:rFonts w:ascii="Times New Roman;serif" w:hAnsi="Times New Roman;serif"/>
          <w:b w:val="false"/>
          <w:sz w:val="20"/>
        </w:rPr>
        <w:t>amount has been accrued in the Company’s Condensed Consolidated Balance Sheets as of June 30, 2023 and December 31, 2022, with respect to this indemnity.</w:t>
      </w:r>
    </w:p>
    <w:p>
      <w:pPr>
        <w:pStyle w:val="TextBody"/>
        <w:bidi w:val="0"/>
        <w:spacing w:before="200" w:after="0"/>
        <w:jc w:val="left"/>
        <w:rPr>
          <w:rFonts w:ascii="Times New Roman" w:hAnsi="Times New Roman"/>
          <w:b/>
          <w:i/>
          <w:sz w:val="20"/>
        </w:rPr>
      </w:pPr>
      <w:r>
        <w:rPr>
          <w:rFonts w:ascii="Times New Roman" w:hAnsi="Times New Roman"/>
          <w:b/>
          <w:i/>
          <w:sz w:val="20"/>
        </w:rPr>
        <w:t>(f)</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Other Indemnification Agreements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8. Condensed Consolidated Statements of Operations – Supplemental Information</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Selling Expenses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Company’s selling expenses, including sales commissions and marketing and other, which are recognized within Costs and Expenses Applicable to Revenues in the Condensed Consolidated Statements of Operations, for three and six months ended June 30, 2023 and 2022:</w:t>
      </w:r>
    </w:p>
    <w:tbl>
      <w:tblPr>
        <w:tblW w:w="9141" w:type="dxa"/>
        <w:jc w:val="left"/>
        <w:tblInd w:w="0" w:type="dxa"/>
        <w:tblLayout w:type="fixed"/>
        <w:tblCellMar>
          <w:top w:w="28" w:type="dxa"/>
          <w:left w:w="28" w:type="dxa"/>
          <w:bottom w:w="28" w:type="dxa"/>
          <w:right w:w="28" w:type="dxa"/>
        </w:tblCellMar>
      </w:tblPr>
      <w:tblGrid>
        <w:gridCol w:w="4021"/>
        <w:gridCol w:w="280"/>
        <w:gridCol w:w="194"/>
        <w:gridCol w:w="562"/>
        <w:gridCol w:w="146"/>
        <w:gridCol w:w="146"/>
        <w:gridCol w:w="211"/>
        <w:gridCol w:w="146"/>
        <w:gridCol w:w="676"/>
        <w:gridCol w:w="146"/>
        <w:gridCol w:w="146"/>
        <w:gridCol w:w="260"/>
        <w:gridCol w:w="180"/>
        <w:gridCol w:w="596"/>
        <w:gridCol w:w="166"/>
        <w:gridCol w:w="146"/>
        <w:gridCol w:w="211"/>
        <w:gridCol w:w="146"/>
        <w:gridCol w:w="57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 </w:t>
            </w:r>
          </w:p>
        </w:tc>
        <w:tc>
          <w:tcPr>
            <w:tcW w:w="4929"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236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03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Technology sales</w:t>
            </w:r>
            <w:r>
              <w:rPr>
                <w:rFonts w:ascii="Times New Roman;serif" w:hAnsi="Times New Roman;serif"/>
                <w:b w:val="false"/>
                <w:sz w:val="13"/>
              </w:rPr>
              <w:t>(1)</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Image enhancement and maintenance services</w:t>
            </w:r>
            <w:r>
              <w:rPr>
                <w:rFonts w:ascii="Times New Roman;serif" w:hAnsi="Times New Roman;serif"/>
                <w:b w:val="false"/>
                <w:sz w:val="13"/>
              </w:rPr>
              <w:t>(2)</w:t>
            </w:r>
          </w:p>
        </w:tc>
        <w:tc>
          <w:tcPr>
            <w:tcW w:w="280"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4,850</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Technology rentals</w:t>
            </w:r>
            <w:r>
              <w:rPr>
                <w:rFonts w:ascii="Times New Roman;serif" w:hAnsi="Times New Roman;serif"/>
                <w:b w:val="false"/>
                <w:sz w:val="13"/>
              </w:rPr>
              <w:t>(3)</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4929"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236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03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Technology sales</w:t>
            </w:r>
            <w:r>
              <w:rPr>
                <w:rFonts w:ascii="Times New Roman;serif" w:hAnsi="Times New Roman;serif"/>
                <w:b w:val="false"/>
                <w:sz w:val="13"/>
              </w:rPr>
              <w:t>(1)</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Image enhancement and maintenance services</w:t>
            </w:r>
            <w:r>
              <w:rPr>
                <w:rFonts w:ascii="Times New Roman;serif" w:hAnsi="Times New Roman;serif"/>
                <w:b w:val="false"/>
                <w:sz w:val="13"/>
              </w:rPr>
              <w:t>(2)</w:t>
            </w:r>
          </w:p>
        </w:tc>
        <w:tc>
          <w:tcPr>
            <w:tcW w:w="280"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7,765</w:t>
            </w:r>
          </w:p>
        </w:tc>
        <w:tc>
          <w:tcPr>
            <w:tcW w:w="1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Technology rentals</w:t>
            </w:r>
            <w:r>
              <w:rPr>
                <w:rFonts w:ascii="Times New Roman;serif" w:hAnsi="Times New Roman;serif"/>
                <w:b w:val="false"/>
                <w:sz w:val="13"/>
              </w:rPr>
              <w:t>(3)</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Sales commissions paid prior to the recognition of the related revenue are deferred and recognized upon the client acceptance of the IMAX System. Direct advertising and marketing costs for each IMAX System are expensed as incurred.</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Film exploitation costs, including advertising and marketing costs, are expensed as incurred.</w:t>
      </w:r>
    </w:p>
    <w:p>
      <w:pPr>
        <w:pStyle w:val="TextBody"/>
        <w:bidi w:val="0"/>
        <w:spacing w:before="120" w:after="0"/>
        <w:jc w:val="both"/>
        <w:rPr>
          <w:rFonts w:ascii="Times New Roman" w:hAnsi="Times New Roman"/>
          <w:b w:val="false"/>
          <w:sz w:val="20"/>
        </w:rPr>
      </w:pPr>
      <w:r>
        <w:rPr>
          <w:rFonts w:ascii="Times New Roman" w:hAnsi="Times New Roman"/>
          <w:b w:val="false"/>
          <w:sz w:val="20"/>
        </w:rPr>
        <w:t>(3)</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Sales commissions related to joint revenue sharing arrangements</w:t>
      </w:r>
      <w:r>
        <w:rPr>
          <w:rFonts w:ascii="Times New Roman;serif" w:hAnsi="Times New Roman;serif"/>
          <w:sz w:val="20"/>
        </w:rPr>
        <w:t xml:space="preserve"> </w:t>
      </w:r>
      <w:r>
        <w:rPr>
          <w:rFonts w:ascii="Times New Roman;serif" w:hAnsi="Times New Roman;serif"/>
          <w:b w:val="false"/>
          <w:sz w:val="20"/>
        </w:rPr>
        <w:t>accounted for operating leases are recognized in the month they are earned by the salesperson, which is typically the month in which the IMAX System is installed, and are subject to subsequent performance-based adjustments. In the second quarter of 2022, a $0.3</w:t>
      </w:r>
      <w:r>
        <w:rPr>
          <w:rFonts w:ascii="Times New Roman;serif" w:hAnsi="Times New Roman;serif"/>
          <w:sz w:val="20"/>
        </w:rPr>
        <w:t xml:space="preserve"> </w:t>
      </w:r>
      <w:r>
        <w:rPr>
          <w:rFonts w:ascii="Times New Roman;serif" w:hAnsi="Times New Roman;serif"/>
          <w:b w:val="false"/>
          <w:sz w:val="20"/>
        </w:rPr>
        <w:t xml:space="preserve">million reversal of accrued commissions was recorded due to such performance-based adjustments. Direct advertising and marketing costs for each IMAX System are expensed as incurred. </w:t>
      </w:r>
    </w:p>
    <w:p>
      <w:pPr>
        <w:pStyle w:val="TextBody"/>
        <w:bidi w:val="0"/>
        <w:spacing w:before="200" w:after="0"/>
        <w:jc w:val="left"/>
        <w:rPr>
          <w:rFonts w:ascii="Times New Roman" w:hAnsi="Times New Roman"/>
          <w:b/>
          <w:i/>
          <w:sz w:val="20"/>
        </w:rPr>
      </w:pPr>
      <w:r>
        <w:rPr>
          <w:rFonts w:ascii="Times New Roman" w:hAnsi="Times New Roman"/>
          <w:b/>
          <w:i/>
          <w:sz w:val="20"/>
        </w:rPr>
        <w:t>(b)</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Foreign Exchange</w:t>
      </w:r>
    </w:p>
    <w:p>
      <w:pPr>
        <w:pStyle w:val="TextBody"/>
        <w:bidi w:val="0"/>
        <w:spacing w:before="200" w:after="0"/>
        <w:jc w:val="both"/>
        <w:rPr>
          <w:rFonts w:ascii="Times New Roman" w:hAnsi="Times New Roman"/>
          <w:sz w:val="20"/>
        </w:rPr>
      </w:pPr>
      <w:r>
        <w:rPr>
          <w:rFonts w:ascii="Times New Roman;serif" w:hAnsi="Times New Roman;serif"/>
          <w:b w:val="false"/>
          <w:sz w:val="20"/>
        </w:rPr>
        <w:t>Included in Selling, General and Administrative Expenses for the three and six months ended June 30, 2023 are foreign currency net losses of $(0.5) million</w:t>
      </w:r>
      <w:r>
        <w:rPr>
          <w:rFonts w:ascii="Times New Roman" w:hAnsi="Times New Roman"/>
          <w:sz w:val="20"/>
        </w:rPr>
        <w:t xml:space="preserve"> </w:t>
      </w:r>
      <w:r>
        <w:rPr>
          <w:rFonts w:ascii="Times New Roman;serif" w:hAnsi="Times New Roman;serif"/>
          <w:b w:val="false"/>
          <w:sz w:val="20"/>
        </w:rPr>
        <w:t>and $(0.6) million, respectively, (2022 — net losses of $(1.7) million</w:t>
      </w:r>
      <w:r>
        <w:rPr>
          <w:rFonts w:ascii="Times New Roman" w:hAnsi="Times New Roman"/>
          <w:sz w:val="20"/>
        </w:rPr>
        <w:t xml:space="preserve"> </w:t>
      </w:r>
      <w:r>
        <w:rPr>
          <w:rFonts w:ascii="Times New Roman;serif" w:hAnsi="Times New Roman;serif"/>
          <w:b w:val="false"/>
          <w:sz w:val="20"/>
        </w:rPr>
        <w:t>and $(1.9) million, respectively) resulting from changes in exchange rates related to foreign currency denominated monetary assets and liabilities. (See Note 15(c) for additional information.)</w:t>
      </w:r>
    </w:p>
    <w:p>
      <w:pPr>
        <w:pStyle w:val="TextBody"/>
        <w:bidi w:val="0"/>
        <w:spacing w:before="200" w:after="0"/>
        <w:jc w:val="left"/>
        <w:rPr>
          <w:rFonts w:ascii="Times New Roman" w:hAnsi="Times New Roman"/>
          <w:b/>
          <w:i/>
          <w:sz w:val="20"/>
        </w:rPr>
      </w:pPr>
      <w:r>
        <w:rPr>
          <w:rFonts w:ascii="Times New Roman" w:hAnsi="Times New Roman"/>
          <w:b/>
          <w:i/>
          <w:sz w:val="20"/>
        </w:rPr>
        <w:t>(c)</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Collaborative Arrangements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Joint Revenue Sharing Arrangements</w:t>
      </w:r>
    </w:p>
    <w:p>
      <w:pPr>
        <w:pStyle w:val="TextBody"/>
        <w:bidi w:val="0"/>
        <w:spacing w:before="200" w:after="200"/>
        <w:jc w:val="both"/>
        <w:rPr>
          <w:rFonts w:ascii="Times New Roman" w:hAnsi="Times New Roman"/>
          <w:sz w:val="20"/>
        </w:rPr>
      </w:pPr>
      <w:r>
        <w:rPr>
          <w:rFonts w:ascii="Times New Roman;serif" w:hAnsi="Times New Roman;serif"/>
          <w:b w:val="false"/>
          <w:sz w:val="20"/>
        </w:rPr>
        <w:t>The accounting policy for the Company’s joint revenue sharing arrangements is disclosed in Note 3(o) of the Company’s audited Consolidated Financial Statements in its 2022 Form 10-K.</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six months ended June 30, 2023, such revenues totaled $20.6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$40.7</w:t>
      </w:r>
      <w:r>
        <w:rPr>
          <w:rFonts w:ascii="Times New Roman" w:hAnsi="Times New Roman"/>
          <w:sz w:val="20"/>
        </w:rPr>
        <w:t xml:space="preserve"> </w:t>
      </w:r>
      <w:r>
        <w:rPr>
          <w:rFonts w:ascii="Times New Roman;serif" w:hAnsi="Times New Roman;serif"/>
          <w:b w:val="false"/>
          <w:sz w:val="20"/>
        </w:rPr>
        <w:t>million, respectively (2022 — $19.0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$32.7</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i/>
          <w:sz w:val="20"/>
        </w:rPr>
        <w:t>IMAX Film Remastering and Distribution</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an IMAX film remastering and distribution (formerly known as “IMAX DMR”)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Greater China, where the Company receives a lower percentage of net box office receipts for certain Hollywood films. The accounting policy for the Company’s IMAX film remastering and distribution arrangements is disclosed in Note 3(o) of the Company’s audited Consolidated Financial Statements in its 2022 Form 10-K.</w:t>
      </w:r>
    </w:p>
    <w:p>
      <w:pPr>
        <w:pStyle w:val="TextBody"/>
        <w:bidi w:val="0"/>
        <w:spacing w:before="200" w:after="0"/>
        <w:jc w:val="both"/>
        <w:rPr>
          <w:rFonts w:ascii="Times New Roman" w:hAnsi="Times New Roman"/>
          <w:sz w:val="20"/>
        </w:rPr>
      </w:pPr>
      <w:r>
        <w:rPr>
          <w:rFonts w:ascii="Times New Roman;serif" w:hAnsi="Times New Roman;serif"/>
          <w:b w:val="false"/>
          <w:sz w:val="20"/>
        </w:rPr>
        <w:t>Revenue attributable to transactions arising between the Company and its customers under IMAX film remastering and distribution arrangements are included in Revenues – Image Enhancement and Maintenance Services. For the three and six months ended June 30, 2023, such revenues totaled $29.2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$59.3</w:t>
      </w:r>
      <w:r>
        <w:rPr>
          <w:rFonts w:ascii="Times New Roman" w:hAnsi="Times New Roman"/>
          <w:sz w:val="20"/>
        </w:rPr>
        <w:t xml:space="preserve"> </w:t>
      </w:r>
      <w:r>
        <w:rPr>
          <w:rFonts w:ascii="Times New Roman;serif" w:hAnsi="Times New Roman;serif"/>
          <w:b w:val="false"/>
          <w:sz w:val="20"/>
        </w:rPr>
        <w:t>million, respectively, (2022 — $27.6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$47.1</w:t>
      </w:r>
      <w:r>
        <w:rPr>
          <w:rFonts w:ascii="Times New Roman" w:hAnsi="Times New Roman"/>
          <w:sz w:val="20"/>
        </w:rPr>
        <w:t xml:space="preserve"> </w:t>
      </w:r>
      <w:r>
        <w:rPr>
          <w:rFonts w:ascii="Times New Roman;serif" w:hAnsi="Times New Roman;serif"/>
          <w:b w:val="false"/>
          <w:sz w:val="20"/>
        </w:rPr>
        <w:t>million, respectively). (See Note 12(a) for a disaggregated presentation of the Company’s revenues.)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Co-Produced Film Arrangements</w:t>
      </w:r>
    </w:p>
    <w:p>
      <w:pPr>
        <w:pStyle w:val="TextBody"/>
        <w:bidi w:val="0"/>
        <w:spacing w:before="200" w:after="0"/>
        <w:jc w:val="both"/>
        <w:rPr>
          <w:rFonts w:ascii="Times New Roman" w:hAnsi="Times New Roman"/>
          <w:sz w:val="20"/>
        </w:rPr>
      </w:pPr>
      <w:r>
        <w:rPr>
          <w:rFonts w:ascii="Times New Roman;serif" w:hAnsi="Times New Roman;serif"/>
          <w:b w:val="false"/>
          <w:sz w:val="20"/>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 is party to one</w:t>
      </w:r>
      <w:r>
        <w:rPr>
          <w:rFonts w:ascii="Times New Roman" w:hAnsi="Times New Roman"/>
          <w:sz w:val="20"/>
        </w:rPr>
        <w:t xml:space="preserve"> </w:t>
      </w:r>
      <w:r>
        <w:rPr>
          <w:rFonts w:ascii="Times New Roman;serif" w:hAnsi="Times New Roman;serif"/>
          <w:b w:val="false"/>
          <w:sz w:val="20"/>
        </w:rPr>
        <w:t>co-produced film arrangement, which represents the VIE total assets balance of $1.6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liabilities balance of $0.3</w:t>
      </w:r>
      <w:r>
        <w:rPr>
          <w:rFonts w:ascii="Times New Roman" w:hAnsi="Times New Roman"/>
          <w:sz w:val="20"/>
        </w:rPr>
        <w:t xml:space="preserve"> </w:t>
      </w:r>
      <w:r>
        <w:rPr>
          <w:rFonts w:ascii="Times New Roman;serif" w:hAnsi="Times New Roman;serif"/>
          <w:b w:val="false"/>
          <w:sz w:val="20"/>
        </w:rPr>
        <w:t>million, and four</w:t>
      </w:r>
      <w:r>
        <w:rPr>
          <w:rFonts w:ascii="Times New Roman" w:hAnsi="Times New Roman"/>
          <w:sz w:val="20"/>
        </w:rPr>
        <w:t xml:space="preserve"> </w:t>
      </w:r>
      <w:r>
        <w:rPr>
          <w:rFonts w:ascii="Times New Roman;serif" w:hAnsi="Times New Roman;serif"/>
          <w:b w:val="false"/>
          <w:sz w:val="20"/>
        </w:rPr>
        <w:t>other co-produced film arrangements, the terms of which are similar. The accounting policies relating to co-produced film arrangements are disclosed in Notes 3(a) and 3(o) of the Company’s 2022 Form 10-K.</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an expense of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 respectively, (2022 —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$0.4</w:t>
      </w:r>
      <w:r>
        <w:rPr>
          <w:rFonts w:ascii="Times New Roman" w:hAnsi="Times New Roman"/>
          <w:sz w:val="20"/>
        </w:rPr>
        <w:t xml:space="preserve"> </w:t>
      </w:r>
      <w:r>
        <w:rPr>
          <w:rFonts w:ascii="Times New Roman;serif" w:hAnsi="Times New Roman;serif"/>
          <w:b w:val="false"/>
          <w:sz w:val="20"/>
        </w:rPr>
        <w:t>million, respectively) attributable to transactions between the Company and other parties involved in the production of the films have been included in Costs and Expenses Applicable to Revenues ― Image Enhancement and Maintenance Services.</w:t>
      </w:r>
    </w:p>
    <w:p>
      <w:pPr>
        <w:pStyle w:val="TextBody"/>
        <w:bidi w:val="0"/>
        <w:spacing w:before="200" w:after="0"/>
        <w:jc w:val="both"/>
        <w:rPr>
          <w:rFonts w:ascii="Times New Roman;serif" w:hAnsi="Times New Roman;serif"/>
          <w:b/>
          <w:sz w:val="20"/>
        </w:rPr>
      </w:pPr>
      <w:r>
        <w:rPr>
          <w:rFonts w:ascii="Times New Roman;serif" w:hAnsi="Times New Roman;serif"/>
          <w:b/>
          <w:sz w:val="20"/>
        </w:rPr>
        <w:t>9. Condensed Consolidated Statements of Cash Flows – Supplemental Information</w:t>
      </w:r>
    </w:p>
    <w:p>
      <w:pPr>
        <w:pStyle w:val="TextBody"/>
        <w:bidi w:val="0"/>
        <w:spacing w:before="200" w:after="200"/>
        <w:jc w:val="left"/>
        <w:rPr>
          <w:rFonts w:ascii="Times New Roman" w:hAnsi="Times New Roman"/>
          <w:b/>
          <w:i/>
          <w:sz w:val="20"/>
        </w:rPr>
      </w:pPr>
      <w:r>
        <w:rPr>
          <w:rFonts w:ascii="Times New Roman" w:hAnsi="Times New Roman"/>
          <w:b/>
          <w:i/>
          <w:sz w:val="20"/>
        </w:rPr>
        <w:t>(a)</w:t>
      </w:r>
    </w:p>
    <w:p>
      <w:pPr>
        <w:pStyle w:val="TextBody"/>
        <w:bidi w:val="0"/>
        <w:spacing w:before="200" w:after="200"/>
        <w:jc w:val="left"/>
        <w:rPr>
          <w:rFonts w:ascii="Times New Roman;serif" w:hAnsi="Times New Roman;serif"/>
          <w:b/>
          <w:i/>
          <w:sz w:val="20"/>
        </w:rPr>
      </w:pPr>
      <w:r>
        <w:rPr>
          <w:rFonts w:ascii="Times New Roman;serif" w:hAnsi="Times New Roman;serif"/>
          <w:b/>
          <w:i/>
          <w:sz w:val="20"/>
        </w:rPr>
        <w:t>Changes in other operating assets and liabilities</w:t>
      </w:r>
    </w:p>
    <w:tbl>
      <w:tblPr>
        <w:tblW w:w="5735" w:type="dxa"/>
        <w:jc w:val="left"/>
        <w:tblInd w:w="0" w:type="dxa"/>
        <w:tblLayout w:type="fixed"/>
        <w:tblCellMar>
          <w:top w:w="28" w:type="dxa"/>
          <w:left w:w="28" w:type="dxa"/>
          <w:bottom w:w="28" w:type="dxa"/>
          <w:right w:w="28" w:type="dxa"/>
        </w:tblCellMar>
      </w:tblPr>
      <w:tblGrid>
        <w:gridCol w:w="2926"/>
        <w:gridCol w:w="211"/>
        <w:gridCol w:w="146"/>
        <w:gridCol w:w="736"/>
        <w:gridCol w:w="166"/>
        <w:gridCol w:w="146"/>
        <w:gridCol w:w="211"/>
        <w:gridCol w:w="146"/>
        <w:gridCol w:w="736"/>
        <w:gridCol w:w="311"/>
      </w:tblGrid>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249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11" w:type="dxa"/>
            <w:tcBorders/>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pPr>
            <w:r>
              <w:rPr/>
              <w:t> </w:t>
            </w:r>
          </w:p>
        </w:tc>
        <w:tc>
          <w:tcPr>
            <w:tcW w:w="249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(increase) in:</w:t>
            </w:r>
          </w:p>
        </w:tc>
        <w:tc>
          <w:tcPr>
            <w:tcW w:w="211" w:type="dxa"/>
            <w:tcBorders/>
            <w:vAlign w:val="center"/>
          </w:tcPr>
          <w:p>
            <w:pPr>
              <w:pStyle w:val="TableContents"/>
              <w:bidi w:val="0"/>
              <w:spacing w:before="0" w:after="0"/>
              <w:ind w:left="0" w:right="0" w:hanging="0"/>
              <w:jc w:val="left"/>
              <w:rPr/>
            </w:pPr>
            <w:r>
              <w:rPr/>
              <w:t> </w:t>
            </w:r>
          </w:p>
        </w:tc>
        <w:tc>
          <w:tcPr>
            <w:tcW w:w="8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2"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firstLine="100"/>
              <w:jc w:val="left"/>
              <w:rPr/>
            </w:pPr>
            <w:r>
              <w:rPr/>
              <w:t> </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receivables</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311" w:type="dxa"/>
            <w:tcBorders/>
            <w:vAlign w:val="center"/>
          </w:tcPr>
          <w:p>
            <w:pPr>
              <w:pStyle w:val="TableContents"/>
              <w:bidi w:val="0"/>
              <w:spacing w:before="0" w:after="0"/>
              <w:ind w:left="0" w:right="0" w:firstLine="100"/>
              <w:jc w:val="left"/>
              <w:rPr/>
            </w:pPr>
            <w:r>
              <w:rPr/>
              <w:t> </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(3,203</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Variable consideration receivables</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w:t>
            </w:r>
          </w:p>
        </w:tc>
        <w:tc>
          <w:tcPr>
            <w:tcW w:w="311" w:type="dxa"/>
            <w:tcBorders/>
            <w:vAlign w:val="center"/>
          </w:tcPr>
          <w:p>
            <w:pPr>
              <w:pStyle w:val="TableContents"/>
              <w:bidi w:val="0"/>
              <w:spacing w:before="0" w:after="0"/>
              <w:ind w:left="0" w:right="0" w:firstLine="100"/>
              <w:jc w:val="left"/>
              <w:rPr/>
            </w:pPr>
            <w:r>
              <w:rPr/>
              <w:t> </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assets</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increase in:</w:t>
            </w:r>
          </w:p>
        </w:tc>
        <w:tc>
          <w:tcPr>
            <w:tcW w:w="211"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firstLine="100"/>
              <w:jc w:val="left"/>
              <w:rPr/>
            </w:pPr>
            <w:r>
              <w:rPr/>
              <w:t> </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3,865</w:t>
            </w:r>
          </w:p>
        </w:tc>
        <w:tc>
          <w:tcPr>
            <w:tcW w:w="311" w:type="dxa"/>
            <w:tcBorders/>
            <w:vAlign w:val="center"/>
          </w:tcPr>
          <w:p>
            <w:pPr>
              <w:pStyle w:val="TableContents"/>
              <w:bidi w:val="0"/>
              <w:spacing w:before="0" w:after="0"/>
              <w:ind w:left="0" w:right="0" w:firstLine="100"/>
              <w:jc w:val="left"/>
              <w:rPr/>
            </w:pPr>
            <w:r>
              <w:rPr/>
              <w:t> </w:t>
            </w:r>
          </w:p>
        </w:tc>
      </w:tr>
      <w:tr>
        <w:trPr/>
        <w:tc>
          <w:tcPr>
            <w:tcW w:w="29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(7,679</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left"/>
        <w:rPr>
          <w:rFonts w:ascii="Times New Roman" w:hAnsi="Times New Roman"/>
          <w:b/>
          <w:i/>
          <w:sz w:val="20"/>
        </w:rPr>
      </w:pPr>
      <w:r>
        <w:rPr>
          <w:rFonts w:ascii="Times New Roman" w:hAnsi="Times New Roman"/>
          <w:b/>
          <w:i/>
          <w:sz w:val="20"/>
        </w:rPr>
        <w:t>(b)</w:t>
      </w:r>
    </w:p>
    <w:p>
      <w:pPr>
        <w:pStyle w:val="TextBody"/>
        <w:bidi w:val="0"/>
        <w:spacing w:before="200" w:after="200"/>
        <w:jc w:val="left"/>
        <w:rPr>
          <w:rFonts w:ascii="Times New Roman;serif" w:hAnsi="Times New Roman;serif"/>
          <w:b/>
          <w:i/>
          <w:sz w:val="20"/>
        </w:rPr>
      </w:pPr>
      <w:r>
        <w:rPr>
          <w:rFonts w:ascii="Times New Roman;serif" w:hAnsi="Times New Roman;serif"/>
          <w:b/>
          <w:i/>
          <w:sz w:val="20"/>
        </w:rPr>
        <w:t xml:space="preserve">Depreciation and amortization </w:t>
      </w:r>
    </w:p>
    <w:tbl>
      <w:tblPr>
        <w:tblW w:w="7495" w:type="dxa"/>
        <w:jc w:val="left"/>
        <w:tblInd w:w="0" w:type="dxa"/>
        <w:tblLayout w:type="fixed"/>
        <w:tblCellMar>
          <w:top w:w="28" w:type="dxa"/>
          <w:left w:w="28" w:type="dxa"/>
          <w:bottom w:w="28" w:type="dxa"/>
          <w:right w:w="28" w:type="dxa"/>
        </w:tblCellMar>
      </w:tblPr>
      <w:tblGrid>
        <w:gridCol w:w="4846"/>
        <w:gridCol w:w="211"/>
        <w:gridCol w:w="146"/>
        <w:gridCol w:w="676"/>
        <w:gridCol w:w="146"/>
        <w:gridCol w:w="146"/>
        <w:gridCol w:w="211"/>
        <w:gridCol w:w="146"/>
        <w:gridCol w:w="676"/>
        <w:gridCol w:w="291"/>
      </w:tblGrid>
      <w:tr>
        <w:trPr/>
        <w:tc>
          <w:tcPr>
            <w:tcW w:w="4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left"/>
              <w:rPr/>
            </w:pPr>
            <w:r>
              <w:rPr/>
              <w:t> </w:t>
            </w:r>
          </w:p>
        </w:tc>
        <w:tc>
          <w:tcPr>
            <w:tcW w:w="235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91" w:type="dxa"/>
            <w:tcBorders/>
            <w:vAlign w:val="center"/>
          </w:tcPr>
          <w:p>
            <w:pPr>
              <w:pStyle w:val="TableContents"/>
              <w:bidi w:val="0"/>
              <w:spacing w:before="0" w:after="0"/>
              <w:ind w:left="0" w:right="0" w:hanging="0"/>
              <w:jc w:val="center"/>
              <w:rPr/>
            </w:pPr>
            <w:r>
              <w:rPr/>
              <w:t> </w:t>
            </w:r>
          </w:p>
        </w:tc>
      </w:tr>
      <w:tr>
        <w:trPr/>
        <w:tc>
          <w:tcPr>
            <w:tcW w:w="4846" w:type="dxa"/>
            <w:tcBorders/>
            <w:vAlign w:val="center"/>
          </w:tcPr>
          <w:p>
            <w:pPr>
              <w:pStyle w:val="TableContents"/>
              <w:bidi w:val="0"/>
              <w:spacing w:before="0" w:after="0"/>
              <w:ind w:left="0" w:right="0" w:hanging="0"/>
              <w:jc w:val="left"/>
              <w:rPr/>
            </w:pPr>
            <w:r>
              <w:rPr/>
              <w:t> </w:t>
            </w:r>
          </w:p>
        </w:tc>
        <w:tc>
          <w:tcPr>
            <w:tcW w:w="235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7,878</w:t>
            </w:r>
          </w:p>
        </w:tc>
        <w:tc>
          <w:tcPr>
            <w:tcW w:w="291" w:type="dxa"/>
            <w:tcBorders/>
            <w:vAlign w:val="center"/>
          </w:tcPr>
          <w:p>
            <w:pPr>
              <w:pStyle w:val="TableContents"/>
              <w:bidi w:val="0"/>
              <w:spacing w:before="0" w:after="0"/>
              <w:ind w:left="0" w:right="0" w:hanging="0"/>
              <w:jc w:val="left"/>
              <w:rPr/>
            </w:pPr>
            <w:r>
              <w:rPr/>
              <w:t> </w:t>
            </w:r>
          </w:p>
        </w:tc>
      </w:tr>
      <w:tr>
        <w:trPr/>
        <w:tc>
          <w:tcPr>
            <w:tcW w:w="4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211"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48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Equipment supporting joint revenue sharing arrangements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11,078</w:t>
            </w:r>
          </w:p>
        </w:tc>
        <w:tc>
          <w:tcPr>
            <w:tcW w:w="291" w:type="dxa"/>
            <w:tcBorders/>
            <w:vAlign w:val="center"/>
          </w:tcPr>
          <w:p>
            <w:pPr>
              <w:pStyle w:val="TableContents"/>
              <w:bidi w:val="0"/>
              <w:spacing w:before="0" w:after="0"/>
              <w:ind w:left="0" w:right="0" w:firstLine="100"/>
              <w:jc w:val="left"/>
              <w:rPr/>
            </w:pPr>
            <w:r>
              <w:rPr/>
              <w:t> </w:t>
            </w:r>
          </w:p>
        </w:tc>
      </w:tr>
      <w:tr>
        <w:trPr/>
        <w:tc>
          <w:tcPr>
            <w:tcW w:w="484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Other property, plant and equipment</w:t>
            </w:r>
            <w:r>
              <w:rPr>
                <w:rFonts w:ascii="Times New Roman;serif" w:hAnsi="Times New Roman;serif"/>
                <w:b w:val="false"/>
                <w:sz w:val="13"/>
              </w:rPr>
              <w:t>(1)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4,213</w:t>
            </w:r>
          </w:p>
        </w:tc>
        <w:tc>
          <w:tcPr>
            <w:tcW w:w="291" w:type="dxa"/>
            <w:tcBorders/>
            <w:vAlign w:val="center"/>
          </w:tcPr>
          <w:p>
            <w:pPr>
              <w:pStyle w:val="TableContents"/>
              <w:bidi w:val="0"/>
              <w:spacing w:before="0" w:after="0"/>
              <w:ind w:left="0" w:right="0" w:hanging="0"/>
              <w:jc w:val="left"/>
              <w:rPr/>
            </w:pPr>
            <w:r>
              <w:rPr/>
              <w:t> </w:t>
            </w:r>
          </w:p>
        </w:tc>
      </w:tr>
      <w:tr>
        <w:trPr/>
        <w:tc>
          <w:tcPr>
            <w:tcW w:w="48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Other intangible assets</w:t>
            </w:r>
            <w:r>
              <w:rPr>
                <w:rFonts w:ascii="Times New Roman;serif" w:hAnsi="Times New Roman;serif"/>
                <w:b w:val="false"/>
                <w:sz w:val="13"/>
              </w:rPr>
              <w:t>(2)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2,961</w:t>
            </w:r>
          </w:p>
        </w:tc>
        <w:tc>
          <w:tcPr>
            <w:tcW w:w="291" w:type="dxa"/>
            <w:tcBorders/>
            <w:vAlign w:val="center"/>
          </w:tcPr>
          <w:p>
            <w:pPr>
              <w:pStyle w:val="TableContents"/>
              <w:bidi w:val="0"/>
              <w:spacing w:before="0" w:after="0"/>
              <w:ind w:left="0" w:right="0" w:hanging="0"/>
              <w:jc w:val="left"/>
              <w:rPr/>
            </w:pPr>
            <w:r>
              <w:rPr/>
              <w:t> </w:t>
            </w:r>
          </w:p>
        </w:tc>
      </w:tr>
      <w:tr>
        <w:trPr/>
        <w:tc>
          <w:tcPr>
            <w:tcW w:w="48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Other assets</w:t>
            </w:r>
            <w:r>
              <w:rPr>
                <w:rFonts w:ascii="Times New Roman;serif" w:hAnsi="Times New Roman;serif"/>
                <w:b w:val="false"/>
                <w:sz w:val="13"/>
              </w:rPr>
              <w:t>(3)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27,023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sz w:val="20"/>
        </w:rPr>
      </w:pPr>
      <w:r>
        <w:rPr>
          <w:rFonts w:ascii="Times New Roman;serif" w:hAnsi="Times New Roman;serif"/>
          <w:b w:val="false"/>
          <w:sz w:val="20"/>
        </w:rPr>
        <w:t>Includes the amortization of laser projection systems, camera, and lens upgrades recorded in Research and Development on the Condensed Consolidated Statements of Operations of $0.3</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in the six months ended June 30, 2023 (2022 — $0.3</w:t>
      </w:r>
      <w:r>
        <w:rPr>
          <w:rFonts w:ascii="Times New Roman;serif" w:hAnsi="Times New Roman;serif"/>
          <w:sz w:val="20"/>
        </w:rPr>
        <w:t xml:space="preserve"> </w:t>
      </w:r>
      <w:r>
        <w:rPr>
          <w:rFonts w:ascii="Times New Roman;serif" w:hAnsi="Times New Roman;serif"/>
          <w:b w:val="false"/>
          <w:sz w:val="20"/>
        </w:rPr>
        <w:t>million).</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Includes the amortization of licenses and intellectual property recorded in Research and Development on the Condensed Consolidated Statements of Operations of $0.6</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in the six months ended June 30, 2023 (2022 — $0.6</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Includes the amortization of lessee incentives provided by the Company to its customers under joint revenue sharing arrangements.</w:t>
      </w:r>
    </w:p>
    <w:p>
      <w:pPr>
        <w:pStyle w:val="TextBody"/>
        <w:bidi w:val="0"/>
        <w:spacing w:before="200" w:after="0"/>
        <w:jc w:val="left"/>
        <w:rPr>
          <w:rFonts w:ascii="Times New Roman" w:hAnsi="Times New Roman"/>
          <w:b/>
          <w:i/>
          <w:sz w:val="20"/>
        </w:rPr>
      </w:pPr>
      <w:r>
        <w:rPr>
          <w:rFonts w:ascii="Times New Roman" w:hAnsi="Times New Roman"/>
          <w:b/>
          <w:i/>
          <w:sz w:val="20"/>
        </w:rPr>
        <w:t>(c)</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Write-downs</w:t>
      </w:r>
    </w:p>
    <w:p>
      <w:pPr>
        <w:pStyle w:val="TextBody"/>
        <w:bidi w:val="0"/>
        <w:spacing w:before="0" w:after="0"/>
        <w:jc w:val="left"/>
        <w:rPr/>
      </w:pPr>
      <w:r>
        <w:rPr/>
        <w:t> </w:t>
      </w:r>
    </w:p>
    <w:tbl>
      <w:tblPr>
        <w:tblW w:w="7300" w:type="dxa"/>
        <w:jc w:val="left"/>
        <w:tblInd w:w="0" w:type="dxa"/>
        <w:tblLayout w:type="fixed"/>
        <w:tblCellMar>
          <w:top w:w="28" w:type="dxa"/>
          <w:left w:w="28" w:type="dxa"/>
          <w:bottom w:w="28" w:type="dxa"/>
          <w:right w:w="28" w:type="dxa"/>
        </w:tblCellMar>
      </w:tblPr>
      <w:tblGrid>
        <w:gridCol w:w="5011"/>
        <w:gridCol w:w="211"/>
        <w:gridCol w:w="146"/>
        <w:gridCol w:w="421"/>
        <w:gridCol w:w="146"/>
        <w:gridCol w:w="146"/>
        <w:gridCol w:w="211"/>
        <w:gridCol w:w="146"/>
        <w:gridCol w:w="571"/>
        <w:gridCol w:w="291"/>
      </w:tblGrid>
      <w:tr>
        <w:trPr/>
        <w:tc>
          <w:tcPr>
            <w:tcW w:w="5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left"/>
              <w:rPr/>
            </w:pPr>
            <w:r>
              <w:rPr/>
              <w:t> </w:t>
            </w:r>
          </w:p>
        </w:tc>
        <w:tc>
          <w:tcPr>
            <w:tcW w:w="199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91" w:type="dxa"/>
            <w:tcBorders/>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0"/>
              <w:ind w:left="0" w:right="0" w:hanging="0"/>
              <w:jc w:val="left"/>
              <w:rPr/>
            </w:pPr>
            <w:r>
              <w:rPr/>
              <w:t> </w:t>
            </w:r>
          </w:p>
        </w:tc>
        <w:tc>
          <w:tcPr>
            <w:tcW w:w="199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Other assets </w:t>
            </w:r>
            <w:r>
              <w:rPr>
                <w:rFonts w:ascii="Times New Roman;serif" w:hAnsi="Times New Roman;serif"/>
                <w:b w:val="false"/>
                <w:sz w:val="13"/>
              </w:rPr>
              <w:t>(1)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4,470</w:t>
            </w:r>
          </w:p>
        </w:tc>
        <w:tc>
          <w:tcPr>
            <w:tcW w:w="2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211"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5011"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Equipment supporting joint revenue sharing arrangements</w:t>
            </w:r>
            <w:r>
              <w:rPr>
                <w:rFonts w:ascii="Times New Roman;serif" w:hAnsi="Times New Roman;serif"/>
                <w:b w:val="false"/>
                <w:sz w:val="13"/>
              </w:rPr>
              <w:t>(2)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291" w:type="dxa"/>
            <w:tcBorders/>
            <w:vAlign w:val="center"/>
          </w:tcPr>
          <w:p>
            <w:pPr>
              <w:pStyle w:val="TableContents"/>
              <w:bidi w:val="0"/>
              <w:spacing w:before="0" w:after="0"/>
              <w:ind w:left="0" w:right="0" w:firstLine="100"/>
              <w:jc w:val="left"/>
              <w:rPr/>
            </w:pPr>
            <w:r>
              <w:rPr/>
              <w:t> </w:t>
            </w:r>
          </w:p>
        </w:tc>
      </w:tr>
      <w:tr>
        <w:trPr/>
        <w:tc>
          <w:tcPr>
            <w:tcW w:w="50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property, plant and equipment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In the six months ended June 30, 2022, the Company recognized a full impairment of its RMB 30.0</w:t>
      </w:r>
      <w:r>
        <w:rPr>
          <w:rFonts w:ascii="Times New Roman;serif" w:hAnsi="Times New Roman;serif"/>
          <w:sz w:val="20"/>
        </w:rPr>
        <w:t xml:space="preserve"> </w:t>
      </w:r>
      <w:r>
        <w:rPr>
          <w:rFonts w:ascii="Times New Roman;serif" w:hAnsi="Times New Roman;serif"/>
          <w:b w:val="false"/>
          <w:sz w:val="20"/>
        </w:rPr>
        <w:t>million (4.5</w:t>
      </w:r>
      <w:r>
        <w:rPr>
          <w:rFonts w:ascii="Times New Roman;serif" w:hAnsi="Times New Roman;serif"/>
          <w:sz w:val="20"/>
        </w:rPr>
        <w:t xml:space="preserve"> </w:t>
      </w:r>
      <w:r>
        <w:rPr>
          <w:rFonts w:ascii="Times New Roman;serif" w:hAnsi="Times New Roman;serif"/>
          <w:b w:val="false"/>
          <w:sz w:val="20"/>
        </w:rPr>
        <w:t xml:space="preserve">million) investment in the film </w:t>
      </w:r>
      <w:r>
        <w:rPr>
          <w:rFonts w:ascii="Times New Roman;serif" w:hAnsi="Times New Roman;serif"/>
          <w:b w:val="false"/>
          <w:i/>
          <w:sz w:val="20"/>
        </w:rPr>
        <w:t>Mozart from Space</w:t>
      </w:r>
      <w:r>
        <w:rPr>
          <w:rFonts w:ascii="Times New Roman;serif" w:hAnsi="Times New Roman;serif"/>
          <w:sz w:val="20"/>
        </w:rPr>
        <w:t xml:space="preserve"> </w:t>
      </w:r>
      <w:r>
        <w:rPr>
          <w:rFonts w:ascii="Times New Roman;serif" w:hAnsi="Times New Roman;serif"/>
          <w:b w:val="false"/>
          <w:sz w:val="20"/>
        </w:rPr>
        <w:t>based on projected box office results and distribution costs. (See Note 15(e).)</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In the six months ended June 30, 2023, the Company recorded charges of $0.4</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(2022 ― $0.2</w:t>
      </w:r>
      <w:r>
        <w:rPr>
          <w:rFonts w:ascii="Times New Roman;serif" w:hAnsi="Times New Roman;serif"/>
          <w:sz w:val="20"/>
        </w:rPr>
        <w:t xml:space="preserve"> </w:t>
      </w:r>
      <w:r>
        <w:rPr>
          <w:rFonts w:ascii="Times New Roman;serif" w:hAnsi="Times New Roman;serif"/>
          <w:b w:val="false"/>
          <w:sz w:val="20"/>
        </w:rPr>
        <w:t xml:space="preserve">million) in Costs and Expenses Applicable to Revenues ― Technology Rentals mostly related to the write-down of leased xenon-based digital systems which were taken out of service in connection with customer upgrades to laser-based digital systems, as well as the closure of one IMAX System. </w:t>
      </w:r>
    </w:p>
    <w:p>
      <w:pPr>
        <w:pStyle w:val="TextBody"/>
        <w:bidi w:val="0"/>
        <w:spacing w:before="200" w:after="0"/>
        <w:jc w:val="left"/>
        <w:rPr>
          <w:rFonts w:ascii="Times New Roman" w:hAnsi="Times New Roman"/>
          <w:b/>
          <w:i/>
          <w:sz w:val="20"/>
        </w:rPr>
      </w:pPr>
      <w:r>
        <w:rPr>
          <w:rFonts w:ascii="Times New Roman" w:hAnsi="Times New Roman"/>
          <w:b/>
          <w:i/>
          <w:sz w:val="20"/>
        </w:rPr>
        <w:t>(d)</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Significant non-cash investing activities</w:t>
      </w:r>
    </w:p>
    <w:p>
      <w:pPr>
        <w:pStyle w:val="TextBody"/>
        <w:bidi w:val="0"/>
        <w:spacing w:before="0" w:after="0"/>
        <w:jc w:val="left"/>
        <w:rPr/>
      </w:pPr>
      <w:r>
        <w:rPr/>
        <w:t> </w:t>
      </w:r>
    </w:p>
    <w:tbl>
      <w:tblPr>
        <w:tblW w:w="8190" w:type="dxa"/>
        <w:jc w:val="left"/>
        <w:tblInd w:w="0" w:type="dxa"/>
        <w:tblLayout w:type="fixed"/>
        <w:tblCellMar>
          <w:top w:w="28" w:type="dxa"/>
          <w:left w:w="28" w:type="dxa"/>
          <w:bottom w:w="28" w:type="dxa"/>
          <w:right w:w="28" w:type="dxa"/>
        </w:tblCellMar>
      </w:tblPr>
      <w:tblGrid>
        <w:gridCol w:w="5971"/>
        <w:gridCol w:w="211"/>
        <w:gridCol w:w="146"/>
        <w:gridCol w:w="481"/>
        <w:gridCol w:w="166"/>
        <w:gridCol w:w="146"/>
        <w:gridCol w:w="211"/>
        <w:gridCol w:w="146"/>
        <w:gridCol w:w="421"/>
        <w:gridCol w:w="291"/>
      </w:tblGrid>
      <w:tr>
        <w:trPr/>
        <w:tc>
          <w:tcPr>
            <w:tcW w:w="5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0"/>
              <w:ind w:left="0" w:right="0" w:hanging="0"/>
              <w:jc w:val="left"/>
              <w:rPr/>
            </w:pPr>
            <w:r>
              <w:rPr/>
              <w:t> </w:t>
            </w:r>
          </w:p>
        </w:tc>
        <w:tc>
          <w:tcPr>
            <w:tcW w:w="192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91" w:type="dxa"/>
            <w:tcBorders/>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pPr>
            <w:r>
              <w:rPr/>
              <w:t> </w:t>
            </w:r>
          </w:p>
        </w:tc>
        <w:tc>
          <w:tcPr>
            <w:tcW w:w="192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accruals related to:</w:t>
            </w:r>
          </w:p>
        </w:tc>
        <w:tc>
          <w:tcPr>
            <w:tcW w:w="211"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Investment in equipment supporting joint revenue sharing arrangements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291" w:type="dxa"/>
            <w:tcBorders/>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Acquisition of other intangible assets</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91" w:type="dxa"/>
            <w:tcBorders/>
            <w:vAlign w:val="center"/>
          </w:tcPr>
          <w:p>
            <w:pPr>
              <w:pStyle w:val="TableContents"/>
              <w:bidi w:val="0"/>
              <w:spacing w:before="0" w:after="0"/>
              <w:ind w:left="0" w:right="0" w:firstLine="100"/>
              <w:jc w:val="left"/>
              <w:rPr/>
            </w:pPr>
            <w:r>
              <w:rPr/>
              <w:t> </w:t>
            </w:r>
          </w:p>
        </w:tc>
      </w:tr>
      <w:tr>
        <w:trPr/>
        <w:tc>
          <w:tcPr>
            <w:tcW w:w="59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Purchases of property, plant and equipment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(e) Significant non-cash financing activities</w:t>
      </w:r>
    </w:p>
    <w:p>
      <w:pPr>
        <w:pStyle w:val="TextBody"/>
        <w:bidi w:val="0"/>
        <w:spacing w:before="200" w:after="0"/>
        <w:jc w:val="both"/>
        <w:rPr>
          <w:rFonts w:ascii="Times New Roman" w:hAnsi="Times New Roman"/>
          <w:sz w:val="20"/>
        </w:rPr>
      </w:pPr>
      <w:r>
        <w:rPr>
          <w:rFonts w:ascii="Times New Roman;serif" w:hAnsi="Times New Roman;serif"/>
          <w:b w:val="false"/>
          <w:sz w:val="20"/>
        </w:rPr>
        <w:t>In the six months ended June 30, 2022, the Company declared a dividend to non-controlling interests of $2.6</w:t>
      </w:r>
      <w:r>
        <w:rPr>
          <w:rFonts w:ascii="Times New Roman" w:hAnsi="Times New Roman"/>
          <w:sz w:val="20"/>
        </w:rPr>
        <w:t xml:space="preserve"> </w:t>
      </w:r>
      <w:r>
        <w:rPr>
          <w:rFonts w:ascii="Times New Roman;serif" w:hAnsi="Times New Roman;serif"/>
          <w:b w:val="false"/>
          <w:sz w:val="20"/>
        </w:rPr>
        <w:t>million, which was paid in July 2022 and was recorded on the Condensed Consolidated Balance Sheets within Accrued and Other Liabilities as of June 30, 2022.</w:t>
      </w:r>
    </w:p>
    <w:p>
      <w:pPr>
        <w:pStyle w:val="TextBody"/>
        <w:bidi w:val="0"/>
        <w:spacing w:before="200" w:after="0"/>
        <w:jc w:val="both"/>
        <w:rPr>
          <w:rFonts w:ascii="Times New Roman;serif" w:hAnsi="Times New Roman;serif"/>
          <w:b/>
          <w:sz w:val="20"/>
        </w:rPr>
      </w:pPr>
      <w:r>
        <w:rPr>
          <w:rFonts w:ascii="Times New Roman;serif" w:hAnsi="Times New Roman;serif"/>
          <w:b/>
          <w:sz w:val="20"/>
        </w:rPr>
        <w:t>10. Income Taxes</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(a)</w:t>
      </w:r>
    </w:p>
    <w:p>
      <w:pPr>
        <w:pStyle w:val="TextBody"/>
        <w:bidi w:val="0"/>
        <w:jc w:val="both"/>
        <w:rPr>
          <w:rFonts w:ascii="Times New Roman;serif" w:hAnsi="Times New Roman;serif"/>
          <w:b/>
          <w:i/>
          <w:sz w:val="20"/>
        </w:rPr>
      </w:pPr>
      <w:r>
        <w:rPr>
          <w:rFonts w:ascii="Times New Roman;serif" w:hAnsi="Times New Roman;serif"/>
          <w:b/>
          <w:i/>
          <w:sz w:val="20"/>
        </w:rPr>
        <w:t xml:space="preserve">Income Tax Expense </w:t>
      </w:r>
    </w:p>
    <w:p>
      <w:pPr>
        <w:pStyle w:val="TextBody"/>
        <w:bidi w:val="0"/>
        <w:spacing w:before="200" w:after="200"/>
        <w:jc w:val="both"/>
        <w:rPr>
          <w:rFonts w:ascii="Times New Roman" w:hAnsi="Times New Roman"/>
          <w:sz w:val="20"/>
        </w:rPr>
      </w:pPr>
      <w:r>
        <w:rPr>
          <w:rFonts w:ascii="Times New Roman;serif" w:hAnsi="Times New Roman;serif"/>
          <w:b w:val="false"/>
          <w:sz w:val="20"/>
        </w:rPr>
        <w:t>For the three months ended June 30, 2023, the Company recorded income tax expense of $3.5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$3.1</w:t>
      </w:r>
      <w:r>
        <w:rPr>
          <w:rFonts w:ascii="Times New Roman" w:hAnsi="Times New Roman"/>
          <w:sz w:val="20"/>
        </w:rPr>
        <w:t xml:space="preserve"> </w:t>
      </w:r>
      <w:r>
        <w:rPr>
          <w:rFonts w:ascii="Times New Roman;serif" w:hAnsi="Times New Roman;serif"/>
          <w:b w:val="false"/>
          <w:sz w:val="20"/>
        </w:rPr>
        <w:t>million). For the three months ended June 30, 2023, the Company’s effective tax rate differs from the combined Canadian federal and provincial statutory income tax rate due to the following factors: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5973"/>
        <w:gridCol w:w="211"/>
        <w:gridCol w:w="631"/>
        <w:gridCol w:w="166"/>
        <w:gridCol w:w="146"/>
        <w:gridCol w:w="177"/>
        <w:gridCol w:w="421"/>
        <w:gridCol w:w="146"/>
        <w:gridCol w:w="146"/>
        <w:gridCol w:w="211"/>
        <w:gridCol w:w="631"/>
        <w:gridCol w:w="166"/>
        <w:gridCol w:w="146"/>
        <w:gridCol w:w="1034"/>
      </w:tblGrid>
      <w:tr>
        <w:trPr/>
        <w:tc>
          <w:tcPr>
            <w:tcW w:w="5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center"/>
          </w:tcPr>
          <w:p>
            <w:pPr>
              <w:pStyle w:val="TableContents"/>
              <w:bidi w:val="0"/>
              <w:spacing w:before="0" w:after="0"/>
              <w:ind w:left="0" w:right="0" w:hanging="0"/>
              <w:jc w:val="left"/>
              <w:rPr/>
            </w:pPr>
            <w:r>
              <w:rPr/>
              <w:t> </w:t>
            </w:r>
          </w:p>
        </w:tc>
        <w:tc>
          <w:tcPr>
            <w:tcW w:w="175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8" w:type="dxa"/>
            <w:gridSpan w:val="5"/>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r>
      <w:tr>
        <w:trPr/>
        <w:tc>
          <w:tcPr>
            <w:tcW w:w="5973" w:type="dxa"/>
            <w:tcBorders/>
            <w:vAlign w:val="center"/>
          </w:tcPr>
          <w:p>
            <w:pPr>
              <w:pStyle w:val="TableContents"/>
              <w:bidi w:val="0"/>
              <w:spacing w:before="0" w:after="0"/>
              <w:ind w:left="0" w:right="0" w:hanging="0"/>
              <w:jc w:val="left"/>
              <w:rPr/>
            </w:pPr>
            <w:r>
              <w:rPr/>
              <w:t> </w:t>
            </w:r>
          </w:p>
        </w:tc>
        <w:tc>
          <w:tcPr>
            <w:tcW w:w="1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8"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r>
      <w:tr>
        <w:trPr/>
        <w:tc>
          <w:tcPr>
            <w:tcW w:w="5973"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rates)</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w:t>
            </w:r>
          </w:p>
        </w:tc>
      </w:tr>
      <w:tr>
        <w:trPr/>
        <w:tc>
          <w:tcPr>
            <w:tcW w:w="59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at combined statutory rates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r>
      <w:tr>
        <w:trPr/>
        <w:tc>
          <w:tcPr>
            <w:tcW w:w="59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resulting from:</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firstLine="200"/>
              <w:jc w:val="left"/>
              <w:rPr/>
            </w:pPr>
            <w:r>
              <w:rPr/>
              <w:t> </w:t>
            </w:r>
          </w:p>
        </w:tc>
      </w:tr>
      <w:tr>
        <w:trPr/>
        <w:tc>
          <w:tcPr>
            <w:tcW w:w="59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valuation allowance</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(485.3%)</w:t>
            </w:r>
          </w:p>
        </w:tc>
      </w:tr>
      <w:tr>
        <w:trPr/>
        <w:tc>
          <w:tcPr>
            <w:tcW w:w="59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Shortfall tax benefits related to share-based compensation</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(2.1%)</w:t>
            </w:r>
          </w:p>
        </w:tc>
      </w:tr>
      <w:tr>
        <w:trPr/>
        <w:tc>
          <w:tcPr>
            <w:tcW w:w="59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to tax reserves</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(22.5%)</w:t>
            </w:r>
          </w:p>
        </w:tc>
      </w:tr>
      <w:tr>
        <w:trPr/>
        <w:tc>
          <w:tcPr>
            <w:tcW w:w="59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to deferred tax assets and liabilities resulting from audit and other tax return adjustments</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223.4%</w:t>
            </w:r>
          </w:p>
        </w:tc>
      </w:tr>
      <w:tr>
        <w:trPr/>
        <w:tc>
          <w:tcPr>
            <w:tcW w:w="59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r>
      <w:tr>
        <w:trPr/>
        <w:tc>
          <w:tcPr>
            <w:tcW w:w="59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(280.2%)</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the three months ended June 30, 2023, the Company recorded an additional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increase of $5.4</w:t>
      </w:r>
      <w:r>
        <w:rPr>
          <w:rFonts w:ascii="Times New Roman" w:hAnsi="Times New Roman"/>
          <w:sz w:val="20"/>
        </w:rPr>
        <w:t xml:space="preserve"> </w:t>
      </w:r>
      <w:r>
        <w:rPr>
          <w:rFonts w:ascii="Times New Roman;serif" w:hAnsi="Times New Roman;serif"/>
          <w:b w:val="false"/>
          <w:sz w:val="20"/>
        </w:rPr>
        <w:t>million) valuation allowance against deferred tax assets. The valuation allowance includes an increase of $1.4</w:t>
      </w:r>
      <w:r>
        <w:rPr>
          <w:rFonts w:ascii="Times New Roman" w:hAnsi="Times New Roman"/>
          <w:sz w:val="20"/>
        </w:rPr>
        <w:t xml:space="preserve"> </w:t>
      </w:r>
      <w:r>
        <w:rPr>
          <w:rFonts w:ascii="Times New Roman;serif" w:hAnsi="Times New Roman;serif"/>
          <w:b w:val="false"/>
          <w:sz w:val="20"/>
        </w:rPr>
        <w:t>million in reporting entities where management cannot reliably forecast that sufficient future tax liabilities will arise. Accordingly, the tax benefit associated with the current period losses in these reporting entities is not reflected in the Company’s Condensed Consolidated Statements of Operations. The valuation allowance is partially offset by a decrease of $1.3</w:t>
      </w:r>
      <w:r>
        <w:rPr>
          <w:rFonts w:ascii="Times New Roman" w:hAnsi="Times New Roman"/>
          <w:sz w:val="20"/>
        </w:rPr>
        <w:t xml:space="preserve"> </w:t>
      </w:r>
      <w:r>
        <w:rPr>
          <w:rFonts w:ascii="Times New Roman;serif" w:hAnsi="Times New Roman;serif"/>
          <w:b w:val="false"/>
          <w:sz w:val="20"/>
        </w:rPr>
        <w:t>million related to the recognition of certain losses in IMAX China Holding, Inc. (“IMAX China”) that management now considers to be realizable.</w:t>
      </w:r>
      <w:r>
        <w:rPr>
          <w:rFonts w:ascii="Times New Roman" w:hAnsi="Times New Roman"/>
          <w:sz w:val="20"/>
        </w:rPr>
        <w:t xml:space="preserve"> </w:t>
      </w:r>
    </w:p>
    <w:p>
      <w:pPr>
        <w:pStyle w:val="TextBody"/>
        <w:bidi w:val="0"/>
        <w:spacing w:before="200" w:after="200"/>
        <w:jc w:val="both"/>
        <w:rPr>
          <w:rFonts w:ascii="Times New Roman" w:hAnsi="Times New Roman"/>
          <w:sz w:val="20"/>
        </w:rPr>
      </w:pPr>
      <w:r>
        <w:rPr>
          <w:rFonts w:ascii="Times New Roman;serif" w:hAnsi="Times New Roman;serif"/>
          <w:b w:val="false"/>
          <w:sz w:val="20"/>
        </w:rPr>
        <w:t>For the six months ended June 30, 2023, the Company recorded income tax expense of $8.3</w:t>
      </w:r>
      <w:r>
        <w:rPr>
          <w:rFonts w:ascii="Times New Roman" w:hAnsi="Times New Roman"/>
          <w:sz w:val="20"/>
        </w:rPr>
        <w:t xml:space="preserve"> </w:t>
      </w:r>
      <w:r>
        <w:rPr>
          <w:rFonts w:ascii="Times New Roman;serif" w:hAnsi="Times New Roman;serif"/>
          <w:b w:val="false"/>
          <w:sz w:val="20"/>
        </w:rPr>
        <w:t>million (2022 — $5.7</w:t>
      </w:r>
      <w:r>
        <w:rPr>
          <w:rFonts w:ascii="Times New Roman" w:hAnsi="Times New Roman"/>
          <w:sz w:val="20"/>
        </w:rPr>
        <w:t xml:space="preserve"> </w:t>
      </w:r>
      <w:r>
        <w:rPr>
          <w:rFonts w:ascii="Times New Roman;serif" w:hAnsi="Times New Roman;serif"/>
          <w:b w:val="false"/>
          <w:sz w:val="20"/>
        </w:rPr>
        <w:t>million). For the six months ended June 30, 2023, the Company’s effective tax rate differs from the combined Canadian federal and provincial statutory income tax rate due to the following factors: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118"/>
        <w:gridCol w:w="211"/>
        <w:gridCol w:w="631"/>
        <w:gridCol w:w="166"/>
        <w:gridCol w:w="146"/>
        <w:gridCol w:w="595"/>
        <w:gridCol w:w="146"/>
        <w:gridCol w:w="211"/>
        <w:gridCol w:w="736"/>
        <w:gridCol w:w="166"/>
        <w:gridCol w:w="146"/>
        <w:gridCol w:w="933"/>
      </w:tblGrid>
      <w:tr>
        <w:trPr/>
        <w:tc>
          <w:tcPr>
            <w:tcW w:w="6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6118" w:type="dxa"/>
            <w:tcBorders/>
            <w:vAlign w:val="center"/>
          </w:tcPr>
          <w:p>
            <w:pPr>
              <w:pStyle w:val="TableContents"/>
              <w:bidi w:val="0"/>
              <w:spacing w:before="0" w:after="0"/>
              <w:ind w:left="0" w:right="0" w:hanging="0"/>
              <w:jc w:val="left"/>
              <w:rPr/>
            </w:pPr>
            <w:r>
              <w:rPr/>
              <w:t> </w:t>
            </w:r>
          </w:p>
        </w:tc>
        <w:tc>
          <w:tcPr>
            <w:tcW w:w="1749" w:type="dxa"/>
            <w:gridSpan w:val="5"/>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2192" w:type="dxa"/>
            <w:gridSpan w:val="5"/>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r>
      <w:tr>
        <w:trPr/>
        <w:tc>
          <w:tcPr>
            <w:tcW w:w="6118" w:type="dxa"/>
            <w:tcBorders/>
            <w:vAlign w:val="center"/>
          </w:tcPr>
          <w:p>
            <w:pPr>
              <w:pStyle w:val="TableContents"/>
              <w:bidi w:val="0"/>
              <w:spacing w:before="0" w:after="0"/>
              <w:ind w:left="0" w:right="0" w:hanging="0"/>
              <w:jc w:val="left"/>
              <w:rPr/>
            </w:pPr>
            <w:r>
              <w:rPr/>
              <w:t> </w:t>
            </w:r>
          </w:p>
        </w:tc>
        <w:tc>
          <w:tcPr>
            <w:tcW w:w="174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2"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r>
      <w:tr>
        <w:trPr/>
        <w:tc>
          <w:tcPr>
            <w:tcW w:w="611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rates)</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w:t>
            </w:r>
          </w:p>
        </w:tc>
      </w:tr>
      <w:tr>
        <w:trPr/>
        <w:tc>
          <w:tcPr>
            <w:tcW w:w="6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at combined statutory rates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r>
      <w:tr>
        <w:trPr/>
        <w:tc>
          <w:tcPr>
            <w:tcW w:w="6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resulting from:</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firstLine="200"/>
              <w:jc w:val="left"/>
              <w:rPr/>
            </w:pPr>
            <w:r>
              <w:rPr/>
              <w:t> </w:t>
            </w:r>
          </w:p>
        </w:tc>
      </w:tr>
      <w:tr>
        <w:trPr/>
        <w:tc>
          <w:tcPr>
            <w:tcW w:w="6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of valuation allowance</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(99.8%)</w:t>
            </w:r>
          </w:p>
        </w:tc>
      </w:tr>
      <w:tr>
        <w:trPr/>
        <w:tc>
          <w:tcPr>
            <w:tcW w:w="6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Shortfall excess tax benefits related to share-based compensation</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(1.5%)</w:t>
            </w:r>
          </w:p>
        </w:tc>
      </w:tr>
      <w:tr>
        <w:trPr/>
        <w:tc>
          <w:tcPr>
            <w:tcW w:w="6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to tax reserves</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(3.9%)</w:t>
            </w:r>
          </w:p>
        </w:tc>
      </w:tr>
      <w:tr>
        <w:trPr/>
        <w:tc>
          <w:tcPr>
            <w:tcW w:w="6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to deferred tax assets and liabilities resulting from audit and other tax return adjustments</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23.9%</w:t>
            </w:r>
          </w:p>
        </w:tc>
      </w:tr>
      <w:tr>
        <w:trPr/>
        <w:tc>
          <w:tcPr>
            <w:tcW w:w="6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r>
      <w:tr>
        <w:trPr/>
        <w:tc>
          <w:tcPr>
            <w:tcW w:w="6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Condensed Consolidated Balance Sheets include deferred income tax assets of $11.5</w:t>
      </w:r>
      <w:r>
        <w:rPr>
          <w:rFonts w:ascii="Times New Roman" w:hAnsi="Times New Roman"/>
          <w:sz w:val="20"/>
        </w:rPr>
        <w:t xml:space="preserve"> </w:t>
      </w:r>
      <w:r>
        <w:rPr>
          <w:rFonts w:ascii="Times New Roman;serif" w:hAnsi="Times New Roman;serif"/>
          <w:b w:val="false"/>
          <w:sz w:val="20"/>
        </w:rPr>
        <w:t>million, net of a valuation allowance of $64.5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$9.9</w:t>
      </w:r>
      <w:r>
        <w:rPr>
          <w:rFonts w:ascii="Times New Roman" w:hAnsi="Times New Roman"/>
          <w:sz w:val="20"/>
        </w:rPr>
        <w:t xml:space="preserve"> </w:t>
      </w:r>
      <w:r>
        <w:rPr>
          <w:rFonts w:ascii="Times New Roman;serif" w:hAnsi="Times New Roman;serif"/>
          <w:b w:val="false"/>
          <w:sz w:val="20"/>
        </w:rPr>
        <w:t>million, net of a valuation allowance of $62.9</w:t>
      </w:r>
      <w:r>
        <w:rPr>
          <w:rFonts w:ascii="Times New Roman" w:hAnsi="Times New Roman"/>
          <w:sz w:val="20"/>
        </w:rPr>
        <w:t xml:space="preserve"> </w:t>
      </w:r>
      <w:r>
        <w:rPr>
          <w:rFonts w:ascii="Times New Roman;serif" w:hAnsi="Times New Roman;serif"/>
          <w:b w:val="false"/>
          <w:sz w:val="20"/>
        </w:rPr>
        <w:t>million). A net increase of $1.7</w:t>
      </w:r>
      <w:r>
        <w:rPr>
          <w:rFonts w:ascii="Times New Roman" w:hAnsi="Times New Roman"/>
          <w:sz w:val="20"/>
        </w:rPr>
        <w:t xml:space="preserve"> </w:t>
      </w:r>
      <w:r>
        <w:rPr>
          <w:rFonts w:ascii="Times New Roman;serif" w:hAnsi="Times New Roman;serif"/>
          <w:b w:val="false"/>
          <w:sz w:val="20"/>
        </w:rPr>
        <w:t>million in the valuation allowance recorded in the six months ended June 30, 2023, includes an increase of $3.0</w:t>
      </w:r>
      <w:r>
        <w:rPr>
          <w:rFonts w:ascii="Times New Roman" w:hAnsi="Times New Roman"/>
          <w:sz w:val="20"/>
        </w:rPr>
        <w:t xml:space="preserve"> </w:t>
      </w:r>
      <w:r>
        <w:rPr>
          <w:rFonts w:ascii="Times New Roman;serif" w:hAnsi="Times New Roman;serif"/>
          <w:b w:val="false"/>
          <w:sz w:val="20"/>
        </w:rPr>
        <w:t>million in reporting entities where management cannot reliably forecast that sufficient future tax liabilities will arise. Accordingly, the tax benefit associated with the current period losses in these reporting entities is not reflected in the Company's Condensed Consolidated Statements of Operations. The valuation allowance is partially offset by a decrease of $1.3</w:t>
      </w:r>
      <w:r>
        <w:rPr>
          <w:rFonts w:ascii="Times New Roman" w:hAnsi="Times New Roman"/>
          <w:sz w:val="20"/>
        </w:rPr>
        <w:t xml:space="preserve"> </w:t>
      </w:r>
      <w:r>
        <w:rPr>
          <w:rFonts w:ascii="Times New Roman;serif" w:hAnsi="Times New Roman;serif"/>
          <w:b w:val="false"/>
          <w:sz w:val="20"/>
        </w:rPr>
        <w:t>million related to the recognition of certain losses in IMAX China that management now considers to be realizable. The valuation allowance is determined at the level of each reporting entity and is expected to reverse at the point in time when management determines it is more likely than not that the reporting entity will incur sufficient tax liabilities to allow it to utilize the deferred tax assets against which the valuation allowance is recorded.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Condensed Consolidated Balance Sheets also include deferred tax liabilities of $13.6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$14.9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Income Tax Effect on Other Comprehensive (Loss) Income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three and six months ended June 30, 2023 and 2022, the Income Tax (Expense) Benefit related to the components of Other Comprehensive (Loss) Income (“OCI”) is as follows:</w:t>
      </w:r>
    </w:p>
    <w:p>
      <w:pPr>
        <w:pStyle w:val="TextBody"/>
        <w:bidi w:val="0"/>
        <w:spacing w:before="0" w:after="0"/>
        <w:jc w:val="left"/>
        <w:rPr/>
      </w:pPr>
      <w:r>
        <w:rPr/>
        <w:t> </w:t>
      </w:r>
    </w:p>
    <w:tbl>
      <w:tblPr>
        <w:tblW w:w="8554" w:type="dxa"/>
        <w:jc w:val="left"/>
        <w:tblInd w:w="0" w:type="dxa"/>
        <w:tblLayout w:type="fixed"/>
        <w:tblCellMar>
          <w:top w:w="28" w:type="dxa"/>
          <w:left w:w="28" w:type="dxa"/>
          <w:bottom w:w="28" w:type="dxa"/>
          <w:right w:w="28" w:type="dxa"/>
        </w:tblCellMar>
      </w:tblPr>
      <w:tblGrid>
        <w:gridCol w:w="4366"/>
        <w:gridCol w:w="146"/>
        <w:gridCol w:w="211"/>
        <w:gridCol w:w="481"/>
        <w:gridCol w:w="166"/>
        <w:gridCol w:w="146"/>
        <w:gridCol w:w="211"/>
        <w:gridCol w:w="421"/>
        <w:gridCol w:w="166"/>
        <w:gridCol w:w="146"/>
        <w:gridCol w:w="146"/>
        <w:gridCol w:w="211"/>
        <w:gridCol w:w="481"/>
        <w:gridCol w:w="166"/>
        <w:gridCol w:w="146"/>
        <w:gridCol w:w="146"/>
        <w:gridCol w:w="211"/>
        <w:gridCol w:w="376"/>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2094" w:type="dxa"/>
            <w:gridSpan w:val="9"/>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883"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3"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change in cash flow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Realized change in cash flow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and postretirement benefit plans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11. Capital Stock and Reserves</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 xml:space="preserve">Share-Based Compensation </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share-based compensation expense totaled $6.8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$11.9</w:t>
      </w:r>
      <w:r>
        <w:rPr>
          <w:rFonts w:ascii="Times New Roman" w:hAnsi="Times New Roman"/>
          <w:sz w:val="20"/>
        </w:rPr>
        <w:t xml:space="preserve"> </w:t>
      </w:r>
      <w:r>
        <w:rPr>
          <w:rFonts w:ascii="Times New Roman;serif" w:hAnsi="Times New Roman;serif"/>
          <w:b w:val="false"/>
          <w:sz w:val="20"/>
        </w:rPr>
        <w:t>million, respectively, (2022 — $7.6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$13.7</w:t>
      </w:r>
      <w:r>
        <w:rPr>
          <w:rFonts w:ascii="Times New Roman" w:hAnsi="Times New Roman"/>
          <w:sz w:val="20"/>
        </w:rPr>
        <w:t xml:space="preserve"> </w:t>
      </w:r>
      <w:r>
        <w:rPr>
          <w:rFonts w:ascii="Times New Roman;serif" w:hAnsi="Times New Roman;serif"/>
          <w:b w:val="false"/>
          <w:sz w:val="20"/>
        </w:rPr>
        <w:t>million, respectively) and is reflected in the following accounts in the Condensed Consolidated Statements of Operations:</w:t>
      </w:r>
    </w:p>
    <w:p>
      <w:pPr>
        <w:pStyle w:val="TextBody"/>
        <w:bidi w:val="0"/>
        <w:spacing w:before="0" w:after="0"/>
        <w:jc w:val="both"/>
        <w:rPr/>
      </w:pPr>
      <w:r>
        <w:rPr/>
        <w:t> </w:t>
      </w:r>
    </w:p>
    <w:tbl>
      <w:tblPr>
        <w:tblW w:w="8745" w:type="dxa"/>
        <w:jc w:val="left"/>
        <w:tblInd w:w="0" w:type="dxa"/>
        <w:tblLayout w:type="fixed"/>
        <w:tblCellMar>
          <w:top w:w="28" w:type="dxa"/>
          <w:left w:w="28" w:type="dxa"/>
          <w:bottom w:w="28" w:type="dxa"/>
          <w:right w:w="28" w:type="dxa"/>
        </w:tblCellMar>
      </w:tblPr>
      <w:tblGrid>
        <w:gridCol w:w="3736"/>
        <w:gridCol w:w="211"/>
        <w:gridCol w:w="146"/>
        <w:gridCol w:w="571"/>
        <w:gridCol w:w="146"/>
        <w:gridCol w:w="146"/>
        <w:gridCol w:w="211"/>
        <w:gridCol w:w="146"/>
        <w:gridCol w:w="571"/>
        <w:gridCol w:w="146"/>
        <w:gridCol w:w="146"/>
        <w:gridCol w:w="211"/>
        <w:gridCol w:w="146"/>
        <w:gridCol w:w="676"/>
        <w:gridCol w:w="166"/>
        <w:gridCol w:w="146"/>
        <w:gridCol w:w="211"/>
        <w:gridCol w:w="146"/>
        <w:gridCol w:w="67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214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214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 applicable to revenues</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12,989</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transition costs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The following table summarizes the Company’s share-based compensation expense by each award type:</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216"/>
        <w:gridCol w:w="211"/>
        <w:gridCol w:w="146"/>
        <w:gridCol w:w="571"/>
        <w:gridCol w:w="146"/>
        <w:gridCol w:w="146"/>
        <w:gridCol w:w="211"/>
        <w:gridCol w:w="146"/>
        <w:gridCol w:w="571"/>
        <w:gridCol w:w="146"/>
        <w:gridCol w:w="146"/>
        <w:gridCol w:w="211"/>
        <w:gridCol w:w="146"/>
        <w:gridCol w:w="676"/>
        <w:gridCol w:w="146"/>
        <w:gridCol w:w="146"/>
        <w:gridCol w:w="211"/>
        <w:gridCol w:w="146"/>
        <w:gridCol w:w="676"/>
        <w:gridCol w:w="191"/>
      </w:tblGrid>
      <w:tr>
        <w:trPr/>
        <w:tc>
          <w:tcPr>
            <w:tcW w:w="5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before="0" w:after="0"/>
              <w:ind w:left="0" w:right="0" w:hanging="0"/>
              <w:jc w:val="left"/>
              <w:rPr/>
            </w:pPr>
            <w:r>
              <w:rPr/>
              <w:t> </w:t>
            </w:r>
          </w:p>
        </w:tc>
        <w:tc>
          <w:tcPr>
            <w:tcW w:w="214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5216" w:type="dxa"/>
            <w:tcBorders/>
            <w:vAlign w:val="center"/>
          </w:tcPr>
          <w:p>
            <w:pPr>
              <w:pStyle w:val="TableContents"/>
              <w:bidi w:val="0"/>
              <w:spacing w:before="0" w:after="0"/>
              <w:ind w:left="0" w:right="0" w:hanging="0"/>
              <w:jc w:val="left"/>
              <w:rPr/>
            </w:pPr>
            <w:r>
              <w:rPr/>
              <w:t> </w:t>
            </w:r>
          </w:p>
        </w:tc>
        <w:tc>
          <w:tcPr>
            <w:tcW w:w="214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91" w:type="dxa"/>
            <w:tcBorders/>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 Units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7,889</w:t>
            </w:r>
          </w:p>
        </w:tc>
        <w:tc>
          <w:tcPr>
            <w:tcW w:w="191" w:type="dxa"/>
            <w:tcBorders/>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Stock Units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3,453</w:t>
            </w:r>
          </w:p>
        </w:tc>
        <w:tc>
          <w:tcPr>
            <w:tcW w:w="191" w:type="dxa"/>
            <w:tcBorders/>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Stock Options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91" w:type="dxa"/>
            <w:tcBorders/>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Long Term Incentive Plan Restricted Share Units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Long Term Incentive Plan Performance Stock Units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1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the Company's share-based compensation expense includes $1.7</w:t>
      </w:r>
      <w:r>
        <w:rPr>
          <w:rFonts w:ascii="Times New Roman" w:hAnsi="Times New Roman"/>
          <w:sz w:val="20"/>
        </w:rPr>
        <w:t xml:space="preserve"> </w:t>
      </w:r>
      <w:r>
        <w:rPr>
          <w:rFonts w:ascii="Times New Roman;serif" w:hAnsi="Times New Roman;serif"/>
          <w:b w:val="false"/>
          <w:sz w:val="20"/>
        </w:rPr>
        <w:t>million related to restricted share units granted to non-employees (2022 —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Stock Option Summary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the activity under the Company’s Stock Option Plan (“SOP”) and the IMAX Corporation Second Amended and Restated Long-Term Incentive Plan (as may be amended, “IMAX LTIP”) for the six months ended June 30, 2023 and 2022:</w:t>
      </w:r>
    </w:p>
    <w:p>
      <w:pPr>
        <w:pStyle w:val="TextBody"/>
        <w:bidi w:val="0"/>
        <w:spacing w:before="0" w:after="0"/>
        <w:jc w:val="both"/>
        <w:rPr/>
      </w:pPr>
      <w:r>
        <w:rPr/>
        <w:t> </w:t>
      </w:r>
    </w:p>
    <w:tbl>
      <w:tblPr>
        <w:tblW w:w="9400" w:type="dxa"/>
        <w:jc w:val="left"/>
        <w:tblInd w:w="0" w:type="dxa"/>
        <w:tblLayout w:type="fixed"/>
        <w:tblCellMar>
          <w:top w:w="28" w:type="dxa"/>
          <w:left w:w="28" w:type="dxa"/>
          <w:bottom w:w="28" w:type="dxa"/>
          <w:right w:w="28" w:type="dxa"/>
        </w:tblCellMar>
      </w:tblPr>
      <w:tblGrid>
        <w:gridCol w:w="3976"/>
        <w:gridCol w:w="146"/>
        <w:gridCol w:w="146"/>
        <w:gridCol w:w="931"/>
        <w:gridCol w:w="166"/>
        <w:gridCol w:w="146"/>
        <w:gridCol w:w="146"/>
        <w:gridCol w:w="931"/>
        <w:gridCol w:w="166"/>
        <w:gridCol w:w="146"/>
        <w:gridCol w:w="211"/>
        <w:gridCol w:w="158"/>
        <w:gridCol w:w="619"/>
        <w:gridCol w:w="158"/>
        <w:gridCol w:w="158"/>
        <w:gridCol w:w="228"/>
        <w:gridCol w:w="158"/>
        <w:gridCol w:w="619"/>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8"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w:t>
              <w:br/>
              <w:t>Price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 beginning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3,604,739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3,736,157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26.61</w:t>
            </w:r>
          </w:p>
        </w:tc>
        <w:tc>
          <w:tcPr>
            <w:tcW w:w="1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32.50</w:t>
            </w:r>
          </w:p>
        </w:tc>
        <w:tc>
          <w:tcPr>
            <w:tcW w:w="1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 end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3,335,800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3,607,391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exercisable, end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3,335,800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3,524,888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Stock options are no longer granted under the Company’s previously approved SOP.</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LTIP Restricted Share Units (“RSU”) Summary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the activity in respect of RSUs issued under the IMAX LTIP for the six months ended June 30, 2023 and 2022:</w:t>
      </w:r>
    </w:p>
    <w:p>
      <w:pPr>
        <w:pStyle w:val="TextBody"/>
        <w:bidi w:val="0"/>
        <w:spacing w:before="0" w:after="0"/>
        <w:jc w:val="both"/>
        <w:rPr/>
      </w:pPr>
      <w:r>
        <w:rPr/>
        <w:t> </w:t>
      </w:r>
    </w:p>
    <w:tbl>
      <w:tblPr>
        <w:tblW w:w="8754" w:type="dxa"/>
        <w:jc w:val="left"/>
        <w:tblInd w:w="0" w:type="dxa"/>
        <w:tblLayout w:type="fixed"/>
        <w:tblCellMar>
          <w:top w:w="28" w:type="dxa"/>
          <w:left w:w="28" w:type="dxa"/>
          <w:bottom w:w="28" w:type="dxa"/>
          <w:right w:w="28" w:type="dxa"/>
        </w:tblCellMar>
      </w:tblPr>
      <w:tblGrid>
        <w:gridCol w:w="3301"/>
        <w:gridCol w:w="146"/>
        <w:gridCol w:w="146"/>
        <w:gridCol w:w="931"/>
        <w:gridCol w:w="166"/>
        <w:gridCol w:w="146"/>
        <w:gridCol w:w="146"/>
        <w:gridCol w:w="931"/>
        <w:gridCol w:w="166"/>
        <w:gridCol w:w="146"/>
        <w:gridCol w:w="229"/>
        <w:gridCol w:w="159"/>
        <w:gridCol w:w="622"/>
        <w:gridCol w:w="159"/>
        <w:gridCol w:w="159"/>
        <w:gridCol w:w="229"/>
        <w:gridCol w:w="159"/>
        <w:gridCol w:w="622"/>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Awards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w:t>
              <w:br/>
              <w:t>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 beginning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1,457,883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690,509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settled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(711,376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19.28</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20.16</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 end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1,307,779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18.51</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LTIP Performance Stock Units (“PSU”) Summary</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w:t>
      </w:r>
      <w:r>
        <w:rPr>
          <w:rFonts w:ascii="Times New Roman" w:hAnsi="Times New Roman"/>
          <w:sz w:val="20"/>
        </w:rPr>
        <w:t xml:space="preserve"> </w:t>
      </w:r>
      <w:r>
        <w:rPr>
          <w:rFonts w:ascii="Times New Roman;serif" w:hAnsi="Times New Roman;serif"/>
          <w:b w:val="false"/>
          <w:sz w:val="20"/>
        </w:rPr>
        <w:t>performance period, the number of PSUs that ultimately vest can range from 0% to a maximum vesting opportunity of 175% of the initial award, depending upon actual performance versus the established EBITDA and stock-price targets.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pStyle w:val="TextBody"/>
        <w:bidi w:val="0"/>
        <w:spacing w:before="200" w:after="0"/>
        <w:jc w:val="both"/>
        <w:rPr>
          <w:rFonts w:ascii="Times New Roman" w:hAnsi="Times New Roman"/>
          <w:sz w:val="20"/>
        </w:rPr>
      </w:pPr>
      <w:r>
        <w:rPr>
          <w:rFonts w:ascii="Times New Roman;serif" w:hAnsi="Times New Roman;serif"/>
          <w:b w:val="false"/>
          <w:sz w:val="20"/>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six months ended June 30, 2023 and 2022 includes adjustments reflecting management’s estimate of the number of PSUs with EBITDA-based targets expected to vest.</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activity in respect of PSUs issued under the IMAX LTIP for the six months ended June 30, 2023 and 2022:</w:t>
      </w:r>
    </w:p>
    <w:tbl>
      <w:tblPr>
        <w:tblW w:w="8484" w:type="dxa"/>
        <w:jc w:val="left"/>
        <w:tblInd w:w="0" w:type="dxa"/>
        <w:tblLayout w:type="fixed"/>
        <w:tblCellMar>
          <w:top w:w="28" w:type="dxa"/>
          <w:left w:w="28" w:type="dxa"/>
          <w:bottom w:w="28" w:type="dxa"/>
          <w:right w:w="28" w:type="dxa"/>
        </w:tblCellMar>
      </w:tblPr>
      <w:tblGrid>
        <w:gridCol w:w="3271"/>
        <w:gridCol w:w="146"/>
        <w:gridCol w:w="146"/>
        <w:gridCol w:w="841"/>
        <w:gridCol w:w="166"/>
        <w:gridCol w:w="146"/>
        <w:gridCol w:w="146"/>
        <w:gridCol w:w="781"/>
        <w:gridCol w:w="166"/>
        <w:gridCol w:w="146"/>
        <w:gridCol w:w="229"/>
        <w:gridCol w:w="159"/>
        <w:gridCol w:w="622"/>
        <w:gridCol w:w="159"/>
        <w:gridCol w:w="159"/>
        <w:gridCol w:w="229"/>
        <w:gridCol w:w="159"/>
        <w:gridCol w:w="622"/>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Awards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w:t>
              <w:br/>
              <w:t>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PSUs outstanding, beginning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931,716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18.96</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18.21</w:t>
            </w:r>
          </w:p>
        </w:tc>
        <w:tc>
          <w:tcPr>
            <w:tcW w:w="19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Granted</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w:t>
            </w:r>
          </w:p>
        </w:tc>
        <w:tc>
          <w:tcPr>
            <w:tcW w:w="19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9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Vested and settled</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16.92</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PSUs outstanding, end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930,829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964,470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sz w:val="20"/>
        </w:rPr>
      </w:pPr>
      <w:r>
        <w:rPr>
          <w:rFonts w:ascii="Times New Roman;serif" w:hAnsi="Times New Roman;serif"/>
          <w:b w:val="false"/>
          <w:sz w:val="20"/>
        </w:rPr>
        <w:t>For the six months ended June 30, 2023, the balance of shares granted includes 157,963</w:t>
      </w:r>
      <w:r>
        <w:rPr>
          <w:rFonts w:ascii="Times New Roman;serif" w:hAnsi="Times New Roman;serif"/>
          <w:sz w:val="20"/>
        </w:rPr>
        <w:t xml:space="preserve"> </w:t>
      </w:r>
      <w:r>
        <w:rPr>
          <w:rFonts w:ascii="Times New Roman;serif" w:hAnsi="Times New Roman;serif"/>
          <w:b w:val="false"/>
          <w:sz w:val="20"/>
        </w:rPr>
        <w:t xml:space="preserve">additional shares, at a weighted average grant date fair value per share of $16.92, as PSUs granted in 2020 with EBITDA-based targets vested at 175% on account of full achievement of the targets.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June 30, 2023, the maximum number of shares of common stock that may be issued with respect to PSUs outstanding is 1,605,621, assuming full achievement of the EBITDA and TSR targets.</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Issuer Purchases of Equity Securities</w:t>
      </w:r>
    </w:p>
    <w:p>
      <w:pPr>
        <w:pStyle w:val="TextBody"/>
        <w:bidi w:val="0"/>
        <w:spacing w:before="200" w:after="0"/>
        <w:jc w:val="both"/>
        <w:rPr>
          <w:rFonts w:ascii="Times New Roman" w:hAnsi="Times New Roman"/>
          <w:sz w:val="20"/>
        </w:rPr>
      </w:pPr>
      <w:r>
        <w:rPr>
          <w:rFonts w:ascii="Times New Roman;serif" w:hAnsi="Times New Roman;serif"/>
          <w:b w:val="false"/>
          <w:sz w:val="20"/>
        </w:rPr>
        <w:t>In 2023, the Company’s Board of Directors approved a 36-month extension to its share repurchase program through June 30, 2026. The Company’s total share repurchase authority is $400.0</w:t>
      </w:r>
      <w:r>
        <w:rPr>
          <w:rFonts w:ascii="Times New Roman;serif" w:hAnsi="Times New Roman;serif"/>
          <w:sz w:val="20"/>
        </w:rPr>
        <w:t xml:space="preserve"> </w:t>
      </w:r>
      <w:r>
        <w:rPr>
          <w:rFonts w:ascii="Times New Roman;serif" w:hAnsi="Times New Roman;serif"/>
          <w:b w:val="false"/>
          <w:sz w:val="20"/>
        </w:rPr>
        <w:t>million under the current share repurchase program. As of June 30, 2023, the Company has $191.5</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available under the repurchased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three and six months ended June 30, 2023, the Company repurchased 21,024</w:t>
      </w:r>
      <w:r>
        <w:rPr>
          <w:rFonts w:ascii="Times New Roman" w:hAnsi="Times New Roman"/>
          <w:sz w:val="20"/>
        </w:rPr>
        <w:t xml:space="preserve"> </w:t>
      </w:r>
      <w:r>
        <w:rPr>
          <w:rFonts w:ascii="Times New Roman;serif" w:hAnsi="Times New Roman;serif"/>
          <w:b w:val="false"/>
          <w:sz w:val="20"/>
        </w:rPr>
        <w:t>and 130,501</w:t>
      </w:r>
      <w:r>
        <w:rPr>
          <w:rFonts w:ascii="Times New Roman" w:hAnsi="Times New Roman"/>
          <w:sz w:val="20"/>
        </w:rPr>
        <w:t xml:space="preserve"> </w:t>
      </w:r>
      <w:r>
        <w:rPr>
          <w:rFonts w:ascii="Times New Roman;serif" w:hAnsi="Times New Roman;serif"/>
          <w:b w:val="false"/>
          <w:sz w:val="20"/>
        </w:rPr>
        <w:t>common shares, respectively, at an average price of $16.89</w:t>
      </w:r>
      <w:r>
        <w:rPr>
          <w:rFonts w:ascii="Times New Roman" w:hAnsi="Times New Roman"/>
          <w:sz w:val="20"/>
        </w:rPr>
        <w:t xml:space="preserve"> </w:t>
      </w:r>
      <w:r>
        <w:rPr>
          <w:rFonts w:ascii="Times New Roman;serif" w:hAnsi="Times New Roman;serif"/>
          <w:b w:val="false"/>
          <w:sz w:val="20"/>
        </w:rPr>
        <w:t>and $15.20</w:t>
      </w:r>
      <w:r>
        <w:rPr>
          <w:rFonts w:ascii="Times New Roman" w:hAnsi="Times New Roman"/>
          <w:sz w:val="20"/>
        </w:rPr>
        <w:t xml:space="preserve"> </w:t>
      </w:r>
      <w:r>
        <w:rPr>
          <w:rFonts w:ascii="Times New Roman;serif" w:hAnsi="Times New Roman;serif"/>
          <w:b w:val="false"/>
          <w:sz w:val="20"/>
        </w:rPr>
        <w:t>per share, respectively, for a total of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$2.0</w:t>
      </w:r>
      <w:r>
        <w:rPr>
          <w:rFonts w:ascii="Times New Roman" w:hAnsi="Times New Roman"/>
          <w:sz w:val="20"/>
        </w:rPr>
        <w:t xml:space="preserve"> </w:t>
      </w:r>
      <w:r>
        <w:rPr>
          <w:rFonts w:ascii="Times New Roman;serif" w:hAnsi="Times New Roman;serif"/>
          <w:b w:val="false"/>
          <w:sz w:val="20"/>
        </w:rPr>
        <w:t>million, respectively, excluding commissions. The repurchases for the six months ended June 30, 2023 excludes repurchases of 140,000</w:t>
      </w:r>
      <w:r>
        <w:rPr>
          <w:rFonts w:ascii="Times New Roman" w:hAnsi="Times New Roman"/>
          <w:sz w:val="20"/>
        </w:rPr>
        <w:t xml:space="preserve"> </w:t>
      </w:r>
      <w:r>
        <w:rPr>
          <w:rFonts w:ascii="Times New Roman;serif" w:hAnsi="Times New Roman;serif"/>
          <w:b w:val="false"/>
          <w:sz w:val="20"/>
        </w:rPr>
        <w:t>shares with trade dates in December 2022, which were settled in January 2023 at an average price of $14.45</w:t>
      </w:r>
      <w:r>
        <w:rPr>
          <w:rFonts w:ascii="Times New Roman" w:hAnsi="Times New Roman"/>
          <w:sz w:val="20"/>
        </w:rPr>
        <w:t xml:space="preserve"> </w:t>
      </w:r>
      <w:r>
        <w:rPr>
          <w:rFonts w:ascii="Times New Roman;serif" w:hAnsi="Times New Roman;serif"/>
          <w:b w:val="false"/>
          <w:sz w:val="20"/>
        </w:rPr>
        <w:t>per share, for a total of $2.0</w:t>
      </w:r>
      <w:r>
        <w:rPr>
          <w:rFonts w:ascii="Times New Roman" w:hAnsi="Times New Roman"/>
          <w:sz w:val="20"/>
        </w:rPr>
        <w:t xml:space="preserve"> </w:t>
      </w:r>
      <w:r>
        <w:rPr>
          <w:rFonts w:ascii="Times New Roman;serif" w:hAnsi="Times New Roman;serif"/>
          <w:b w:val="false"/>
          <w:sz w:val="20"/>
        </w:rPr>
        <w:t>million, excluding commissions. During the three and six months ended June 30, 2022, the Company repurchased 2,702,548</w:t>
      </w:r>
      <w:r>
        <w:rPr>
          <w:rFonts w:ascii="Times New Roman" w:hAnsi="Times New Roman"/>
          <w:sz w:val="20"/>
        </w:rPr>
        <w:t xml:space="preserve"> </w:t>
      </w:r>
      <w:r>
        <w:rPr>
          <w:rFonts w:ascii="Times New Roman;serif" w:hAnsi="Times New Roman;serif"/>
          <w:b w:val="false"/>
          <w:sz w:val="20"/>
        </w:rPr>
        <w:t>and 3,083,200</w:t>
      </w:r>
      <w:r>
        <w:rPr>
          <w:rFonts w:ascii="Times New Roman" w:hAnsi="Times New Roman"/>
          <w:sz w:val="20"/>
        </w:rPr>
        <w:t xml:space="preserve"> </w:t>
      </w:r>
      <w:r>
        <w:rPr>
          <w:rFonts w:ascii="Times New Roman;serif" w:hAnsi="Times New Roman;serif"/>
          <w:b w:val="false"/>
          <w:sz w:val="20"/>
        </w:rPr>
        <w:t>common shares, respectively, at an average price of $15.92</w:t>
      </w:r>
      <w:r>
        <w:rPr>
          <w:rFonts w:ascii="Times New Roman" w:hAnsi="Times New Roman"/>
          <w:sz w:val="20"/>
        </w:rPr>
        <w:t xml:space="preserve"> </w:t>
      </w:r>
      <w:r>
        <w:rPr>
          <w:rFonts w:ascii="Times New Roman;serif" w:hAnsi="Times New Roman;serif"/>
          <w:b w:val="false"/>
          <w:sz w:val="20"/>
        </w:rPr>
        <w:t>and $15.99</w:t>
      </w:r>
      <w:r>
        <w:rPr>
          <w:rFonts w:ascii="Times New Roman" w:hAnsi="Times New Roman"/>
          <w:sz w:val="20"/>
        </w:rPr>
        <w:t xml:space="preserve"> </w:t>
      </w:r>
      <w:r>
        <w:rPr>
          <w:rFonts w:ascii="Times New Roman;serif" w:hAnsi="Times New Roman;serif"/>
          <w:b w:val="false"/>
          <w:sz w:val="20"/>
        </w:rPr>
        <w:t>per share, for a total of $43.0</w:t>
      </w:r>
      <w:r>
        <w:rPr>
          <w:rFonts w:ascii="Times New Roman" w:hAnsi="Times New Roman"/>
          <w:sz w:val="20"/>
        </w:rPr>
        <w:t xml:space="preserve"> </w:t>
      </w:r>
      <w:r>
        <w:rPr>
          <w:rFonts w:ascii="Times New Roman;serif" w:hAnsi="Times New Roman;serif"/>
          <w:b w:val="false"/>
          <w:sz w:val="20"/>
        </w:rPr>
        <w:t>million and $49.3</w:t>
      </w:r>
      <w:r>
        <w:rPr>
          <w:rFonts w:ascii="Times New Roman" w:hAnsi="Times New Roman"/>
          <w:sz w:val="20"/>
        </w:rPr>
        <w:t xml:space="preserve"> </w:t>
      </w:r>
      <w:r>
        <w:rPr>
          <w:rFonts w:ascii="Times New Roman;serif" w:hAnsi="Times New Roman;serif"/>
          <w:b w:val="false"/>
          <w:sz w:val="20"/>
        </w:rPr>
        <w:t>million, respectively, excluding commissions. During the three and six months ended June 30, 2023 and 2022, there were no</w:t>
      </w:r>
      <w:r>
        <w:rPr>
          <w:rFonts w:ascii="Times New Roman" w:hAnsi="Times New Roman"/>
          <w:sz w:val="20"/>
        </w:rPr>
        <w:t xml:space="preserve"> </w:t>
      </w:r>
      <w:r>
        <w:rPr>
          <w:rFonts w:ascii="Times New Roman;serif" w:hAnsi="Times New Roman;serif"/>
          <w:b w:val="false"/>
          <w:sz w:val="20"/>
        </w:rPr>
        <w:t>shares purchases in the administration of employee share based plans.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and December 31, 2022, the IMAX LTIP trustee did not hold any shares. Any shares held with the trustee are recorded at cost and are reported as a reduction against Capital Stock on the Company’s Condensed Consolidated Balance Sheets.</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In 2022, IMAX China's shareholders granted its Board of Directors a general mandate authorizing the Board, subject to applicable laws, to repurchase shares of IMAX China not to exceed 10% of the total number of issued shares as of June 23, 2022</w:t>
      </w:r>
      <w:r>
        <w:rPr>
          <w:rFonts w:ascii="Times New Roman;serif" w:hAnsi="Times New Roman;serif"/>
          <w:sz w:val="20"/>
        </w:rPr>
        <w:t xml:space="preserve"> </w:t>
      </w:r>
      <w:r>
        <w:rPr>
          <w:rFonts w:ascii="Times New Roman;serif" w:hAnsi="Times New Roman;serif"/>
          <w:b w:val="false"/>
          <w:sz w:val="20"/>
        </w:rPr>
        <w:t>(34,063,480</w:t>
      </w:r>
      <w:r>
        <w:rPr>
          <w:rFonts w:ascii="Times New Roman;serif" w:hAnsi="Times New Roman;serif"/>
          <w:sz w:val="20"/>
        </w:rPr>
        <w:t xml:space="preserve"> </w:t>
      </w:r>
      <w:r>
        <w:rPr>
          <w:rFonts w:ascii="Times New Roman;serif" w:hAnsi="Times New Roman;serif"/>
          <w:b w:val="false"/>
          <w:sz w:val="20"/>
        </w:rPr>
        <w:t>shares). This program expired on the date of the 2023 Annual General Meeting of IMAX China on June 6, 2023. During the 2023 Annual General Meeting, shareholders approved the repurchase of shares of IMAX China not to exceed 10% of the total number of shares as of June 6, 2023</w:t>
      </w:r>
      <w:r>
        <w:rPr>
          <w:rFonts w:ascii="Times New Roman;serif" w:hAnsi="Times New Roman;serif"/>
          <w:sz w:val="20"/>
        </w:rPr>
        <w:t xml:space="preserve"> </w:t>
      </w:r>
      <w:r>
        <w:rPr>
          <w:rFonts w:ascii="Times New Roman;serif" w:hAnsi="Times New Roman;serif"/>
          <w:b w:val="false"/>
          <w:sz w:val="20"/>
        </w:rPr>
        <w:t>(33,959,314</w:t>
      </w:r>
      <w:r>
        <w:rPr>
          <w:rFonts w:ascii="Times New Roman;serif" w:hAnsi="Times New Roman;serif"/>
          <w:sz w:val="20"/>
        </w:rPr>
        <w:t xml:space="preserve"> </w:t>
      </w:r>
      <w:r>
        <w:rPr>
          <w:rFonts w:ascii="Times New Roman;serif" w:hAnsi="Times New Roman;serif"/>
          <w:b w:val="false"/>
          <w:sz w:val="20"/>
        </w:rPr>
        <w:t xml:space="preserve">shares). While this program would have been valid until the 2024 Annual General Meeting of IMAX China, pursuant to the transaction described in Note 18 </w:t>
      </w:r>
      <w:r>
        <w:rPr>
          <w:rFonts w:ascii="Times New Roman;serif" w:hAnsi="Times New Roman;serif"/>
          <w:sz w:val="20"/>
        </w:rPr>
        <w:t xml:space="preserve">— </w:t>
      </w:r>
      <w:r>
        <w:rPr>
          <w:rFonts w:ascii="Times New Roman;serif" w:hAnsi="Times New Roman;serif"/>
          <w:b w:val="false"/>
          <w:sz w:val="20"/>
        </w:rPr>
        <w:t>Subsequent Event, IMAX China will not execute any additional share repurchases. The repurchases may be made in the open market or through other means permitted by applicable laws. IMAX China has no obligation to repurchase its shares and the share repurchase program may be suspended or discontinued by IMAX China at any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three and six months ended June 30, 2023, IMAX China did not repurchase any common shares. During the six months ended June 30, 2022, IMAX China repurchased 1,448,000</w:t>
      </w:r>
      <w:r>
        <w:rPr>
          <w:rFonts w:ascii="Times New Roman" w:hAnsi="Times New Roman"/>
          <w:sz w:val="20"/>
        </w:rPr>
        <w:t xml:space="preserve"> </w:t>
      </w:r>
      <w:r>
        <w:rPr>
          <w:rFonts w:ascii="Times New Roman;serif" w:hAnsi="Times New Roman;serif"/>
          <w:b w:val="false"/>
          <w:sz w:val="20"/>
        </w:rPr>
        <w:t>common shares, at an average price of HKD 9.89</w:t>
      </w:r>
      <w:r>
        <w:rPr>
          <w:rFonts w:ascii="Times New Roman" w:hAnsi="Times New Roman"/>
          <w:sz w:val="20"/>
        </w:rPr>
        <w:t xml:space="preserve"> </w:t>
      </w:r>
      <w:r>
        <w:rPr>
          <w:rFonts w:ascii="Times New Roman;serif" w:hAnsi="Times New Roman;serif"/>
          <w:b w:val="false"/>
          <w:sz w:val="20"/>
        </w:rPr>
        <w:t>per share, ($1.26</w:t>
      </w:r>
      <w:r>
        <w:rPr>
          <w:rFonts w:ascii="Times New Roman" w:hAnsi="Times New Roman"/>
          <w:sz w:val="20"/>
        </w:rPr>
        <w:t xml:space="preserve"> </w:t>
      </w:r>
      <w:r>
        <w:rPr>
          <w:rFonts w:ascii="Times New Roman;serif" w:hAnsi="Times New Roman;serif"/>
          <w:b w:val="false"/>
          <w:sz w:val="20"/>
        </w:rPr>
        <w:t>per share) for a total of HKD 14.3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($1.8</w:t>
      </w:r>
      <w:r>
        <w:rPr>
          <w:rFonts w:ascii="Times New Roman" w:hAnsi="Times New Roman"/>
          <w:sz w:val="20"/>
        </w:rPr>
        <w:t xml:space="preserve"> </w:t>
      </w:r>
      <w:r>
        <w:rPr>
          <w:rFonts w:ascii="Times New Roman;serif" w:hAnsi="Times New Roman;serif"/>
          <w:b w:val="false"/>
          <w:sz w:val="20"/>
        </w:rPr>
        <w:t>million). IMAX China did not have any share repurchases in the first quarter of 2022.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July 12, 2023, the Company announced it has filed a proposal to acquire the outstanding shares of IMAX China. (See Note 18.)</w:t>
      </w:r>
    </w:p>
    <w:p>
      <w:pPr>
        <w:pStyle w:val="TextBody"/>
        <w:bidi w:val="0"/>
        <w:spacing w:before="200" w:after="0"/>
        <w:jc w:val="both"/>
        <w:rPr>
          <w:rFonts w:ascii="Times New Roman" w:hAnsi="Times New Roman"/>
          <w:b/>
          <w:i/>
          <w:sz w:val="20"/>
        </w:rPr>
      </w:pPr>
      <w:r>
        <w:rPr>
          <w:rFonts w:ascii="Times New Roman" w:hAnsi="Times New Roman"/>
          <w:b/>
          <w:i/>
          <w:sz w:val="20"/>
        </w:rPr>
        <w:t>(c)</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 xml:space="preserve">Basic and Diluted Weighted Average Shares Outstanding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reconciles the denominator of the basic and diluted weighted average share computations: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080"/>
        <w:gridCol w:w="146"/>
        <w:gridCol w:w="146"/>
        <w:gridCol w:w="146"/>
        <w:gridCol w:w="676"/>
        <w:gridCol w:w="146"/>
        <w:gridCol w:w="146"/>
        <w:gridCol w:w="146"/>
        <w:gridCol w:w="146"/>
        <w:gridCol w:w="676"/>
        <w:gridCol w:w="166"/>
        <w:gridCol w:w="146"/>
        <w:gridCol w:w="146"/>
        <w:gridCol w:w="146"/>
        <w:gridCol w:w="676"/>
        <w:gridCol w:w="146"/>
        <w:gridCol w:w="146"/>
        <w:gridCol w:w="146"/>
        <w:gridCol w:w="146"/>
        <w:gridCol w:w="676"/>
        <w:gridCol w:w="211"/>
      </w:tblGrid>
      <w:tr>
        <w:trPr/>
        <w:tc>
          <w:tcPr>
            <w:tcW w:w="5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5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thousands)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outstanding, beginning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58,654</w:t>
            </w:r>
          </w:p>
        </w:tc>
        <w:tc>
          <w:tcPr>
            <w:tcW w:w="211" w:type="dxa"/>
            <w:tcBorders/>
            <w:vAlign w:val="center"/>
          </w:tcPr>
          <w:p>
            <w:pPr>
              <w:pStyle w:val="TableContents"/>
              <w:bidi w:val="0"/>
              <w:spacing w:before="0" w:after="0"/>
              <w:ind w:left="0" w:right="0" w:hanging="0"/>
              <w:jc w:val="left"/>
              <w:rPr/>
            </w:pPr>
            <w:r>
              <w:rPr/>
              <w:t> </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issued (repurchased), net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211" w:type="dxa"/>
            <w:tcBorders/>
            <w:vAlign w:val="center"/>
          </w:tcPr>
          <w:p>
            <w:pPr>
              <w:pStyle w:val="TableContents"/>
              <w:bidi w:val="0"/>
              <w:spacing w:before="0" w:after="0"/>
              <w:ind w:left="0" w:right="0" w:hanging="0"/>
              <w:jc w:val="left"/>
              <w:rPr/>
            </w:pPr>
            <w:r>
              <w:rPr/>
              <w:t> </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effect of potential common shares, if dilutive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the three and six months ended June 30, 2023, the calculation of diluted weighted average shares outstanding excludes 2,868,749</w:t>
      </w:r>
      <w:r>
        <w:rPr>
          <w:rFonts w:ascii="Times New Roman" w:hAnsi="Times New Roman"/>
          <w:sz w:val="20"/>
        </w:rPr>
        <w:t xml:space="preserve"> </w:t>
      </w:r>
      <w:r>
        <w:rPr>
          <w:rFonts w:ascii="Times New Roman;serif" w:hAnsi="Times New Roman;serif"/>
          <w:b w:val="false"/>
          <w:sz w:val="20"/>
        </w:rPr>
        <w:t>and 3,379,371</w:t>
      </w:r>
      <w:r>
        <w:rPr>
          <w:rFonts w:ascii="Times New Roman" w:hAnsi="Times New Roman"/>
          <w:sz w:val="20"/>
        </w:rPr>
        <w:t xml:space="preserve"> </w:t>
      </w:r>
      <w:r>
        <w:rPr>
          <w:rFonts w:ascii="Times New Roman;serif" w:hAnsi="Times New Roman;serif"/>
          <w:b w:val="false"/>
          <w:sz w:val="20"/>
        </w:rPr>
        <w:t>shares, respectively (2022</w:t>
      </w:r>
      <w:r>
        <w:rPr>
          <w:rFonts w:ascii="Times New Roman" w:hAnsi="Times New Roman"/>
          <w:sz w:val="20"/>
        </w:rPr>
        <w:t xml:space="preserve"> — </w:t>
      </w:r>
      <w:r>
        <w:rPr>
          <w:rFonts w:ascii="Times New Roman;serif" w:hAnsi="Times New Roman;serif"/>
          <w:b w:val="false"/>
          <w:sz w:val="20"/>
        </w:rPr>
        <w:t>4,557,526</w:t>
      </w:r>
      <w:r>
        <w:rPr>
          <w:rFonts w:ascii="Times New Roman" w:hAnsi="Times New Roman"/>
          <w:sz w:val="20"/>
        </w:rPr>
        <w:t xml:space="preserve"> </w:t>
      </w:r>
      <w:r>
        <w:rPr>
          <w:rFonts w:ascii="Times New Roman;serif" w:hAnsi="Times New Roman;serif"/>
          <w:b w:val="false"/>
          <w:sz w:val="20"/>
        </w:rPr>
        <w:t>and 6,302,818</w:t>
      </w:r>
      <w:r>
        <w:rPr>
          <w:rFonts w:ascii="Times New Roman" w:hAnsi="Times New Roman"/>
          <w:sz w:val="20"/>
        </w:rPr>
        <w:t xml:space="preserve"> </w:t>
      </w:r>
      <w:r>
        <w:rPr>
          <w:rFonts w:ascii="Times New Roman;serif" w:hAnsi="Times New Roman;serif"/>
          <w:b w:val="false"/>
          <w:sz w:val="20"/>
        </w:rPr>
        <w:t>shares, respectively) that are issuable upon the vesting or exercise of share-based compensation including: (i) 23,122</w:t>
      </w:r>
      <w:r>
        <w:rPr>
          <w:rFonts w:ascii="Times New Roman" w:hAnsi="Times New Roman"/>
          <w:sz w:val="20"/>
        </w:rPr>
        <w:t xml:space="preserve"> </w:t>
      </w:r>
      <w:r>
        <w:rPr>
          <w:rFonts w:ascii="Times New Roman;serif" w:hAnsi="Times New Roman;serif"/>
          <w:b w:val="false"/>
          <w:sz w:val="20"/>
        </w:rPr>
        <w:t>and 10,765</w:t>
      </w:r>
      <w:r>
        <w:rPr>
          <w:rFonts w:ascii="Times New Roman" w:hAnsi="Times New Roman"/>
          <w:sz w:val="20"/>
        </w:rPr>
        <w:t xml:space="preserve"> </w:t>
      </w:r>
      <w:r>
        <w:rPr>
          <w:rFonts w:ascii="Times New Roman;serif" w:hAnsi="Times New Roman;serif"/>
          <w:b w:val="false"/>
          <w:sz w:val="20"/>
        </w:rPr>
        <w:t>RSUs, respectively (2022</w:t>
      </w:r>
      <w:r>
        <w:rPr>
          <w:rFonts w:ascii="Times New Roman" w:hAnsi="Times New Roman"/>
          <w:sz w:val="20"/>
        </w:rPr>
        <w:t xml:space="preserve"> — </w:t>
      </w:r>
      <w:r>
        <w:rPr>
          <w:rFonts w:ascii="Times New Roman;serif" w:hAnsi="Times New Roman;serif"/>
          <w:b w:val="false"/>
          <w:sz w:val="20"/>
        </w:rPr>
        <w:t>775,191</w:t>
      </w:r>
      <w:r>
        <w:rPr>
          <w:rFonts w:ascii="Times New Roman" w:hAnsi="Times New Roman"/>
          <w:sz w:val="20"/>
        </w:rPr>
        <w:t xml:space="preserve"> </w:t>
      </w:r>
      <w:r>
        <w:rPr>
          <w:rFonts w:ascii="Times New Roman;serif" w:hAnsi="Times New Roman;serif"/>
          <w:b w:val="false"/>
          <w:sz w:val="20"/>
        </w:rPr>
        <w:t>and 1,408,956</w:t>
      </w:r>
      <w:r>
        <w:rPr>
          <w:rFonts w:ascii="Times New Roman" w:hAnsi="Times New Roman"/>
          <w:sz w:val="20"/>
        </w:rPr>
        <w:t xml:space="preserve"> </w:t>
      </w:r>
      <w:r>
        <w:rPr>
          <w:rFonts w:ascii="Times New Roman;serif" w:hAnsi="Times New Roman;serif"/>
          <w:b w:val="false"/>
          <w:sz w:val="20"/>
        </w:rPr>
        <w:t>RSUs, respectively), (ii) 32,806</w:t>
      </w:r>
      <w:r>
        <w:rPr>
          <w:rFonts w:ascii="Times New Roman" w:hAnsi="Times New Roman"/>
          <w:sz w:val="20"/>
        </w:rPr>
        <w:t xml:space="preserve"> </w:t>
      </w:r>
      <w:r>
        <w:rPr>
          <w:rFonts w:ascii="Times New Roman;serif" w:hAnsi="Times New Roman;serif"/>
          <w:b w:val="false"/>
          <w:sz w:val="20"/>
        </w:rPr>
        <w:t>PSUs, respectively (2022</w:t>
      </w:r>
      <w:r>
        <w:rPr>
          <w:rFonts w:ascii="Times New Roman" w:hAnsi="Times New Roman"/>
          <w:sz w:val="20"/>
        </w:rPr>
        <w:t xml:space="preserve"> — </w:t>
      </w:r>
      <w:r>
        <w:rPr>
          <w:rFonts w:ascii="Times New Roman;serif" w:hAnsi="Times New Roman;serif"/>
          <w:b w:val="false"/>
          <w:sz w:val="20"/>
        </w:rPr>
        <w:t>174,944</w:t>
      </w:r>
      <w:r>
        <w:rPr>
          <w:rFonts w:ascii="Times New Roman" w:hAnsi="Times New Roman"/>
          <w:sz w:val="20"/>
        </w:rPr>
        <w:t xml:space="preserve"> </w:t>
      </w:r>
      <w:r>
        <w:rPr>
          <w:rFonts w:ascii="Times New Roman;serif" w:hAnsi="Times New Roman;serif"/>
          <w:b w:val="false"/>
          <w:sz w:val="20"/>
        </w:rPr>
        <w:t>and 1,286,471</w:t>
      </w:r>
      <w:r>
        <w:rPr>
          <w:rFonts w:ascii="Times New Roman" w:hAnsi="Times New Roman"/>
          <w:sz w:val="20"/>
        </w:rPr>
        <w:t xml:space="preserve"> </w:t>
      </w:r>
      <w:r>
        <w:rPr>
          <w:rFonts w:ascii="Times New Roman;serif" w:hAnsi="Times New Roman;serif"/>
          <w:b w:val="false"/>
          <w:sz w:val="20"/>
        </w:rPr>
        <w:t>PSUs, respectively) and (iii) 2,812,821</w:t>
      </w:r>
      <w:r>
        <w:rPr>
          <w:rFonts w:ascii="Times New Roman" w:hAnsi="Times New Roman"/>
          <w:sz w:val="20"/>
        </w:rPr>
        <w:t xml:space="preserve"> </w:t>
      </w:r>
      <w:r>
        <w:rPr>
          <w:rFonts w:ascii="Times New Roman;serif" w:hAnsi="Times New Roman;serif"/>
          <w:b w:val="false"/>
          <w:sz w:val="20"/>
        </w:rPr>
        <w:t>and 3,335,800</w:t>
      </w:r>
      <w:r>
        <w:rPr>
          <w:rFonts w:ascii="Times New Roman" w:hAnsi="Times New Roman"/>
          <w:sz w:val="20"/>
        </w:rPr>
        <w:t xml:space="preserve"> </w:t>
      </w:r>
      <w:r>
        <w:rPr>
          <w:rFonts w:ascii="Times New Roman;serif" w:hAnsi="Times New Roman;serif"/>
          <w:b w:val="false"/>
          <w:sz w:val="20"/>
        </w:rPr>
        <w:t>stock options, respectively (2022 — 3,607,391</w:t>
      </w:r>
      <w:r>
        <w:rPr>
          <w:rFonts w:ascii="Times New Roman" w:hAnsi="Times New Roman"/>
          <w:sz w:val="20"/>
        </w:rPr>
        <w:t xml:space="preserve"> </w:t>
      </w:r>
      <w:r>
        <w:rPr>
          <w:rFonts w:ascii="Times New Roman;serif" w:hAnsi="Times New Roman;serif"/>
          <w:b w:val="false"/>
          <w:sz w:val="20"/>
        </w:rPr>
        <w:t>stock options, respectively), as the effect would be anti-dilutive.</w:t>
      </w:r>
    </w:p>
    <w:p>
      <w:pPr>
        <w:pStyle w:val="TextBody"/>
        <w:bidi w:val="0"/>
        <w:spacing w:before="200" w:after="0"/>
        <w:jc w:val="both"/>
        <w:rPr>
          <w:rFonts w:ascii="Times New Roman" w:hAnsi="Times New Roman"/>
          <w:sz w:val="20"/>
        </w:rPr>
      </w:pPr>
      <w:r>
        <w:rPr>
          <w:rFonts w:ascii="Times New Roman;serif" w:hAnsi="Times New Roman;serif"/>
          <w:b w:val="false"/>
          <w:sz w:val="20"/>
        </w:rPr>
        <w:t>The calculation of diluted weighted average shares outstanding for the three and six months ended June 30, 2023 and 2022 also excludes any shares potentially issuable upon the conversion of the Convertible Notes as the average market price of the Company’s common shares during the period of time they were outstanding was less than the conversion price of the Convertible Notes.</w:t>
      </w:r>
      <w:r>
        <w:rPr>
          <w:rFonts w:ascii="Times New Roman" w:hAnsi="Times New Roman"/>
          <w:sz w:val="20"/>
        </w:rPr>
        <w:t xml:space="preserve"> </w:t>
      </w:r>
    </w:p>
    <w:p>
      <w:pPr>
        <w:pStyle w:val="TextBody"/>
        <w:bidi w:val="0"/>
        <w:spacing w:before="200" w:after="0"/>
        <w:jc w:val="both"/>
        <w:rPr>
          <w:rFonts w:ascii="Times New Roman" w:hAnsi="Times New Roman"/>
          <w:b/>
          <w:i/>
          <w:sz w:val="20"/>
        </w:rPr>
      </w:pPr>
      <w:r>
        <w:rPr>
          <w:rFonts w:ascii="Times New Roman" w:hAnsi="Times New Roman"/>
          <w:b/>
          <w:i/>
          <w:sz w:val="20"/>
        </w:rPr>
        <w:t>(d)</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Statutory Surplus Reserve</w:t>
      </w:r>
    </w:p>
    <w:p>
      <w:pPr>
        <w:pStyle w:val="TextBody"/>
        <w:bidi w:val="0"/>
        <w:spacing w:before="200" w:after="0"/>
        <w:jc w:val="both"/>
        <w:rPr>
          <w:rFonts w:ascii="Times New Roman" w:hAnsi="Times New Roman"/>
          <w:sz w:val="20"/>
        </w:rPr>
      </w:pPr>
      <w:r>
        <w:rPr>
          <w:rFonts w:ascii="Times New Roman;serif" w:hAnsi="Times New Roman;serif"/>
          <w:b w:val="false"/>
          <w:sz w:val="20"/>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statutory surplus reserve of RMB 36.4</w:t>
      </w:r>
      <w:r>
        <w:rPr>
          <w:rFonts w:ascii="Times New Roman" w:hAnsi="Times New Roman"/>
          <w:sz w:val="20"/>
        </w:rPr>
        <w:t xml:space="preserve"> </w:t>
      </w:r>
      <w:r>
        <w:rPr>
          <w:rFonts w:ascii="Times New Roman;serif" w:hAnsi="Times New Roman;serif"/>
          <w:b w:val="false"/>
          <w:sz w:val="20"/>
        </w:rPr>
        <w:t>million ($5.6</w:t>
      </w:r>
      <w:r>
        <w:rPr>
          <w:rFonts w:ascii="Times New Roman" w:hAnsi="Times New Roman"/>
          <w:sz w:val="20"/>
        </w:rPr>
        <w:t xml:space="preserve"> </w:t>
      </w:r>
      <w:r>
        <w:rPr>
          <w:rFonts w:ascii="Times New Roman;serif" w:hAnsi="Times New Roman;serif"/>
          <w:b w:val="false"/>
          <w:sz w:val="20"/>
        </w:rPr>
        <w:t>million) has reached 50% of its PRC subsidiaries’ registered capital, as such no further contributions to the reserve are required.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12. Revenue from Contracts with Customers</w:t>
      </w:r>
    </w:p>
    <w:p>
      <w:pPr>
        <w:pStyle w:val="TextBody"/>
        <w:bidi w:val="0"/>
        <w:spacing w:before="200" w:after="0"/>
        <w:jc w:val="left"/>
        <w:rPr>
          <w:rFonts w:ascii="Times New Roman" w:hAnsi="Times New Roman"/>
          <w:b/>
          <w:i/>
          <w:sz w:val="20"/>
        </w:rPr>
      </w:pPr>
      <w:r>
        <w:rPr>
          <w:rFonts w:ascii="Times New Roman" w:hAnsi="Times New Roman"/>
          <w:b/>
          <w:i/>
          <w:sz w:val="20"/>
        </w:rPr>
        <w:t>(a)</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Disaggregated Information About Revenue</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In the first quarter of 2023, the Company updated its reportable segments (see Note 13). Prior period comparatives have been revised to conform with the current period presentation. The following tables summarize the Company’s Revenues by reportable segment and revenue stream type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2444"/>
        <w:gridCol w:w="248"/>
        <w:gridCol w:w="171"/>
        <w:gridCol w:w="798"/>
        <w:gridCol w:w="146"/>
        <w:gridCol w:w="146"/>
        <w:gridCol w:w="327"/>
        <w:gridCol w:w="225"/>
        <w:gridCol w:w="1054"/>
        <w:gridCol w:w="146"/>
        <w:gridCol w:w="146"/>
        <w:gridCol w:w="270"/>
        <w:gridCol w:w="186"/>
        <w:gridCol w:w="866"/>
        <w:gridCol w:w="146"/>
        <w:gridCol w:w="146"/>
        <w:gridCol w:w="253"/>
        <w:gridCol w:w="175"/>
        <w:gridCol w:w="685"/>
        <w:gridCol w:w="146"/>
        <w:gridCol w:w="146"/>
        <w:gridCol w:w="211"/>
        <w:gridCol w:w="146"/>
        <w:gridCol w:w="781"/>
        <w:gridCol w:w="197"/>
      </w:tblGrid>
      <w:tr>
        <w:trPr/>
        <w:tc>
          <w:tcPr>
            <w:tcW w:w="24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44" w:type="dxa"/>
            <w:tcBorders/>
            <w:vAlign w:val="center"/>
          </w:tcPr>
          <w:p>
            <w:pPr>
              <w:pStyle w:val="TableContents"/>
              <w:bidi w:val="0"/>
              <w:spacing w:before="0" w:after="0"/>
              <w:ind w:left="0" w:right="0" w:hanging="0"/>
              <w:jc w:val="left"/>
              <w:rPr/>
            </w:pPr>
            <w:r>
              <w:rPr/>
              <w:t> </w:t>
            </w:r>
          </w:p>
        </w:tc>
        <w:tc>
          <w:tcPr>
            <w:tcW w:w="7564"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1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Image Enhancement </w:t>
              <w:br/>
              <w:t>and Maintenance 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2"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48" w:type="dxa"/>
            <w:tcBorders/>
            <w:vAlign w:val="center"/>
          </w:tcPr>
          <w:p>
            <w:pPr>
              <w:pStyle w:val="TableContents"/>
              <w:bidi w:val="0"/>
              <w:spacing w:before="0" w:after="0"/>
              <w:ind w:left="0" w:right="0" w:hanging="0"/>
              <w:jc w:val="center"/>
              <w:rPr/>
            </w:pPr>
            <w:r>
              <w:rPr/>
              <w:t> </w:t>
            </w:r>
          </w:p>
        </w:tc>
        <w:tc>
          <w:tcPr>
            <w:tcW w:w="96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center"/>
              <w:rPr/>
            </w:pPr>
            <w:r>
              <w:rPr/>
              <w:t> </w:t>
            </w:r>
          </w:p>
        </w:tc>
        <w:tc>
          <w:tcPr>
            <w:tcW w:w="127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center"/>
              <w:rPr/>
            </w:pPr>
            <w:r>
              <w:rPr/>
              <w:t> </w:t>
            </w:r>
          </w:p>
        </w:tc>
        <w:tc>
          <w:tcPr>
            <w:tcW w:w="8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29,219</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31,290</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48"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127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27,734</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14,490</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97,979</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127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7564"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1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6"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Image Enhancement </w:t>
              <w:br/>
              <w:t>and Maintenance 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2"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48" w:type="dxa"/>
            <w:tcBorders/>
            <w:vAlign w:val="center"/>
          </w:tcPr>
          <w:p>
            <w:pPr>
              <w:pStyle w:val="TableContents"/>
              <w:bidi w:val="0"/>
              <w:spacing w:before="0" w:after="0"/>
              <w:ind w:left="0" w:right="0" w:hanging="0"/>
              <w:jc w:val="center"/>
              <w:rPr/>
            </w:pPr>
            <w:r>
              <w:rPr/>
              <w:t> </w:t>
            </w:r>
          </w:p>
        </w:tc>
        <w:tc>
          <w:tcPr>
            <w:tcW w:w="96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center"/>
              <w:rPr/>
            </w:pPr>
            <w:r>
              <w:rPr/>
              <w:t> </w:t>
            </w:r>
          </w:p>
        </w:tc>
        <w:tc>
          <w:tcPr>
            <w:tcW w:w="127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center"/>
              <w:rPr/>
            </w:pPr>
            <w:r>
              <w:rPr/>
              <w:t> </w:t>
            </w:r>
          </w:p>
        </w:tc>
        <w:tc>
          <w:tcPr>
            <w:tcW w:w="8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59,292</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4,099</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48"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127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43,853</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48"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28,041</w:t>
            </w:r>
          </w:p>
        </w:tc>
        <w:tc>
          <w:tcPr>
            <w:tcW w:w="197" w:type="dxa"/>
            <w:tcBorders/>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115,643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179,034</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184,925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83"/>
        <w:gridCol w:w="238"/>
        <w:gridCol w:w="165"/>
        <w:gridCol w:w="767"/>
        <w:gridCol w:w="146"/>
        <w:gridCol w:w="146"/>
        <w:gridCol w:w="434"/>
        <w:gridCol w:w="300"/>
        <w:gridCol w:w="1401"/>
        <w:gridCol w:w="146"/>
        <w:gridCol w:w="146"/>
        <w:gridCol w:w="255"/>
        <w:gridCol w:w="176"/>
        <w:gridCol w:w="818"/>
        <w:gridCol w:w="146"/>
        <w:gridCol w:w="146"/>
        <w:gridCol w:w="242"/>
        <w:gridCol w:w="167"/>
        <w:gridCol w:w="656"/>
        <w:gridCol w:w="146"/>
        <w:gridCol w:w="146"/>
        <w:gridCol w:w="211"/>
        <w:gridCol w:w="146"/>
        <w:gridCol w:w="781"/>
        <w:gridCol w:w="197"/>
      </w:tblGrid>
      <w:tr>
        <w:trPr/>
        <w:tc>
          <w:tcPr>
            <w:tcW w:w="208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83" w:type="dxa"/>
            <w:tcBorders/>
            <w:vAlign w:val="center"/>
          </w:tcPr>
          <w:p>
            <w:pPr>
              <w:pStyle w:val="TableContents"/>
              <w:bidi w:val="0"/>
              <w:spacing w:before="0" w:after="0"/>
              <w:ind w:left="0" w:right="0" w:hanging="0"/>
              <w:jc w:val="left"/>
              <w:rPr/>
            </w:pPr>
            <w:r>
              <w:rPr/>
              <w:t> </w:t>
            </w:r>
          </w:p>
        </w:tc>
        <w:tc>
          <w:tcPr>
            <w:tcW w:w="7925"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17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3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Image Enhancement and Maintenance 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38"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center"/>
              <w:rPr/>
            </w:pPr>
            <w:r>
              <w:rPr/>
              <w:t> </w:t>
            </w:r>
          </w:p>
        </w:tc>
        <w:tc>
          <w:tcPr>
            <w:tcW w:w="17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center"/>
              <w:rPr/>
            </w:pPr>
            <w:r>
              <w:rPr/>
              <w:t> </w:t>
            </w:r>
          </w:p>
        </w:tc>
        <w:tc>
          <w:tcPr>
            <w:tcW w:w="99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center"/>
              <w:rPr/>
            </w:pPr>
            <w:r>
              <w:rPr/>
              <w:t> </w:t>
            </w:r>
          </w:p>
        </w:tc>
        <w:tc>
          <w:tcPr>
            <w:tcW w:w="8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27,581</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29,544</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38"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17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7,393</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14,683</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42,857</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72,401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73,968</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center"/>
              <w:rPr/>
            </w:pPr>
            <w:r>
              <w:rPr/>
              <w:t> </w:t>
            </w:r>
          </w:p>
        </w:tc>
        <w:tc>
          <w:tcPr>
            <w:tcW w:w="17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center"/>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center"/>
              <w:rPr/>
            </w:pPr>
            <w:r>
              <w:rPr/>
              <w:t> </w:t>
            </w:r>
          </w:p>
        </w:tc>
        <w:tc>
          <w:tcPr>
            <w:tcW w:w="8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7925"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17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3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Image Enhancement and Maintenance 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38"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center"/>
              <w:rPr/>
            </w:pPr>
            <w:r>
              <w:rPr/>
              <w:t> </w:t>
            </w:r>
          </w:p>
        </w:tc>
        <w:tc>
          <w:tcPr>
            <w:tcW w:w="17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center"/>
              <w:rPr/>
            </w:pPr>
            <w:r>
              <w:rPr/>
              <w:t> </w:t>
            </w:r>
          </w:p>
        </w:tc>
        <w:tc>
          <w:tcPr>
            <w:tcW w:w="99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center"/>
              <w:rPr/>
            </w:pPr>
            <w:r>
              <w:rPr/>
              <w:t> </w:t>
            </w:r>
          </w:p>
        </w:tc>
        <w:tc>
          <w:tcPr>
            <w:tcW w:w="8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47,145</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3,387</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50,532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38"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17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99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15,366</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31,168</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3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4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29,625</w:t>
            </w:r>
          </w:p>
        </w:tc>
        <w:tc>
          <w:tcPr>
            <w:tcW w:w="197" w:type="dxa"/>
            <w:tcBorders/>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80,720</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131,252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134,004</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revenues earned from Technology Sales include variable consideration of $11.8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$17.3</w:t>
      </w:r>
      <w:r>
        <w:rPr>
          <w:rFonts w:ascii="Times New Roman" w:hAnsi="Times New Roman"/>
          <w:sz w:val="20"/>
        </w:rPr>
        <w:t xml:space="preserve"> </w:t>
      </w:r>
      <w:r>
        <w:rPr>
          <w:rFonts w:ascii="Times New Roman;serif" w:hAnsi="Times New Roman;serif"/>
          <w:b w:val="false"/>
          <w:sz w:val="20"/>
        </w:rPr>
        <w:t>million, respectively (2022 —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 respectively).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and six months ended June 30, 2023, revenues earned from leasing arrangements total $20.4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$42.8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$19.1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$32.7</w:t>
      </w:r>
      <w:r>
        <w:rPr>
          <w:rFonts w:ascii="Times New Roman" w:hAnsi="Times New Roman"/>
          <w:sz w:val="20"/>
        </w:rPr>
        <w:t xml:space="preserve"> </w:t>
      </w:r>
      <w:r>
        <w:rPr>
          <w:rFonts w:ascii="Times New Roman;serif" w:hAnsi="Times New Roman;serif"/>
          <w:b w:val="false"/>
          <w:sz w:val="20"/>
        </w:rPr>
        <w:t>million, respectively), including $19.5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$39.6</w:t>
      </w:r>
      <w:r>
        <w:rPr>
          <w:rFonts w:ascii="Times New Roman" w:hAnsi="Times New Roman"/>
          <w:sz w:val="20"/>
        </w:rPr>
        <w:t xml:space="preserve"> </w:t>
      </w:r>
      <w:r>
        <w:rPr>
          <w:rFonts w:ascii="Times New Roman;serif" w:hAnsi="Times New Roman;serif"/>
          <w:b w:val="false"/>
          <w:sz w:val="20"/>
        </w:rPr>
        <w:t>million, respectively, in Revenues ― Technology Rentals (2022 — $18.5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$31.2</w:t>
      </w:r>
      <w:r>
        <w:rPr>
          <w:rFonts w:ascii="Times New Roman" w:hAnsi="Times New Roman"/>
          <w:sz w:val="20"/>
        </w:rPr>
        <w:t xml:space="preserve"> </w:t>
      </w:r>
      <w:r>
        <w:rPr>
          <w:rFonts w:ascii="Times New Roman;serif" w:hAnsi="Times New Roman;serif"/>
          <w:b w:val="false"/>
          <w:sz w:val="20"/>
        </w:rPr>
        <w:t>million, respectively), and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$3.2</w:t>
      </w:r>
      <w:r>
        <w:rPr>
          <w:rFonts w:ascii="Times New Roman" w:hAnsi="Times New Roman"/>
          <w:sz w:val="20"/>
        </w:rPr>
        <w:t xml:space="preserve"> </w:t>
      </w:r>
      <w:r>
        <w:rPr>
          <w:rFonts w:ascii="Times New Roman;serif" w:hAnsi="Times New Roman;serif"/>
          <w:b w:val="false"/>
          <w:sz w:val="20"/>
        </w:rPr>
        <w:t>million, respectively, in Revenues ― Technology Sales (2022 —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b/>
          <w:i/>
          <w:sz w:val="20"/>
        </w:rPr>
      </w:pPr>
      <w:r>
        <w:rPr>
          <w:rFonts w:ascii="Times New Roman" w:hAnsi="Times New Roman"/>
          <w:b/>
          <w:i/>
          <w:sz w:val="20"/>
        </w:rPr>
        <w:t>(b)</w:t>
      </w:r>
    </w:p>
    <w:p>
      <w:pPr>
        <w:pStyle w:val="TextBody"/>
        <w:bidi w:val="0"/>
        <w:spacing w:before="200" w:after="283"/>
        <w:jc w:val="left"/>
        <w:rPr>
          <w:rFonts w:ascii="Times New Roman;serif" w:hAnsi="Times New Roman;serif"/>
          <w:b/>
          <w:i/>
          <w:sz w:val="20"/>
        </w:rPr>
      </w:pPr>
      <w:r>
        <w:rPr>
          <w:rFonts w:ascii="Times New Roman;serif" w:hAnsi="Times New Roman;serif"/>
          <w:b/>
          <w:i/>
          <w:sz w:val="20"/>
        </w:rPr>
        <w:t>Deferred Revenue</w:t>
      </w:r>
    </w:p>
    <w:p>
      <w:pPr>
        <w:pStyle w:val="TextBody"/>
        <w:bidi w:val="0"/>
        <w:spacing w:before="200" w:after="0"/>
        <w:jc w:val="both"/>
        <w:rPr>
          <w:rFonts w:ascii="Times New Roman" w:hAnsi="Times New Roman"/>
          <w:sz w:val="20"/>
        </w:rPr>
      </w:pPr>
      <w:r>
        <w:rPr>
          <w:rFonts w:ascii="Times New Roman;serif" w:hAnsi="Times New Roman;serif"/>
          <w:b w:val="false"/>
          <w:sz w:val="20"/>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June 30, 2023, $19.6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consideration has been deferred in relation to outstanding maintenance services to be provided on existing maintenance contracts (December 31, 2022 — $21.0</w:t>
      </w:r>
      <w:r>
        <w:rPr>
          <w:rFonts w:ascii="Times New Roman" w:hAnsi="Times New Roman"/>
          <w:sz w:val="20"/>
        </w:rPr>
        <w:t xml:space="preserve"> </w:t>
      </w:r>
      <w:r>
        <w:rPr>
          <w:rFonts w:ascii="Times New Roman;serif" w:hAnsi="Times New Roman;serif"/>
          <w:b w:val="false"/>
          <w:sz w:val="20"/>
        </w:rPr>
        <w:t>million). Maintenance revenue is recognized evenly over the contract term which coincides with the period over which maintenance services are provided. In the event of customer default, any payments made by the customer may be retained by the Company.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three and six months ended June 30, 2023, $23.7</w:t>
      </w:r>
      <w:r>
        <w:rPr>
          <w:rFonts w:ascii="Times New Roman" w:hAnsi="Times New Roman"/>
          <w:sz w:val="20"/>
        </w:rPr>
        <w:t xml:space="preserve"> </w:t>
      </w:r>
      <w:r>
        <w:rPr>
          <w:rFonts w:ascii="Times New Roman;serif" w:hAnsi="Times New Roman;serif"/>
          <w:b w:val="false"/>
          <w:sz w:val="20"/>
        </w:rPr>
        <w:t>million and $41.0</w:t>
      </w:r>
      <w:r>
        <w:rPr>
          <w:rFonts w:ascii="Times New Roman" w:hAnsi="Times New Roman"/>
          <w:sz w:val="20"/>
        </w:rPr>
        <w:t xml:space="preserve"> </w:t>
      </w:r>
      <w:r>
        <w:rPr>
          <w:rFonts w:ascii="Times New Roman;serif" w:hAnsi="Times New Roman;serif"/>
          <w:b w:val="false"/>
          <w:sz w:val="20"/>
        </w:rPr>
        <w:t>million of revenue, respectively, was recognized that was included in the $70.9</w:t>
      </w:r>
      <w:r>
        <w:rPr>
          <w:rFonts w:ascii="Times New Roman" w:hAnsi="Times New Roman"/>
          <w:sz w:val="20"/>
        </w:rPr>
        <w:t xml:space="preserve"> </w:t>
      </w:r>
      <w:r>
        <w:rPr>
          <w:rFonts w:ascii="Times New Roman;serif" w:hAnsi="Times New Roman;serif"/>
          <w:b w:val="false"/>
          <w:sz w:val="20"/>
        </w:rPr>
        <w:t>million balance of deferred revenue as of December 31, 2022 . During the three and six months ended June 30, 2022, $14.4</w:t>
      </w:r>
      <w:r>
        <w:rPr>
          <w:rFonts w:ascii="Times New Roman" w:hAnsi="Times New Roman"/>
          <w:sz w:val="20"/>
        </w:rPr>
        <w:t xml:space="preserve"> </w:t>
      </w:r>
      <w:r>
        <w:rPr>
          <w:rFonts w:ascii="Times New Roman;serif" w:hAnsi="Times New Roman;serif"/>
          <w:b w:val="false"/>
          <w:sz w:val="20"/>
        </w:rPr>
        <w:t>million and $31.2</w:t>
      </w:r>
      <w:r>
        <w:rPr>
          <w:rFonts w:ascii="Times New Roman" w:hAnsi="Times New Roman"/>
          <w:sz w:val="20"/>
        </w:rPr>
        <w:t xml:space="preserve"> </w:t>
      </w:r>
      <w:r>
        <w:rPr>
          <w:rFonts w:ascii="Times New Roman;serif" w:hAnsi="Times New Roman;serif"/>
          <w:b w:val="false"/>
          <w:sz w:val="20"/>
        </w:rPr>
        <w:t>million of revenue, respectively, was recognized that was included in the $81.3</w:t>
      </w:r>
      <w:r>
        <w:rPr>
          <w:rFonts w:ascii="Times New Roman" w:hAnsi="Times New Roman"/>
          <w:sz w:val="20"/>
        </w:rPr>
        <w:t xml:space="preserve"> </w:t>
      </w:r>
      <w:r>
        <w:rPr>
          <w:rFonts w:ascii="Times New Roman;serif" w:hAnsi="Times New Roman;serif"/>
          <w:b w:val="false"/>
          <w:sz w:val="20"/>
        </w:rPr>
        <w:t>million balance of deferred revenue as of December 31, 2021.</w:t>
      </w:r>
    </w:p>
    <w:p>
      <w:pPr>
        <w:pStyle w:val="TextBody"/>
        <w:bidi w:val="0"/>
        <w:spacing w:before="200" w:after="0"/>
        <w:jc w:val="both"/>
        <w:rPr>
          <w:rFonts w:ascii="Times New Roman;serif" w:hAnsi="Times New Roman;serif"/>
          <w:b/>
          <w:sz w:val="20"/>
        </w:rPr>
      </w:pPr>
      <w:r>
        <w:rPr>
          <w:rFonts w:ascii="Times New Roman;serif" w:hAnsi="Times New Roman;serif"/>
          <w:b/>
          <w:sz w:val="20"/>
        </w:rPr>
        <w:t>13. Segment Reporting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w:t>
      </w:r>
      <w:r>
        <w:rPr>
          <w:rFonts w:ascii="Times New Roman" w:hAnsi="Times New Roman"/>
          <w:sz w:val="20"/>
        </w:rPr>
        <w:t>’</w:t>
      </w:r>
      <w:r>
        <w:rPr>
          <w:rFonts w:ascii="Times New Roman;serif" w:hAnsi="Times New Roman;serif"/>
          <w:b w:val="false"/>
          <w:sz w:val="20"/>
        </w:rPr>
        <w:t>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w:t>
      </w:r>
      <w:r>
        <w:rPr>
          <w:rFonts w:ascii="Times New Roman" w:hAnsi="Times New Roman"/>
          <w:sz w:val="20"/>
        </w:rPr>
        <w:t>’</w:t>
      </w:r>
      <w:r>
        <w:rPr>
          <w:rFonts w:ascii="Times New Roman;serif" w:hAnsi="Times New Roman;serif"/>
          <w:b w:val="false"/>
          <w:sz w:val="20"/>
        </w:rPr>
        <w:t>s segments.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the first quarter of 2023, the Company revised its internal segment reporting, including the information provided to the CODM to assess segment performance and allocate resources. Accordingly, 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the following reportable segments: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(i)</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 </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(ii)</w:t>
      </w:r>
    </w:p>
    <w:p>
      <w:pPr>
        <w:pStyle w:val="TextBody"/>
        <w:bidi w:val="0"/>
        <w:jc w:val="both"/>
        <w:rPr>
          <w:rFonts w:ascii="Times New Roman;serif" w:hAnsi="Times New Roman;serif"/>
          <w:sz w:val="20"/>
        </w:rPr>
      </w:pPr>
      <w:r>
        <w:rPr>
          <w:rFonts w:ascii="Times New Roman;serif" w:hAnsi="Times New Roman;serif"/>
          <w:b w:val="false"/>
          <w:sz w:val="20"/>
        </w:rPr>
        <w:t>Technology Products and Services, which includes results</w:t>
      </w:r>
      <w:r>
        <w:rPr>
          <w:rFonts w:ascii="Times New Roman;serif" w:hAnsi="Times New Roman;serif"/>
          <w:sz w:val="20"/>
        </w:rPr>
        <w:t xml:space="preserve"> </w:t>
      </w:r>
      <w:r>
        <w:rPr>
          <w:rFonts w:ascii="Times New Roman;serif" w:hAnsi="Times New Roman;serif"/>
          <w:b w:val="false"/>
          <w:sz w:val="20"/>
        </w:rPr>
        <w:t>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pStyle w:val="TextBody"/>
        <w:bidi w:val="0"/>
        <w:spacing w:before="200" w:after="0"/>
        <w:jc w:val="both"/>
        <w:rPr>
          <w:rFonts w:ascii="Times New Roman" w:hAnsi="Times New Roman"/>
          <w:sz w:val="20"/>
        </w:rPr>
      </w:pPr>
      <w:r>
        <w:rPr>
          <w:rFonts w:ascii="Times New Roman;serif" w:hAnsi="Times New Roman;serif"/>
          <w:b w:val="false"/>
          <w:sz w:val="20"/>
        </w:rPr>
        <w:t>Transactions between segments are valued at exchange value. Inter-segment profits are eliminated upon consolidation, as well as for the disclosures below.</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and gross margin by reportable segment for the three months ended June 30, 2023 and 2022:</w:t>
      </w:r>
    </w:p>
    <w:tbl>
      <w:tblPr>
        <w:tblW w:w="7887"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76"/>
        <w:gridCol w:w="146"/>
        <w:gridCol w:w="146"/>
        <w:gridCol w:w="211"/>
        <w:gridCol w:w="67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Revenue</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17,354</w:t>
            </w:r>
          </w:p>
        </w:tc>
        <w:tc>
          <w:tcPr>
            <w:tcW w:w="3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25,709</w:t>
            </w:r>
          </w:p>
        </w:tc>
        <w:tc>
          <w:tcPr>
            <w:tcW w:w="391" w:type="dxa"/>
            <w:tcBorders/>
            <w:vAlign w:val="center"/>
          </w:tcPr>
          <w:p>
            <w:pPr>
              <w:pStyle w:val="TableContents"/>
              <w:bidi w:val="0"/>
              <w:spacing w:before="0" w:after="0"/>
              <w:ind w:left="0" w:right="0" w:firstLine="200"/>
              <w:jc w:val="left"/>
              <w:rPr/>
            </w:pPr>
            <w:r>
              <w:rPr/>
              <w:t> </w:t>
            </w:r>
          </w:p>
        </w:tc>
      </w:tr>
      <w:tr>
        <w:trPr/>
        <w:tc>
          <w:tcPr>
            <w:tcW w:w="29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72,401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56,407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43,063</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44,036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and gross margin by reportable segment for the six months ended June 30, 2023 and 2022:</w:t>
      </w:r>
    </w:p>
    <w:tbl>
      <w:tblPr>
        <w:tblW w:w="8202" w:type="dxa"/>
        <w:jc w:val="left"/>
        <w:tblInd w:w="0" w:type="dxa"/>
        <w:tblLayout w:type="fixed"/>
        <w:tblCellMar>
          <w:top w:w="28" w:type="dxa"/>
          <w:left w:w="28" w:type="dxa"/>
          <w:bottom w:w="28" w:type="dxa"/>
          <w:right w:w="28" w:type="dxa"/>
        </w:tblCellMar>
      </w:tblPr>
      <w:tblGrid>
        <w:gridCol w:w="2926"/>
        <w:gridCol w:w="146"/>
        <w:gridCol w:w="211"/>
        <w:gridCol w:w="781"/>
        <w:gridCol w:w="146"/>
        <w:gridCol w:w="146"/>
        <w:gridCol w:w="211"/>
        <w:gridCol w:w="781"/>
        <w:gridCol w:w="146"/>
        <w:gridCol w:w="146"/>
        <w:gridCol w:w="211"/>
        <w:gridCol w:w="781"/>
        <w:gridCol w:w="146"/>
        <w:gridCol w:w="146"/>
        <w:gridCol w:w="211"/>
        <w:gridCol w:w="67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Revenue</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29,979</w:t>
            </w:r>
          </w:p>
        </w:tc>
        <w:tc>
          <w:tcPr>
            <w:tcW w:w="3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44,125</w:t>
            </w:r>
          </w:p>
        </w:tc>
        <w:tc>
          <w:tcPr>
            <w:tcW w:w="391" w:type="dxa"/>
            <w:tcBorders/>
            <w:vAlign w:val="center"/>
          </w:tcPr>
          <w:p>
            <w:pPr>
              <w:pStyle w:val="TableContents"/>
              <w:bidi w:val="0"/>
              <w:spacing w:before="0" w:after="0"/>
              <w:ind w:left="0" w:right="0" w:firstLine="200"/>
              <w:jc w:val="left"/>
              <w:rPr/>
            </w:pPr>
            <w:r>
              <w:rPr/>
              <w:t> </w:t>
            </w:r>
          </w:p>
        </w:tc>
      </w:tr>
      <w:tr>
        <w:trPr/>
        <w:tc>
          <w:tcPr>
            <w:tcW w:w="29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179,034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131,252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104,293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74,104</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75,807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The Company’s largest customer represents 11%</w:t>
      </w:r>
      <w:r>
        <w:rPr>
          <w:rFonts w:ascii="Times New Roman;serif" w:hAnsi="Times New Roman;serif"/>
          <w:sz w:val="20"/>
        </w:rPr>
        <w:t xml:space="preserve"> </w:t>
      </w:r>
      <w:r>
        <w:rPr>
          <w:rFonts w:ascii="Times New Roman;serif" w:hAnsi="Times New Roman;serif"/>
          <w:b w:val="false"/>
          <w:sz w:val="20"/>
        </w:rPr>
        <w:t>and 8%</w:t>
      </w:r>
      <w:r>
        <w:rPr>
          <w:rFonts w:ascii="Times New Roman;serif" w:hAnsi="Times New Roman;serif"/>
          <w:sz w:val="20"/>
        </w:rPr>
        <w:t xml:space="preserve"> </w:t>
      </w:r>
      <w:r>
        <w:rPr>
          <w:rFonts w:ascii="Times New Roman;serif" w:hAnsi="Times New Roman;serif"/>
          <w:b w:val="false"/>
          <w:sz w:val="20"/>
        </w:rPr>
        <w:t>of total Revenues for the three and six months ended June 30, 2023, respectively (2022</w:t>
      </w:r>
      <w:r>
        <w:rPr>
          <w:rFonts w:ascii="Times New Roman;serif" w:hAnsi="Times New Roman;serif"/>
          <w:sz w:val="20"/>
        </w:rPr>
        <w:t xml:space="preserve"> — </w:t>
      </w:r>
      <w:r>
        <w:rPr>
          <w:rFonts w:ascii="Times New Roman;serif" w:hAnsi="Times New Roman;serif"/>
          <w:b w:val="false"/>
          <w:sz w:val="20"/>
        </w:rPr>
        <w:t>17% and 15%, respectively). No single customer comprises more than 10% of the Company’s total Accounts Receivable as of June 30, 2023 and December 31, 2022.</w:t>
      </w:r>
      <w:r>
        <w:rPr>
          <w:rFonts w:ascii="Times New Roman;serif" w:hAnsi="Times New Roman;serif"/>
          <w:sz w:val="20"/>
        </w:rPr>
        <w:t xml:space="preserve"> </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All Other includes the results from IMAX Enhanced, SSIMWAVE, and other ancillary activities.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Geographic Information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Revenue by geographic area is based on the location of the customer. Revenue related to IMAX film remastering and distribution is presented based upon the geographic location of the IMAX System that exhibits the remastered films. IMAX film remastering and distribution revenue is generated through contractual relationships with studios and other third parties and these may not be in the same geographical location as the IMAX System.</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the Company’s revenues by geographic area for the three months ended June 30, 2023 and 2022:</w:t>
      </w:r>
    </w:p>
    <w:p>
      <w:pPr>
        <w:pStyle w:val="TextBody"/>
        <w:bidi w:val="0"/>
        <w:spacing w:before="0" w:after="0"/>
        <w:jc w:val="both"/>
        <w:rPr/>
      </w:pPr>
      <w:r>
        <w:rPr/>
        <w:t> </w:t>
      </w:r>
    </w:p>
    <w:tbl>
      <w:tblPr>
        <w:tblW w:w="7390" w:type="dxa"/>
        <w:jc w:val="left"/>
        <w:tblInd w:w="0" w:type="dxa"/>
        <w:tblLayout w:type="fixed"/>
        <w:tblCellMar>
          <w:top w:w="28" w:type="dxa"/>
          <w:left w:w="28" w:type="dxa"/>
          <w:bottom w:w="28" w:type="dxa"/>
          <w:right w:w="28" w:type="dxa"/>
        </w:tblCellMar>
      </w:tblPr>
      <w:tblGrid>
        <w:gridCol w:w="2221"/>
        <w:gridCol w:w="146"/>
        <w:gridCol w:w="231"/>
        <w:gridCol w:w="741"/>
        <w:gridCol w:w="160"/>
        <w:gridCol w:w="160"/>
        <w:gridCol w:w="231"/>
        <w:gridCol w:w="741"/>
        <w:gridCol w:w="146"/>
        <w:gridCol w:w="146"/>
        <w:gridCol w:w="211"/>
        <w:gridCol w:w="781"/>
        <w:gridCol w:w="146"/>
        <w:gridCol w:w="146"/>
        <w:gridCol w:w="211"/>
        <w:gridCol w:w="78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32,799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52,713</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32,713</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17,762</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China)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15,955</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17,124</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3,740</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3,368</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97,979</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United States and Greater China each comprises greater than 10% of the Company’s total revenues for the six months ended June 30, 2023 and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sz w:val="20"/>
        </w:rPr>
        <w:t>14. Employee</w:t>
      </w:r>
      <w:r>
        <w:rPr>
          <w:rFonts w:ascii="Times New Roman" w:hAnsi="Times New Roman"/>
          <w:sz w:val="20"/>
        </w:rPr>
        <w:t>’</w:t>
      </w:r>
      <w:r>
        <w:rPr>
          <w:rFonts w:ascii="Times New Roman;serif" w:hAnsi="Times New Roman;serif"/>
          <w:b/>
          <w:sz w:val="20"/>
        </w:rPr>
        <w:t>s Pension and Postretirement Benefits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(a) Defined Benefit Plan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 Company has an unfunded defined benefit pension plan, the Supplemental Executive Retirement Plan (the </w:t>
      </w:r>
      <w:r>
        <w:rPr>
          <w:rFonts w:ascii="Times New Roman;serif" w:hAnsi="Times New Roman;serif"/>
          <w:sz w:val="20"/>
        </w:rPr>
        <w:t>“</w:t>
      </w:r>
      <w:r>
        <w:rPr>
          <w:rFonts w:ascii="Times New Roman;serif" w:hAnsi="Times New Roman;serif"/>
          <w:b w:val="false"/>
          <w:sz w:val="20"/>
        </w:rPr>
        <w:t>SERP”), covering its CEO, Richard L.</w:t>
      </w:r>
      <w:r>
        <w:rPr>
          <w:rFonts w:ascii="Times New Roman" w:hAnsi="Times New Roman"/>
          <w:sz w:val="20"/>
        </w:rPr>
        <w:t xml:space="preserve"> </w:t>
      </w:r>
      <w:r>
        <w:rPr>
          <w:rFonts w:ascii="Times New Roman;serif" w:hAnsi="Times New Roman;serif"/>
          <w:b w:val="false"/>
          <w:sz w:val="20"/>
        </w:rPr>
        <w:t>Gelfond. Under the terms of the SERP, if Mr. Gelfond</w:t>
      </w:r>
      <w:r>
        <w:rPr>
          <w:rFonts w:ascii="Times New Roman" w:hAnsi="Times New Roman"/>
          <w:sz w:val="20"/>
        </w:rPr>
        <w:t>’</w:t>
      </w:r>
      <w:r>
        <w:rPr>
          <w:rFonts w:ascii="Times New Roman;serif" w:hAnsi="Times New Roman;serif"/>
          <w:b w:val="false"/>
          <w:sz w:val="20"/>
        </w:rPr>
        <w:t>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projected benefit obligation under the SERP is $17.7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$17.3</w:t>
      </w:r>
      <w:r>
        <w:rPr>
          <w:rFonts w:ascii="Times New Roman" w:hAnsi="Times New Roman"/>
          <w:sz w:val="20"/>
        </w:rPr>
        <w:t xml:space="preserve"> </w:t>
      </w:r>
      <w:r>
        <w:rPr>
          <w:rFonts w:ascii="Times New Roman;serif" w:hAnsi="Times New Roman;serif"/>
          <w:b w:val="false"/>
          <w:sz w:val="20"/>
        </w:rPr>
        <w:t>million). For the three and six months ended June 30, 2023, the Company recorded interest costs of $0.2</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(2022</w:t>
      </w:r>
      <w:r>
        <w:rPr>
          <w:rFonts w:ascii="Times New Roman" w:hAnsi="Times New Roman"/>
          <w:sz w:val="20"/>
        </w:rPr>
        <w:t xml:space="preserve"> — </w:t>
      </w:r>
      <w:r>
        <w:rPr>
          <w:rFonts w:ascii="Times New Roman;serif" w:hAnsi="Times New Roman;serif"/>
          <w:b w:val="false"/>
          <w:sz w:val="20"/>
        </w:rPr>
        <w:t>less than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related to the SERP. The Company expects to recognize additional interest costs of $0.4</w:t>
      </w:r>
      <w:r>
        <w:rPr>
          <w:rFonts w:ascii="Times New Roman" w:hAnsi="Times New Roman"/>
          <w:sz w:val="20"/>
        </w:rPr>
        <w:t xml:space="preserve"> </w:t>
      </w:r>
      <w:r>
        <w:rPr>
          <w:rFonts w:ascii="Times New Roman;serif" w:hAnsi="Times New Roman;serif"/>
          <w:b w:val="false"/>
          <w:sz w:val="20"/>
        </w:rPr>
        <w:t>million related to the SERP during the remainder of 2023. No</w:t>
      </w:r>
      <w:r>
        <w:rPr>
          <w:rFonts w:ascii="Times New Roman" w:hAnsi="Times New Roman"/>
          <w:sz w:val="20"/>
        </w:rPr>
        <w:t xml:space="preserve"> </w:t>
      </w:r>
      <w:r>
        <w:rPr>
          <w:rFonts w:ascii="Times New Roman;serif" w:hAnsi="Times New Roman;serif"/>
          <w:b w:val="false"/>
          <w:sz w:val="20"/>
        </w:rPr>
        <w:t>contributions are expected to be made to the SERP in 2023.</w:t>
      </w:r>
      <w:r>
        <w:rPr>
          <w:rFonts w:ascii="Times New Roman" w:hAnsi="Times New Roman"/>
          <w:sz w:val="20"/>
        </w:rPr>
        <w:t xml:space="preserve"> </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Defined Contribution Pension Plan</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also maintains defined contribution plans for its employees, including its executive officers. The Company makes contributions to these plans on behalf of employees in an amount up to 5% of their base salary subject to certain prescribed maximums.</w:t>
      </w:r>
      <w:r>
        <w:rPr>
          <w:rFonts w:ascii="Times New Roman" w:hAnsi="Times New Roman"/>
          <w:sz w:val="20"/>
        </w:rPr>
        <w:t xml:space="preserve"> </w:t>
      </w:r>
      <w:r>
        <w:rPr>
          <w:rFonts w:ascii="Times New Roman;serif" w:hAnsi="Times New Roman;serif"/>
          <w:b w:val="false"/>
          <w:sz w:val="20"/>
        </w:rPr>
        <w:t>During the three and six months ended June 30, 2023, the Company contributed and recorded expense of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$0.6</w:t>
      </w:r>
      <w:r>
        <w:rPr>
          <w:rFonts w:ascii="Times New Roman" w:hAnsi="Times New Roman"/>
          <w:sz w:val="20"/>
        </w:rPr>
        <w:t xml:space="preserve"> </w:t>
      </w:r>
      <w:r>
        <w:rPr>
          <w:rFonts w:ascii="Times New Roman;serif" w:hAnsi="Times New Roman;serif"/>
          <w:b w:val="false"/>
          <w:sz w:val="20"/>
        </w:rPr>
        <w:t>million, respectively, (2022</w:t>
      </w:r>
      <w:r>
        <w:rPr>
          <w:rFonts w:ascii="Times New Roman" w:hAnsi="Times New Roman"/>
          <w:sz w:val="20"/>
        </w:rPr>
        <w:t xml:space="preserve"> — </w:t>
      </w:r>
      <w:r>
        <w:rPr>
          <w:rFonts w:ascii="Times New Roman;serif" w:hAnsi="Times New Roman;serif"/>
          <w:b w:val="false"/>
          <w:sz w:val="20"/>
        </w:rPr>
        <w:t>$0.3</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to its Canadian defined contribution plan and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$0.5</w:t>
      </w:r>
      <w:r>
        <w:rPr>
          <w:rFonts w:ascii="Times New Roman" w:hAnsi="Times New Roman"/>
          <w:sz w:val="20"/>
        </w:rPr>
        <w:t xml:space="preserve"> </w:t>
      </w:r>
      <w:r>
        <w:rPr>
          <w:rFonts w:ascii="Times New Roman;serif" w:hAnsi="Times New Roman;serif"/>
          <w:b w:val="false"/>
          <w:sz w:val="20"/>
        </w:rPr>
        <w:t>million, respectively, (2022</w:t>
      </w:r>
      <w:r>
        <w:rPr>
          <w:rFonts w:ascii="Times New Roman" w:hAnsi="Times New Roman"/>
          <w:sz w:val="20"/>
        </w:rPr>
        <w:t xml:space="preserve"> — </w:t>
      </w:r>
      <w:r>
        <w:rPr>
          <w:rFonts w:ascii="Times New Roman;serif" w:hAnsi="Times New Roman;serif"/>
          <w:b w:val="false"/>
          <w:sz w:val="20"/>
        </w:rPr>
        <w:t>$0.1</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to its defined contribution employee plan under Section 401(k) of the U.S. Internal Revenue Code.</w:t>
      </w:r>
    </w:p>
    <w:p>
      <w:pPr>
        <w:pStyle w:val="TextBody"/>
        <w:bidi w:val="0"/>
        <w:spacing w:before="200" w:after="0"/>
        <w:jc w:val="both"/>
        <w:rPr>
          <w:rFonts w:ascii="Times New Roman" w:hAnsi="Times New Roman"/>
          <w:b/>
          <w:i/>
          <w:sz w:val="20"/>
        </w:rPr>
      </w:pPr>
      <w:r>
        <w:rPr>
          <w:rFonts w:ascii="Times New Roman" w:hAnsi="Times New Roman"/>
          <w:b/>
          <w:i/>
          <w:sz w:val="20"/>
        </w:rPr>
        <w:t>(c)</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Postretirement Benefits – Executives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postretirement benefits obligation under this plan is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$0.5</w:t>
      </w:r>
      <w:r>
        <w:rPr>
          <w:rFonts w:ascii="Times New Roman" w:hAnsi="Times New Roman"/>
          <w:sz w:val="20"/>
        </w:rPr>
        <w:t xml:space="preserve"> </w:t>
      </w:r>
      <w:r>
        <w:rPr>
          <w:rFonts w:ascii="Times New Roman;serif" w:hAnsi="Times New Roman;serif"/>
          <w:b w:val="false"/>
          <w:sz w:val="20"/>
        </w:rPr>
        <w:t>million). For the three and six months ended June 30, 2023, the Company has recorded an expense of less than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less than $0.1</w:t>
      </w:r>
      <w:r>
        <w:rPr>
          <w:rFonts w:ascii="Times New Roman" w:hAnsi="Times New Roman"/>
          <w:sz w:val="20"/>
        </w:rPr>
        <w:t xml:space="preserve"> </w:t>
      </w:r>
      <w:r>
        <w:rPr>
          <w:rFonts w:ascii="Times New Roman;serif" w:hAnsi="Times New Roman;serif"/>
          <w:b w:val="false"/>
          <w:sz w:val="20"/>
        </w:rPr>
        <w:t>million) related to this plan.</w:t>
      </w:r>
      <w:r>
        <w:rPr>
          <w:rFonts w:ascii="Times New Roman" w:hAnsi="Times New Roman"/>
          <w:sz w:val="20"/>
        </w:rPr>
        <w:t xml:space="preserve"> </w:t>
      </w:r>
    </w:p>
    <w:p>
      <w:pPr>
        <w:pStyle w:val="TextBody"/>
        <w:bidi w:val="0"/>
        <w:spacing w:before="200" w:after="0"/>
        <w:jc w:val="both"/>
        <w:rPr>
          <w:rFonts w:ascii="Times New Roman" w:hAnsi="Times New Roman"/>
          <w:b/>
          <w:i/>
          <w:sz w:val="20"/>
        </w:rPr>
      </w:pPr>
      <w:r>
        <w:rPr>
          <w:rFonts w:ascii="Times New Roman" w:hAnsi="Times New Roman"/>
          <w:b/>
          <w:i/>
          <w:sz w:val="20"/>
        </w:rPr>
        <w:t>(d)</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 xml:space="preserve">Postretirement Benefits – Canadian Employees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an unfunded postretirement plan for its Canadian employees meeting specific eligibility requirements. The Company will provide eligible participants, upon retirement, with health and welfare benefits. As of June 30, 2023, the Company’s postretirement benefits obligation under this plan is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$1.0</w:t>
      </w:r>
      <w:r>
        <w:rPr>
          <w:rFonts w:ascii="Times New Roman" w:hAnsi="Times New Roman"/>
          <w:sz w:val="20"/>
        </w:rPr>
        <w:t xml:space="preserve"> </w:t>
      </w:r>
      <w:r>
        <w:rPr>
          <w:rFonts w:ascii="Times New Roman;serif" w:hAnsi="Times New Roman;serif"/>
          <w:b w:val="false"/>
          <w:sz w:val="20"/>
        </w:rPr>
        <w:t>million). For the three and six months ended June 30, 2023, the Company has recorded expense of less than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(2022 — less than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related to this plan.</w:t>
      </w:r>
    </w:p>
    <w:p>
      <w:pPr>
        <w:pStyle w:val="TextBody"/>
        <w:bidi w:val="0"/>
        <w:spacing w:before="200" w:after="0"/>
        <w:jc w:val="both"/>
        <w:rPr>
          <w:rFonts w:ascii="Times New Roman" w:hAnsi="Times New Roman"/>
          <w:b/>
          <w:i/>
          <w:sz w:val="20"/>
        </w:rPr>
      </w:pPr>
      <w:r>
        <w:rPr>
          <w:rFonts w:ascii="Times New Roman" w:hAnsi="Times New Roman"/>
          <w:b/>
          <w:i/>
          <w:sz w:val="20"/>
        </w:rPr>
        <w:t>(e)</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Deferred Compensation Benefit Plan</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r>
        <w:rPr>
          <w:rFonts w:ascii="Times New Roman" w:hAnsi="Times New Roman"/>
          <w:sz w:val="20"/>
        </w:rPr>
        <w:t xml:space="preserve"> </w:t>
      </w:r>
      <w:r>
        <w:rPr>
          <w:rFonts w:ascii="Times New Roman;serif" w:hAnsi="Times New Roman;serif"/>
          <w:b w:val="false"/>
          <w:sz w:val="20"/>
        </w:rPr>
        <w:t>In 2018, the executive incurred a separation from service from the Company, and as such, the Retirement Plan benefits became fully vested as of December 31, 2018.</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benefit obligation related to the Retirement Plan was $4.0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$3.9</w:t>
      </w:r>
      <w:r>
        <w:rPr>
          <w:rFonts w:ascii="Times New Roman" w:hAnsi="Times New Roman"/>
          <w:sz w:val="20"/>
        </w:rPr>
        <w:t xml:space="preserve"> </w:t>
      </w:r>
      <w:r>
        <w:rPr>
          <w:rFonts w:ascii="Times New Roman;serif" w:hAnsi="Times New Roman;serif"/>
          <w:b w:val="false"/>
          <w:sz w:val="20"/>
        </w:rPr>
        <w:t>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pStyle w:val="TextBody"/>
        <w:bidi w:val="0"/>
        <w:spacing w:before="200" w:after="0"/>
        <w:jc w:val="both"/>
        <w:rPr>
          <w:rFonts w:ascii="Times New Roman" w:hAnsi="Times New Roman"/>
          <w:sz w:val="20"/>
        </w:rPr>
      </w:pPr>
      <w:r>
        <w:rPr>
          <w:rFonts w:ascii="Times New Roman;serif" w:hAnsi="Times New Roman;serif"/>
          <w:b w:val="false"/>
          <w:sz w:val="20"/>
        </w:rPr>
        <w:t>The Retirement Plan is funded by an investment in company-owned life insurance (“COLI”), which is recorded at its fair value on the Company’s Condensed Consolidated Balance Sheets within Prepaid Expenses. As of June 30, 2023, fair value of the COLI asset was $3.5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$3.4</w:t>
      </w:r>
      <w:r>
        <w:rPr>
          <w:rFonts w:ascii="Times New Roman" w:hAnsi="Times New Roman"/>
          <w:sz w:val="20"/>
        </w:rPr>
        <w:t xml:space="preserve"> </w:t>
      </w:r>
      <w:r>
        <w:rPr>
          <w:rFonts w:ascii="Times New Roman;serif" w:hAnsi="Times New Roman;serif"/>
          <w:b w:val="false"/>
          <w:sz w:val="20"/>
        </w:rPr>
        <w:t>million). Gains and losses resulting from changes in the cash surrender value of the COLI asset are recognized in the Condensed Consolidated Statements of Operations within Realized and Unrealized Investment Gains.</w:t>
      </w:r>
    </w:p>
    <w:p>
      <w:pPr>
        <w:pStyle w:val="TextBody"/>
        <w:bidi w:val="0"/>
        <w:spacing w:before="200" w:after="0"/>
        <w:jc w:val="both"/>
        <w:rPr>
          <w:rFonts w:ascii="Times New Roman;serif" w:hAnsi="Times New Roman;serif"/>
          <w:b/>
          <w:sz w:val="20"/>
        </w:rPr>
      </w:pPr>
      <w:r>
        <w:rPr>
          <w:rFonts w:ascii="Times New Roman;serif" w:hAnsi="Times New Roman;serif"/>
          <w:b/>
          <w:sz w:val="20"/>
        </w:rPr>
        <w:t>15. Financial Instruments</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Financial Instruments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maintains cash with various major financial institutions. The Company’s cash is invested with highly rated financial institutions. The Company’s $95.3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balance of cash and cash equivalents as of June 30, 2023 (December 31, 2022 — $97.4</w:t>
      </w:r>
      <w:r>
        <w:rPr>
          <w:rFonts w:ascii="Times New Roman" w:hAnsi="Times New Roman"/>
          <w:sz w:val="20"/>
        </w:rPr>
        <w:t xml:space="preserve"> </w:t>
      </w:r>
      <w:r>
        <w:rPr>
          <w:rFonts w:ascii="Times New Roman;serif" w:hAnsi="Times New Roman;serif"/>
          <w:b w:val="false"/>
          <w:sz w:val="20"/>
        </w:rPr>
        <w:t>million) includes $83.3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cash held outside of Canada (December 31, 2022 — $79.7</w:t>
      </w:r>
      <w:r>
        <w:rPr>
          <w:rFonts w:ascii="Times New Roman" w:hAnsi="Times New Roman"/>
          <w:sz w:val="20"/>
        </w:rPr>
        <w:t xml:space="preserve"> </w:t>
      </w:r>
      <w:r>
        <w:rPr>
          <w:rFonts w:ascii="Times New Roman;serif" w:hAnsi="Times New Roman;serif"/>
          <w:b w:val="false"/>
          <w:sz w:val="20"/>
        </w:rPr>
        <w:t>million). As of June 30, 2023, cash and cash equivalents held by IMAX China was $73.6</w:t>
      </w:r>
      <w:r>
        <w:rPr>
          <w:rFonts w:ascii="Times New Roman" w:hAnsi="Times New Roman"/>
          <w:sz w:val="20"/>
        </w:rPr>
        <w:t xml:space="preserve"> </w:t>
      </w:r>
      <w:r>
        <w:rPr>
          <w:rFonts w:ascii="Times New Roman;serif" w:hAnsi="Times New Roman;serif"/>
          <w:b w:val="false"/>
          <w:sz w:val="20"/>
        </w:rPr>
        <w:t>million (December 31, 2022</w:t>
      </w:r>
      <w:r>
        <w:rPr>
          <w:rFonts w:ascii="Times New Roman" w:hAnsi="Times New Roman"/>
          <w:sz w:val="20"/>
        </w:rPr>
        <w:t xml:space="preserve"> —</w:t>
      </w:r>
      <w:r>
        <w:rPr>
          <w:rFonts w:ascii="Times New Roman;serif" w:hAnsi="Times New Roman;serif"/>
          <w:b w:val="false"/>
          <w:sz w:val="20"/>
        </w:rPr>
        <w:t>$75.0</w:t>
      </w:r>
      <w:r>
        <w:rPr>
          <w:rFonts w:ascii="Times New Roman" w:hAnsi="Times New Roman"/>
          <w:sz w:val="20"/>
        </w:rPr>
        <w:t xml:space="preserve"> </w:t>
      </w:r>
      <w:r>
        <w:rPr>
          <w:rFonts w:ascii="Times New Roman;serif" w:hAnsi="Times New Roman;serif"/>
          <w:b w:val="false"/>
          <w:sz w:val="20"/>
        </w:rPr>
        <w:t>million), of which $27.2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was held in the PRC (December 31, 2022 — $43.7</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 xml:space="preserve">Fair Value Measurements </w:t>
      </w:r>
    </w:p>
    <w:p>
      <w:pPr>
        <w:pStyle w:val="TextBody"/>
        <w:bidi w:val="0"/>
        <w:spacing w:before="200" w:after="0"/>
        <w:jc w:val="both"/>
        <w:rPr>
          <w:rFonts w:ascii="Times New Roman" w:hAnsi="Times New Roman"/>
          <w:sz w:val="20"/>
        </w:rPr>
      </w:pPr>
      <w:r>
        <w:rPr>
          <w:rFonts w:ascii="Times New Roman;serif" w:hAnsi="Times New Roman;serif"/>
          <w:b w:val="false"/>
          <w:sz w:val="20"/>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r>
        <w:rPr>
          <w:rFonts w:ascii="Times New Roman" w:hAnsi="Times New Roman"/>
          <w:sz w:val="20"/>
        </w:rPr>
        <w:t xml:space="preserve"> </w:t>
      </w:r>
    </w:p>
    <w:p>
      <w:pPr>
        <w:pStyle w:val="TextBody"/>
        <w:bidi w:val="0"/>
        <w:spacing w:before="0" w:after="0"/>
        <w:jc w:val="both"/>
        <w:rPr/>
      </w:pPr>
      <w:r>
        <w:rPr/>
        <w:t> </w:t>
      </w:r>
    </w:p>
    <w:tbl>
      <w:tblPr>
        <w:tblW w:w="9927" w:type="dxa"/>
        <w:jc w:val="left"/>
        <w:tblInd w:w="0" w:type="dxa"/>
        <w:tblLayout w:type="fixed"/>
        <w:tblCellMar>
          <w:top w:w="28" w:type="dxa"/>
          <w:left w:w="28" w:type="dxa"/>
          <w:bottom w:w="28" w:type="dxa"/>
          <w:right w:w="28" w:type="dxa"/>
        </w:tblCellMar>
      </w:tblPr>
      <w:tblGrid>
        <w:gridCol w:w="4426"/>
        <w:gridCol w:w="146"/>
        <w:gridCol w:w="211"/>
        <w:gridCol w:w="841"/>
        <w:gridCol w:w="166"/>
        <w:gridCol w:w="146"/>
        <w:gridCol w:w="211"/>
        <w:gridCol w:w="841"/>
        <w:gridCol w:w="166"/>
        <w:gridCol w:w="146"/>
        <w:gridCol w:w="211"/>
        <w:gridCol w:w="841"/>
        <w:gridCol w:w="166"/>
        <w:gridCol w:w="146"/>
        <w:gridCol w:w="211"/>
        <w:gridCol w:w="84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1</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and cash equivalents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Equity securities</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2</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Net financed sales receivables</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100,059</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Net investment in sales-type leases</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27,972</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Equity securities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COLI</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Foreign exchange contracts </w:t>
            </w:r>
            <w:r>
              <w:rPr>
                <w:rFonts w:ascii="Times New Roman" w:hAnsi="Times New Roman"/>
                <w:sz w:val="20"/>
              </w:rPr>
              <w:t>— </w:t>
            </w:r>
            <w:r>
              <w:rPr>
                <w:rFonts w:ascii="Times New Roman;serif" w:hAnsi="Times New Roman;serif"/>
                <w:b w:val="false"/>
                <w:sz w:val="20"/>
              </w:rPr>
              <w:t>designated forwards</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Wells Fargo Credit Facility borrowings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HSBC China Facility borrowings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Bank of China Facility borrowings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Federal Economic Development Loan</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Convertible Notes</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3</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Interest in film classified as a financial instrument</w:t>
            </w:r>
            <w:r>
              <w:rPr>
                <w:rFonts w:ascii="Times New Roman;serif" w:hAnsi="Times New Roman;serif"/>
                <w:b w:val="false"/>
                <w:sz w:val="13"/>
              </w:rPr>
              <w:t>(6)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Recorded at cost, which approximates fair value.</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Fair value is determined using quoted prices in active markets.</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Fair value is estimated based on discounting future cash flows at currently available interest rates with comparable terms.</w:t>
      </w:r>
    </w:p>
    <w:p>
      <w:pPr>
        <w:pStyle w:val="TextBody"/>
        <w:bidi w:val="0"/>
        <w:spacing w:before="200" w:after="0"/>
        <w:jc w:val="both"/>
        <w:rPr>
          <w:rFonts w:ascii="Times New Roman" w:hAnsi="Times New Roman"/>
          <w:b w:val="false"/>
          <w:sz w:val="20"/>
        </w:rPr>
      </w:pPr>
      <w:r>
        <w:rPr>
          <w:rFonts w:ascii="Times New Roman" w:hAnsi="Times New Roman"/>
          <w:b w:val="false"/>
          <w:sz w:val="20"/>
        </w:rPr>
        <w:t>(4)</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Measured at cash surrender value, which approximates fair value.</w:t>
      </w:r>
    </w:p>
    <w:p>
      <w:pPr>
        <w:pStyle w:val="TextBody"/>
        <w:bidi w:val="0"/>
        <w:spacing w:before="200" w:after="0"/>
        <w:jc w:val="both"/>
        <w:rPr>
          <w:rFonts w:ascii="Times New Roman" w:hAnsi="Times New Roman"/>
          <w:b w:val="false"/>
          <w:sz w:val="20"/>
        </w:rPr>
      </w:pPr>
      <w:r>
        <w:rPr>
          <w:rFonts w:ascii="Times New Roman" w:hAnsi="Times New Roman"/>
          <w:b w:val="false"/>
          <w:sz w:val="20"/>
        </w:rPr>
        <w:t>(5)</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Fair value is determined using quoted market prices that are observable in the market or that could be derived from observable market data.</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(6)</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Recorded at amortized cost less impairment losses. Inputs used in the calculation of estimated fair value include management’s projection of future box office and ancillary receipts for the film net of distribution costs and other costs in accordance with the investment agreement. See 15(e) below.</w:t>
      </w:r>
    </w:p>
    <w:p>
      <w:pPr>
        <w:pStyle w:val="TextBody"/>
        <w:bidi w:val="0"/>
        <w:spacing w:before="200" w:after="0"/>
        <w:jc w:val="both"/>
        <w:rPr>
          <w:rFonts w:ascii="Times New Roman" w:hAnsi="Times New Roman"/>
          <w:b/>
          <w:i/>
          <w:sz w:val="20"/>
        </w:rPr>
      </w:pPr>
      <w:r>
        <w:rPr>
          <w:rFonts w:ascii="Times New Roman" w:hAnsi="Times New Roman"/>
          <w:b/>
          <w:i/>
          <w:sz w:val="20"/>
        </w:rPr>
        <w:t>(c)</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Foreign Exchange Risk Management</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is exposed to market risk from changes in foreign currency rates.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w:t>
      </w:r>
      <w:r>
        <w:rPr>
          <w:rFonts w:ascii="Times New Roman" w:hAnsi="Times New Roman"/>
          <w:sz w:val="20"/>
        </w:rPr>
        <w:t xml:space="preserve"> </w:t>
      </w:r>
      <w:r>
        <w:rPr>
          <w:rFonts w:ascii="Times New Roman;serif" w:hAnsi="Times New Roman;serif"/>
          <w:b w:val="false"/>
          <w:sz w:val="20"/>
        </w:rPr>
        <w:t>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2023</w:t>
      </w:r>
      <w:r>
        <w:rPr>
          <w:rFonts w:ascii="Times New Roman" w:hAnsi="Times New Roman"/>
          <w:sz w:val="20"/>
        </w:rPr>
        <w:t xml:space="preserve"> </w:t>
      </w:r>
      <w:r>
        <w:rPr>
          <w:rFonts w:ascii="Times New Roman;serif" w:hAnsi="Times New Roman;serif"/>
          <w:b w:val="false"/>
          <w:sz w:val="20"/>
        </w:rPr>
        <w:t>(the “Foreign Currency Hedges”),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(“AOCI”)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200" w:after="0"/>
        <w:jc w:val="both"/>
        <w:rPr>
          <w:rFonts w:ascii="Times New Roman" w:hAnsi="Times New Roman"/>
          <w:sz w:val="20"/>
        </w:rPr>
      </w:pPr>
      <w:r>
        <w:rPr>
          <w:rFonts w:ascii="Times New Roman;serif" w:hAnsi="Times New Roman;serif"/>
          <w:b w:val="false"/>
          <w:sz w:val="20"/>
        </w:rPr>
        <w:t>The notional value of foreign currency cash flow hedging instruments that qualify for hedge accounting as of June 30, 2023 was $39.2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w:t>
      </w:r>
      <w:r>
        <w:rPr>
          <w:rFonts w:ascii="Times New Roman" w:hAnsi="Times New Roman"/>
          <w:sz w:val="20"/>
        </w:rPr>
        <w:t xml:space="preserve"> — </w:t>
      </w:r>
      <w:r>
        <w:rPr>
          <w:rFonts w:ascii="Times New Roman;serif" w:hAnsi="Times New Roman;serif"/>
          <w:b w:val="false"/>
          <w:sz w:val="20"/>
        </w:rPr>
        <w:t>$24.7</w:t>
      </w:r>
      <w:r>
        <w:rPr>
          <w:rFonts w:ascii="Times New Roman" w:hAnsi="Times New Roman"/>
          <w:sz w:val="20"/>
        </w:rPr>
        <w:t xml:space="preserve"> </w:t>
      </w:r>
      <w:r>
        <w:rPr>
          <w:rFonts w:ascii="Times New Roman;serif" w:hAnsi="Times New Roman;serif"/>
          <w:b w:val="false"/>
          <w:sz w:val="20"/>
        </w:rPr>
        <w:t>million). The Company currently does not hold any derivatives which are not designated as hedging instruments.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tabular disclosures reflect the impact that derivative instruments and hedging activities have on the Company’s Condensed Consolidated Financial Statements:</w:t>
      </w:r>
    </w:p>
    <w:p>
      <w:pPr>
        <w:pStyle w:val="TextBody"/>
        <w:bidi w:val="0"/>
        <w:spacing w:before="200" w:after="200"/>
        <w:jc w:val="both"/>
        <w:rPr>
          <w:rFonts w:ascii="Times New Roman" w:hAnsi="Times New Roman"/>
          <w:sz w:val="20"/>
        </w:rPr>
      </w:pPr>
      <w:r>
        <w:rPr>
          <w:rFonts w:ascii="Times New Roman;serif" w:hAnsi="Times New Roman;serif"/>
          <w:b w:val="false"/>
          <w:sz w:val="20"/>
          <w:u w:val="single"/>
        </w:rPr>
        <w:t>Fair value of derivatives in foreign exchange contracts</w:t>
      </w:r>
      <w:r>
        <w:rPr>
          <w:rFonts w:ascii="Times New Roman;serif" w:hAnsi="Times New Roman;serif"/>
          <w:b w:val="false"/>
          <w:sz w:val="20"/>
        </w:rPr>
        <w:t>:</w:t>
      </w:r>
    </w:p>
    <w:tbl>
      <w:tblPr>
        <w:tblW w:w="9087" w:type="dxa"/>
        <w:jc w:val="left"/>
        <w:tblInd w:w="0" w:type="dxa"/>
        <w:tblLayout w:type="fixed"/>
        <w:tblCellMar>
          <w:top w:w="28" w:type="dxa"/>
          <w:left w:w="28" w:type="dxa"/>
          <w:bottom w:w="28" w:type="dxa"/>
          <w:right w:w="28" w:type="dxa"/>
        </w:tblCellMar>
      </w:tblPr>
      <w:tblGrid>
        <w:gridCol w:w="3961"/>
        <w:gridCol w:w="146"/>
        <w:gridCol w:w="2416"/>
        <w:gridCol w:w="146"/>
        <w:gridCol w:w="240"/>
        <w:gridCol w:w="480"/>
        <w:gridCol w:w="166"/>
        <w:gridCol w:w="146"/>
        <w:gridCol w:w="333"/>
        <w:gridCol w:w="762"/>
        <w:gridCol w:w="2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1"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96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 contracts — Forwards</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91" w:type="dxa"/>
            <w:tcBorders/>
            <w:vAlign w:val="center"/>
          </w:tcPr>
          <w:p>
            <w:pPr>
              <w:pStyle w:val="TableContents"/>
              <w:bidi w:val="0"/>
              <w:spacing w:before="0" w:after="0"/>
              <w:ind w:left="0" w:right="0" w:firstLine="100"/>
              <w:jc w:val="left"/>
              <w:rPr/>
            </w:pPr>
            <w:r>
              <w:rPr/>
              <w:t> </w:t>
            </w:r>
          </w:p>
        </w:tc>
      </w:tr>
      <w:tr>
        <w:trPr/>
        <w:tc>
          <w:tcPr>
            <w:tcW w:w="3961"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2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200"/>
        <w:jc w:val="both"/>
        <w:rPr>
          <w:rFonts w:ascii="Times New Roman" w:hAnsi="Times New Roman"/>
          <w:sz w:val="20"/>
        </w:rPr>
      </w:pPr>
      <w:r>
        <w:rPr>
          <w:rFonts w:ascii="Times New Roman;serif" w:hAnsi="Times New Roman;serif"/>
          <w:b w:val="false"/>
          <w:sz w:val="20"/>
          <w:u w:val="single"/>
        </w:rPr>
        <w:t>Derivatives in foreign currency hedging relationships are as follows</w:t>
      </w:r>
      <w:r>
        <w:rPr>
          <w:rFonts w:ascii="Times New Roman;serif" w:hAnsi="Times New Roman;serif"/>
          <w:b w:val="false"/>
          <w:sz w:val="20"/>
        </w:rPr>
        <w:t>:</w:t>
      </w:r>
    </w:p>
    <w:tbl>
      <w:tblPr>
        <w:tblW w:w="9819" w:type="dxa"/>
        <w:jc w:val="left"/>
        <w:tblInd w:w="0" w:type="dxa"/>
        <w:tblLayout w:type="fixed"/>
        <w:tblCellMar>
          <w:top w:w="28" w:type="dxa"/>
          <w:left w:w="28" w:type="dxa"/>
          <w:bottom w:w="28" w:type="dxa"/>
          <w:right w:w="28" w:type="dxa"/>
        </w:tblCellMar>
      </w:tblPr>
      <w:tblGrid>
        <w:gridCol w:w="2356"/>
        <w:gridCol w:w="246"/>
        <w:gridCol w:w="2116"/>
        <w:gridCol w:w="146"/>
        <w:gridCol w:w="281"/>
        <w:gridCol w:w="643"/>
        <w:gridCol w:w="221"/>
        <w:gridCol w:w="195"/>
        <w:gridCol w:w="281"/>
        <w:gridCol w:w="643"/>
        <w:gridCol w:w="166"/>
        <w:gridCol w:w="146"/>
        <w:gridCol w:w="257"/>
        <w:gridCol w:w="587"/>
        <w:gridCol w:w="202"/>
        <w:gridCol w:w="178"/>
        <w:gridCol w:w="257"/>
        <w:gridCol w:w="587"/>
        <w:gridCol w:w="311"/>
      </w:tblGrid>
      <w:tr>
        <w:trPr/>
        <w:tc>
          <w:tcPr>
            <w:tcW w:w="2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center"/>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Gain (Loss)</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202"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2356" w:type="dxa"/>
            <w:tcBorders/>
            <w:vAlign w:val="center"/>
          </w:tcPr>
          <w:p>
            <w:pPr>
              <w:pStyle w:val="TableContents"/>
              <w:bidi w:val="0"/>
              <w:spacing w:before="0" w:after="0"/>
              <w:ind w:left="100" w:right="0" w:hanging="0"/>
              <w:jc w:val="left"/>
              <w:rPr/>
            </w:pPr>
            <w:r>
              <w:rPr/>
              <w:t xml:space="preserve">— </w:t>
            </w:r>
            <w:r>
              <w:rPr>
                <w:rFonts w:ascii="Times New Roman;serif" w:hAnsi="Times New Roman;serif"/>
                <w:b w:val="false"/>
                <w:sz w:val="20"/>
              </w:rPr>
              <w:t>Forwards</w:t>
            </w:r>
          </w:p>
        </w:tc>
        <w:tc>
          <w:tcPr>
            <w:tcW w:w="246" w:type="dxa"/>
            <w:tcBorders/>
            <w:vAlign w:val="center"/>
          </w:tcPr>
          <w:p>
            <w:pPr>
              <w:pStyle w:val="TableContents"/>
              <w:bidi w:val="0"/>
              <w:spacing w:before="0" w:after="0"/>
              <w:ind w:left="0" w:right="0" w:firstLine="100"/>
              <w:jc w:val="left"/>
              <w:rPr/>
            </w:pPr>
            <w:r>
              <w:rPr/>
              <w:t> </w:t>
            </w:r>
          </w:p>
        </w:tc>
        <w:tc>
          <w:tcPr>
            <w:tcW w:w="2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Recognized in OCI</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202"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2356" w:type="dxa"/>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(Effective Portion)</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356" w:type="dxa"/>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firstLine="100"/>
              <w:jc w:val="left"/>
              <w:rPr/>
            </w:pPr>
            <w:r>
              <w:rPr/>
              <w:t> </w:t>
            </w:r>
          </w:p>
        </w:tc>
      </w:tr>
      <w:tr>
        <w:trPr/>
        <w:tc>
          <w:tcPr>
            <w:tcW w:w="2356" w:type="dxa"/>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Location of Derivative Loss</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Reclassified from AOCI</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46" w:type="dxa"/>
            <w:tcBorders/>
            <w:vAlign w:val="center"/>
          </w:tcPr>
          <w:p>
            <w:pPr>
              <w:pStyle w:val="TableContents"/>
              <w:bidi w:val="0"/>
              <w:spacing w:before="0" w:after="0"/>
              <w:ind w:left="0" w:right="0" w:hanging="0"/>
              <w:jc w:val="left"/>
              <w:rPr/>
            </w:pPr>
            <w:r>
              <w:rPr/>
              <w:t> </w:t>
            </w:r>
          </w:p>
        </w:tc>
        <w:tc>
          <w:tcPr>
            <w:tcW w:w="21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(Effective Portion)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center"/>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2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9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202"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844"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2356" w:type="dxa"/>
            <w:tcBorders/>
            <w:vAlign w:val="center"/>
          </w:tcPr>
          <w:p>
            <w:pPr>
              <w:pStyle w:val="TableContents"/>
              <w:bidi w:val="0"/>
              <w:spacing w:before="0" w:after="0"/>
              <w:ind w:left="100" w:right="0" w:hanging="0"/>
              <w:jc w:val="left"/>
              <w:rPr/>
            </w:pPr>
            <w:r>
              <w:rPr/>
              <w:t xml:space="preserve">— </w:t>
            </w:r>
            <w:r>
              <w:rPr>
                <w:rFonts w:ascii="Times New Roman;serif" w:hAnsi="Times New Roman;serif"/>
                <w:b w:val="false"/>
                <w:sz w:val="20"/>
              </w:rPr>
              <w:t>Forwards</w:t>
            </w:r>
          </w:p>
        </w:tc>
        <w:tc>
          <w:tcPr>
            <w:tcW w:w="246" w:type="dxa"/>
            <w:tcBorders/>
            <w:vAlign w:val="center"/>
          </w:tcPr>
          <w:p>
            <w:pPr>
              <w:pStyle w:val="TableContents"/>
              <w:bidi w:val="0"/>
              <w:spacing w:before="0" w:after="0"/>
              <w:ind w:left="0" w:right="0" w:firstLine="100"/>
              <w:jc w:val="left"/>
              <w:rPr/>
            </w:pPr>
            <w:r>
              <w:rPr/>
              <w:t> </w:t>
            </w:r>
          </w:p>
        </w:tc>
        <w:tc>
          <w:tcPr>
            <w:tcW w:w="21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administrative expenses</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 w:type="dxa"/>
            <w:tcBorders/>
            <w:vAlign w:val="center"/>
          </w:tcPr>
          <w:p>
            <w:pPr>
              <w:pStyle w:val="TableContents"/>
              <w:bidi w:val="0"/>
              <w:spacing w:before="0" w:after="0"/>
              <w:ind w:left="0" w:right="0" w:hanging="0"/>
              <w:jc w:val="righ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8" w:type="dxa"/>
            <w:tcBorders/>
            <w:vAlign w:val="center"/>
          </w:tcPr>
          <w:p>
            <w:pPr>
              <w:pStyle w:val="TableContents"/>
              <w:bidi w:val="0"/>
              <w:spacing w:before="0" w:after="0"/>
              <w:ind w:left="0" w:right="0" w:hanging="0"/>
              <w:jc w:val="righ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The Company’s estimated net amount of the existing gains as of June 30, 2023 is $0.5</w:t>
      </w:r>
      <w:r>
        <w:rPr>
          <w:rFonts w:ascii="Times New Roman" w:hAnsi="Times New Roman"/>
          <w:sz w:val="20"/>
        </w:rPr>
        <w:t xml:space="preserve"> </w:t>
      </w:r>
      <w:r>
        <w:rPr>
          <w:rFonts w:ascii="Times New Roman;serif" w:hAnsi="Times New Roman;serif"/>
          <w:b w:val="false"/>
          <w:sz w:val="20"/>
        </w:rPr>
        <w:t>million, which is expected to be reclassified to the Condensed Consolidated Statements of Operations within the next twelve months.</w:t>
      </w:r>
    </w:p>
    <w:p>
      <w:pPr>
        <w:pStyle w:val="TextBody"/>
        <w:bidi w:val="0"/>
        <w:spacing w:before="200" w:after="0"/>
        <w:jc w:val="both"/>
        <w:rPr>
          <w:rFonts w:ascii="Times New Roman" w:hAnsi="Times New Roman"/>
          <w:b/>
          <w:i/>
          <w:sz w:val="20"/>
        </w:rPr>
      </w:pPr>
      <w:r>
        <w:rPr>
          <w:rFonts w:ascii="Times New Roman" w:hAnsi="Times New Roman"/>
          <w:b/>
          <w:i/>
          <w:sz w:val="20"/>
        </w:rPr>
        <w:t>(d)</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Investments in Equity Securities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an investment in the shares of an exchange traded fund which is classified as an equity investment. As of June 30, 2023, the value of the investment was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$1.0</w:t>
      </w:r>
      <w:r>
        <w:rPr>
          <w:rFonts w:ascii="Times New Roman" w:hAnsi="Times New Roman"/>
          <w:sz w:val="20"/>
        </w:rPr>
        <w:t xml:space="preserve"> </w:t>
      </w:r>
      <w:r>
        <w:rPr>
          <w:rFonts w:ascii="Times New Roman;serif" w:hAnsi="Times New Roman;serif"/>
          <w:b w:val="false"/>
          <w:sz w:val="20"/>
        </w:rPr>
        <w:t>million) and is recorded within Investment in Equity Securities in the Condensed Consolidated Balance Sheets.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held an investment in the preferred shares of enterprises which meets the criteria for classification as an equity security carried at historical cost, net of impairment charges. The carrying value of the equity security investment was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(December 31, 2022 — $1.0</w:t>
      </w:r>
      <w:r>
        <w:rPr>
          <w:rFonts w:ascii="Times New Roman" w:hAnsi="Times New Roman"/>
          <w:sz w:val="20"/>
        </w:rPr>
        <w:t xml:space="preserve"> </w:t>
      </w:r>
      <w:r>
        <w:rPr>
          <w:rFonts w:ascii="Times New Roman;serif" w:hAnsi="Times New Roman;serif"/>
          <w:b w:val="false"/>
          <w:sz w:val="20"/>
        </w:rPr>
        <w:t>million) and is recorded within Other Assets in the Condensed Consolidated Balance Sheets.</w:t>
      </w:r>
    </w:p>
    <w:p>
      <w:pPr>
        <w:pStyle w:val="TextBody"/>
        <w:bidi w:val="0"/>
        <w:spacing w:before="200" w:after="0"/>
        <w:jc w:val="both"/>
        <w:rPr>
          <w:rFonts w:ascii="Times New Roman" w:hAnsi="Times New Roman"/>
          <w:b/>
          <w:i/>
          <w:sz w:val="20"/>
        </w:rPr>
      </w:pPr>
      <w:r>
        <w:rPr>
          <w:rFonts w:ascii="Times New Roman" w:hAnsi="Times New Roman"/>
          <w:b/>
          <w:i/>
          <w:sz w:val="20"/>
        </w:rPr>
        <w:t>(e)</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 xml:space="preserve">Interest in Film </w:t>
      </w:r>
    </w:p>
    <w:p>
      <w:pPr>
        <w:pStyle w:val="TextBody"/>
        <w:bidi w:val="0"/>
        <w:spacing w:before="200" w:after="0"/>
        <w:jc w:val="both"/>
        <w:rPr>
          <w:rFonts w:ascii="Times New Roman" w:hAnsi="Times New Roman"/>
          <w:sz w:val="20"/>
        </w:rPr>
      </w:pPr>
      <w:r>
        <w:rPr>
          <w:rFonts w:ascii="Times New Roman;serif" w:hAnsi="Times New Roman;serif"/>
          <w:b w:val="false"/>
          <w:sz w:val="20"/>
        </w:rPr>
        <w:t>On January 10, 2022, IMAX (Shanghai) Culture and Technology Co., Ltd, a wholly-owned subsidiary of IMAX China, entered into a joint film investment agreement with Wanda Film (Horgos) Co. Ltd. to invest RMB 30.0</w:t>
      </w:r>
      <w:r>
        <w:rPr>
          <w:rFonts w:ascii="Times New Roman" w:hAnsi="Times New Roman"/>
          <w:sz w:val="20"/>
        </w:rPr>
        <w:t xml:space="preserve"> </w:t>
      </w:r>
      <w:r>
        <w:rPr>
          <w:rFonts w:ascii="Times New Roman;serif" w:hAnsi="Times New Roman;serif"/>
          <w:b w:val="false"/>
          <w:sz w:val="20"/>
        </w:rPr>
        <w:t>million ($4.7</w:t>
      </w:r>
      <w:r>
        <w:rPr>
          <w:rFonts w:ascii="Times New Roman" w:hAnsi="Times New Roman"/>
          <w:sz w:val="20"/>
        </w:rPr>
        <w:t xml:space="preserve"> </w:t>
      </w:r>
      <w:r>
        <w:rPr>
          <w:rFonts w:ascii="Times New Roman;serif" w:hAnsi="Times New Roman;serif"/>
          <w:b w:val="false"/>
          <w:sz w:val="20"/>
        </w:rPr>
        <w:t xml:space="preserve">million) in the movie </w:t>
      </w:r>
      <w:r>
        <w:rPr>
          <w:rFonts w:ascii="Times New Roman;serif" w:hAnsi="Times New Roman;serif"/>
          <w:b w:val="false"/>
          <w:i/>
          <w:sz w:val="20"/>
        </w:rPr>
        <w:t>Mozart from Space</w:t>
      </w:r>
      <w:r>
        <w:rPr>
          <w:rFonts w:ascii="Times New Roman;serif" w:hAnsi="Times New Roman;serif"/>
          <w:b w:val="false"/>
          <w:sz w:val="20"/>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second quarter of 2022, the Company recognized a full impairment of its RMB 30.0</w:t>
      </w:r>
      <w:r>
        <w:rPr>
          <w:rFonts w:ascii="Times New Roman" w:hAnsi="Times New Roman"/>
          <w:sz w:val="20"/>
        </w:rPr>
        <w:t xml:space="preserve"> </w:t>
      </w:r>
      <w:r>
        <w:rPr>
          <w:rFonts w:ascii="Times New Roman;serif" w:hAnsi="Times New Roman;serif"/>
          <w:b w:val="false"/>
          <w:sz w:val="20"/>
        </w:rPr>
        <w:t>million ($4.5</w:t>
      </w:r>
      <w:r>
        <w:rPr>
          <w:rFonts w:ascii="Times New Roman" w:hAnsi="Times New Roman"/>
          <w:sz w:val="20"/>
        </w:rPr>
        <w:t xml:space="preserve"> </w:t>
      </w:r>
      <w:r>
        <w:rPr>
          <w:rFonts w:ascii="Times New Roman;serif" w:hAnsi="Times New Roman;serif"/>
          <w:b w:val="false"/>
          <w:sz w:val="20"/>
        </w:rPr>
        <w:t xml:space="preserve">million) investment in </w:t>
      </w:r>
      <w:r>
        <w:rPr>
          <w:rFonts w:ascii="Times New Roman;serif" w:hAnsi="Times New Roman;serif"/>
          <w:b w:val="false"/>
          <w:i/>
          <w:sz w:val="20"/>
        </w:rPr>
        <w:t xml:space="preserve">Mozart from Space </w:t>
      </w:r>
      <w:r>
        <w:rPr>
          <w:rFonts w:ascii="Times New Roman;serif" w:hAnsi="Times New Roman;serif"/>
          <w:b w:val="false"/>
          <w:sz w:val="20"/>
        </w:rPr>
        <w:t>based on projected box office results and distribution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16. Executive Transition Costs</w:t>
      </w:r>
    </w:p>
    <w:p>
      <w:pPr>
        <w:pStyle w:val="TextBody"/>
        <w:bidi w:val="0"/>
        <w:spacing w:before="200" w:after="0"/>
        <w:jc w:val="both"/>
        <w:rPr>
          <w:rFonts w:ascii="Times New Roman" w:hAnsi="Times New Roman"/>
          <w:sz w:val="20"/>
        </w:rPr>
      </w:pPr>
      <w:r>
        <w:rPr>
          <w:rFonts w:ascii="Times New Roman;serif" w:hAnsi="Times New Roman;serif"/>
          <w:b w:val="false"/>
          <w:sz w:val="20"/>
        </w:rPr>
        <w:t>On March 13, 2023, the Company and Megan Colligan, President, IMAX Entertainment and Executive Vice President of the Company, agreed to conclude Ms. Colligan’s employment with the Company, effective April 30, 2023. Pursuant to the employment agreement between the Company and Ms. Colligan, dated as of October 10, 2018,</w:t>
      </w:r>
      <w:r>
        <w:rPr>
          <w:rFonts w:ascii="Times New Roman" w:hAnsi="Times New Roman"/>
          <w:sz w:val="20"/>
        </w:rPr>
        <w:t xml:space="preserve"> </w:t>
      </w:r>
      <w:r>
        <w:rPr>
          <w:rFonts w:ascii="Times New Roman;serif" w:hAnsi="Times New Roman;serif"/>
          <w:b w:val="false"/>
          <w:sz w:val="20"/>
        </w:rPr>
        <w:t>and the letter agreement between the Company and Ms. Colligan, dated as of March 15, 2023, the Company recognized executive transition costs of $1.4</w:t>
      </w:r>
      <w:r>
        <w:rPr>
          <w:rFonts w:ascii="Times New Roman" w:hAnsi="Times New Roman"/>
          <w:sz w:val="20"/>
        </w:rPr>
        <w:t xml:space="preserve"> </w:t>
      </w:r>
      <w:r>
        <w:rPr>
          <w:rFonts w:ascii="Times New Roman;serif" w:hAnsi="Times New Roman;serif"/>
          <w:b w:val="false"/>
          <w:sz w:val="20"/>
        </w:rPr>
        <w:t>million associated with the departure of Ms. Colligan during the first quarter of 2023. The costs include severance of $1.6</w:t>
      </w:r>
      <w:r>
        <w:rPr>
          <w:rFonts w:ascii="Times New Roman" w:hAnsi="Times New Roman"/>
          <w:sz w:val="20"/>
        </w:rPr>
        <w:t xml:space="preserve"> </w:t>
      </w:r>
      <w:r>
        <w:rPr>
          <w:rFonts w:ascii="Times New Roman;serif" w:hAnsi="Times New Roman;serif"/>
          <w:b w:val="false"/>
          <w:sz w:val="20"/>
        </w:rPr>
        <w:t>million, transition services covering three months of $0.8</w:t>
      </w:r>
      <w:r>
        <w:rPr>
          <w:rFonts w:ascii="Times New Roman" w:hAnsi="Times New Roman"/>
          <w:sz w:val="20"/>
        </w:rPr>
        <w:t xml:space="preserve"> </w:t>
      </w:r>
      <w:r>
        <w:rPr>
          <w:rFonts w:ascii="Times New Roman;serif" w:hAnsi="Times New Roman;serif"/>
          <w:b w:val="false"/>
          <w:sz w:val="20"/>
        </w:rPr>
        <w:t>million, and the reversal of previously recognized share-based compensation costs of $1.0</w:t>
      </w:r>
      <w:r>
        <w:rPr>
          <w:rFonts w:ascii="Times New Roman" w:hAnsi="Times New Roman"/>
          <w:sz w:val="20"/>
        </w:rPr>
        <w:t xml:space="preserve"> </w:t>
      </w:r>
      <w:r>
        <w:rPr>
          <w:rFonts w:ascii="Times New Roman;serif" w:hAnsi="Times New Roman;serif"/>
          <w:b w:val="false"/>
          <w:sz w:val="20"/>
        </w:rPr>
        <w:t>million for PSU forfeitures. There were no</w:t>
      </w:r>
      <w:r>
        <w:rPr>
          <w:rFonts w:ascii="Times New Roman" w:hAnsi="Times New Roman"/>
          <w:sz w:val="20"/>
        </w:rPr>
        <w:t xml:space="preserve"> </w:t>
      </w:r>
      <w:r>
        <w:rPr>
          <w:rFonts w:ascii="Times New Roman;serif" w:hAnsi="Times New Roman;serif"/>
          <w:b w:val="false"/>
          <w:sz w:val="20"/>
        </w:rPr>
        <w:t>additional costs incurred in the second quarter of 2023.</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17. Non-Controlling Interests</w:t>
      </w:r>
    </w:p>
    <w:p>
      <w:pPr>
        <w:pStyle w:val="TextBody"/>
        <w:bidi w:val="0"/>
        <w:spacing w:before="200" w:after="0"/>
        <w:jc w:val="both"/>
        <w:rPr>
          <w:rFonts w:ascii="Times New Roman" w:hAnsi="Times New Roman"/>
          <w:b/>
          <w:i/>
          <w:sz w:val="20"/>
        </w:rPr>
      </w:pPr>
      <w:r>
        <w:rPr>
          <w:rFonts w:ascii="Times New Roman" w:hAnsi="Times New Roman"/>
          <w:b/>
          <w:i/>
          <w:sz w:val="20"/>
        </w:rPr>
        <w:t>(a)</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IMAX China Non-Controlling Interest</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indirectly owns 71.63%</w:t>
      </w:r>
      <w:r>
        <w:rPr>
          <w:rFonts w:ascii="Times New Roman" w:hAnsi="Times New Roman"/>
          <w:sz w:val="20"/>
        </w:rPr>
        <w:t xml:space="preserve"> </w:t>
      </w:r>
      <w:r>
        <w:rPr>
          <w:rFonts w:ascii="Times New Roman;serif" w:hAnsi="Times New Roman;serif"/>
          <w:b w:val="false"/>
          <w:sz w:val="20"/>
        </w:rPr>
        <w:t>of IMAX China, whose shares trade on the Hong Kong Stock Exchange (December 31, 2022</w:t>
      </w:r>
      <w:r>
        <w:rPr>
          <w:rFonts w:ascii="Times New Roman" w:hAnsi="Times New Roman"/>
          <w:sz w:val="20"/>
        </w:rPr>
        <w:t xml:space="preserve"> — </w:t>
      </w:r>
      <w:r>
        <w:rPr>
          <w:rFonts w:ascii="Times New Roman;serif" w:hAnsi="Times New Roman;serif"/>
          <w:b w:val="false"/>
          <w:sz w:val="20"/>
        </w:rPr>
        <w:t>71.73%). IMAX China remains a consolidated subsidiary of the Company. As of June 30, 2023, the balance of the Company’s non-controlling interest in IMAX China is $66.2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w:t>
      </w:r>
      <w:r>
        <w:rPr>
          <w:rFonts w:ascii="Times New Roman" w:hAnsi="Times New Roman"/>
          <w:sz w:val="20"/>
        </w:rPr>
        <w:t xml:space="preserve"> — </w:t>
      </w:r>
      <w:r>
        <w:rPr>
          <w:rFonts w:ascii="Times New Roman;serif" w:hAnsi="Times New Roman;serif"/>
          <w:b w:val="false"/>
          <w:sz w:val="20"/>
        </w:rPr>
        <w:t>$65.7</w:t>
      </w:r>
      <w:r>
        <w:rPr>
          <w:rFonts w:ascii="Times New Roman" w:hAnsi="Times New Roman"/>
          <w:sz w:val="20"/>
        </w:rPr>
        <w:t xml:space="preserve"> </w:t>
      </w:r>
      <w:r>
        <w:rPr>
          <w:rFonts w:ascii="Times New Roman;serif" w:hAnsi="Times New Roman;serif"/>
          <w:b w:val="false"/>
          <w:sz w:val="20"/>
        </w:rPr>
        <w:t>million). For the three and six months ended June 30, 2023, the net income attributable to the non-controlling interest in IMAX China is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$3.9</w:t>
      </w:r>
      <w:r>
        <w:rPr>
          <w:rFonts w:ascii="Times New Roman" w:hAnsi="Times New Roman"/>
          <w:sz w:val="20"/>
        </w:rPr>
        <w:t xml:space="preserve"> </w:t>
      </w:r>
      <w:r>
        <w:rPr>
          <w:rFonts w:ascii="Times New Roman;serif" w:hAnsi="Times New Roman;serif"/>
          <w:b w:val="false"/>
          <w:sz w:val="20"/>
        </w:rPr>
        <w:t>million, respectively, (2022 — net loss of $(1.4) million</w:t>
      </w:r>
      <w:r>
        <w:rPr>
          <w:rFonts w:ascii="Times New Roman" w:hAnsi="Times New Roman"/>
          <w:sz w:val="20"/>
        </w:rPr>
        <w:t xml:space="preserve"> </w:t>
      </w:r>
      <w:r>
        <w:rPr>
          <w:rFonts w:ascii="Times New Roman;serif" w:hAnsi="Times New Roman;serif"/>
          <w:b w:val="false"/>
          <w:sz w:val="20"/>
        </w:rPr>
        <w:t>and net income of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July 12, 2023, the Company announced it has filed a proposal to acquire the outstanding shares of IMAX China. (See Note 18 for additional information.)</w:t>
      </w:r>
    </w:p>
    <w:p>
      <w:pPr>
        <w:pStyle w:val="TextBody"/>
        <w:bidi w:val="0"/>
        <w:spacing w:before="200" w:after="0"/>
        <w:jc w:val="both"/>
        <w:rPr>
          <w:rFonts w:ascii="Times New Roman" w:hAnsi="Times New Roman"/>
          <w:b/>
          <w:i/>
          <w:sz w:val="20"/>
        </w:rPr>
      </w:pPr>
      <w:r>
        <w:rPr>
          <w:rFonts w:ascii="Times New Roman" w:hAnsi="Times New Roman"/>
          <w:b/>
          <w:i/>
          <w:sz w:val="20"/>
        </w:rPr>
        <w:t>(b)</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Other Non-Controlling Interest</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Original Film Fund was established in 2014 to co-finance a portfolio of 10</w:t>
      </w:r>
      <w:r>
        <w:rPr>
          <w:rFonts w:ascii="Times New Roman;serif" w:hAnsi="Times New Roman;serif"/>
          <w:sz w:val="20"/>
        </w:rPr>
        <w:t xml:space="preserve"> </w:t>
      </w:r>
      <w:r>
        <w:rPr>
          <w:rFonts w:ascii="Times New Roman;serif" w:hAnsi="Times New Roman;serif"/>
          <w:b w:val="false"/>
          <w:sz w:val="20"/>
        </w:rPr>
        <w:t>original large-format films. The initial investment in the Original Film Fund was committed by a third party in the amount of $25.0</w:t>
      </w:r>
      <w:r>
        <w:rPr>
          <w:rFonts w:ascii="Times New Roman;serif" w:hAnsi="Times New Roman;serif"/>
          <w:sz w:val="20"/>
        </w:rPr>
        <w:t xml:space="preserve"> </w:t>
      </w:r>
      <w:r>
        <w:rPr>
          <w:rFonts w:ascii="Times New Roman;serif" w:hAnsi="Times New Roman;serif"/>
          <w:b w:val="false"/>
          <w:sz w:val="20"/>
        </w:rPr>
        <w:t>million, with the possibility of contributing additional funds. The Company has contributed $9.0</w:t>
      </w:r>
      <w:r>
        <w:rPr>
          <w:rFonts w:ascii="Times New Roman;serif" w:hAnsi="Times New Roman;serif"/>
          <w:sz w:val="20"/>
        </w:rPr>
        <w:t xml:space="preserve"> </w:t>
      </w:r>
      <w:r>
        <w:rPr>
          <w:rFonts w:ascii="Times New Roman;serif" w:hAnsi="Times New Roman;serif"/>
          <w:b w:val="false"/>
          <w:sz w:val="20"/>
        </w:rPr>
        <w:t>million to the Original Film Fund since 2014 and has reached its maximum contribution.</w:t>
      </w:r>
      <w:r>
        <w:rPr>
          <w:rFonts w:ascii="Times New Roman" w:hAnsi="Times New Roman"/>
          <w:sz w:val="20"/>
        </w:rPr>
        <w:t xml:space="preserve"> </w:t>
      </w:r>
      <w:r>
        <w:rPr>
          <w:rFonts w:ascii="Times New Roman;serif" w:hAnsi="Times New Roman;serif"/>
          <w:b w:val="false"/>
          <w:sz w:val="20"/>
        </w:rPr>
        <w:t>As of June 30, 2023, the Original Film Fund has invested $22.3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toward the development of original films. The related production, financing and distribution agreement includes put and call rights relating to change of control of the rights, title and interest in the co-financed pictures.</w:t>
      </w:r>
    </w:p>
    <w:p>
      <w:pPr>
        <w:pStyle w:val="TextBody"/>
        <w:bidi w:val="0"/>
        <w:spacing w:before="200" w:after="0"/>
        <w:jc w:val="both"/>
        <w:rPr>
          <w:rFonts w:ascii="Times New Roman" w:hAnsi="Times New Roman"/>
          <w:b/>
          <w:i/>
          <w:sz w:val="20"/>
        </w:rPr>
      </w:pPr>
      <w:r>
        <w:rPr>
          <w:rFonts w:ascii="Times New Roman" w:hAnsi="Times New Roman"/>
          <w:b/>
          <w:i/>
          <w:sz w:val="20"/>
        </w:rPr>
        <w:t>(c)</w:t>
      </w:r>
    </w:p>
    <w:p>
      <w:pPr>
        <w:pStyle w:val="TextBody"/>
        <w:bidi w:val="0"/>
        <w:spacing w:before="200" w:after="283"/>
        <w:jc w:val="both"/>
        <w:rPr>
          <w:rFonts w:ascii="Times New Roman;serif" w:hAnsi="Times New Roman;serif"/>
          <w:b/>
          <w:i/>
          <w:sz w:val="20"/>
        </w:rPr>
      </w:pPr>
      <w:r>
        <w:rPr>
          <w:rFonts w:ascii="Times New Roman;serif" w:hAnsi="Times New Roman;serif"/>
          <w:b/>
          <w:i/>
          <w:sz w:val="20"/>
        </w:rPr>
        <w:t>Non-Controlling Interest in Temporary Equity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the movement of the non-controlling interest in temporary equity related to the Original Film Fund for the six months ended June 30, 2023 and 2022:</w:t>
      </w:r>
    </w:p>
    <w:p>
      <w:pPr>
        <w:pStyle w:val="TextBody"/>
        <w:bidi w:val="0"/>
        <w:spacing w:before="0" w:after="0"/>
        <w:jc w:val="both"/>
        <w:rPr/>
      </w:pPr>
      <w:r>
        <w:rPr/>
        <w:t> </w:t>
      </w:r>
    </w:p>
    <w:tbl>
      <w:tblPr>
        <w:tblW w:w="4134" w:type="dxa"/>
        <w:jc w:val="left"/>
        <w:tblInd w:w="0" w:type="dxa"/>
        <w:tblLayout w:type="fixed"/>
        <w:tblCellMar>
          <w:top w:w="28" w:type="dxa"/>
          <w:left w:w="28" w:type="dxa"/>
          <w:bottom w:w="28" w:type="dxa"/>
          <w:right w:w="28" w:type="dxa"/>
        </w:tblCellMar>
      </w:tblPr>
      <w:tblGrid>
        <w:gridCol w:w="2221"/>
        <w:gridCol w:w="146"/>
        <w:gridCol w:w="211"/>
        <w:gridCol w:w="421"/>
        <w:gridCol w:w="146"/>
        <w:gridCol w:w="146"/>
        <w:gridCol w:w="211"/>
        <w:gridCol w:w="421"/>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21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18. Subsequent Event</w:t>
      </w:r>
    </w:p>
    <w:p>
      <w:pPr>
        <w:pStyle w:val="TextBody"/>
        <w:bidi w:val="0"/>
        <w:spacing w:before="200" w:after="0"/>
        <w:jc w:val="both"/>
        <w:rPr>
          <w:rFonts w:ascii="Times New Roman" w:hAnsi="Times New Roman"/>
          <w:sz w:val="20"/>
        </w:rPr>
      </w:pPr>
      <w:r>
        <w:rPr>
          <w:rFonts w:ascii="Times New Roman;serif" w:hAnsi="Times New Roman;serif"/>
          <w:b w:val="false"/>
          <w:sz w:val="20"/>
        </w:rPr>
        <w:t>On July 12, 2023, the Company announced it has filed a proposal to acquire the outstanding 96.3</w:t>
      </w:r>
      <w:r>
        <w:rPr>
          <w:rFonts w:ascii="Times New Roman" w:hAnsi="Times New Roman"/>
          <w:sz w:val="20"/>
        </w:rPr>
        <w:t xml:space="preserve"> </w:t>
      </w:r>
      <w:r>
        <w:rPr>
          <w:rFonts w:ascii="Times New Roman;serif" w:hAnsi="Times New Roman;serif"/>
          <w:b w:val="false"/>
          <w:sz w:val="20"/>
        </w:rPr>
        <w:t>million shares in IMAX China for approximately HK$10</w:t>
      </w:r>
      <w:r>
        <w:rPr>
          <w:rFonts w:ascii="Times New Roman" w:hAnsi="Times New Roman"/>
          <w:sz w:val="20"/>
        </w:rPr>
        <w:t xml:space="preserve"> </w:t>
      </w:r>
      <w:r>
        <w:rPr>
          <w:rFonts w:ascii="Times New Roman;serif" w:hAnsi="Times New Roman;serif"/>
          <w:b w:val="false"/>
          <w:sz w:val="20"/>
        </w:rPr>
        <w:t>per share in cash ($124</w:t>
      </w:r>
      <w:r>
        <w:rPr>
          <w:rFonts w:ascii="Times New Roman" w:hAnsi="Times New Roman"/>
          <w:sz w:val="20"/>
        </w:rPr>
        <w:t xml:space="preserve"> </w:t>
      </w:r>
      <w:r>
        <w:rPr>
          <w:rFonts w:ascii="Times New Roman;serif" w:hAnsi="Times New Roman;serif"/>
          <w:b w:val="false"/>
          <w:sz w:val="20"/>
        </w:rPr>
        <w:t>million). The offer represents an approximate 49% premium to the 30-trading day average closing price. Upon approval of the offer and the scheme of arrangement, IMAX Corporation will own 100% of IMAX China.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acquisition of IMAX China is subject to customary closing conditions, including the receipt of IMAX China shareholder and other approvals. The offer has been approved by both IMAX Corporation and IMAX China’s Boards of Directors. There is no guarantee that the acquisition will be approved by IMAX China shareholders or that other closing conditions will be satisfied. The acquisition, if successful, is expected to close later this year.</w:t>
      </w:r>
    </w:p>
    <w:p>
      <w:pPr>
        <w:pStyle w:val="TextBody"/>
        <w:bidi w:val="0"/>
        <w:spacing w:before="200" w:after="0"/>
        <w:jc w:val="both"/>
        <w:rPr>
          <w:rFonts w:ascii="Times New Roman" w:hAnsi="Times New Roman"/>
          <w:sz w:val="20"/>
        </w:rPr>
      </w:pPr>
      <w:r>
        <w:rPr>
          <w:rFonts w:ascii="Times New Roman;serif" w:hAnsi="Times New Roman;serif"/>
          <w:b w:val="false"/>
          <w:sz w:val="20"/>
        </w:rPr>
        <w:t>In conjunction with this transaction, the Company obtained a consent on June 30, 2023 under the Credit Facility to temporarily increase the LC Accommodations Sublimit from $25.0</w:t>
      </w:r>
      <w:r>
        <w:rPr>
          <w:rFonts w:ascii="Times New Roman" w:hAnsi="Times New Roman"/>
          <w:sz w:val="20"/>
        </w:rPr>
        <w:t xml:space="preserve"> </w:t>
      </w:r>
      <w:r>
        <w:rPr>
          <w:rFonts w:ascii="Times New Roman;serif" w:hAnsi="Times New Roman;serif"/>
          <w:b w:val="false"/>
          <w:sz w:val="20"/>
        </w:rPr>
        <w:t>million to $130.0</w:t>
      </w:r>
      <w:r>
        <w:rPr>
          <w:rFonts w:ascii="Times New Roman" w:hAnsi="Times New Roman"/>
          <w:sz w:val="20"/>
        </w:rPr>
        <w:t xml:space="preserve"> </w:t>
      </w:r>
      <w:r>
        <w:rPr>
          <w:rFonts w:ascii="Times New Roman;serif" w:hAnsi="Times New Roman;serif"/>
          <w:b w:val="false"/>
          <w:sz w:val="20"/>
        </w:rPr>
        <w:t>million. On July 11, 2023, the Company obtained a Standby LC in the amount of $130.0</w:t>
      </w:r>
      <w:r>
        <w:rPr>
          <w:rFonts w:ascii="Times New Roman" w:hAnsi="Times New Roman"/>
          <w:sz w:val="20"/>
        </w:rPr>
        <w:t xml:space="preserve"> </w:t>
      </w:r>
      <w:r>
        <w:rPr>
          <w:rFonts w:ascii="Times New Roman;serif" w:hAnsi="Times New Roman;serif"/>
          <w:b w:val="false"/>
          <w:sz w:val="20"/>
        </w:rPr>
        <w:t>million in favor of Morgan Stanley Asia Limited, the financial adviser for the transaction, to provide certainty of funds for the proposed proceeds and transaction costs payable with respect to the transaction. The LC and the temporary increase of the Sublimit will expire upon the earlier of the draw or cancellation of the LC by Morgan Stanley or January 15, 2024.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bookmarkStart w:id="12" w:name="item_2_managements_discussion_analysis_f"/>
      <w:bookmarkEnd w:id="12"/>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i/>
          <w:sz w:val="20"/>
        </w:rPr>
        <w:t>Management</w:t>
      </w:r>
      <w:r>
        <w:rPr>
          <w:rFonts w:ascii="Times New Roman" w:hAnsi="Times New Roman"/>
          <w:sz w:val="20"/>
        </w:rPr>
        <w:t>’</w:t>
      </w:r>
      <w:r>
        <w:rPr>
          <w:rFonts w:ascii="Times New Roman;serif" w:hAnsi="Times New Roman;serif"/>
          <w:b/>
          <w:i/>
          <w:sz w:val="20"/>
        </w:rPr>
        <w:t>s Discussion and Analysis of Financial Condition and Results of Operations</w:t>
      </w:r>
    </w:p>
    <w:p>
      <w:pPr>
        <w:pStyle w:val="TextBody"/>
        <w:bidi w:val="0"/>
        <w:spacing w:before="200" w:after="0"/>
        <w:jc w:val="both"/>
        <w:rPr>
          <w:rFonts w:ascii="Times New Roman" w:hAnsi="Times New Roman"/>
          <w:sz w:val="20"/>
        </w:rPr>
      </w:pPr>
      <w:r>
        <w:rPr>
          <w:rFonts w:ascii="Times New Roman;serif" w:hAnsi="Times New Roman;serif"/>
          <w:b w:val="false"/>
          <w:sz w:val="20"/>
        </w:rPr>
        <w:t>Presented below is Management’s Discussion and Analysis of Financial Condition and Results of Operations (or “MD&amp;A”) for IMAX Corporation and its consolidated subsidiaries (“IMAX” or the “Company”) for the three and six months ended June 30, 2023 and 2022. In the first quarter of 2023, the Company revised its internal segment reporting, including the information provided to its Chief Operating Decision Maker (“CODM”) to assess segment performance and allocate resources, and, as a result, updated its reportable segments. Prior period comparatives in this MD&amp;A have been revised to conform with the updated segment reporting presentation. MD&amp;A should be read in conjunction with Note 13, “Segment Reporting,” in the accompanying Condensed Consolidated Financial Statements in Item 1.</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Company indirectly owns 71.63% of IMAX China Holding, Inc. (“IMAX China”), whose shares trade on the Hong Kong Stock Exchange. IMAX China is a consolidated subsidiary of the Company. For the three months ended June 30, 2023, net income attributable to IMAX China is $4.5 million, of which $3.2 million is attributable to the shareholders of the Company (2022 — net loss of $(4.8) million and $(3.4) million, respectively).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July 12, 2023, the Company announced it has filed a proposal to acquire the outstanding 96.3 million shares in IMAX China for approximately HK$10 per share in cash ($124.0 million). The offer represents an approximate 49% premium to the 30-trading day average closing price. Upon approval of the offer and the scheme of arrangement, the Company will own 100% of IMAX China.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proposed acquisition of IMAX China is expected to provide the Company with greater operational flexibility to pursue new growth opportunities and applications of IMAX technology in the Chinese market. The acquisition of IMAX China is subject to customary closing conditions, including the receipt of IMAX China shareholder and other approvals. The offer has been approved by both the Company’s and IMAX China’s Boards of Directors. There is no guarantee that the acquisition will be approved by IMAX China shareholders or that other closing conditions will be satisfied. The acquisition, if successful, is expected to close later this year. For additional information on the transaction, please refer to the Joint Announcement, dated July 12, 2023, filed as Exhibit 99.2 to the Company’s Current Report on Form 8-K filed with the United States Securities and Exchange Commission (the “SEC”) on July 13, 2023.</w:t>
      </w:r>
    </w:p>
    <w:p>
      <w:pPr>
        <w:pStyle w:val="TextBody"/>
        <w:bidi w:val="0"/>
        <w:spacing w:before="200" w:after="0"/>
        <w:jc w:val="left"/>
        <w:rPr>
          <w:rFonts w:ascii="Times New Roman;serif" w:hAnsi="Times New Roman;serif"/>
          <w:b/>
          <w:sz w:val="20"/>
        </w:rPr>
      </w:pPr>
      <w:r>
        <w:rPr>
          <w:rFonts w:ascii="Times New Roman;serif" w:hAnsi="Times New Roman;serif"/>
          <w:b/>
          <w:sz w:val="20"/>
        </w:rPr>
        <w:t>SPECIAL NOTE REGARDING FORWARD-LOOKING INFORMATION</w:t>
      </w:r>
    </w:p>
    <w:p>
      <w:pPr>
        <w:pStyle w:val="TextBody"/>
        <w:bidi w:val="0"/>
        <w:spacing w:before="200" w:after="0"/>
        <w:jc w:val="both"/>
        <w:rPr>
          <w:rFonts w:ascii="Times New Roman" w:hAnsi="Times New Roman"/>
          <w:sz w:val="20"/>
        </w:rPr>
      </w:pPr>
      <w:r>
        <w:rPr>
          <w:rFonts w:ascii="Times New Roman;serif" w:hAnsi="Times New Roman;serif"/>
          <w:b w:val="false"/>
          <w:sz w:val="20"/>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statements regarding the closing and expected benefits of the acquisition of IMAX China and the emergence of Cineworld from bankruptcy, as well as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w:t>
      </w:r>
      <w:r>
        <w:rPr>
          <w:rFonts w:ascii="Times New Roman" w:hAnsi="Times New Roman"/>
          <w:sz w:val="20"/>
        </w:rPr>
        <w:t xml:space="preserve"> </w:t>
      </w:r>
    </w:p>
    <w:p>
      <w:pPr>
        <w:pStyle w:val="TextBody"/>
        <w:pBdr>
          <w:bottom w:val="single" w:sz="6" w:space="1" w:color="000000"/>
        </w:pBdr>
        <w:bidi w:val="0"/>
        <w:spacing w:before="20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IMAX</w:t>
      </w:r>
      <w:r>
        <w:rPr>
          <w:rFonts w:ascii="Times New Roman;serif" w:hAnsi="Times New Roman;serif"/>
          <w:b w:val="false"/>
          <w:sz w:val="13"/>
        </w:rPr>
        <w:t>®</w:t>
      </w:r>
      <w:r>
        <w:rPr>
          <w:rFonts w:ascii="Times New Roman;serif" w:hAnsi="Times New Roman;serif"/>
          <w:b w:val="false"/>
          <w:sz w:val="20"/>
        </w:rPr>
        <w:t>, IMAX</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3D, Experience It In IMAX</w:t>
      </w:r>
      <w:r>
        <w:rPr>
          <w:rFonts w:ascii="Times New Roman;serif" w:hAnsi="Times New Roman;serif"/>
          <w:b w:val="false"/>
          <w:sz w:val="13"/>
        </w:rPr>
        <w:t>®</w:t>
      </w:r>
      <w:r>
        <w:rPr>
          <w:rFonts w:ascii="Times New Roman;serif" w:hAnsi="Times New Roman;serif"/>
          <w:b w:val="false"/>
          <w:sz w:val="20"/>
        </w:rPr>
        <w:t>, The IMAX Experience</w:t>
      </w:r>
      <w:r>
        <w:rPr>
          <w:rFonts w:ascii="Times New Roman;serif" w:hAnsi="Times New Roman;serif"/>
          <w:b w:val="false"/>
          <w:sz w:val="13"/>
        </w:rPr>
        <w:t>®</w:t>
      </w:r>
      <w:r>
        <w:rPr>
          <w:rFonts w:ascii="Times New Roman;serif" w:hAnsi="Times New Roman;serif"/>
          <w:b w:val="false"/>
          <w:sz w:val="20"/>
        </w:rPr>
        <w:t>, DMR</w:t>
      </w:r>
      <w:r>
        <w:rPr>
          <w:rFonts w:ascii="Times New Roman;serif" w:hAnsi="Times New Roman;serif"/>
          <w:b w:val="false"/>
          <w:sz w:val="13"/>
        </w:rPr>
        <w:t>®</w:t>
      </w:r>
      <w:r>
        <w:rPr>
          <w:rFonts w:ascii="Times New Roman;serif" w:hAnsi="Times New Roman;serif"/>
          <w:b w:val="false"/>
          <w:sz w:val="20"/>
        </w:rPr>
        <w:t>, Filmed For IMAX</w:t>
      </w:r>
      <w:r>
        <w:rPr>
          <w:rFonts w:ascii="Times New Roman;serif" w:hAnsi="Times New Roman;serif"/>
          <w:b w:val="false"/>
          <w:sz w:val="13"/>
        </w:rPr>
        <w:t>TM</w:t>
      </w:r>
      <w:r>
        <w:rPr>
          <w:rFonts w:ascii="Times New Roman;serif" w:hAnsi="Times New Roman;serif"/>
          <w:b w:val="false"/>
          <w:sz w:val="20"/>
        </w:rPr>
        <w:t>, IMAX Live</w:t>
      </w:r>
      <w:r>
        <w:rPr>
          <w:rFonts w:ascii="Times New Roman;serif" w:hAnsi="Times New Roman;serif"/>
          <w:b w:val="false"/>
          <w:sz w:val="13"/>
        </w:rPr>
        <w:t>TM</w:t>
      </w:r>
      <w:r>
        <w:rPr>
          <w:rFonts w:ascii="Times New Roman;serif" w:hAnsi="Times New Roman;serif"/>
          <w:b w:val="false"/>
          <w:sz w:val="20"/>
        </w:rPr>
        <w:t>, IMAX Enhanced</w:t>
      </w:r>
      <w:r>
        <w:rPr>
          <w:rFonts w:ascii="Times New Roman;serif" w:hAnsi="Times New Roman;serif"/>
          <w:b w:val="false"/>
          <w:sz w:val="13"/>
        </w:rPr>
        <w:t>®</w:t>
      </w:r>
      <w:r>
        <w:rPr>
          <w:rFonts w:ascii="Times New Roman;serif" w:hAnsi="Times New Roman;serif"/>
          <w:b w:val="false"/>
          <w:sz w:val="20"/>
        </w:rPr>
        <w:t>, and SSIMWAVE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are trademarks and trade names of the Company or its subsidiaries that are registered or otherwise protected under laws of various jurisdictions.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Russia-Ukraine conflict; the failure to convert system backlog into revenue; changes in laws or regulations; any statements of belief and any statements of assumptions underlying any of the foregoing; other factors and risks outlined in the Company’s periodic filings with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pStyle w:val="TextBody"/>
        <w:bidi w:val="0"/>
        <w:spacing w:before="200" w:after="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leverages its proprietary technology and engineering in all aspects of its business, which principally consists of the digital remastering of films and other content into the IMAX format for distribution across the IMAX network and the sale or lease of premium IMAX theater systems (“IMAX System(s)”).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does not own the locations, except for one, in the IMAX network, and is not an exhibitor, but instead sells or leases IMAX Systems to exhibitor customers along with a license to use its trademarks and ongoing maintenance services.</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there were 1,718 IMAX Systems in 87 countries and territories, including 1,638 commercial multiplexes, 12 commercial destinations, and 68 institutional locations in the Company’s global network. This compares to 1,694 IMAX Systems in 87 countries and territories as of June 30, 2022, including 1,610 commercial multiplexes, 12 commercial destinations, and 72 institutional locations in the Company’s global network. (See the table under “IMAX Network and Backlog” for additional information on the composition of the IMAX network.)</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Systems provide the Company’s exhibitor customers with a combination of the following benefits: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xml:space="preserve">the ability to exhibit content that has been enhanced through the IMAX film remastering (formerly known as “IMAX DMR”) process, which results in higher image and sound fidelity than conventional cinema experiences; </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advanced, high-resolution projectors with specialized equipment and automated theater control systems, which generate significantly more contrast and brightness than conventional theater systems;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large screens and proprietary theater geometry, which result in a substantially larger field of view so that the screen extends to the edge of a viewer’s peripheral vision and creates more realistic images;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xml:space="preserve">advanced sound system components, which deliver more expansive sound imagery and pinpointed origination of sound to every specific spot in a theater equipped with an IMAX System; </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xml:space="preserve">specialized theater acoustics, which result in a four-fold reduction in background noise; </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ongoing maintenance and extended warranty services, and</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 license to the globally recognized IMAX brand.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select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Together, these components create a more intense, immersive, and exciting experience than a traditional theater, enabling audiences in IMAX locations to feel as if they are a part of the on-screen action.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As a result of the engineering and scientific achievements that are a hallmark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13"/>
        </w:rPr>
        <w:t>®</w:t>
      </w:r>
      <w:r>
        <w:rPr>
          <w:rFonts w:ascii="Times New Roman;serif" w:hAnsi="Times New Roman;serif"/>
          <w:b w:val="false"/>
          <w:sz w:val="20"/>
        </w:rPr>
        <w:t>, the Company’s exhibitor customers typically charge a premium for films released in the IMAX network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films exhibited in the IMAX network has helped establish IMAX as a key premium distribution and marketing platform for Hollywood and foreign local language movie studios.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addition, the Company continues to experiment in bringing new, innovative IMAX Live</w:t>
      </w:r>
      <w:r>
        <w:rPr>
          <w:rFonts w:ascii="Times New Roman;serif" w:hAnsi="Times New Roman;serif"/>
          <w:b w:val="false"/>
          <w:sz w:val="13"/>
        </w:rPr>
        <w:t xml:space="preserve">TM </w:t>
      </w:r>
      <w:r>
        <w:rPr>
          <w:rFonts w:ascii="Times New Roman;serif" w:hAnsi="Times New Roman;serif"/>
          <w:b w:val="false"/>
          <w:sz w:val="20"/>
        </w:rPr>
        <w:t>events and experiences to audiences worldwide. The Company has a footprint of connected IMAX Systems capable of delivering live, interactive content with low latency and superior sight and sound.</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pStyle w:val="TextBody"/>
        <w:bidi w:val="0"/>
        <w:spacing w:before="200" w:after="0"/>
        <w:jc w:val="both"/>
        <w:rPr>
          <w:rFonts w:ascii="Times New Roman" w:hAnsi="Times New Roman"/>
          <w:sz w:val="20"/>
        </w:rPr>
      </w:pPr>
      <w:r>
        <w:rPr>
          <w:rFonts w:ascii="Times New Roman;serif" w:hAnsi="Times New Roman;serif"/>
          <w:b w:val="false"/>
          <w:sz w:val="20"/>
        </w:rPr>
        <w:t>In September 2022, the Company acquired SSIMWAVE Inc. (“SSIMWAVE”), a leader in AI-driven video quality solutions for media and entertainment companies. The acquisition of SSIMWAVE marks a significant expansion of the Company’s strategy to deliver the highest quality images on any screen, while also creating cost efficiencies to streaming companies, broadcasters and other companies that transmit visual data — to drive new, recurring revenue and grow its global leadership in entertainment technology.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June 30, 2023, the IMAX network includes 54 systems in Russia, eight systems in Ukraine, and one system in Belarus and the Company's backlog includes 14 systems in Russia, one system in Ukraine, and five systems in Belarus with a total fixed contracted value of $22.9 million.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Beginning in the second quarter of 2023, due to the resumption of operations throughout Ukraine's theatrical exhibition industry, as evidenced by the reopening of all IMAX Systems in Ukraine and payments received from exhibitor customers, the Company recognized maintenance revenue and finance income. The Company continues to closely monitor the evolving impacts of this conflict (including the sanctions imposed by the United States, Canada and the European Union) and its effects on the global economy and the Company. (See Note 3 of Notes to Condensed Consolidated Financial Statements in Part I, Item 1 and “Risk Factors - The Company conducts business internationally, which exposes it to uncertainties and risks that could negatively affect its operations, sales, and future growth prospects.” in Part I, Item 1A of the Company’s 2022 Form 10-K.)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Cineworld had its Plan of Reorganization approved by the Court on June 28, 2023, in which it disclosed that it plans to emerge from the Chapter 11 proceedings on or about July 28, 2023. As part of the Plan, Cineworld agreed to assume the Global Agreement between IMAX and the Cineworld entities (the “Assumption”). The Assumption shall expressly provide for (i) Cineworld’s assumption of the Global Agreement, (ii) Cineworld’s payment of all current arrears and (iii) a revised schedule of system installations.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COVID-19 pandemic and the measures to prevent its spread have impacted and may continue to impact the Company’s business and the global economy. For additional discussion regarding the risks related to the COVID-19 pandemic on the Company’s business, see “Risk Factors – The Company experienced a significant decrease in its revenues, earnings and cash flows due to the COVID-19 pandemic and its business, financial condition and results of operations may continue to be significantly harmed in future reporting periods” in Part I, Item 1A of the Company’s 2022 Form 10-K.</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SOURCES OF REVENUE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historical results of operations for the three and six months ended June 30, 2023 and 2022 reflect the results of operations for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will be reported within All Other. (See Note 13 of Notes to Condensed Consolidated Financial Statements in Part I, Item 1).</w:t>
      </w:r>
    </w:p>
    <w:p>
      <w:pPr>
        <w:pStyle w:val="TextBody"/>
        <w:bidi w:val="0"/>
        <w:spacing w:before="200" w:after="0"/>
        <w:jc w:val="both"/>
        <w:rPr>
          <w:rFonts w:ascii="Times New Roman;serif" w:hAnsi="Times New Roman;serif"/>
          <w:b/>
          <w:sz w:val="20"/>
        </w:rPr>
      </w:pPr>
      <w:r>
        <w:rPr>
          <w:rFonts w:ascii="Times New Roman;serif" w:hAnsi="Times New Roman;serif"/>
          <w:b/>
          <w:sz w:val="20"/>
        </w:rPr>
        <w:t>Content Solutions</w:t>
      </w:r>
    </w:p>
    <w:p>
      <w:pPr>
        <w:pStyle w:val="TextBody"/>
        <w:bidi w:val="0"/>
        <w:spacing w:before="200" w:after="0"/>
        <w:jc w:val="both"/>
        <w:rPr>
          <w:rFonts w:ascii="Times New Roman" w:hAnsi="Times New Roman"/>
          <w:sz w:val="20"/>
        </w:rPr>
      </w:pPr>
      <w:r>
        <w:rPr>
          <w:rFonts w:ascii="Times New Roman;serif" w:hAnsi="Times New Roman;serif"/>
          <w:b w:val="false"/>
          <w:sz w:val="20"/>
        </w:rPr>
        <w:t>The Content Solutions segment earns revenue from the digital remastering of films and other content into IMAX formats for distribution across the IMAX network. To a lesser extent, the Content Solutions segment also earns revenue from the distribution of large-format documentary films and exclusive experiences ranging from live performance to interactive events with leading artists and creators, as well as the provision of film post-production services.</w:t>
      </w:r>
      <w:r>
        <w:rPr>
          <w:rFonts w:ascii="Times New Roman" w:hAnsi="Times New Roman"/>
          <w:sz w:val="20"/>
        </w:rPr>
        <w:t xml:space="preserve">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Film Remastering and Distribution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GBO less applicable sales taxes), except for within Greater China, where the Company receives a lower percentage of net box office receipts for certain Hollywood films.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IMAX film remastering digitally enhances the image resolution of films for projection on IMAX screens while maintaining or enhancing the visual clarity and sound quality to levels for which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is known. In addition, the original soundtrack of a film to be exhibited across the IMAX network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 xml:space="preserve">program for select films under which filmmakers craft films from their inception in numerous ways to optimize </w:t>
      </w:r>
      <w:r>
        <w:rPr>
          <w:rFonts w:ascii="Times New Roman;serif" w:hAnsi="Times New Roman;serif"/>
          <w:b w:val="false"/>
          <w:i/>
          <w:sz w:val="20"/>
        </w:rPr>
        <w:t>The</w:t>
      </w:r>
      <w:r>
        <w:rPr>
          <w:rFonts w:ascii="Times New Roman" w:hAnsi="Times New Roman"/>
          <w:sz w:val="20"/>
        </w:rPr>
        <w:t xml:space="preserv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20"/>
        </w:rPr>
        <w:t>. The program includes incremental and bespoke marketing support, which box office metrics demonstrate audiences respond extremely favorably to, and drives higher market share for IMAX.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and South Korea. More recently, the Company has further diversified its strategy by distributing local language films in both native and foreign markets.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films that were released to the Company’s global network during the three and six months ended June 30, 2023 and 2022:</w:t>
      </w:r>
    </w:p>
    <w:p>
      <w:pPr>
        <w:pStyle w:val="TextBody"/>
        <w:bidi w:val="0"/>
        <w:spacing w:before="0" w:after="0"/>
        <w:jc w:val="both"/>
        <w:rPr/>
      </w:pPr>
      <w:r>
        <w:rPr/>
        <w:t> </w:t>
      </w:r>
    </w:p>
    <w:tbl>
      <w:tblPr>
        <w:tblW w:w="7711" w:type="dxa"/>
        <w:jc w:val="left"/>
        <w:tblInd w:w="0" w:type="dxa"/>
        <w:tblLayout w:type="fixed"/>
        <w:tblCellMar>
          <w:top w:w="28" w:type="dxa"/>
          <w:left w:w="28" w:type="dxa"/>
          <w:bottom w:w="28" w:type="dxa"/>
          <w:right w:w="28" w:type="dxa"/>
        </w:tblCellMar>
      </w:tblPr>
      <w:tblGrid>
        <w:gridCol w:w="2851"/>
        <w:gridCol w:w="229"/>
        <w:gridCol w:w="497"/>
        <w:gridCol w:w="229"/>
        <w:gridCol w:w="229"/>
        <w:gridCol w:w="229"/>
        <w:gridCol w:w="229"/>
        <w:gridCol w:w="544"/>
        <w:gridCol w:w="146"/>
        <w:gridCol w:w="146"/>
        <w:gridCol w:w="213"/>
        <w:gridCol w:w="463"/>
        <w:gridCol w:w="213"/>
        <w:gridCol w:w="213"/>
        <w:gridCol w:w="213"/>
        <w:gridCol w:w="213"/>
        <w:gridCol w:w="463"/>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2186" w:type="dxa"/>
            <w:gridSpan w:val="7"/>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1" w:type="dxa"/>
            <w:gridSpan w:val="7"/>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2186"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7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Hollywood film releases</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Local language film releases:</w:t>
            </w:r>
          </w:p>
        </w:tc>
        <w:tc>
          <w:tcPr>
            <w:tcW w:w="726" w:type="dxa"/>
            <w:gridSpan w:val="2"/>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center"/>
              <w:rPr/>
            </w:pPr>
            <w:r>
              <w:rPr/>
              <w:t> </w:t>
            </w:r>
          </w:p>
        </w:tc>
        <w:tc>
          <w:tcPr>
            <w:tcW w:w="77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c>
          <w:tcPr>
            <w:tcW w:w="676"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2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China</w:t>
            </w:r>
          </w:p>
        </w:tc>
        <w:tc>
          <w:tcPr>
            <w:tcW w:w="229"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vAlign w:val="center"/>
          </w:tcPr>
          <w:p>
            <w:pPr>
              <w:pStyle w:val="TableContents"/>
              <w:bidi w:val="0"/>
              <w:spacing w:before="0" w:after="0"/>
              <w:ind w:left="0" w:right="0" w:firstLine="100"/>
              <w:jc w:val="left"/>
              <w:rPr/>
            </w:pPr>
            <w:r>
              <w:rPr/>
              <w:t> </w:t>
            </w:r>
          </w:p>
        </w:tc>
      </w:tr>
      <w:tr>
        <w:trPr/>
        <w:tc>
          <w:tcPr>
            <w:tcW w:w="2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India</w:t>
            </w:r>
          </w:p>
        </w:tc>
        <w:tc>
          <w:tcPr>
            <w:tcW w:w="229"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100"/>
              <w:jc w:val="left"/>
              <w:rPr/>
            </w:pPr>
            <w:r>
              <w:rPr/>
              <w:t> </w:t>
            </w:r>
          </w:p>
        </w:tc>
      </w:tr>
      <w:tr>
        <w:trPr/>
        <w:tc>
          <w:tcPr>
            <w:tcW w:w="2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Japan</w:t>
            </w:r>
          </w:p>
        </w:tc>
        <w:tc>
          <w:tcPr>
            <w:tcW w:w="229"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vAlign w:val="center"/>
          </w:tcPr>
          <w:p>
            <w:pPr>
              <w:pStyle w:val="TableContents"/>
              <w:bidi w:val="0"/>
              <w:spacing w:before="0" w:after="0"/>
              <w:ind w:left="0" w:right="0" w:firstLine="100"/>
              <w:jc w:val="left"/>
              <w:rPr/>
            </w:pPr>
            <w:r>
              <w:rPr/>
              <w:t> </w:t>
            </w:r>
          </w:p>
        </w:tc>
      </w:tr>
      <w:tr>
        <w:trPr/>
        <w:tc>
          <w:tcPr>
            <w:tcW w:w="2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South Korea</w:t>
            </w:r>
          </w:p>
        </w:tc>
        <w:tc>
          <w:tcPr>
            <w:tcW w:w="229"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100"/>
              <w:jc w:val="left"/>
              <w:rPr/>
            </w:pPr>
            <w:r>
              <w:rPr/>
              <w:t> </w:t>
            </w:r>
          </w:p>
        </w:tc>
      </w:tr>
      <w:tr>
        <w:trPr/>
        <w:tc>
          <w:tcPr>
            <w:tcW w:w="2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France</w:t>
            </w:r>
          </w:p>
        </w:tc>
        <w:tc>
          <w:tcPr>
            <w:tcW w:w="229"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vAlign w:val="center"/>
          </w:tcPr>
          <w:p>
            <w:pPr>
              <w:pStyle w:val="TableContents"/>
              <w:bidi w:val="0"/>
              <w:spacing w:before="0" w:after="0"/>
              <w:ind w:left="0" w:right="0" w:firstLine="200"/>
              <w:jc w:val="left"/>
              <w:rPr/>
            </w:pPr>
            <w:r>
              <w:rPr/>
              <w:t> </w:t>
            </w:r>
          </w:p>
        </w:tc>
      </w:tr>
      <w:tr>
        <w:trPr/>
        <w:tc>
          <w:tcPr>
            <w:tcW w:w="28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local language film releases</w:t>
            </w:r>
          </w:p>
        </w:tc>
        <w:tc>
          <w:tcPr>
            <w:tcW w:w="22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2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4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6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6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film releases</w:t>
            </w:r>
            <w:r>
              <w:rPr>
                <w:rFonts w:ascii="Times New Roman;serif" w:hAnsi="Times New Roman;serif"/>
                <w:b w:val="false"/>
                <w:sz w:val="13"/>
              </w:rPr>
              <w:t>(1)</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For the three and six months ended June 30, 2023, the films released to the Company’s global network include one and three with IMAX DNA (2022 — three and six, respectively).</w:t>
      </w:r>
    </w:p>
    <w:p>
      <w:pPr>
        <w:pStyle w:val="TextBody"/>
        <w:bidi w:val="0"/>
        <w:spacing w:before="200" w:after="200"/>
        <w:jc w:val="both"/>
        <w:rPr>
          <w:rFonts w:ascii="Times New Roman" w:hAnsi="Times New Roman"/>
          <w:sz w:val="20"/>
        </w:rPr>
      </w:pPr>
      <w:r>
        <w:rPr>
          <w:rFonts w:ascii="Times New Roman;serif" w:hAnsi="Times New Roman;serif"/>
          <w:b w:val="false"/>
          <w:sz w:val="20"/>
        </w:rPr>
        <w:t xml:space="preserve">The films distributed through the Company’s global network during the six months ended June 30, 2023 which generated the highest IMAX box office totals include </w:t>
      </w:r>
      <w:r>
        <w:rPr>
          <w:rFonts w:ascii="Times New Roman;serif" w:hAnsi="Times New Roman;serif"/>
          <w:b w:val="false"/>
          <w:i/>
          <w:sz w:val="20"/>
        </w:rPr>
        <w:t xml:space="preserve">Avatar: The Way of Water, The Super Mario Bros. Movie, The Wandering Earth 2, Guardians of the Galaxy Vol. 3, Ant-Man and the Wasp: Quantumania, Fast X, </w:t>
      </w:r>
      <w:r>
        <w:rPr>
          <w:rFonts w:ascii="Times New Roman;serif" w:hAnsi="Times New Roman;serif"/>
          <w:b w:val="false"/>
          <w:sz w:val="20"/>
        </w:rPr>
        <w:t xml:space="preserve">and </w:t>
      </w:r>
      <w:r>
        <w:rPr>
          <w:rFonts w:ascii="Times New Roman;serif" w:hAnsi="Times New Roman;serif"/>
          <w:b w:val="false"/>
          <w:i/>
          <w:sz w:val="20"/>
        </w:rPr>
        <w:t>Spider-Man: Across the Spider-Verse.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 w:hAnsi="Times New Roman"/>
          <w:sz w:val="20"/>
        </w:rPr>
      </w:pPr>
      <w:r>
        <w:rPr>
          <w:rFonts w:ascii="Times New Roman;serif" w:hAnsi="Times New Roman;serif"/>
          <w:b w:val="false"/>
          <w:sz w:val="20"/>
        </w:rPr>
        <w:t>In addition to the 33 IMAX films released through the Company’s global network during the six months ended June 30, 2023, the Company has announced the following additional 30 titles to be released in 2023:</w:t>
      </w:r>
      <w:r>
        <w:rPr>
          <w:rFonts w:ascii="Times New Roman" w:hAnsi="Times New Roman"/>
          <w:sz w:val="20"/>
        </w:rPr>
        <w:t xml:space="preserve"> </w:t>
      </w:r>
    </w:p>
    <w:tbl>
      <w:tblPr>
        <w:tblW w:w="9772" w:type="dxa"/>
        <w:jc w:val="left"/>
        <w:tblInd w:w="0" w:type="dxa"/>
        <w:tblLayout w:type="fixed"/>
        <w:tblCellMar>
          <w:top w:w="28" w:type="dxa"/>
          <w:left w:w="28" w:type="dxa"/>
          <w:bottom w:w="28" w:type="dxa"/>
          <w:right w:w="28" w:type="dxa"/>
        </w:tblCellMar>
      </w:tblPr>
      <w:tblGrid>
        <w:gridCol w:w="3601"/>
        <w:gridCol w:w="146"/>
        <w:gridCol w:w="1966"/>
        <w:gridCol w:w="146"/>
        <w:gridCol w:w="1351"/>
        <w:gridCol w:w="146"/>
        <w:gridCol w:w="24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Scheduled</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Studio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Release Date</w:t>
            </w:r>
            <w:r>
              <w:rPr>
                <w:rFonts w:ascii="Times New Roman;serif" w:hAnsi="Times New Roman;serif"/>
                <w:b/>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IMAX DNA</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Never Say Never</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Maoyan</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The White Storm 3: Heaven or Hell</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Hero Films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Chang'An</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Alibaba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Mission: Impossible - Dead Reckoning Part One</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Paramount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The Boy and the Heron</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Toho</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Creation of the Gods I: Kingdom of Storms</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Maoyan</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Oppenheimer</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Shot with IMAX Film Cameras</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Wonder Family</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Alibaba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Smugglers</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Next Entertainment World</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Kingdom 3</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Toho</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One and Only</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CFG</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The Moon</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CJ ENM</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Meg 2: The Trench</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Concrete Utopia</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Lotte</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Gran Turismo</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No More Bets</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Super Lion</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Blue Beetle</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Sand Land</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Toho</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Equalizer 3</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Nun 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A Haunting in Venice</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Creator</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i/>
                <w:sz w:val="18"/>
              </w:rPr>
              <w:t>Silent Service</w:t>
            </w:r>
            <w:r>
              <w:rPr>
                <w:rFonts w:ascii="Times New Roman;serif" w:hAnsi="Times New Roman;serif"/>
                <w:b w:val="false"/>
                <w:i/>
                <w:sz w:val="12"/>
              </w:rPr>
              <w:t>(2)</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Toho</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Kraven the Hunter</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Exorcist: Believer</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Killers of the Flower Moon</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Paramount Pictures/Apple</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Dune: Part Two</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November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Napoleon</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Pictures/Apple</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November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Wonka</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December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Aquaman and the Lost Kingdom</w:t>
            </w:r>
          </w:p>
        </w:tc>
        <w:tc>
          <w:tcPr>
            <w:tcW w:w="146"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December 2023</w:t>
            </w:r>
          </w:p>
        </w:tc>
        <w:tc>
          <w:tcPr>
            <w:tcW w:w="14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scheduled release dates in the table above are subject to change, may vary by territory, and may not reflect the date(s) of limited premiere events.</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Local language film.</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remains in active negotiations with studios, both domestically and internationally, for additional films to fill out its short- and long-term film slate for the IMAX network.</w:t>
      </w:r>
      <w:r>
        <w:rPr>
          <w:rFonts w:ascii="Times New Roman" w:hAnsi="Times New Roman"/>
          <w:sz w:val="20"/>
        </w:rPr>
        <w:t xml:space="preserve">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Other Content Solutions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May 2023, the Company announced Amazon Studios has acquired worldwide rights to the Company’s original documentary </w:t>
      </w:r>
      <w:r>
        <w:rPr>
          <w:rFonts w:ascii="Times New Roman;serif" w:hAnsi="Times New Roman;serif"/>
          <w:b w:val="false"/>
          <w:i/>
          <w:sz w:val="20"/>
        </w:rPr>
        <w:t>The Blue Angels</w:t>
      </w:r>
      <w:r>
        <w:rPr>
          <w:rFonts w:ascii="Times New Roman;serif" w:hAnsi="Times New Roman;serif"/>
          <w:b w:val="false"/>
          <w:sz w:val="20"/>
        </w:rPr>
        <w:t xml:space="preserve">, filmed with IMAX cameras. In July 2023, the Company also announced the completed production of </w:t>
      </w:r>
      <w:r>
        <w:rPr>
          <w:rFonts w:ascii="Times New Roman;serif" w:hAnsi="Times New Roman;serif"/>
          <w:b w:val="false"/>
          <w:i/>
          <w:sz w:val="20"/>
        </w:rPr>
        <w:t>Deep Sky</w:t>
      </w:r>
      <w:r>
        <w:rPr>
          <w:rFonts w:ascii="Times New Roman;serif" w:hAnsi="Times New Roman;serif"/>
          <w:b w:val="false"/>
          <w:sz w:val="20"/>
        </w:rPr>
        <w:t xml:space="preserve">, a documentary on NASA's Webb Telescope in collaboration with Crazy Boat Pictures Ltd. and filmmaker Nathaniel Kahn, currently slated for release in October 2023, as well as the start of production of </w:t>
      </w:r>
      <w:r>
        <w:rPr>
          <w:rFonts w:ascii="Times New Roman;serif" w:hAnsi="Times New Roman;serif"/>
          <w:b w:val="false"/>
          <w:i/>
          <w:sz w:val="20"/>
        </w:rPr>
        <w:t xml:space="preserve">The Elephant Odyssey, </w:t>
      </w:r>
      <w:r>
        <w:rPr>
          <w:rFonts w:ascii="Times New Roman;serif" w:hAnsi="Times New Roman;serif"/>
          <w:b w:val="false"/>
          <w:sz w:val="20"/>
        </w:rPr>
        <w:t>a documentary in collaboration with Beach House Pictures and China Review Studio of China International Communications Group.</w:t>
      </w:r>
    </w:p>
    <w:p>
      <w:pPr>
        <w:pStyle w:val="TextBody"/>
        <w:bidi w:val="0"/>
        <w:spacing w:before="200" w:after="0"/>
        <w:jc w:val="both"/>
        <w:rPr>
          <w:rFonts w:ascii="Times New Roman" w:hAnsi="Times New Roman"/>
          <w:sz w:val="20"/>
        </w:rPr>
      </w:pPr>
      <w:r>
        <w:rPr>
          <w:rFonts w:ascii="Times New Roman;serif" w:hAnsi="Times New Roman;serif"/>
          <w:b w:val="false"/>
          <w:sz w:val="20"/>
        </w:rPr>
        <w:t>In addition, the Company continues to experiment in bringing new, innovative IMAX Live</w:t>
      </w:r>
      <w:r>
        <w:rPr>
          <w:rFonts w:ascii="Times New Roman" w:hAnsi="Times New Roman"/>
          <w:sz w:val="20"/>
        </w:rPr>
        <w:t xml:space="preserve"> </w:t>
      </w:r>
      <w:r>
        <w:rPr>
          <w:rFonts w:ascii="Times New Roman;serif" w:hAnsi="Times New Roman;serif"/>
          <w:b w:val="false"/>
          <w:sz w:val="20"/>
        </w:rPr>
        <w:t>events and experiences to audiences worldwide. The Company has a footprint of connected IMAX Systems capable of delivering live, interactive content with low latency and superior sight and sound. As of June 30, 2023, 262 systems in the IMAX network across North America, Europe and Asia were configured with connectivity to deliver live and interactive events.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In the six months ended June 30, 2023, the Company partnered with United Artists Releases for an IMAX premiere event consisting of red carpet interviews and behind the scenes footage, followed by a special advanced screening of </w:t>
      </w:r>
      <w:r>
        <w:rPr>
          <w:rFonts w:ascii="Times New Roman;serif" w:hAnsi="Times New Roman;serif"/>
          <w:b w:val="false"/>
          <w:i/>
          <w:sz w:val="20"/>
        </w:rPr>
        <w:t>Creed III</w:t>
      </w:r>
      <w:r>
        <w:rPr>
          <w:rFonts w:ascii="Times New Roman;serif" w:hAnsi="Times New Roman;serif"/>
          <w:b w:val="false"/>
          <w:sz w:val="20"/>
        </w:rPr>
        <w:t xml:space="preserve">, which was later released across the IMAX global network. The Company also partnered with CBS and Paramount+ for an early screening of the last two episodes of the third and final season of </w:t>
      </w:r>
      <w:r>
        <w:rPr>
          <w:rFonts w:ascii="Times New Roman;serif" w:hAnsi="Times New Roman;serif"/>
          <w:b w:val="false"/>
          <w:i/>
          <w:sz w:val="20"/>
        </w:rPr>
        <w:t>Picard</w:t>
      </w:r>
      <w:r>
        <w:rPr>
          <w:rFonts w:ascii="Times New Roman;serif" w:hAnsi="Times New Roman;serif"/>
          <w:b w:val="false"/>
          <w:sz w:val="20"/>
        </w:rPr>
        <w:t>, followed by a Q&amp;A with members of the cast and crew live from Los Angeles, among various other live events and special screenings presented throughout 2023.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provides film post-production services for large-format films, whether produced by IMAX or third parties, and digital post-production services. In addition, the Company also provides IMAX film and digital cameras to content creators under the IMAX certified camera program.</w:t>
      </w:r>
    </w:p>
    <w:p>
      <w:pPr>
        <w:pStyle w:val="TextBody"/>
        <w:bidi w:val="0"/>
        <w:spacing w:before="200" w:after="0"/>
        <w:jc w:val="both"/>
        <w:rPr>
          <w:rFonts w:ascii="Times New Roman;serif" w:hAnsi="Times New Roman;serif"/>
          <w:b/>
          <w:sz w:val="20"/>
        </w:rPr>
      </w:pPr>
      <w:r>
        <w:rPr>
          <w:rFonts w:ascii="Times New Roman;serif" w:hAnsi="Times New Roman;serif"/>
          <w:b/>
          <w:sz w:val="20"/>
        </w:rPr>
        <w:t>Technology Products and Services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Technology Product and Services segment earns revenue principally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pStyle w:val="TextBody"/>
        <w:bidi w:val="0"/>
        <w:spacing w:before="200" w:after="0"/>
        <w:jc w:val="both"/>
        <w:rPr>
          <w:rFonts w:ascii="Times New Roman" w:hAnsi="Times New Roman"/>
          <w:sz w:val="20"/>
        </w:rPr>
      </w:pPr>
      <w:r>
        <w:rPr>
          <w:rFonts w:ascii="Times New Roman;serif" w:hAnsi="Times New Roman;serif"/>
          <w:b w:val="false"/>
          <w:i/>
          <w:sz w:val="20"/>
        </w:rPr>
        <w:t>Sales and Sales-Type Lease Arrangements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sale arrangements, title to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Joint Revenue Sharing Arrangements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Joint revenue sharing arrangements have been an important factor in the expansion of the Company’s commercial theater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June 30, 2023, the Company had 907 locations under joint revenue sharing arrangements in its global commercial multiplex network. The Company also had contracts in backlog for 303 systems under joint revenue sharing arrangements as of June 30, 2023, including 76 upgrades to existing locations and 227 new locations.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Maintenance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pStyle w:val="TextBody"/>
        <w:bidi w:val="0"/>
        <w:spacing w:before="200" w:after="0"/>
        <w:jc w:val="both"/>
        <w:rPr>
          <w:rFonts w:ascii="Times New Roman;serif" w:hAnsi="Times New Roman;serif"/>
          <w:b/>
          <w:sz w:val="20"/>
        </w:rPr>
      </w:pPr>
      <w:r>
        <w:rPr>
          <w:rFonts w:ascii="Times New Roman;serif" w:hAnsi="Times New Roman;serif"/>
          <w:b/>
          <w:sz w:val="20"/>
        </w:rPr>
        <w:t>All Other</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Enhanced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IMAX Enhanced is a solution, made in partnership with audio leader DTS (an Xperi subsidiary), to bring </w:t>
      </w:r>
      <w:r>
        <w:rPr>
          <w:rFonts w:ascii="Times New Roman;serif" w:hAnsi="Times New Roman;serif"/>
          <w:b w:val="false"/>
          <w:i/>
          <w:sz w:val="20"/>
        </w:rPr>
        <w:t>The</w:t>
      </w:r>
      <w:r>
        <w:rPr>
          <w:rFonts w:ascii="Times New Roman" w:hAnsi="Times New Roman"/>
          <w:sz w:val="20"/>
        </w:rPr>
        <w:t xml:space="preserv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into the home. IMAX Enhanced provides end-to-end premium technology across streaming content and best-in-class entertainment devices, offering consumers high-fidelity playback of image and sound in the home and beyond, including the following features: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IMAX’s expanded aspect ratio, which is available on select titles and streaming platforms, including Disney+;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IMAX’s proprietary remastering technology, which produces more vivid, higher-fidelity 4K HDR images on premium televisions; and</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IMAX Signature Sound, which is specially recreated and calibrated for the home by DTS to unlock more immersive audio.</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their products 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of IMAX and DTS engineers, along with some of Hollywood’s leading technical specialists.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At present, certified global device partners include Sony Electronics, Hisense, TCL, LG, Phillips, Hewlett Packard, Xiaomi, Sound United and Honor, among others. As of June 30, 2023, more than 250 IMAX Enhanced titles have been released across five of the biggest streaming platforms worldwide: Disney+, Sony Bravia CORE, Tencent Video, iQiyi and Rakuten TV. Over 10 million IMAX Enhanced certified devices are estimated to be in the market today.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the Company’s collaboration with Disney allows fans to stream 19 Disney titles in IMAX’s Expanded Aspect Ratio at home on Disney+, primarily including content created by Marvel Studios, a division of Walt Disney Studios. The launch of IMAX Enhanced on Disney+ provides strong brand exposure for IMAX by expanding the Company’s in-home entertainment footprint to Disney+ and the majority of its 158 million global subscribers. In 2023, IMAX Enhanced is expected to enable an elevated end-to-end experience on Disney+, with IMAX Signature Sound coming to subscribers with IMAX Enhanced certified devices.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IMAX Enhanced is part of the Company’s next evolutionary step to extend the IMAX brand and technology further into new use cases, including streaming entertainment and the consumer electronics market.</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SSIMWAVE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September 2022, the Company acquired SSIMWAVE, a leader in AI-driven video quality solutions for media and entertainment companies. Following the acquisition, SSIMWAVE became a wholly-owned subsidiary of the Company. SSIMWAVE provides perceptual quality measurement and optimization solutions based on artificial intelligence technologies for leading media and entertainment companies. The acquisition of SSIMWAVE marks a significant expansion of the Company’s strategy to deliver the highest quality video images on any screen—to drive new, recurring revenue and grow its global leadership in entertainment technology.</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Other</w:t>
      </w:r>
    </w:p>
    <w:p>
      <w:pPr>
        <w:pStyle w:val="TextBody"/>
        <w:bidi w:val="0"/>
        <w:spacing w:before="200" w:after="0"/>
        <w:jc w:val="both"/>
        <w:rPr>
          <w:rFonts w:ascii="Times New Roman" w:hAnsi="Times New Roman"/>
          <w:sz w:val="20"/>
        </w:rPr>
      </w:pPr>
      <w:r>
        <w:rPr>
          <w:rFonts w:ascii="Times New Roman;serif" w:hAnsi="Times New Roman;serif"/>
          <w:b w:val="false"/>
          <w:sz w:val="20"/>
        </w:rPr>
        <w:t>All Other includes revenues from the following sources: one owned and operated IMAX theater in Sacramento, California; a commercial arrangement with one theater resulting in the sharing of profits and losses; providing management services to three other theaters; and offering production advice and technical assistance to both documentary and Hollywood filmmakers.</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IMAX NETWORK AND BACKLOG</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IMAX Network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IMAX network by type and geographic location as of June 30, 2023 and 2022:</w:t>
      </w:r>
    </w:p>
    <w:p>
      <w:pPr>
        <w:pStyle w:val="TextBody"/>
        <w:bidi w:val="0"/>
        <w:spacing w:before="0" w:after="0"/>
        <w:jc w:val="left"/>
        <w:rPr/>
      </w:pPr>
      <w:r>
        <w:rPr/>
        <w:t> </w:t>
      </w:r>
    </w:p>
    <w:tbl>
      <w:tblPr>
        <w:tblW w:w="10621" w:type="dxa"/>
        <w:jc w:val="left"/>
        <w:tblInd w:w="0" w:type="dxa"/>
        <w:tblLayout w:type="fixed"/>
        <w:tblCellMar>
          <w:top w:w="28" w:type="dxa"/>
          <w:left w:w="28" w:type="dxa"/>
          <w:bottom w:w="28" w:type="dxa"/>
          <w:right w:w="28" w:type="dxa"/>
        </w:tblCellMar>
      </w:tblPr>
      <w:tblGrid>
        <w:gridCol w:w="1006"/>
        <w:gridCol w:w="201"/>
        <w:gridCol w:w="790"/>
        <w:gridCol w:w="146"/>
        <w:gridCol w:w="146"/>
        <w:gridCol w:w="294"/>
        <w:gridCol w:w="697"/>
        <w:gridCol w:w="146"/>
        <w:gridCol w:w="146"/>
        <w:gridCol w:w="313"/>
        <w:gridCol w:w="678"/>
        <w:gridCol w:w="146"/>
        <w:gridCol w:w="146"/>
        <w:gridCol w:w="146"/>
        <w:gridCol w:w="571"/>
        <w:gridCol w:w="146"/>
        <w:gridCol w:w="146"/>
        <w:gridCol w:w="201"/>
        <w:gridCol w:w="790"/>
        <w:gridCol w:w="146"/>
        <w:gridCol w:w="146"/>
        <w:gridCol w:w="294"/>
        <w:gridCol w:w="697"/>
        <w:gridCol w:w="146"/>
        <w:gridCol w:w="146"/>
        <w:gridCol w:w="313"/>
        <w:gridCol w:w="678"/>
        <w:gridCol w:w="146"/>
        <w:gridCol w:w="146"/>
        <w:gridCol w:w="146"/>
        <w:gridCol w:w="571"/>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center"/>
              <w:rPr/>
            </w:pPr>
            <w:r>
              <w:rPr/>
              <w:t> </w:t>
            </w:r>
          </w:p>
        </w:tc>
        <w:tc>
          <w:tcPr>
            <w:tcW w:w="456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6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br/>
              <w:t>Multiplex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br/>
              <w:t>Destination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Institutional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br/>
              <w:t>Multiplex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br/>
              <w:t>Destination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Institutional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Greater China</w:t>
            </w:r>
            <w:r>
              <w:rPr>
                <w:rFonts w:ascii="Times New Roman;serif" w:hAnsi="Times New Roman;serif"/>
                <w:b w:val="false"/>
                <w:sz w:val="13"/>
              </w:rPr>
              <w:t>(1)</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Western Europe</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Latin America</w:t>
            </w:r>
            <w:r>
              <w:rPr>
                <w:rFonts w:ascii="Times New Roman;serif" w:hAnsi="Times New Roman;serif"/>
                <w:b w:val="false"/>
                <w:sz w:val="13"/>
              </w:rPr>
              <w:t>(2)</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w:t>
            </w:r>
            <w:r>
              <w:rPr>
                <w:rFonts w:ascii="Times New Roman;serif" w:hAnsi="Times New Roman;serif"/>
                <w:b w:val="false"/>
                <w:sz w:val="13"/>
              </w:rPr>
              <w:t>(3)</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Greater China includes China, Hong Kong, Taiwan and Macau.</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Latin America includes South America, Central America and Mexico.</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Period-to-period changes in the table above are reported net of the effect of permanently closed locations.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currently believes that over time its commercial multiplex network could grow to over 3,300 IMAX Systems worldwide from 1,638 as of June 30, 2023. The Company believes that the majority of its future growth will come from international markets. As of June 30, 2023,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 Item 1A of the Company’s 2022 Form 10-K.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In the six months ended June 30, 2023 the Company’s revenue generated from its Greater China operations represents 25% of consolidated revenue</w:t>
      </w:r>
      <w:r>
        <w:rPr>
          <w:rFonts w:ascii="Calibri;sans-serif" w:hAnsi="Calibri;sans-serif"/>
          <w:b w:val="false"/>
          <w:sz w:val="22"/>
        </w:rPr>
        <w:t xml:space="preserve">. </w:t>
      </w:r>
      <w:r>
        <w:rPr>
          <w:rFonts w:ascii="Times New Roman;serif" w:hAnsi="Times New Roman;serif"/>
          <w:b w:val="false"/>
          <w:sz w:val="20"/>
        </w:rPr>
        <w:t>As of June 30, 2023, the Company had 795 IMAX Systems operating in Greater China with an additional 197 systems in backlog. The Company has a partnership in China with Wanda Film (“Wanda”). As of June 30, 2023, through the Company’s partnership with Wanda, there were 377 IMAX Systems operational in Greater China of which 363 are under the parties’ joint revenue sharing arrangements.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the six months ended June 30, 2023, the IMAX network generated over $114.4 million in box office from local language films, representing approximately 21% of the Company’s total box office in the first half. This year’s first half included the highest grossing Chinese New Year holiday and highest grossing local language title (</w:t>
      </w:r>
      <w:r>
        <w:rPr>
          <w:rFonts w:ascii="Times New Roman;serif" w:hAnsi="Times New Roman;serif"/>
          <w:b w:val="false"/>
          <w:i/>
          <w:sz w:val="20"/>
        </w:rPr>
        <w:t>Wandering Earth 2</w:t>
      </w:r>
      <w:r>
        <w:rPr>
          <w:rFonts w:ascii="Times New Roman;serif" w:hAnsi="Times New Roman;serif"/>
          <w:b w:val="false"/>
          <w:sz w:val="20"/>
        </w:rPr>
        <w:t xml:space="preserve">) in the Company’s history. The Company is also seeing its local language films increasingly generate significant IMAX box office in markets outside of those in which they are released, such as the Japanese films </w:t>
      </w:r>
      <w:r>
        <w:rPr>
          <w:rFonts w:ascii="Times New Roman;serif" w:hAnsi="Times New Roman;serif"/>
          <w:b w:val="false"/>
          <w:i/>
          <w:sz w:val="20"/>
        </w:rPr>
        <w:t xml:space="preserve">Suzume </w:t>
      </w:r>
      <w:r>
        <w:rPr>
          <w:rFonts w:ascii="Times New Roman;serif" w:hAnsi="Times New Roman;serif"/>
          <w:b w:val="false"/>
          <w:sz w:val="20"/>
        </w:rPr>
        <w:t xml:space="preserve">and </w:t>
      </w:r>
      <w:r>
        <w:rPr>
          <w:rFonts w:ascii="Times New Roman;serif" w:hAnsi="Times New Roman;serif"/>
          <w:b w:val="false"/>
          <w:i/>
          <w:sz w:val="20"/>
        </w:rPr>
        <w:t>The First Slam Dunk.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(See “Risk Factors – The Company faces risks in connection with its significant presence in China and the continued expansion of its business there” in Part II. Item 1A. of this Form 10-Q and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 of the Company’s 2022 Form 10-K.)</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tables provide detailed information about the Company’s global commercial multiplex network by arrangement type and geographic location as of June 30, 2023 and 2022:</w:t>
      </w:r>
    </w:p>
    <w:tbl>
      <w:tblPr>
        <w:tblW w:w="8397" w:type="dxa"/>
        <w:jc w:val="left"/>
        <w:tblInd w:w="0" w:type="dxa"/>
        <w:tblLayout w:type="fixed"/>
        <w:tblCellMar>
          <w:top w:w="28" w:type="dxa"/>
          <w:left w:w="28" w:type="dxa"/>
          <w:bottom w:w="28" w:type="dxa"/>
          <w:right w:w="28" w:type="dxa"/>
        </w:tblCellMar>
      </w:tblPr>
      <w:tblGrid>
        <w:gridCol w:w="3466"/>
        <w:gridCol w:w="146"/>
        <w:gridCol w:w="239"/>
        <w:gridCol w:w="692"/>
        <w:gridCol w:w="169"/>
        <w:gridCol w:w="169"/>
        <w:gridCol w:w="169"/>
        <w:gridCol w:w="488"/>
        <w:gridCol w:w="169"/>
        <w:gridCol w:w="169"/>
        <w:gridCol w:w="247"/>
        <w:gridCol w:w="713"/>
        <w:gridCol w:w="169"/>
        <w:gridCol w:w="169"/>
        <w:gridCol w:w="169"/>
        <w:gridCol w:w="663"/>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 Multiplex Locations in IMAX Network</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8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pPr>
            <w:r>
              <w:rPr/>
              <w:t>—</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Worldwide Total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9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48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24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1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6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83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 Multiplex Locations in IMAX Network</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8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pPr>
            <w:r>
              <w:rPr/>
              <w:t>—</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69"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Worldwide Total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9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48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1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6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1,610</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Period-to-period changes in the tables above are reported net of the effect of permanently closed systems.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Backlog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Company’s backlog as of June 30, 2023 and 2022:</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086"/>
        <w:gridCol w:w="146"/>
        <w:gridCol w:w="376"/>
        <w:gridCol w:w="146"/>
        <w:gridCol w:w="146"/>
        <w:gridCol w:w="248"/>
        <w:gridCol w:w="488"/>
        <w:gridCol w:w="146"/>
        <w:gridCol w:w="146"/>
        <w:gridCol w:w="196"/>
        <w:gridCol w:w="691"/>
        <w:gridCol w:w="146"/>
        <w:gridCol w:w="146"/>
        <w:gridCol w:w="196"/>
        <w:gridCol w:w="601"/>
        <w:gridCol w:w="146"/>
        <w:gridCol w:w="146"/>
        <w:gridCol w:w="146"/>
        <w:gridCol w:w="376"/>
        <w:gridCol w:w="146"/>
        <w:gridCol w:w="146"/>
        <w:gridCol w:w="205"/>
        <w:gridCol w:w="531"/>
        <w:gridCol w:w="146"/>
        <w:gridCol w:w="146"/>
        <w:gridCol w:w="196"/>
        <w:gridCol w:w="691"/>
        <w:gridCol w:w="146"/>
        <w:gridCol w:w="146"/>
        <w:gridCol w:w="196"/>
        <w:gridCol w:w="60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381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1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55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76"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76" w:type="dxa"/>
            <w:gridSpan w:val="6"/>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55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number of systems)</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and sales-type lease arrangements</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11,402</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Hybrid JRSA</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4,785</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Traditional JRSA</w:t>
            </w:r>
            <w:r>
              <w:rPr>
                <w:rFonts w:ascii="Times New Roman;serif" w:hAnsi="Times New Roman;serif"/>
                <w:b w:val="false"/>
                <w:sz w:val="11"/>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272,558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Includes 38 IMAX Systems (2022 — 43)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consideration owed under traditional joint revenue sharing arrangements is typically a percentage of contingent box office receipts rather than requiring the customer to pay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pStyle w:val="TextBody"/>
        <w:bidi w:val="0"/>
        <w:spacing w:before="200" w:after="0"/>
        <w:jc w:val="both"/>
        <w:rPr>
          <w:rFonts w:ascii="Times New Roman" w:hAnsi="Times New Roman"/>
          <w:sz w:val="20"/>
        </w:rPr>
      </w:pPr>
      <w:r>
        <w:rPr>
          <w:rFonts w:ascii="Times New Roman;serif" w:hAnsi="Times New Roman;serif"/>
          <w:b w:val="false"/>
          <w:sz w:val="20"/>
        </w:rPr>
        <w:t>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provide detailed information about the Company’s backlog by arrangement type and geographic location as of June 30, 2023 and 2022:</w:t>
      </w:r>
    </w:p>
    <w:p>
      <w:pPr>
        <w:pStyle w:val="TextBody"/>
        <w:bidi w:val="0"/>
        <w:spacing w:before="0" w:after="0"/>
        <w:jc w:val="both"/>
        <w:rPr/>
      </w:pPr>
      <w:r>
        <w:rPr/>
        <w:t> </w:t>
      </w:r>
    </w:p>
    <w:tbl>
      <w:tblPr>
        <w:tblW w:w="8114" w:type="dxa"/>
        <w:jc w:val="left"/>
        <w:tblInd w:w="0" w:type="dxa"/>
        <w:tblLayout w:type="fixed"/>
        <w:tblCellMar>
          <w:top w:w="28" w:type="dxa"/>
          <w:left w:w="28" w:type="dxa"/>
          <w:bottom w:w="28" w:type="dxa"/>
          <w:right w:w="28" w:type="dxa"/>
        </w:tblCellMar>
      </w:tblPr>
      <w:tblGrid>
        <w:gridCol w:w="3466"/>
        <w:gridCol w:w="146"/>
        <w:gridCol w:w="239"/>
        <w:gridCol w:w="692"/>
        <w:gridCol w:w="146"/>
        <w:gridCol w:w="146"/>
        <w:gridCol w:w="162"/>
        <w:gridCol w:w="469"/>
        <w:gridCol w:w="146"/>
        <w:gridCol w:w="146"/>
        <w:gridCol w:w="246"/>
        <w:gridCol w:w="714"/>
        <w:gridCol w:w="146"/>
        <w:gridCol w:w="146"/>
        <w:gridCol w:w="146"/>
        <w:gridCol w:w="421"/>
        <w:gridCol w:w="146"/>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6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6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IMAX System Backlog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 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(1)</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6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6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IMAX System Backlog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 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r>
    </w:tbl>
    <w:p>
      <w:pPr>
        <w:pStyle w:val="TextBody"/>
        <w:pBdr>
          <w:bottom w:val="single" w:sz="4" w:space="1" w:color="000000"/>
        </w:pBdr>
        <w:bidi w:val="0"/>
        <w:spacing w:before="0" w:after="0"/>
        <w:jc w:val="both"/>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Includes 339 IMAX Laser Systems (247 new and 92 upgrades of existing locations).</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Includes 312 IMAX Laser Systems (201 new and 111 upgrades of existing locations).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Approximately 36% of IMAX System arrangements in backlog as of June 30, 2023 are scheduled to be installed in international markets excluding Greater China (2022 — 31%). The Company's backlog in Greater China represents 40% of its total current backlog including upgrades in system type (2022 — 42%).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Signings and Installations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provide detailed information about IMAX System signings and installations for the three and six months ended June 30, 2023 and 2022:</w:t>
      </w:r>
    </w:p>
    <w:p>
      <w:pPr>
        <w:pStyle w:val="TextBody"/>
        <w:bidi w:val="0"/>
        <w:spacing w:before="0" w:after="0"/>
        <w:jc w:val="both"/>
        <w:rPr/>
      </w:pPr>
      <w:r>
        <w:rPr/>
        <w:t> </w:t>
      </w:r>
    </w:p>
    <w:tbl>
      <w:tblPr>
        <w:tblW w:w="8106" w:type="dxa"/>
        <w:jc w:val="left"/>
        <w:tblInd w:w="0" w:type="dxa"/>
        <w:tblLayout w:type="fixed"/>
        <w:tblCellMar>
          <w:top w:w="28" w:type="dxa"/>
          <w:left w:w="28" w:type="dxa"/>
          <w:bottom w:w="28" w:type="dxa"/>
          <w:right w:w="28" w:type="dxa"/>
        </w:tblCellMar>
      </w:tblPr>
      <w:tblGrid>
        <w:gridCol w:w="3241"/>
        <w:gridCol w:w="250"/>
        <w:gridCol w:w="594"/>
        <w:gridCol w:w="250"/>
        <w:gridCol w:w="250"/>
        <w:gridCol w:w="250"/>
        <w:gridCol w:w="594"/>
        <w:gridCol w:w="146"/>
        <w:gridCol w:w="146"/>
        <w:gridCol w:w="233"/>
        <w:gridCol w:w="555"/>
        <w:gridCol w:w="233"/>
        <w:gridCol w:w="233"/>
        <w:gridCol w:w="233"/>
        <w:gridCol w:w="507"/>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left"/>
              <w:rPr/>
            </w:pPr>
            <w:r>
              <w:rPr/>
              <w:t> </w:t>
            </w:r>
          </w:p>
        </w:tc>
        <w:tc>
          <w:tcPr>
            <w:tcW w:w="218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21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System Signings:</w:t>
            </w:r>
          </w:p>
        </w:tc>
        <w:tc>
          <w:tcPr>
            <w:tcW w:w="844" w:type="dxa"/>
            <w:gridSpan w:val="2"/>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844" w:type="dxa"/>
            <w:gridSpan w:val="2"/>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100"/>
              <w:jc w:val="center"/>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Hybrid JRSA</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Upgrades of IMAX Systems</w:t>
            </w:r>
          </w:p>
        </w:tc>
        <w:tc>
          <w:tcPr>
            <w:tcW w:w="844" w:type="dxa"/>
            <w:gridSpan w:val="2"/>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upgrades of IMAX Systems</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IMAX System signings</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218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w:t>
            </w:r>
          </w:p>
        </w:tc>
        <w:tc>
          <w:tcPr>
            <w:tcW w:w="39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21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System Installations:</w:t>
            </w:r>
          </w:p>
        </w:tc>
        <w:tc>
          <w:tcPr>
            <w:tcW w:w="844" w:type="dxa"/>
            <w:gridSpan w:val="2"/>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844" w:type="dxa"/>
            <w:gridSpan w:val="2"/>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Hybrid JRSA</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Upgrades of IMAX Systems</w:t>
            </w:r>
          </w:p>
        </w:tc>
        <w:tc>
          <w:tcPr>
            <w:tcW w:w="844" w:type="dxa"/>
            <w:gridSpan w:val="2"/>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4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upgrades of IMAX Systems</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IMAX System installations</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pPr>
      <w:r>
        <w:rPr/>
        <w:t> </w:t>
      </w:r>
    </w:p>
    <w:p>
      <w:pPr>
        <w:pStyle w:val="TextBody"/>
        <w:bidi w:val="0"/>
        <w:spacing w:before="200" w:after="0"/>
        <w:jc w:val="both"/>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 Company’s business and future prospects are evaluated by Richard L. Gelfond, its Chief Executive Officer (“CEO”), using a variety of factors and financial and operational metrics including: (i) IMAX box office performance and the securing of new IMAX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including the integration and performance of SSIMWAVE, the distribution of live events to the IMAX network and IMAX Enhanced,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 xml:space="preserve">versus other out-of-home experiences; (vii) the overall execution, reliability, and consumer acceptance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20"/>
        </w:rPr>
        <w:t>; and (viii) short- and long-term cash flow projections.</w:t>
      </w:r>
    </w:p>
    <w:p>
      <w:pPr>
        <w:pStyle w:val="TextBody"/>
        <w:bidi w:val="0"/>
        <w:spacing w:before="200" w:after="0"/>
        <w:jc w:val="both"/>
        <w:rPr>
          <w:rFonts w:ascii="Times New Roman" w:hAnsi="Times New Roman"/>
          <w:sz w:val="20"/>
        </w:rPr>
      </w:pPr>
      <w:r>
        <w:rPr>
          <w:rFonts w:ascii="Times New Roman;serif" w:hAnsi="Times New Roman;serif"/>
          <w:b w:val="false"/>
          <w:sz w:val="20"/>
        </w:rPr>
        <w:t>The CEO is the Company’s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 (See Note 13 of Notes to Condensed Consolidated Financial Statements in Part I, Item 1.)</w:t>
      </w:r>
    </w:p>
    <w:p>
      <w:pPr>
        <w:pStyle w:val="TextBody"/>
        <w:bidi w:val="0"/>
        <w:spacing w:before="200" w:after="0"/>
        <w:jc w:val="both"/>
        <w:rPr>
          <w:rFonts w:ascii="Times New Roman;serif" w:hAnsi="Times New Roman;serif"/>
          <w:b/>
          <w:sz w:val="20"/>
        </w:rPr>
      </w:pPr>
      <w:r>
        <w:rPr>
          <w:rFonts w:ascii="Times New Roman;serif" w:hAnsi="Times New Roman;serif"/>
          <w:b/>
          <w:sz w:val="20"/>
        </w:rPr>
        <w:t>Results of Operations for the Three Months Ended June 30, 2023 and 2022</w:t>
      </w:r>
    </w:p>
    <w:p>
      <w:pPr>
        <w:pStyle w:val="TextBody"/>
        <w:bidi w:val="0"/>
        <w:spacing w:before="200" w:after="0"/>
        <w:jc w:val="both"/>
        <w:rPr>
          <w:rFonts w:ascii="Times New Roman;serif" w:hAnsi="Times New Roman;serif"/>
          <w:b/>
          <w:i/>
          <w:sz w:val="20"/>
        </w:rPr>
      </w:pPr>
      <w:r>
        <w:rPr>
          <w:rFonts w:ascii="Times New Roman;serif" w:hAnsi="Times New Roman;serif"/>
          <w:b/>
          <w:i/>
          <w:sz w:val="20"/>
        </w:rPr>
        <w:t>Net Income (Loss) and Adjusted Net Income Attributable to Common Shareholders</w:t>
      </w:r>
    </w:p>
    <w:p>
      <w:pPr>
        <w:pStyle w:val="TextBody"/>
        <w:bidi w:val="0"/>
        <w:spacing w:before="200" w:after="200"/>
        <w:jc w:val="both"/>
        <w:rPr>
          <w:rFonts w:ascii="Times New Roman" w:hAnsi="Times New Roman"/>
          <w:sz w:val="20"/>
        </w:rPr>
      </w:pPr>
      <w:r>
        <w:rPr>
          <w:rFonts w:ascii="Times New Roman;serif" w:hAnsi="Times New Roman;serif"/>
          <w:b w:val="false"/>
          <w:sz w:val="20"/>
        </w:rPr>
        <w:t>The following table presents the Company’s net income (loss) attributable to common shareholders and the associated per diluted share amounts, as well as adjusted net income attributable to common shareholders</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and adjusted net income attributable to common shareholders per diluted share</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for the three months ended June 30, 2023 and 2022:</w:t>
      </w:r>
    </w:p>
    <w:tbl>
      <w:tblPr>
        <w:tblW w:w="10205" w:type="dxa"/>
        <w:jc w:val="left"/>
        <w:tblInd w:w="0" w:type="dxa"/>
        <w:tblLayout w:type="fixed"/>
        <w:tblCellMar>
          <w:top w:w="28" w:type="dxa"/>
          <w:left w:w="28" w:type="dxa"/>
          <w:bottom w:w="28" w:type="dxa"/>
          <w:right w:w="28" w:type="dxa"/>
        </w:tblCellMar>
      </w:tblPr>
      <w:tblGrid>
        <w:gridCol w:w="4607"/>
        <w:gridCol w:w="146"/>
        <w:gridCol w:w="220"/>
        <w:gridCol w:w="705"/>
        <w:gridCol w:w="146"/>
        <w:gridCol w:w="146"/>
        <w:gridCol w:w="146"/>
        <w:gridCol w:w="252"/>
        <w:gridCol w:w="557"/>
        <w:gridCol w:w="146"/>
        <w:gridCol w:w="146"/>
        <w:gridCol w:w="146"/>
        <w:gridCol w:w="339"/>
        <w:gridCol w:w="1015"/>
        <w:gridCol w:w="166"/>
        <w:gridCol w:w="146"/>
        <w:gridCol w:w="146"/>
        <w:gridCol w:w="233"/>
        <w:gridCol w:w="582"/>
        <w:gridCol w:w="215"/>
      </w:tblGrid>
      <w:tr>
        <w:trPr/>
        <w:tc>
          <w:tcPr>
            <w:tcW w:w="4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6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7"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27"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7"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per diluted share amounts)</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(Loss)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Adjusted net income attributable to common shareholders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(1) See “Non-GAAP Financial Measures” for a description of this non-GAAP financial measure and a reconciliation to the most comparable GAAP amount.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Revenues and Gross Margin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During the three months ended June 30, 2023, the Company’s revenues and gross margin increased by $24.0 million, or 32%, and $13.9 million, or 31%, respectively, when compared to same period in 2022 principally due to increased system sales in the current period, as well as the strength of IMAX GBO performance through the distribution of films such as </w:t>
      </w:r>
      <w:r>
        <w:rPr>
          <w:rFonts w:ascii="Times New Roman;serif" w:hAnsi="Times New Roman;serif"/>
          <w:b w:val="false"/>
          <w:i/>
          <w:sz w:val="20"/>
        </w:rPr>
        <w:t>The Super Mario Bros. Movie</w:t>
      </w:r>
      <w:r>
        <w:rPr>
          <w:rFonts w:ascii="Times New Roman;serif" w:hAnsi="Times New Roman;serif"/>
          <w:b w:val="false"/>
          <w:sz w:val="20"/>
        </w:rPr>
        <w:t xml:space="preserve">, </w:t>
      </w:r>
      <w:r>
        <w:rPr>
          <w:rFonts w:ascii="Times New Roman;serif" w:hAnsi="Times New Roman;serif"/>
          <w:b w:val="false"/>
          <w:i/>
          <w:sz w:val="20"/>
        </w:rPr>
        <w:t>Guardians of the Galaxy Vol. 3</w:t>
      </w:r>
      <w:r>
        <w:rPr>
          <w:rFonts w:ascii="Times New Roman;serif" w:hAnsi="Times New Roman;serif"/>
          <w:b w:val="false"/>
          <w:sz w:val="20"/>
        </w:rPr>
        <w:t xml:space="preserve">, and </w:t>
      </w:r>
      <w:r>
        <w:rPr>
          <w:rFonts w:ascii="Times New Roman;serif" w:hAnsi="Times New Roman;serif"/>
          <w:b w:val="false"/>
          <w:i/>
          <w:sz w:val="20"/>
        </w:rPr>
        <w:t>Fast X.</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gross margin and gross margin percentage by reportable segment for the three months ended June 30, 2023 and 2022:</w:t>
      </w:r>
    </w:p>
    <w:tbl>
      <w:tblPr>
        <w:tblW w:w="9152"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76"/>
        <w:gridCol w:w="146"/>
        <w:gridCol w:w="146"/>
        <w:gridCol w:w="211"/>
        <w:gridCol w:w="676"/>
        <w:gridCol w:w="146"/>
        <w:gridCol w:w="146"/>
        <w:gridCol w:w="485"/>
        <w:gridCol w:w="147"/>
        <w:gridCol w:w="732"/>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7" w:type="dxa"/>
            <w:tcBorders/>
            <w:vAlign w:val="center"/>
          </w:tcPr>
          <w:p>
            <w:pPr>
              <w:pStyle w:val="TableContents"/>
              <w:bidi w:val="0"/>
              <w:spacing w:before="0" w:after="0"/>
              <w:ind w:left="0" w:right="0" w:hanging="0"/>
              <w:jc w:val="righ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7" w:type="dxa"/>
            <w:tcBorders/>
            <w:vAlign w:val="center"/>
          </w:tcPr>
          <w:p>
            <w:pPr>
              <w:pStyle w:val="TableContents"/>
              <w:bidi w:val="0"/>
              <w:spacing w:before="0" w:after="0"/>
              <w:ind w:left="0" w:right="0" w:hanging="0"/>
              <w:jc w:val="right"/>
              <w:rPr/>
            </w:pPr>
            <w:r>
              <w:rPr/>
              <w:t> </w:t>
            </w:r>
          </w:p>
        </w:tc>
        <w:tc>
          <w:tcPr>
            <w:tcW w:w="732"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60%</w:t>
            </w:r>
          </w:p>
        </w:tc>
      </w:tr>
      <w:tr>
        <w:trPr/>
        <w:tc>
          <w:tcPr>
            <w:tcW w:w="29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95,266</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72,401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56,407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43,063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73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29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All Other includes the results from IMAX Enhanced, SSIMWAVE, and other ancillary activities.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Content Solutions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the three months ended June 30, 2023, Content Solutions segment revenues and gross margin increased by $1.7 million, or 6%, and $2.6 million, or 15%, respectively, when compared to the same period in 2022 principally due to the strong performance of the films distributed through the IMAX network. In the second quarter of 2023, box office generated by IMAX films totaled $268.3 million, a $20.6 million, or 8%, increase versus the prior year comparative period of $247.7 million. In the second quarter of 2023, box office was generated by the exhibition of 23 films (17 new films and 6 carryovers) including </w:t>
      </w:r>
      <w:r>
        <w:rPr>
          <w:rFonts w:ascii="Times New Roman;serif" w:hAnsi="Times New Roman;serif"/>
          <w:b w:val="false"/>
          <w:i/>
          <w:sz w:val="20"/>
        </w:rPr>
        <w:t>The Super Mario Bro. Movie</w:t>
      </w:r>
      <w:r>
        <w:rPr>
          <w:rFonts w:ascii="Times New Roman;serif" w:hAnsi="Times New Roman;serif"/>
          <w:b w:val="false"/>
          <w:sz w:val="20"/>
        </w:rPr>
        <w:t>, which generated box office of $49.8 million, and other content. In the second quarter of 2022, box office was generated by the exhibition of 18 films (13 new films and 5 carryovers) and other content. Despite accounting for approximately 1% of all domestic screens and less than 1% of all screens globally, the IMAX network had a domestic market share of 4.2% and a global market share of 3.2% for the three months ended June 30, 2023.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to the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three months ended June 30, 2023, marketing expenses for films were $3.6 million, as compared to $4.2 million during the same period in 2022. The costs incurred to operate the IMAX connected network, including infrastructure costs, depreciation expense and network connection fees were $1.4 million (2022 — $0.2 million), an increase over the prior year comparative period of $1.2 million resulting from the growth of the IMAX connected network to 262 systems (2022 — 80 systems).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Technology Products and Services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newly built theaters or multiplexes, which make up a large portion of the Company’s system backlog, depends primarily on the timing of the construction of those projects, which is not under the Company’s control.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months ended June 30, 2023, Technology Products and Services segment revenue and gross margin increased by $21.1 million, or 49%, and $10.7 million, or 42%, respectively, when compared to the same period in the prior year. The higher level of revenue is primarily driven by an increase of $10.7 million in system sales revenue as a result of eight additional IMAX System installations, including upgrades, and an increase of $9.2 million in system sales revenue from the impact of amendments and renewals to existing IMAX System arrangements.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Also contributing to the higher level of revenue was an increase of $1.0 million in rental revenues, as a result of GBO from joint revenue sharing arrangements which increased by $12.6 million or 10% in the second quarter of 2023 when compared to the prior year comparative period, from $125.2 million to $137.8 million.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Technology Products and Services segment gross margin increase during the three months ended June 30, 2023 is primarily due to a higher number of IMAX System installations, as well as amendments and renewals of IMAX Systems arrangements which led to incremental profit flow-through during the quarter.</w:t>
      </w:r>
    </w:p>
    <w:p>
      <w:pPr>
        <w:pStyle w:val="TextBody"/>
        <w:bidi w:val="0"/>
        <w:spacing w:before="200" w:after="0"/>
        <w:jc w:val="both"/>
        <w:rPr>
          <w:rFonts w:ascii="Times New Roman" w:hAnsi="Times New Roman"/>
          <w:sz w:val="20"/>
        </w:rPr>
      </w:pPr>
      <w:r>
        <w:rPr>
          <w:rFonts w:ascii="Times New Roman;serif" w:hAnsi="Times New Roman;serif"/>
          <w:b w:val="false"/>
          <w:sz w:val="20"/>
        </w:rPr>
        <w:t>The following table provides information about IMAX Systems installed and the associated revenue recognized at that time, except for traditional joint revenue sharing arrangements as revenue is recognized over the lease term, during the three months ended June 30, 2023 and 2022:</w:t>
      </w:r>
      <w:r>
        <w:rPr>
          <w:rFonts w:ascii="Times New Roman" w:hAnsi="Times New Roman"/>
          <w:sz w:val="20"/>
        </w:rPr>
        <w:t xml:space="preserve"> </w:t>
      </w:r>
    </w:p>
    <w:p>
      <w:pPr>
        <w:pStyle w:val="TextBody"/>
        <w:bidi w:val="0"/>
        <w:spacing w:before="0" w:after="0"/>
        <w:jc w:val="both"/>
        <w:rPr/>
      </w:pPr>
      <w:r>
        <w:rPr/>
        <w:t> </w:t>
      </w:r>
    </w:p>
    <w:tbl>
      <w:tblPr>
        <w:tblW w:w="8888" w:type="dxa"/>
        <w:jc w:val="left"/>
        <w:tblInd w:w="0" w:type="dxa"/>
        <w:tblLayout w:type="fixed"/>
        <w:tblCellMar>
          <w:top w:w="28" w:type="dxa"/>
          <w:left w:w="28" w:type="dxa"/>
          <w:bottom w:w="28" w:type="dxa"/>
          <w:right w:w="28" w:type="dxa"/>
        </w:tblCellMar>
      </w:tblPr>
      <w:tblGrid>
        <w:gridCol w:w="4036"/>
        <w:gridCol w:w="146"/>
        <w:gridCol w:w="279"/>
        <w:gridCol w:w="606"/>
        <w:gridCol w:w="146"/>
        <w:gridCol w:w="146"/>
        <w:gridCol w:w="211"/>
        <w:gridCol w:w="676"/>
        <w:gridCol w:w="146"/>
        <w:gridCol w:w="146"/>
        <w:gridCol w:w="361"/>
        <w:gridCol w:w="524"/>
        <w:gridCol w:w="146"/>
        <w:gridCol w:w="146"/>
        <w:gridCol w:w="211"/>
        <w:gridCol w:w="57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1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number of systems)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5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3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JRSA — hybrid</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System upgrades: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upgraded IMAX Systems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arrangement for the sale of an IMAX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pStyle w:val="TextBody"/>
        <w:bidi w:val="0"/>
        <w:spacing w:before="200" w:after="0"/>
        <w:jc w:val="both"/>
        <w:rPr>
          <w:rFonts w:ascii="Times New Roman;serif" w:hAnsi="Times New Roman;serif"/>
          <w:b/>
          <w:i/>
          <w:sz w:val="20"/>
        </w:rPr>
      </w:pPr>
      <w:r>
        <w:rPr>
          <w:rFonts w:ascii="Times New Roman;serif" w:hAnsi="Times New Roman;serif"/>
          <w:b/>
          <w:i/>
          <w:sz w:val="20"/>
        </w:rPr>
        <w:t>All Other</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months ended June 30, 2023, All Other revenue and gross margin increased by $1.1 million, or 73%, and $0.5 million, or 52%, respectively, when compared to the same period in 2022 principally due to the inclusion of revenues earned by SSIMWAVE’s operations which were not in the prior year comparative period as the acquisition was completed in late September 2022, as well as growth in IMAX Enhanced initiatives resulting in an increase in revenues over the same period in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200" w:after="200"/>
        <w:jc w:val="both"/>
        <w:rPr>
          <w:rFonts w:ascii="Times New Roman" w:hAnsi="Times New Roman"/>
          <w:sz w:val="20"/>
        </w:rPr>
      </w:pPr>
      <w:r>
        <w:rPr>
          <w:rFonts w:ascii="Times New Roman;serif" w:hAnsi="Times New Roman;serif"/>
          <w:b w:val="false"/>
          <w:sz w:val="20"/>
        </w:rPr>
        <w:t>The following table presents information about the Company’s Selling, General and Administrative Expenses for the three months ended June 30, 2023 and 2022:</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008"/>
        <w:gridCol w:w="146"/>
        <w:gridCol w:w="211"/>
        <w:gridCol w:w="676"/>
        <w:gridCol w:w="146"/>
        <w:gridCol w:w="146"/>
        <w:gridCol w:w="211"/>
        <w:gridCol w:w="676"/>
        <w:gridCol w:w="146"/>
        <w:gridCol w:w="146"/>
        <w:gridCol w:w="211"/>
        <w:gridCol w:w="571"/>
        <w:gridCol w:w="166"/>
        <w:gridCol w:w="146"/>
        <w:gridCol w:w="599"/>
      </w:tblGrid>
      <w:tr>
        <w:trPr/>
        <w:tc>
          <w:tcPr>
            <w:tcW w:w="6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60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3" w:type="dxa"/>
            <w:gridSpan w:val="5"/>
            <w:tcBorders/>
            <w:vAlign w:val="center"/>
          </w:tcPr>
          <w:p>
            <w:pPr>
              <w:pStyle w:val="TableContents"/>
              <w:bidi w:val="0"/>
              <w:spacing w:before="0" w:after="0"/>
              <w:ind w:left="0" w:right="0" w:hanging="0"/>
              <w:jc w:val="center"/>
              <w:rPr/>
            </w:pPr>
            <w:r>
              <w:rPr/>
              <w:t> </w:t>
            </w:r>
          </w:p>
        </w:tc>
      </w:tr>
      <w:tr>
        <w:trPr/>
        <w:tc>
          <w:tcPr>
            <w:tcW w:w="60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3"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Variance</w:t>
            </w:r>
          </w:p>
        </w:tc>
      </w:tr>
      <w:tr>
        <w:trPr/>
        <w:tc>
          <w:tcPr>
            <w:tcW w:w="6008"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6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600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Less: Share-based compensation</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6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 excluding share-based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32,437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bl>
    <w:p>
      <w:pPr>
        <w:pStyle w:val="TextBody"/>
        <w:pBdr>
          <w:bottom w:val="single" w:sz="4" w:space="1" w:color="000000"/>
        </w:pBdr>
        <w:bidi w:val="0"/>
        <w:spacing w:before="0" w:after="0"/>
        <w:jc w:val="left"/>
        <w:rPr/>
      </w:pPr>
      <w:r>
        <w:rPr/>
        <w:t> </w:t>
      </w:r>
    </w:p>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portion of share-based compensation expense is recognized within Costs and Expenses Applicable to Revenues, Research and Development, and Executive Transition Costs. (See Note 11(a) of Notes to Condensed Consolidated Financial Statements in Part I, Item 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increase in Selling, General and Administrative Expenses reflects the inclusion of $2.0 million related to SSIMWAVE which was not in the prior year comparative period as the acquisition was completed in late September 2022.</w:t>
      </w:r>
    </w:p>
    <w:p>
      <w:pPr>
        <w:pStyle w:val="TextBody"/>
        <w:bidi w:val="0"/>
        <w:spacing w:before="200" w:after="0"/>
        <w:jc w:val="both"/>
        <w:rPr>
          <w:rFonts w:ascii="Times New Roman" w:hAnsi="Times New Roman"/>
          <w:sz w:val="20"/>
        </w:rPr>
      </w:pPr>
      <w:r>
        <w:rPr>
          <w:rFonts w:ascii="Times New Roman;serif" w:hAnsi="Times New Roman;serif"/>
          <w:b w:val="false"/>
          <w:sz w:val="20"/>
        </w:rPr>
        <w:t>As a percentage of revenue, Selling, General and Administrative Expenses excluding share-based compensation was 33% versus 40% in the three months ended June 30, 2022, an improvement over the prior year period which reflected strong operating leverage and cost discipline efforts in the business.</w:t>
        <w:br/>
      </w:r>
      <w:r>
        <w:rPr>
          <w:rFonts w:ascii="Times New Roman" w:hAnsi="Times New Roman"/>
          <w:sz w:val="20"/>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Research and Development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global IMAX network. With the acquisition of SSIMWAVE, there is ongoing research and development in perceptual metrics including novel measurement and optimization techniques. Teams from IMAX and SSIMWAVE are working to expand existing and/or develop new technologies which are expected to further enhance video quality, delivery, and creation across devices.</w:t>
      </w:r>
    </w:p>
    <w:p>
      <w:pPr>
        <w:pStyle w:val="TextBody"/>
        <w:bidi w:val="0"/>
        <w:spacing w:before="200" w:after="0"/>
        <w:jc w:val="both"/>
        <w:rPr>
          <w:rFonts w:ascii="Times New Roman" w:hAnsi="Times New Roman"/>
          <w:sz w:val="20"/>
        </w:rPr>
      </w:pPr>
      <w:r>
        <w:rPr>
          <w:rFonts w:ascii="Times New Roman;serif" w:hAnsi="Times New Roman;serif"/>
          <w:b w:val="false"/>
          <w:sz w:val="20"/>
        </w:rPr>
        <w:t>For the three months ended June 30, 2023, Research and Development expenses were $2.8 million, representing an increase of $1.4 million, or 104%, when compared to Research and Development expenses of $1.4 million during the same period in the prior year, which includes $0.3 million specifically related to SSIMWAVE technologies.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w:t>
      </w:r>
      <w:r>
        <w:rPr>
          <w:rFonts w:ascii="Times New Roman" w:hAnsi="Times New Roman"/>
          <w:sz w:val="20"/>
        </w:rPr>
        <w:t xml:space="preserve">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Credit Loss Expense, Net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months ended June 30, 2023, the Company recorded current expected credit losses of $0.8 million, as compared to credit losses of $0.1 million recognized in the prior year.</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Interest Expense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months ended June 30, 2023, interest expense was $1.8 million, representing an increase of $0.5 million, or 35% when compared to interest expense of $1.3 million during the same period of the prior year, due to increased borrowings under the Credit Facility in the current period.</w:t>
      </w:r>
    </w:p>
    <w:p>
      <w:pPr>
        <w:pStyle w:val="TextBody"/>
        <w:bidi w:val="0"/>
        <w:spacing w:before="200" w:after="0"/>
        <w:jc w:val="both"/>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the three months ended June 30, 2023, the Company recorded income tax expense of $3.5 million (2022 — $3.1 million). The Company’s effective tax rate for the three months ended June 30, 2023 of 26.5% is the same as the Canadian statutory tax rate of 26.5%, the Company recorded an additional $0.1 million valuation allowance against deferred tax assets, the valuation allowance includes an addition of $1.4 million in reporting entities where management cannot determine that the tax benefits will be realizable based on available evidence. The valuation allowance also includes a decrease of $1.3 million related to the recognition of certain losses in IMAX China that management now considers to be realizable. Accordingly, the tax benefit associated with the current period losses in these reporting entities is not ultimately reflected in the Company’s Condensed Consolidated Statements of Operations. (See Note 10 of Notes to Condensed Consolidated Financial Statements in Part I, Item 1.)</w:t>
      </w:r>
    </w:p>
    <w:p>
      <w:pPr>
        <w:pStyle w:val="TextBody"/>
        <w:bidi w:val="0"/>
        <w:spacing w:before="200" w:after="0"/>
        <w:jc w:val="both"/>
        <w:rPr>
          <w:rFonts w:ascii="Times New Roman;serif" w:hAnsi="Times New Roman;serif"/>
          <w:b/>
          <w:i/>
          <w:sz w:val="20"/>
        </w:rPr>
      </w:pPr>
      <w:r>
        <w:rPr>
          <w:rFonts w:ascii="Times New Roman;serif" w:hAnsi="Times New Roman;serif"/>
          <w:b/>
          <w:i/>
          <w:sz w:val="20"/>
        </w:rPr>
        <w:t>Non-Controlling Interests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June 30, 2023, the net income attributable to non-controlling interests of the Company’s subsidiaries was $1.3 million, an increase of $2.7 million, or 190%, when compared to the same period of the prior year. The increase can be primarily attributed to IMAX China's box office success in the second quarter of 2023 following the Chinese government relaxing its dynamic zero-COVID policies and easing capacity restrictions at the end of 2022.</w:t>
      </w:r>
    </w:p>
    <w:p>
      <w:pPr>
        <w:pStyle w:val="TextBody"/>
        <w:bidi w:val="0"/>
        <w:spacing w:before="200" w:after="0"/>
        <w:jc w:val="left"/>
        <w:rPr>
          <w:rFonts w:ascii="Times New Roman" w:hAnsi="Times New Roman"/>
          <w:sz w:val="20"/>
        </w:rPr>
      </w:pPr>
      <w:r>
        <w:rPr>
          <w:rFonts w:ascii="Times New Roman;serif" w:hAnsi="Times New Roman;serif"/>
          <w:b/>
          <w:sz w:val="20"/>
        </w:rPr>
        <w:t>Results of Operations for the Six Months Ended June 30, 2023 and 2022</w:t>
      </w:r>
      <w:r>
        <w:rPr>
          <w:rFonts w:ascii="Times New Roman" w:hAnsi="Times New Roman"/>
          <w:sz w:val="20"/>
        </w:rPr>
        <w:t xml:space="preserve">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Net Income (Loss) and Adjusted Net Income (Loss) Attributable to Common Shareholders</w:t>
      </w:r>
    </w:p>
    <w:p>
      <w:pPr>
        <w:pStyle w:val="TextBody"/>
        <w:bidi w:val="0"/>
        <w:spacing w:before="200" w:after="200"/>
        <w:jc w:val="both"/>
        <w:rPr>
          <w:rFonts w:ascii="Times New Roman" w:hAnsi="Times New Roman"/>
          <w:sz w:val="20"/>
        </w:rPr>
      </w:pPr>
      <w:r>
        <w:rPr>
          <w:rFonts w:ascii="Times New Roman;serif" w:hAnsi="Times New Roman;serif"/>
          <w:b w:val="false"/>
          <w:sz w:val="20"/>
        </w:rPr>
        <w:t>The following table presents the Company’s net income (loss) attributable to common shareholders and the associated per share amounts, as well as adjusted net income (loss) attributable to common shareholders</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and adjusted net income (loss) attributable to common shareholders per share</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for the six months ended June 30, 2023 and 2022:</w:t>
      </w:r>
    </w:p>
    <w:tbl>
      <w:tblPr>
        <w:tblW w:w="10205" w:type="dxa"/>
        <w:jc w:val="left"/>
        <w:tblInd w:w="0" w:type="dxa"/>
        <w:tblLayout w:type="fixed"/>
        <w:tblCellMar>
          <w:top w:w="28" w:type="dxa"/>
          <w:left w:w="28" w:type="dxa"/>
          <w:bottom w:w="28" w:type="dxa"/>
          <w:right w:w="28" w:type="dxa"/>
        </w:tblCellMar>
      </w:tblPr>
      <w:tblGrid>
        <w:gridCol w:w="5016"/>
        <w:gridCol w:w="146"/>
        <w:gridCol w:w="219"/>
        <w:gridCol w:w="705"/>
        <w:gridCol w:w="146"/>
        <w:gridCol w:w="146"/>
        <w:gridCol w:w="146"/>
        <w:gridCol w:w="252"/>
        <w:gridCol w:w="557"/>
        <w:gridCol w:w="146"/>
        <w:gridCol w:w="146"/>
        <w:gridCol w:w="146"/>
        <w:gridCol w:w="211"/>
        <w:gridCol w:w="736"/>
        <w:gridCol w:w="166"/>
        <w:gridCol w:w="146"/>
        <w:gridCol w:w="146"/>
        <w:gridCol w:w="233"/>
        <w:gridCol w:w="582"/>
        <w:gridCol w:w="214"/>
      </w:tblGrid>
      <w:tr>
        <w:trPr/>
        <w:tc>
          <w:tcPr>
            <w:tcW w:w="5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9"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20"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br/>
              <w:t>(In thousands of U.S. Dollars, except per share amounts)</w:t>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Adjusted net income (loss) attributable to common shareholders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6" w:space="1" w:color="000000"/>
        </w:pBdr>
        <w:bidi w:val="0"/>
        <w:spacing w:before="40" w:after="0"/>
        <w:jc w:val="both"/>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(1) See “Non-GAAP Financial Measures” for a description of this non-GAAP financial measure and a reconciliation to the most comparable GAAP amount.</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Revenues and Gross Margin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During the six months ended June 30, 2023, the Company’s revenues and gross margin increased by $50.9 million (38%) and $32.1 million (42%), respectively, when compared to same period in 2022 principally due to the strength of IMAX GBO performance through the distribution of films such as </w:t>
      </w:r>
      <w:r>
        <w:rPr>
          <w:rFonts w:ascii="Times New Roman;serif" w:hAnsi="Times New Roman;serif"/>
          <w:b w:val="false"/>
          <w:i/>
          <w:sz w:val="20"/>
        </w:rPr>
        <w:t xml:space="preserve">Avatar: The Way of Water, The Super Mario Bros. Movie, The Wandering Earth 2, Guardians of the Galaxy Vol. 3, Ant-Man and the Wasp: Quantumania, </w:t>
      </w:r>
      <w:r>
        <w:rPr>
          <w:rFonts w:ascii="Times New Roman;serif" w:hAnsi="Times New Roman;serif"/>
          <w:b w:val="false"/>
          <w:sz w:val="20"/>
        </w:rPr>
        <w:t>and</w:t>
      </w:r>
      <w:r>
        <w:rPr>
          <w:rFonts w:ascii="Times New Roman" w:hAnsi="Times New Roman"/>
          <w:sz w:val="20"/>
        </w:rPr>
        <w:t xml:space="preserve"> </w:t>
      </w:r>
      <w:r>
        <w:rPr>
          <w:rFonts w:ascii="Times New Roman;serif" w:hAnsi="Times New Roman;serif"/>
          <w:b w:val="false"/>
          <w:i/>
          <w:sz w:val="20"/>
        </w:rPr>
        <w:t>Fast X</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gross margin and gross margin percentage by reportable segment for the six months ended June 30, 2023 and 2022:</w:t>
      </w:r>
    </w:p>
    <w:tbl>
      <w:tblPr>
        <w:tblW w:w="9467" w:type="dxa"/>
        <w:jc w:val="left"/>
        <w:tblInd w:w="0" w:type="dxa"/>
        <w:tblLayout w:type="fixed"/>
        <w:tblCellMar>
          <w:top w:w="28" w:type="dxa"/>
          <w:left w:w="28" w:type="dxa"/>
          <w:bottom w:w="28" w:type="dxa"/>
          <w:right w:w="28" w:type="dxa"/>
        </w:tblCellMar>
      </w:tblPr>
      <w:tblGrid>
        <w:gridCol w:w="2926"/>
        <w:gridCol w:w="146"/>
        <w:gridCol w:w="211"/>
        <w:gridCol w:w="781"/>
        <w:gridCol w:w="146"/>
        <w:gridCol w:w="146"/>
        <w:gridCol w:w="211"/>
        <w:gridCol w:w="781"/>
        <w:gridCol w:w="146"/>
        <w:gridCol w:w="146"/>
        <w:gridCol w:w="211"/>
        <w:gridCol w:w="781"/>
        <w:gridCol w:w="146"/>
        <w:gridCol w:w="146"/>
        <w:gridCol w:w="211"/>
        <w:gridCol w:w="676"/>
        <w:gridCol w:w="146"/>
        <w:gridCol w:w="146"/>
        <w:gridCol w:w="485"/>
        <w:gridCol w:w="147"/>
        <w:gridCol w:w="732"/>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Revenue</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Margin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7" w:type="dxa"/>
            <w:tcBorders/>
            <w:vAlign w:val="center"/>
          </w:tcPr>
          <w:p>
            <w:pPr>
              <w:pStyle w:val="TableContents"/>
              <w:bidi w:val="0"/>
              <w:spacing w:before="0" w:after="0"/>
              <w:ind w:left="0" w:right="0" w:hanging="0"/>
              <w:jc w:val="righ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7" w:type="dxa"/>
            <w:tcBorders/>
            <w:vAlign w:val="center"/>
          </w:tcPr>
          <w:p>
            <w:pPr>
              <w:pStyle w:val="TableContents"/>
              <w:bidi w:val="0"/>
              <w:spacing w:before="0" w:after="0"/>
              <w:ind w:left="0" w:right="0" w:hanging="0"/>
              <w:jc w:val="right"/>
              <w:rPr/>
            </w:pPr>
            <w:r>
              <w:rPr/>
              <w:t> </w:t>
            </w:r>
          </w:p>
        </w:tc>
        <w:tc>
          <w:tcPr>
            <w:tcW w:w="732"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55%</w:t>
            </w:r>
          </w:p>
        </w:tc>
      </w:tr>
      <w:tr>
        <w:trPr/>
        <w:tc>
          <w:tcPr>
            <w:tcW w:w="29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179,034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131,252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104,293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74,104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73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r>
      <w:tr>
        <w:trPr/>
        <w:tc>
          <w:tcPr>
            <w:tcW w:w="29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bl>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All Other includes the results from IMAX Enhanced, SSIMWAVE, and other ancillary activities.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Content Solutions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the six months ended June 30, 2023, Content Solutions segment revenues and gross margin increased by $12.9 million, or 25%, and $8.0 million, or 27%, respectively, when compared to the same period in 2022 principally due to IMAX China's box office recovery in 2023 following the Chinese government relaxing its dynamic zero-COVID policies and easing capacity restrictions at the end of 2022, as well as the strong performance of the films distributed through the IMAX global network. In the six months ended June 30, 2023, box office generated by IMAX films totaled $541.7 million, a $120.8 million, or 29% increase versus the prior year comparative period of $420.9 million. During the six months ended June 30, 2023, box office was generated by the exhibition of 39 films (33 new films and 6 carryovers) including </w:t>
      </w:r>
      <w:r>
        <w:rPr>
          <w:rFonts w:ascii="Times New Roman;serif" w:hAnsi="Times New Roman;serif"/>
          <w:b w:val="false"/>
          <w:i/>
          <w:sz w:val="20"/>
        </w:rPr>
        <w:t>Avatar: The Way of Water</w:t>
      </w:r>
      <w:r>
        <w:rPr>
          <w:rFonts w:ascii="Times New Roman;serif" w:hAnsi="Times New Roman;serif"/>
          <w:b w:val="false"/>
          <w:sz w:val="20"/>
        </w:rPr>
        <w:t xml:space="preserve">, which generated box office of $109.1 million, </w:t>
      </w:r>
      <w:r>
        <w:rPr>
          <w:rFonts w:ascii="Times New Roman;serif" w:hAnsi="Times New Roman;serif"/>
          <w:b w:val="false"/>
          <w:i/>
          <w:sz w:val="20"/>
        </w:rPr>
        <w:t>The Super Mario Bro. Movie</w:t>
      </w:r>
      <w:r>
        <w:rPr>
          <w:rFonts w:ascii="Times New Roman;serif" w:hAnsi="Times New Roman;serif"/>
          <w:b w:val="false"/>
          <w:sz w:val="20"/>
        </w:rPr>
        <w:t xml:space="preserve">, which generated box office of $49.8 million, and other content. In addition, in the six months ended June 30, 2023, local language films exhibited across the Company’s global IMAX network generated over $114 million in box office representing 21% of the Company’s total box office. The growth in local language box office was driven primarily by a record IMAX Chinese New Year of $61.3 million for the full 26-day Chinese New Year holiday, a growth of 72% over the prior year, as well as growth in Rest of World box office. Leading local language titles distributed across the IMAX network in the six months ended June 30, 2023 included the Chinese film </w:t>
      </w:r>
      <w:r>
        <w:rPr>
          <w:rFonts w:ascii="Times New Roman;serif" w:hAnsi="Times New Roman;serif"/>
          <w:b w:val="false"/>
          <w:i/>
          <w:sz w:val="20"/>
        </w:rPr>
        <w:t>Wandering Earth 2,</w:t>
      </w:r>
      <w:r>
        <w:rPr>
          <w:rFonts w:ascii="Times New Roman" w:hAnsi="Times New Roman"/>
          <w:sz w:val="20"/>
        </w:rPr>
        <w:t xml:space="preserve"> </w:t>
      </w:r>
      <w:r>
        <w:rPr>
          <w:rFonts w:ascii="Times New Roman;serif" w:hAnsi="Times New Roman;serif"/>
          <w:b w:val="false"/>
          <w:sz w:val="20"/>
        </w:rPr>
        <w:t xml:space="preserve">which generated $48.9 million in box office, the Japanese anime film </w:t>
      </w:r>
      <w:r>
        <w:rPr>
          <w:rFonts w:ascii="Times New Roman;serif" w:hAnsi="Times New Roman;serif"/>
          <w:b w:val="false"/>
          <w:i/>
          <w:sz w:val="20"/>
        </w:rPr>
        <w:t xml:space="preserve">Suzume, </w:t>
      </w:r>
      <w:r>
        <w:rPr>
          <w:rFonts w:ascii="Times New Roman;serif" w:hAnsi="Times New Roman;serif"/>
          <w:b w:val="false"/>
          <w:sz w:val="20"/>
        </w:rPr>
        <w:t xml:space="preserve">which generated $10.7 million in box office, and the Japanese anime film </w:t>
      </w:r>
      <w:r>
        <w:rPr>
          <w:rFonts w:ascii="Times New Roman;serif" w:hAnsi="Times New Roman;serif"/>
          <w:b w:val="false"/>
          <w:i/>
          <w:sz w:val="20"/>
        </w:rPr>
        <w:t>The First Slam Dunk,</w:t>
      </w:r>
      <w:r>
        <w:rPr>
          <w:rFonts w:ascii="Times New Roman" w:hAnsi="Times New Roman"/>
          <w:sz w:val="20"/>
        </w:rPr>
        <w:t xml:space="preserve"> </w:t>
      </w:r>
      <w:r>
        <w:rPr>
          <w:rFonts w:ascii="Times New Roman;serif" w:hAnsi="Times New Roman;serif"/>
          <w:b w:val="false"/>
          <w:sz w:val="20"/>
        </w:rPr>
        <w:t>which generated $9.9 million in box office. In the six months ended June 30, 2022, box office was generated by the exhibition of 36 films (26 new films and 10 carryovers) and other content. Despite accounting for approximately 1% of all domestic screens and less than 1% of all screens globally, the IMAX network had a domestic market share of 4.4% and a global market share of 3.3% for the six months ended June 30, 2023.</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In addition to the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six months ended June 30, 2023, marketing expenses for films were $9.9 million, as compared to $6.5 million during the same period in 2022, primarily driven by marketing costs for </w:t>
      </w:r>
      <w:r>
        <w:rPr>
          <w:rFonts w:ascii="Times New Roman;serif" w:hAnsi="Times New Roman;serif"/>
          <w:b w:val="false"/>
          <w:i/>
          <w:sz w:val="20"/>
        </w:rPr>
        <w:t>Avatar: The Way of Water</w:t>
      </w:r>
      <w:r>
        <w:rPr>
          <w:rFonts w:ascii="Times New Roman;serif" w:hAnsi="Times New Roman;serif"/>
          <w:b w:val="false"/>
          <w:sz w:val="20"/>
        </w:rPr>
        <w:t xml:space="preserve">, </w:t>
      </w:r>
      <w:r>
        <w:rPr>
          <w:rFonts w:ascii="Times New Roman;serif" w:hAnsi="Times New Roman;serif"/>
          <w:b w:val="false"/>
          <w:i/>
          <w:sz w:val="20"/>
        </w:rPr>
        <w:t xml:space="preserve">Guardians of the Galaxy Vol. 3 </w:t>
      </w:r>
      <w:r>
        <w:rPr>
          <w:rFonts w:ascii="Times New Roman;serif" w:hAnsi="Times New Roman;serif"/>
          <w:b w:val="false"/>
          <w:sz w:val="20"/>
        </w:rPr>
        <w:t xml:space="preserve">and </w:t>
      </w:r>
      <w:r>
        <w:rPr>
          <w:rFonts w:ascii="Times New Roman;serif" w:hAnsi="Times New Roman;serif"/>
          <w:b w:val="false"/>
          <w:i/>
          <w:sz w:val="20"/>
        </w:rPr>
        <w:t>Ant-Man and the Wasp: Quantumania</w:t>
      </w:r>
      <w:r>
        <w:rPr>
          <w:rFonts w:ascii="Times New Roman;serif" w:hAnsi="Times New Roman;serif"/>
          <w:b w:val="false"/>
          <w:sz w:val="20"/>
        </w:rPr>
        <w:t>. The costs incurred to operate the IMAX connected network, including infrastructure costs, depreciation expense and network connection fees were $3.0 million (2022 — $0.6 million), an increase over the prior year comparative period of $2.3 million resulting from the growth of the IMAX connected network to 262 systems (2022 — 80 systems).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Technology Products and Services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newly built theaters or multiplexes, which make up a large portion of the Company’s system backlog, depends primarily on the timing of the construction of those projects, which is not under the Company’s control.</w:t>
      </w:r>
    </w:p>
    <w:p>
      <w:pPr>
        <w:pStyle w:val="TextBody"/>
        <w:bidi w:val="0"/>
        <w:spacing w:before="200" w:after="0"/>
        <w:jc w:val="both"/>
        <w:rPr>
          <w:rFonts w:ascii="Times New Roman" w:hAnsi="Times New Roman"/>
          <w:sz w:val="20"/>
        </w:rPr>
      </w:pPr>
      <w:r>
        <w:rPr>
          <w:rFonts w:ascii="Times New Roman;serif" w:hAnsi="Times New Roman;serif"/>
          <w:b w:val="false"/>
          <w:sz w:val="20"/>
        </w:rPr>
        <w:t>For the six months ended June 30, 2023, Technology Products and Services segment revenue and gross margin increased by $34.9 million, or 43%, and $22.2 million, or 50%, respectively, when compared to the same period in the prior year. The higher level of revenue is primarily driven by an increase of $11.2 million in system sales revenue as a result of nine additional IMAX System installations, including upgrading, and an increase of $14.7 million in revenue from the impact of amendments and renewals to existing IMAX System arrangements.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Also contributing to the higher level of revenue was an increase of $8.4 million in rental revenues, as a result of GBO from joint revenue sharing arrangements which increased by $61.2 million or 28% in the six months ended June 30, 2023 when compared to the prior year comparative period, from $218.3 million to $279.5 million.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Technology Products and Services segment gross margin increase during the six months ended June 30, 2023 is primarily due to a higher number of IMAX System installations, as well as amendments and renewals of IMAX Systems arrangements, and higher rental revenues from the Company’s joint revenue sharing arrangements, driven by the stronger box office performance which led to incremental profit flow-through during the quarter.</w:t>
      </w:r>
    </w:p>
    <w:p>
      <w:pPr>
        <w:pStyle w:val="TextBody"/>
        <w:bidi w:val="0"/>
        <w:spacing w:before="200" w:after="0"/>
        <w:jc w:val="both"/>
        <w:rPr>
          <w:rFonts w:ascii="Times New Roman" w:hAnsi="Times New Roman"/>
          <w:sz w:val="20"/>
        </w:rPr>
      </w:pPr>
      <w:r>
        <w:rPr>
          <w:rFonts w:ascii="Times New Roman;serif" w:hAnsi="Times New Roman;serif"/>
          <w:b w:val="false"/>
          <w:sz w:val="20"/>
        </w:rPr>
        <w:t>The following table provides information about IMAX Systems installed and the associated revenue recognized at that time, except for traditional joint revenue sharing arrangements as revenue is recognized over the lease term, during the six months ended June 30, 2023 and 2022:</w:t>
      </w:r>
      <w:r>
        <w:rPr>
          <w:rFonts w:ascii="Times New Roman" w:hAnsi="Times New Roman"/>
          <w:sz w:val="20"/>
        </w:rPr>
        <w:t xml:space="preserve"> </w:t>
      </w:r>
    </w:p>
    <w:p>
      <w:pPr>
        <w:pStyle w:val="TextBody"/>
        <w:bidi w:val="0"/>
        <w:spacing w:before="200" w:after="0"/>
        <w:jc w:val="both"/>
        <w:rPr/>
      </w:pPr>
      <w:r>
        <w:rPr/>
        <w:t> </w:t>
      </w:r>
    </w:p>
    <w:tbl>
      <w:tblPr>
        <w:tblW w:w="9193" w:type="dxa"/>
        <w:jc w:val="left"/>
        <w:tblInd w:w="0" w:type="dxa"/>
        <w:tblLayout w:type="fixed"/>
        <w:tblCellMar>
          <w:top w:w="28" w:type="dxa"/>
          <w:left w:w="28" w:type="dxa"/>
          <w:bottom w:w="28" w:type="dxa"/>
          <w:right w:w="28" w:type="dxa"/>
        </w:tblCellMar>
      </w:tblPr>
      <w:tblGrid>
        <w:gridCol w:w="4036"/>
        <w:gridCol w:w="146"/>
        <w:gridCol w:w="279"/>
        <w:gridCol w:w="606"/>
        <w:gridCol w:w="146"/>
        <w:gridCol w:w="146"/>
        <w:gridCol w:w="211"/>
        <w:gridCol w:w="676"/>
        <w:gridCol w:w="146"/>
        <w:gridCol w:w="146"/>
        <w:gridCol w:w="279"/>
        <w:gridCol w:w="606"/>
        <w:gridCol w:w="146"/>
        <w:gridCol w:w="146"/>
        <w:gridCol w:w="211"/>
        <w:gridCol w:w="676"/>
        <w:gridCol w:w="5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number of systems)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Theater Systems: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5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JRSA — hybrid</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Theater Systems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Theater System upgrades:</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2,908</w:t>
            </w:r>
          </w:p>
        </w:tc>
        <w:tc>
          <w:tcPr>
            <w:tcW w:w="5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upgraded IMAX Theater Systems</w:t>
            </w:r>
          </w:p>
        </w:tc>
        <w:tc>
          <w:tcPr>
            <w:tcW w:w="146" w:type="dxa"/>
            <w:tcBorders/>
            <w:vAlign w:val="center"/>
          </w:tcPr>
          <w:p>
            <w:pPr>
              <w:pStyle w:val="TableContents"/>
              <w:bidi w:val="0"/>
              <w:spacing w:before="0" w:after="0"/>
              <w:ind w:left="0" w:right="0" w:hanging="0"/>
              <w:jc w:val="left"/>
              <w:rPr/>
            </w:pPr>
            <w:r>
              <w:rPr/>
              <w:t> </w:t>
            </w:r>
          </w:p>
        </w:tc>
        <w:tc>
          <w:tcPr>
            <w:tcW w:w="27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2,908</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pPr>
            <w:r>
              <w:rPr/>
              <w:t> </w:t>
            </w:r>
          </w:p>
        </w:tc>
      </w:tr>
      <w:tr>
        <w:trPr/>
        <w:tc>
          <w:tcPr>
            <w:tcW w:w="40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pStyle w:val="TextBody"/>
        <w:bidi w:val="0"/>
        <w:spacing w:before="200" w:after="0"/>
        <w:jc w:val="both"/>
        <w:rPr>
          <w:rFonts w:ascii="Times New Roman;serif" w:hAnsi="Times New Roman;serif"/>
          <w:b/>
          <w:i/>
          <w:sz w:val="20"/>
        </w:rPr>
      </w:pPr>
      <w:r>
        <w:rPr>
          <w:rFonts w:ascii="Times New Roman;serif" w:hAnsi="Times New Roman;serif"/>
          <w:b/>
          <w:i/>
          <w:sz w:val="20"/>
        </w:rPr>
        <w:t>All Other</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2023, All Other revenue and gross margin increased by $3.1 million, or 114%, and $1.9 million, or 114%, respectively, when compared to the same period in 2022 principally due to the inclusion of revenues earned by SSIMWAVE’s operations which were not in the prior year comparative period as the acquisition was completed in late September 2022, as well as growth in IMAX Enhanced initiatives resulting in an increase in revenues over the same period in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following table presents information about the Company’s Selling, General and Administrative Expenses for the six months ended June 30, 2023 and 2022:</w:t>
      </w:r>
    </w:p>
    <w:tbl>
      <w:tblPr>
        <w:tblW w:w="10205" w:type="dxa"/>
        <w:jc w:val="left"/>
        <w:tblInd w:w="0" w:type="dxa"/>
        <w:tblLayout w:type="fixed"/>
        <w:tblCellMar>
          <w:top w:w="28" w:type="dxa"/>
          <w:left w:w="28" w:type="dxa"/>
          <w:bottom w:w="28" w:type="dxa"/>
          <w:right w:w="28" w:type="dxa"/>
        </w:tblCellMar>
      </w:tblPr>
      <w:tblGrid>
        <w:gridCol w:w="5950"/>
        <w:gridCol w:w="146"/>
        <w:gridCol w:w="211"/>
        <w:gridCol w:w="676"/>
        <w:gridCol w:w="146"/>
        <w:gridCol w:w="146"/>
        <w:gridCol w:w="211"/>
        <w:gridCol w:w="676"/>
        <w:gridCol w:w="146"/>
        <w:gridCol w:w="146"/>
        <w:gridCol w:w="211"/>
        <w:gridCol w:w="631"/>
        <w:gridCol w:w="166"/>
        <w:gridCol w:w="146"/>
        <w:gridCol w:w="597"/>
      </w:tblGrid>
      <w:tr>
        <w:trPr/>
        <w:tc>
          <w:tcPr>
            <w:tcW w:w="5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9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51" w:type="dxa"/>
            <w:gridSpan w:val="5"/>
            <w:tcBorders/>
            <w:vAlign w:val="center"/>
          </w:tcPr>
          <w:p>
            <w:pPr>
              <w:pStyle w:val="TableContents"/>
              <w:bidi w:val="0"/>
              <w:spacing w:before="0" w:after="0"/>
              <w:ind w:left="0" w:right="0" w:hanging="0"/>
              <w:jc w:val="center"/>
              <w:rPr/>
            </w:pPr>
            <w:r>
              <w:rPr/>
              <w:t> </w:t>
            </w:r>
          </w:p>
        </w:tc>
      </w:tr>
      <w:tr>
        <w:trPr/>
        <w:tc>
          <w:tcPr>
            <w:tcW w:w="59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Variance</w:t>
            </w:r>
          </w:p>
        </w:tc>
      </w:tr>
      <w:tr>
        <w:trPr/>
        <w:tc>
          <w:tcPr>
            <w:tcW w:w="5950"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59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595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Less: Share-based compensation</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59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 excluding share-based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61,389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54,287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portion of share-based compensation expense is recognized within Cost and Expenses Applicable to Revenue and Research and Development. (See Note 11 of Notes to Condensed Consolidated Financial Statements.)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increase in Selling, General and Administrative Expenses reflects the Company’s normalized level of business activity in the current period, which is primarily the result of higher workforce costs reflecting a full staff complement and the resumption of travel as compared to the prior year period, and the inclusion of $3.5 million related to the SSIMWAVE which was not in the prior year comparative period as the acquisition was completed in late September 2022.</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As a percentage of revenue, Selling, General and Administrative Expenses excluding share-based compensation was 33% versus 41% in the six months ended June 30, 2023, an improvement over the prior year period which reflected strong operating leverage and cost discipline efforts in the business.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Research and Development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global IMAX network. With the acquisition of SSIMWAVE, there is ongoing research and development in perceptual metrics including novel measurement and optimization techniques. Teams from IMAX and SSIMWAVE are working to expand existing and/or develop new technologies which are expected to further enhance video quality, delivery, and creation across devices.</w:t>
      </w:r>
    </w:p>
    <w:p>
      <w:pPr>
        <w:pStyle w:val="TextBody"/>
        <w:bidi w:val="0"/>
        <w:spacing w:before="200" w:after="0"/>
        <w:jc w:val="both"/>
        <w:rPr>
          <w:rFonts w:ascii="Times New Roman" w:hAnsi="Times New Roman"/>
          <w:sz w:val="20"/>
        </w:rPr>
      </w:pPr>
      <w:r>
        <w:rPr>
          <w:rFonts w:ascii="Times New Roman;serif" w:hAnsi="Times New Roman;serif"/>
          <w:b w:val="false"/>
          <w:sz w:val="20"/>
        </w:rPr>
        <w:t>For the six months ended June 30, 2023, Research and Development expenses were $4.6 million, representing an increase of $2.1 million, or 81%, when compared to Research and Development expenses of $2.6 million during the same period in the prior year, which includes $0.7 million specifically related to SSIMWAVE technologies.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w:t>
      </w:r>
    </w:p>
    <w:p>
      <w:pPr>
        <w:pStyle w:val="TextBody"/>
        <w:bidi w:val="0"/>
        <w:spacing w:before="200" w:after="0"/>
        <w:jc w:val="both"/>
        <w:rPr>
          <w:rFonts w:ascii="Times New Roman" w:hAnsi="Times New Roman"/>
          <w:sz w:val="20"/>
        </w:rPr>
      </w:pPr>
      <w:r>
        <w:rPr>
          <w:rFonts w:ascii="Times New Roman;serif" w:hAnsi="Times New Roman;serif"/>
          <w:b/>
          <w:i/>
          <w:sz w:val="20"/>
        </w:rPr>
        <w:t>Credit Loss Expense, Net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For the six months ended June 30, 2023, the Company recorded current expected credit losses of $1.1 million, as compared to credit losses of $7.3 million recognized in the prior year. The prior period expense was principally due to reserves established against substantially all of the Company’s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the World markets improved.</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Asset Impairment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Times New Roman;serif" w:hAnsi="Times New Roman;serif"/>
          <w:b w:val="false"/>
          <w:i/>
          <w:sz w:val="20"/>
        </w:rPr>
        <w:t>Mozart from Space</w:t>
      </w:r>
      <w:r>
        <w:rPr>
          <w:rFonts w:ascii="Times New Roman;serif" w:hAnsi="Times New Roman;serif"/>
          <w:b w:val="false"/>
          <w:sz w:val="20"/>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the six months ended June 30, 2022, the Company recorded a full impairment of its RMB 30.0 million ($4.5 million) investment in </w:t>
      </w:r>
      <w:r>
        <w:rPr>
          <w:rFonts w:ascii="Times New Roman;serif" w:hAnsi="Times New Roman;serif"/>
          <w:b w:val="false"/>
          <w:i/>
          <w:sz w:val="20"/>
        </w:rPr>
        <w:t>Mozart from Space</w:t>
      </w:r>
      <w:r>
        <w:rPr>
          <w:rFonts w:ascii="Times New Roman" w:hAnsi="Times New Roman"/>
          <w:sz w:val="20"/>
        </w:rPr>
        <w:t xml:space="preserve"> </w:t>
      </w:r>
      <w:r>
        <w:rPr>
          <w:rFonts w:ascii="Times New Roman;serif" w:hAnsi="Times New Roman;serif"/>
          <w:b w:val="false"/>
          <w:sz w:val="20"/>
        </w:rPr>
        <w:t>based on projected box office results and distribution costs.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Interest Expense</w:t>
      </w:r>
    </w:p>
    <w:p>
      <w:pPr>
        <w:pStyle w:val="TextBody"/>
        <w:bidi w:val="0"/>
        <w:spacing w:before="240" w:after="0"/>
        <w:jc w:val="both"/>
        <w:rPr>
          <w:rFonts w:ascii="Times New Roman" w:hAnsi="Times New Roman"/>
          <w:sz w:val="20"/>
        </w:rPr>
      </w:pPr>
      <w:r>
        <w:rPr>
          <w:rFonts w:ascii="Times New Roman;serif" w:hAnsi="Times New Roman;serif"/>
          <w:b w:val="false"/>
          <w:sz w:val="20"/>
        </w:rPr>
        <w:t>For the six months ended June 30, 2023, interest expense was $3.6 million, representing an increase of $0.5 million (18%) as compared to $3.0 million during the same period of the prior year, due to increased borrowings under the Credit Facility in the current period.</w:t>
      </w:r>
      <w:r>
        <w:rPr>
          <w:rFonts w:ascii="Times New Roman" w:hAnsi="Times New Roman"/>
          <w:sz w:val="20"/>
        </w:rPr>
        <w:t xml:space="preserve"> </w:t>
      </w:r>
    </w:p>
    <w:p>
      <w:pPr>
        <w:pStyle w:val="TextBody"/>
        <w:bidi w:val="0"/>
        <w:spacing w:before="200" w:after="200"/>
        <w:jc w:val="both"/>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the six months ended June 30, 2023, the Company recorded income tax expense of $8.3 million (2022 — $5.7 million). The Company’s effective tax rate for the six months ended June 30, 2023 of 36.2% differs from the Canadian statutory tax rate of 26.5% primarily due to the fact that the Company recorded an additional $1.7 million valuation allowance against deferred tax assets in reporting entities where management cannot determine that the tax benefits will be realizable based on available evidence. Accordingly, the tax benefit associated with the current period losses in these reporting entities is not ultimately reflected in the Company’s Condensed Consolidated Statements of Operations. (See Note 10 of Notes to Condensed Consolidated Financial Statements.)</w:t>
      </w:r>
    </w:p>
    <w:p>
      <w:pPr>
        <w:pStyle w:val="TextBody"/>
        <w:bidi w:val="0"/>
        <w:spacing w:before="200" w:after="200"/>
        <w:jc w:val="both"/>
        <w:rPr>
          <w:rFonts w:ascii="Times New Roman;serif" w:hAnsi="Times New Roman;serif"/>
          <w:b/>
          <w:i/>
          <w:sz w:val="20"/>
        </w:rPr>
      </w:pPr>
      <w:r>
        <w:rPr>
          <w:rFonts w:ascii="Times New Roman;serif" w:hAnsi="Times New Roman;serif"/>
          <w:b/>
          <w:i/>
          <w:sz w:val="20"/>
        </w:rPr>
        <w:t>Non-Controlling Interests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Condensed Consolidated Financial Statements primarily include the non-controlling interest in the net income or loss of IMAX China, as well as the impact of non-controlling interests in the activity of its Original Film Fund subsidiary. For the six months ended June 30, 2023, the net income attributable to non-controlling interests of the Company’s subsidiaries was $3.9 million (2022 — $0.3 million). The increase can be primarily attributed to IMAX China's box office success in the six months ended June 30, 2023 following the Chinese government relaxing its dynamic zero-COVID policies and easing capacity restrictions at the end of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CASH FLOWS FOR THE SIX MONTHS ENDED JUNE 30, 2023 AND 2022</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Operating Activities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box-office performance of films distributed by the Company and/or released to IMAX locations, (iv) the level of inventory purchases, and (v) the level of the Company’s operating expenses, including expenses for research and development and new business initiatives.</w:t>
      </w:r>
    </w:p>
    <w:p>
      <w:pPr>
        <w:pStyle w:val="TextBody"/>
        <w:bidi w:val="0"/>
        <w:spacing w:before="200" w:after="0"/>
        <w:jc w:val="both"/>
        <w:rPr>
          <w:rFonts w:ascii="Times New Roman" w:hAnsi="Times New Roman"/>
          <w:sz w:val="20"/>
        </w:rPr>
      </w:pPr>
      <w:r>
        <w:rPr>
          <w:rFonts w:ascii="Times New Roman;serif" w:hAnsi="Times New Roman;serif"/>
          <w:b w:val="false"/>
          <w:sz w:val="20"/>
        </w:rPr>
        <w:t>For the six months ended June 30, 2023, net cash provided by the Company’s operating activities totaled $25.9 million, as compared to net cash used in operating activities of $5.3 million in the same period of the prior year, an improvement of 588%.</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2023, the net cash provided by the Company’s operating activities is principally a result of revenue growth attributable to the record box office performance of the films distributed through the IMAX network, revenue from the installation of IMAX Systems and revenue associated with the amendments and renewals of IMAX Systems arrangements, and a decrease in Accounts Receivable of $9.5 million as a result of cash collection efforts, partially offset by $13.4 million of variable consideration receivables, $6.1 million in inventory purchases, and $9.2 million of expenditures incurred in connection with the development of Film Assets.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2022, the net cash used in the Company’s operating activities was principally due to an increase in Accounts Receivable of $14.7 million as a result of revenue growth attributable to the strength of the box office performance of the films distributed through the IMAX network, $6.9 million spent on inventory purchases, and $10.4 million spent in connection with the development of Film Assets, partially offset by cash collected in respect of Financing and Variable Consideration Receivables, as well as the Company’s cash earnings in the period.</w:t>
      </w:r>
    </w:p>
    <w:p>
      <w:pPr>
        <w:pStyle w:val="TextBody"/>
        <w:bidi w:val="0"/>
        <w:spacing w:before="200" w:after="0"/>
        <w:jc w:val="both"/>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2023, net cash used in investing activities totaled $8.5 million, as compared to $18.0 million used in investing activities in the same period of the prior year. For the six months ended June 30, 2023, the net cash used in investing activities is primarily driven by $4.0 million invested in equipment to be used in the Company’s joint revenue sharing arrangements with exhibitor customers, $1.0 million in purchases of property, plant and equipment, and $3.5 million of intangible assets acquired, principally related to the purchase or continued development of internal use software.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the six months ended June 30, 2022, the net cash used by investing activities was primarily driven by $8.7 million invested in equipment to be used in the Company’s joint revenue sharing arrangements with exhibitors, $2.9 million in purchases of property, plant and equipment, and $4.7 million invested by IMAX (Shanghai) Culture and Technology Co., Ltd, a wholly-owned subsidiary of IMAX China, in the movie </w:t>
      </w:r>
      <w:r>
        <w:rPr>
          <w:rFonts w:ascii="Times New Roman;serif" w:hAnsi="Times New Roman;serif"/>
          <w:b w:val="false"/>
          <w:i/>
          <w:sz w:val="20"/>
        </w:rPr>
        <w:t>Mozart from Space</w:t>
      </w:r>
      <w:r>
        <w:rPr>
          <w:rFonts w:ascii="Times New Roman;serif" w:hAnsi="Times New Roman;serif"/>
          <w:b w:val="false"/>
          <w:sz w:val="20"/>
        </w:rPr>
        <w:t>. (See Note 15(e) of Notes to Condensed Consolidated Financial Statements in Part I, Item 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Based on management’s current operating plan for 2023, the Company expects to continue to use cash to deploy additional IMAX Systems under joint revenue sharing arrangements.</w:t>
      </w:r>
    </w:p>
    <w:p>
      <w:pPr>
        <w:pStyle w:val="TextBody"/>
        <w:bidi w:val="0"/>
        <w:spacing w:before="200" w:after="0"/>
        <w:jc w:val="both"/>
        <w:rPr>
          <w:rFonts w:ascii="Times New Roman" w:hAnsi="Times New Roman"/>
          <w:sz w:val="20"/>
        </w:rPr>
      </w:pPr>
      <w:r>
        <w:rPr>
          <w:rFonts w:ascii="Times New Roman;serif" w:hAnsi="Times New Roman;serif"/>
          <w:b w:val="false"/>
          <w:sz w:val="20"/>
        </w:rPr>
        <w:t>Capital expenditures, including the Company’s investment in joint revenue sharing arrangements, the purchase of property, plant and equipment, the acquisition of other intangible assets, and investments in films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were $17.8 million for the six months ended June 30, 2023, as compared to $28.4 million for the six months ended June 30, 2022. The Company expects its investment in joint revenue sharing arrangements to be weighted toward the second half of the year which aligns with the historical seasonality of system installations.</w:t>
      </w:r>
    </w:p>
    <w:p>
      <w:pPr>
        <w:pStyle w:val="TextBody"/>
        <w:bidi w:val="0"/>
        <w:spacing w:before="200" w:after="0"/>
        <w:jc w:val="both"/>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2023, net cash used in financing activities totaled $19.8 million, as compared to $57.5 million used in financing activities in the same period of the prior year. For the six months ended June 30, 2023, the net cash used in financing activities is principally due to $8.2 million in net repayments of revolving credit facility borrowings, $4.0 million used to repurchase common shares of the Company, $6.5 million in taxes withheld and paid on vested employee stock awards, and $1.4 million in dividends paid to non-controlling interests.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six months ended June 30, 2022, net cash used in financing activities was principally due to $51.2 million used to repurchase common shares of the Company ($49.4 million) and IMAX China ($1.8 million), $3.4 million paid to purchase treasury stock for the settlement of restricted share units and related taxes, and $2.0 million in fees paid in relation to the Sixth Amended and Restated Credit Agreement entered into by the Company during the first quarter of 2022. (See Note 6 of Notes to Condensed Consolidated Financial Statements in Part I, Item 1 for additional information on the Sixth Amended and Restated Credit Agreement.)</w:t>
      </w:r>
    </w:p>
    <w:p>
      <w:pPr>
        <w:pStyle w:val="TextBody"/>
        <w:bidi w:val="0"/>
        <w:spacing w:before="200" w:after="0"/>
        <w:jc w:val="both"/>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available liquidity was $420.0 million, including its balance of cash and cash equivalents of $95.3 million, $280.0 million in available borrowing capacity under the Credit Facility and $44.7 million in available borrowing capacity under IMAX China's revolving facilities.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Company’s principal sources of liquidity included: (i) its balances of cash and cash equivalents; (ii) the anticipated collection of trade accounts receivable, which includes amounts owed under joint revenue sharing arrangements and film remastering and distribution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as of June 30, 2023, the Company had $280.0 million in available borrowing capacity under its Sixth Amended and Restated Credit Agreement with Wells Fargo Bank, National Association (the “Credit Agreement”), $25.9 million in available borrowing capacity under the IMAX (Shanghai) Multimedia Technology Co., Ltd. (“IMAX Shanghai”) revolving credit facility with the Bank of China (the “Bank of China Facility”), and $18.8 million in available borrowing capacity under IMAX Shanghai’s revolving credit facility with HSBC Bank (China) Company Limited, Shanghai Branch (the “HSBC China Facility”). (See Note 6(a) of Notes to Condensed Consolidated Financial Statements in Part 1, Item 1 for a description of the material terms of the Credit Agreement, the Bank of China Facility, and the HSBC Facility.)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conjunction with the proposal to acquire the outstanding 96.3 million shares in IMAX China, the Company obtained a consent on June 30, 2023 under the Credit Facility to temporarily increase of the Letter of Credit Accommodations Sublimit from $25.0 million to $130.0 million. On July 11, 2023, the Company obtained a Standby Letter of Credit (“LC”) in the amount of $130.0 million in favor of Morgan Stanley Asia Limited, the financial adviser for the transaction, to provide certainty of funds for the proposed proceeds and transaction costs payable with respect to the transaction. The LC and the temporary increase of the Sublimit will expire upon the earlier of the draw or cancellation of the LC by Morgan Stanley or January 15, 2024.</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$95.3 million balance of cash and cash equivalents as of June 30, 2023 (December 31, 2022 — $97.4 million) includes $83.3 million in cash held outside of Canada (December 31, 2022 — $79.7 million). As of June 30, 2023, cash and cash equivalents held by IMAX China was $73.6 million (December 31, 2022 —$75.0 million), of which $27.2 million was held in the People’s Republic of China (the “PRC”) (December 31, 2022 — $43.7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six months ended June 30, 2023, $23.8 million of historical earnings from a subsidiary in PRC were distributed and, as a result, $2.4 million of foreign withholding taxes were paid to the relevant tax authorities (2022 — nil). As of June 30, 2023, the Company’s Condensed Consolidated Balance Sheets include a deferred tax liability of $12.5 million for the applicable foreign withholding taxes associated with the remaining balance of unrepatriated historical earnings that will not be indefinitely reinvested outside of Canada. These taxes will become payable upon the repatriation of any such earnings.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2022 Form 10-K.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the six months ended June 30, 2023, box office generated by films exhibited in the IMAX network totaled $541.7 million, a $120.8 million, or 29% increase versus the prior year comparative period of $420.9 million. In the six months ended June 30, 2023, box office was generated by the exhibition of 39 films (33 new films and 6 carryovers) including </w:t>
      </w:r>
      <w:r>
        <w:rPr>
          <w:rFonts w:ascii="Times New Roman;serif" w:hAnsi="Times New Roman;serif"/>
          <w:b w:val="false"/>
          <w:i/>
          <w:sz w:val="20"/>
        </w:rPr>
        <w:t>Avatar: The Way of Water</w:t>
      </w:r>
      <w:r>
        <w:rPr>
          <w:rFonts w:ascii="Times New Roman;serif" w:hAnsi="Times New Roman;serif"/>
          <w:b w:val="false"/>
          <w:sz w:val="20"/>
        </w:rPr>
        <w:t>, which generated box office of $109.1 million, and other content. Despite accounting for approximately 1% of all domestic screens and less than 1% of all screens globally, the IMAX network had a domestic market share of 4.4% and a global market share of 3.3% for the six months ended June 30, 2023.</w:t>
      </w:r>
      <w:r>
        <w:rPr>
          <w:rFonts w:ascii="Times New Roman" w:hAnsi="Times New Roman"/>
          <w:sz w:val="20"/>
        </w:rPr>
        <w:t xml:space="preserve"> </w:t>
      </w:r>
      <w:r>
        <w:rPr>
          <w:rFonts w:ascii="Times New Roman;serif" w:hAnsi="Times New Roman;serif"/>
          <w:b w:val="false"/>
          <w:sz w:val="20"/>
        </w:rPr>
        <w:t>Management is encouraged by the return of the prevalence of exclusive theatrical windows and the strong pipeline of Hollywood and local language movies scheduled to be released for theatrical exhibition throughout the remainder of 2023 and the visibility into 2024.</w:t>
      </w:r>
    </w:p>
    <w:p>
      <w:pPr>
        <w:pStyle w:val="TextBody"/>
        <w:bidi w:val="0"/>
        <w:spacing w:before="200" w:after="0"/>
        <w:jc w:val="both"/>
        <w:rPr>
          <w:rFonts w:ascii="Times New Roman" w:hAnsi="Times New Roman"/>
          <w:sz w:val="20"/>
        </w:rPr>
      </w:pPr>
      <w:r>
        <w:rPr>
          <w:rFonts w:ascii="Times New Roman;serif" w:hAnsi="Times New Roman;serif"/>
          <w:b w:val="false"/>
          <w:sz w:val="20"/>
        </w:rPr>
        <w:t>Based on the Company’s current cash balances and operating cash flows, management expects to have sufficient capital and liquidity to fund its anticipated operating needs and capital requirements during the next twelve-month period following the date of this report.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sz w:val="20"/>
        </w:rPr>
        <w:t>CONTRACTUAL OBLIGATIONS</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Payments to be made by the Company under contractual obligations as of June 30, 2023 are as follows:</w:t>
      </w:r>
    </w:p>
    <w:tbl>
      <w:tblPr>
        <w:tblW w:w="10205" w:type="dxa"/>
        <w:jc w:val="left"/>
        <w:tblInd w:w="0" w:type="dxa"/>
        <w:tblLayout w:type="fixed"/>
        <w:tblCellMar>
          <w:top w:w="28" w:type="dxa"/>
          <w:left w:w="28" w:type="dxa"/>
          <w:bottom w:w="28" w:type="dxa"/>
          <w:right w:w="28" w:type="dxa"/>
        </w:tblCellMar>
      </w:tblPr>
      <w:tblGrid>
        <w:gridCol w:w="3312"/>
        <w:gridCol w:w="146"/>
        <w:gridCol w:w="211"/>
        <w:gridCol w:w="781"/>
        <w:gridCol w:w="146"/>
        <w:gridCol w:w="146"/>
        <w:gridCol w:w="370"/>
        <w:gridCol w:w="1188"/>
        <w:gridCol w:w="146"/>
        <w:gridCol w:w="146"/>
        <w:gridCol w:w="211"/>
        <w:gridCol w:w="781"/>
        <w:gridCol w:w="146"/>
        <w:gridCol w:w="146"/>
        <w:gridCol w:w="227"/>
        <w:gridCol w:w="730"/>
        <w:gridCol w:w="146"/>
        <w:gridCol w:w="146"/>
        <w:gridCol w:w="239"/>
        <w:gridCol w:w="647"/>
        <w:gridCol w:w="194"/>
      </w:tblGrid>
      <w:tr>
        <w:trPr/>
        <w:tc>
          <w:tcPr>
            <w:tcW w:w="3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53"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Total </w:t>
              <w:br/>
              <w:t>Obligation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One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 to 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 to 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Thereafter</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1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Purchase obligations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Pension obligations</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Operating lease obligations</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Wells Fargo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HSBC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Bank of China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Federal Economic Development Loan</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Convertible Notes</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Postretirement benefits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344,350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262,513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5,296</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Represents total payments to be made under binding commitments with suppliers and outstanding payments to be made for supplies ordered, but yet to be invoiced.</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Represents total minimum annual rental payments due under the Company’s operating leases.</w:t>
      </w:r>
    </w:p>
    <w:p>
      <w:pPr>
        <w:pStyle w:val="TextBody"/>
        <w:bidi w:val="0"/>
        <w:spacing w:before="200" w:after="0"/>
        <w:jc w:val="both"/>
        <w:rPr>
          <w:rFonts w:ascii="Times New Roman" w:hAnsi="Times New Roman"/>
          <w:b w:val="false"/>
          <w:sz w:val="20"/>
        </w:rPr>
      </w:pPr>
      <w:r>
        <w:rPr>
          <w:rFonts w:ascii="Times New Roman" w:hAnsi="Times New Roman"/>
          <w:b w:val="false"/>
          <w:sz w:val="20"/>
        </w:rPr>
        <w:t>(4)</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Federal Economic Development Loan will be repayable over 60 months, with repayments estimated to begin in January 2024. (See Note 6(b) of Notes to Condensed Consolidated Financial Statements in Part I, Item 1.)</w:t>
      </w:r>
    </w:p>
    <w:p>
      <w:pPr>
        <w:pStyle w:val="TextBody"/>
        <w:bidi w:val="0"/>
        <w:spacing w:before="200" w:after="0"/>
        <w:jc w:val="both"/>
        <w:rPr>
          <w:rFonts w:ascii="Times New Roman" w:hAnsi="Times New Roman"/>
          <w:b w:val="false"/>
          <w:sz w:val="20"/>
        </w:rPr>
      </w:pPr>
      <w:r>
        <w:rPr>
          <w:rFonts w:ascii="Times New Roman" w:hAnsi="Times New Roman"/>
          <w:b w:val="false"/>
          <w:sz w:val="20"/>
        </w:rPr>
        <w:t>(5)</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6(b) of Notes to Condensed Consolidated Financial Statements in Part I, Item 1.)</w:t>
      </w:r>
    </w:p>
    <w:p>
      <w:pPr>
        <w:pStyle w:val="TextBody"/>
        <w:bidi w:val="0"/>
        <w:spacing w:before="200" w:after="240"/>
        <w:jc w:val="both"/>
        <w:rPr>
          <w:rFonts w:ascii="Times New Roman;serif" w:hAnsi="Times New Roman;serif"/>
          <w:b/>
          <w:sz w:val="20"/>
        </w:rPr>
      </w:pPr>
      <w:r>
        <w:rPr>
          <w:rFonts w:ascii="Times New Roman;serif" w:hAnsi="Times New Roman;serif"/>
          <w:b/>
          <w:sz w:val="20"/>
        </w:rPr>
        <w:t>OFF-BALANCE SHEET ARRANGEMENTS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There are currently no off-balance sheet arrangements that have or are reasonably likely to have a current or future material effect on the Company’s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CRITICAL ACCOUNTING ESTIMATES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2022 Form 10-K.</w:t>
      </w:r>
    </w:p>
    <w:p>
      <w:pPr>
        <w:pStyle w:val="TextBody"/>
        <w:bidi w:val="0"/>
        <w:spacing w:before="200" w:after="240"/>
        <w:jc w:val="both"/>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See Note 2 of Notes to Condensed Consolidated Financial Statements in Part I, Item 1 for a discussion of recently issued accounting standards and their impact on the Company’s Condensed Consolidated Financial Statements.</w:t>
      </w:r>
    </w:p>
    <w:p>
      <w:pPr>
        <w:pStyle w:val="TextBody"/>
        <w:bidi w:val="0"/>
        <w:spacing w:before="240" w:after="0"/>
        <w:jc w:val="both"/>
        <w:rPr>
          <w:rFonts w:ascii="Times New Roman;serif" w:hAnsi="Times New Roman;serif"/>
          <w:b/>
          <w:sz w:val="20"/>
        </w:rPr>
      </w:pPr>
      <w:r>
        <w:rPr>
          <w:rFonts w:ascii="Times New Roman;serif" w:hAnsi="Times New Roman;serif"/>
          <w:b/>
          <w:sz w:val="20"/>
        </w:rPr>
        <w:t>NON-GAAP FINANCIAL MEASURES</w:t>
      </w:r>
    </w:p>
    <w:p>
      <w:pPr>
        <w:pStyle w:val="TextBody"/>
        <w:bidi w:val="0"/>
        <w:spacing w:before="200" w:after="0"/>
        <w:jc w:val="both"/>
        <w:rPr>
          <w:rFonts w:ascii="Times New Roman" w:hAnsi="Times New Roman"/>
          <w:sz w:val="20"/>
        </w:rPr>
      </w:pPr>
      <w:r>
        <w:rPr>
          <w:rFonts w:ascii="Times New Roman;serif" w:hAnsi="Times New Roman;serif"/>
          <w:b w:val="false"/>
          <w:sz w:val="20"/>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Adjusted net income or loss attributable to common shareholders; </w:t>
      </w:r>
    </w:p>
    <w:p>
      <w:pPr>
        <w:pStyle w:val="TextBody"/>
        <w:bidi w:val="0"/>
        <w:spacing w:before="0" w:after="0"/>
        <w:jc w:val="left"/>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Adjusted net income or loss attributable to common shareholders per basic and diluted share;</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EBITDA; and </w:t>
      </w:r>
    </w:p>
    <w:p>
      <w:pPr>
        <w:pStyle w:val="TextBody"/>
        <w:bidi w:val="0"/>
        <w:spacing w:before="0" w:after="0"/>
        <w:jc w:val="left"/>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Adjusted EBITDA per Credit Facility.</w:t>
      </w:r>
    </w:p>
    <w:p>
      <w:pPr>
        <w:pStyle w:val="TextBody"/>
        <w:bidi w:val="0"/>
        <w:spacing w:before="200" w:after="160"/>
        <w:jc w:val="both"/>
        <w:rPr>
          <w:rFonts w:ascii="Times New Roman" w:hAnsi="Times New Roman"/>
          <w:sz w:val="20"/>
        </w:rPr>
      </w:pPr>
      <w:r>
        <w:rPr>
          <w:rFonts w:ascii="Times New Roman;serif" w:hAnsi="Times New Roman;serif"/>
          <w:b w:val="false"/>
          <w:sz w:val="20"/>
        </w:rPr>
        <w:t>Adjusted net income or loss attributable to common shareholders and adjusted net income or loss attributable to common shareholders per basic and diluted share exclude, where applicable: (i) share-based compensation; (ii) COVID-19 government relief benefits; (iii) realized and unrealized investment gains or losses; (iv) acquisition-related expenses; and (v) executive transition costs, as well as the related tax impact of these adjustments.</w:t>
      </w:r>
      <w:r>
        <w:rPr>
          <w:rFonts w:ascii="Times New Roman" w:hAnsi="Times New Roman"/>
          <w:sz w:val="20"/>
        </w:rPr>
        <w:t xml:space="preserve"> </w:t>
      </w:r>
    </w:p>
    <w:p>
      <w:pPr>
        <w:pStyle w:val="TextBody"/>
        <w:bidi w:val="0"/>
        <w:spacing w:before="200" w:after="160"/>
        <w:jc w:val="both"/>
        <w:rPr>
          <w:rFonts w:ascii="Times New Roman" w:hAnsi="Times New Roman"/>
          <w:sz w:val="20"/>
        </w:rPr>
      </w:pPr>
      <w:r>
        <w:rPr>
          <w:rFonts w:ascii="Times New Roman;serif" w:hAnsi="Times New Roman;serif"/>
          <w:b w:val="false"/>
          <w:sz w:val="20"/>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or loss attributable to common shareholders. Although share-based compensation is an important aspect of the Company’s employee and executive compensation packages, it is a non-cash expense and is excluded from certain internal business performance measures.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Reconciliations of net income (loss) attributable to common shareholders and the associated per share amounts to adjusted net income (loss) attributable to common shareholders and adjusted net income (loss) attributable to common shareholders per diluted share are presented in the tables below.</w:t>
      </w:r>
    </w:p>
    <w:tbl>
      <w:tblPr>
        <w:tblW w:w="10205" w:type="dxa"/>
        <w:jc w:val="left"/>
        <w:tblInd w:w="0" w:type="dxa"/>
        <w:tblLayout w:type="fixed"/>
        <w:tblCellMar>
          <w:top w:w="28" w:type="dxa"/>
          <w:left w:w="28" w:type="dxa"/>
          <w:bottom w:w="28" w:type="dxa"/>
          <w:right w:w="28" w:type="dxa"/>
        </w:tblCellMar>
      </w:tblPr>
      <w:tblGrid>
        <w:gridCol w:w="4237"/>
        <w:gridCol w:w="146"/>
        <w:gridCol w:w="220"/>
        <w:gridCol w:w="705"/>
        <w:gridCol w:w="166"/>
        <w:gridCol w:w="146"/>
        <w:gridCol w:w="146"/>
        <w:gridCol w:w="211"/>
        <w:gridCol w:w="676"/>
        <w:gridCol w:w="166"/>
        <w:gridCol w:w="146"/>
        <w:gridCol w:w="146"/>
        <w:gridCol w:w="339"/>
        <w:gridCol w:w="1016"/>
        <w:gridCol w:w="166"/>
        <w:gridCol w:w="146"/>
        <w:gridCol w:w="146"/>
        <w:gridCol w:w="211"/>
        <w:gridCol w:w="676"/>
        <w:gridCol w:w="394"/>
      </w:tblGrid>
      <w:tr>
        <w:trPr/>
        <w:tc>
          <w:tcPr>
            <w:tcW w:w="4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2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8"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0"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00"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7"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per share amounts)</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(Loss)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Adjustments</w:t>
            </w:r>
            <w:r>
              <w:rPr>
                <w:rFonts w:ascii="Times New Roman;serif" w:hAnsi="Times New Roman;serif"/>
                <w:b w:val="false"/>
                <w:sz w:val="13"/>
              </w:rPr>
              <w:t>(1)</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42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394" w:type="dxa"/>
            <w:tcBorders/>
            <w:vAlign w:val="center"/>
          </w:tcPr>
          <w:p>
            <w:pPr>
              <w:pStyle w:val="TableContents"/>
              <w:bidi w:val="0"/>
              <w:spacing w:before="0" w:after="0"/>
              <w:ind w:left="0" w:right="0" w:firstLine="200"/>
              <w:jc w:val="left"/>
              <w:rPr/>
            </w:pPr>
            <w:r>
              <w:rPr/>
              <w:t> </w:t>
            </w:r>
          </w:p>
        </w:tc>
      </w:tr>
      <w:tr>
        <w:trPr/>
        <w:tc>
          <w:tcPr>
            <w:tcW w:w="42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COVID-19 government relief benefits, net</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firstLine="200"/>
              <w:jc w:val="left"/>
              <w:rPr/>
            </w:pPr>
            <w:r>
              <w:rPr/>
              <w:t> </w:t>
            </w:r>
          </w:p>
        </w:tc>
      </w:tr>
      <w:tr>
        <w:trPr/>
        <w:tc>
          <w:tcPr>
            <w:tcW w:w="42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firstLine="200"/>
              <w:jc w:val="left"/>
              <w:rPr/>
            </w:pPr>
            <w:r>
              <w:rPr/>
              <w:t> </w:t>
            </w:r>
          </w:p>
        </w:tc>
      </w:tr>
      <w:tr>
        <w:trPr/>
        <w:tc>
          <w:tcPr>
            <w:tcW w:w="42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impact on items listed above</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Adjusted net income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2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39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23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4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basic</w:t>
            </w:r>
          </w:p>
        </w:tc>
        <w:tc>
          <w:tcPr>
            <w:tcW w:w="146"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57,320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diluted</w:t>
            </w:r>
          </w:p>
        </w:tc>
        <w:tc>
          <w:tcPr>
            <w:tcW w:w="146"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57,856</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tbl>
      <w:tblPr>
        <w:tblW w:w="10108" w:type="dxa"/>
        <w:jc w:val="left"/>
        <w:tblInd w:w="0" w:type="dxa"/>
        <w:tblLayout w:type="fixed"/>
        <w:tblCellMar>
          <w:top w:w="28" w:type="dxa"/>
          <w:left w:w="28" w:type="dxa"/>
          <w:bottom w:w="28" w:type="dxa"/>
          <w:right w:w="28" w:type="dxa"/>
        </w:tblCellMar>
      </w:tblPr>
      <w:tblGrid>
        <w:gridCol w:w="4546"/>
        <w:gridCol w:w="146"/>
        <w:gridCol w:w="221"/>
        <w:gridCol w:w="709"/>
        <w:gridCol w:w="166"/>
        <w:gridCol w:w="146"/>
        <w:gridCol w:w="146"/>
        <w:gridCol w:w="211"/>
        <w:gridCol w:w="676"/>
        <w:gridCol w:w="166"/>
        <w:gridCol w:w="146"/>
        <w:gridCol w:w="146"/>
        <w:gridCol w:w="211"/>
        <w:gridCol w:w="736"/>
        <w:gridCol w:w="166"/>
        <w:gridCol w:w="146"/>
        <w:gridCol w:w="146"/>
        <w:gridCol w:w="211"/>
        <w:gridCol w:w="676"/>
        <w:gridCol w:w="3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ind w:left="0" w:right="0" w:hanging="0"/>
              <w:jc w:val="left"/>
              <w:rPr/>
            </w:pPr>
            <w:r>
              <w:rPr/>
              <w:t> </w:t>
            </w:r>
          </w:p>
        </w:tc>
        <w:tc>
          <w:tcPr>
            <w:tcW w:w="517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5"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9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per share amounts)</w:t>
            </w:r>
          </w:p>
        </w:tc>
        <w:tc>
          <w:tcPr>
            <w:tcW w:w="146" w:type="dxa"/>
            <w:tcBorders/>
            <w:vAlign w:val="center"/>
          </w:tcPr>
          <w:p>
            <w:pPr>
              <w:pStyle w:val="TableContents"/>
              <w:bidi w:val="0"/>
              <w:spacing w:before="0" w:after="0"/>
              <w:ind w:left="0" w:right="0" w:hanging="0"/>
              <w:jc w:val="right"/>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Adjustments</w:t>
            </w:r>
            <w:r>
              <w:rPr>
                <w:rFonts w:ascii="Times New Roman;serif" w:hAnsi="Times New Roman;serif"/>
                <w:b w:val="false"/>
                <w:sz w:val="13"/>
              </w:rPr>
              <w:t>(1)</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COVID-19 government relief benefits, net</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Acquisition-related expenses</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Executive transition costs</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impact on items listed above</w:t>
            </w:r>
          </w:p>
        </w:tc>
        <w:tc>
          <w:tcPr>
            <w:tcW w:w="14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Adjusted net income (loss)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22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23,380</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basic</w:t>
            </w:r>
          </w:p>
        </w:tc>
        <w:tc>
          <w:tcPr>
            <w:tcW w:w="146" w:type="dxa"/>
            <w:tcBorders/>
            <w:vAlign w:val="center"/>
          </w:tcPr>
          <w:p>
            <w:pPr>
              <w:pStyle w:val="TableContents"/>
              <w:bidi w:val="0"/>
              <w:spacing w:before="0" w:after="0"/>
              <w:ind w:left="0" w:right="0" w:hanging="0"/>
              <w:jc w:val="righ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diluted</w:t>
            </w:r>
          </w:p>
        </w:tc>
        <w:tc>
          <w:tcPr>
            <w:tcW w:w="146" w:type="dxa"/>
            <w:tcBorders/>
            <w:vAlign w:val="center"/>
          </w:tcPr>
          <w:p>
            <w:pPr>
              <w:pStyle w:val="TableContents"/>
              <w:bidi w:val="0"/>
              <w:spacing w:before="0" w:after="0"/>
              <w:ind w:left="0" w:right="0" w:hanging="0"/>
              <w:jc w:val="righ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Reflects amounts attributable to common shareholders.</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Reflects costs in connection with the departure of Megan Colligan, President, IMAX Entertainment and Executive Vice President of the Company. (See Note 16 of Notes to Condensed Consolidated Financial Statements in Part I, Item 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to the non-GAAP financial measures discussed above, management also uses “EBITDA,” as well as “Adjusted EBITDA per Credit Facility,” as defined in the Credit Agreement.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acquisition-related expenses; (iv) executive transition costs; and (v) write-downs, net of recoveries, including asset impairments and credit loss expense.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Reconciliations of net income attributable to common shareholders, which is the most directly comparable GAAP measure, to EBITDA and Adjusted EBITDA per Credit Facility are presented in the tables below.</w:t>
      </w:r>
    </w:p>
    <w:tbl>
      <w:tblPr>
        <w:tblW w:w="10205" w:type="dxa"/>
        <w:jc w:val="left"/>
        <w:tblInd w:w="0" w:type="dxa"/>
        <w:tblLayout w:type="fixed"/>
        <w:tblCellMar>
          <w:top w:w="28" w:type="dxa"/>
          <w:left w:w="28" w:type="dxa"/>
          <w:bottom w:w="28" w:type="dxa"/>
          <w:right w:w="28" w:type="dxa"/>
        </w:tblCellMar>
      </w:tblPr>
      <w:tblGrid>
        <w:gridCol w:w="4233"/>
        <w:gridCol w:w="328"/>
        <w:gridCol w:w="227"/>
        <w:gridCol w:w="1056"/>
        <w:gridCol w:w="166"/>
        <w:gridCol w:w="146"/>
        <w:gridCol w:w="415"/>
        <w:gridCol w:w="286"/>
        <w:gridCol w:w="1026"/>
        <w:gridCol w:w="166"/>
        <w:gridCol w:w="146"/>
        <w:gridCol w:w="320"/>
        <w:gridCol w:w="217"/>
        <w:gridCol w:w="1012"/>
        <w:gridCol w:w="166"/>
        <w:gridCol w:w="295"/>
      </w:tblGrid>
      <w:tr>
        <w:trPr/>
        <w:tc>
          <w:tcPr>
            <w:tcW w:w="423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233" w:type="dxa"/>
            <w:tcBorders/>
            <w:vAlign w:val="center"/>
          </w:tcPr>
          <w:p>
            <w:pPr>
              <w:pStyle w:val="TableContents"/>
              <w:bidi w:val="0"/>
              <w:spacing w:before="0" w:after="0"/>
              <w:ind w:left="0" w:right="0" w:hanging="0"/>
              <w:jc w:val="left"/>
              <w:rPr/>
            </w:pPr>
            <w:r>
              <w:rPr/>
              <w:t> </w:t>
            </w:r>
          </w:p>
        </w:tc>
        <w:tc>
          <w:tcPr>
            <w:tcW w:w="5511" w:type="dxa"/>
            <w:gridSpan w:val="1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pPr>
            <w:r>
              <w:rPr/>
              <w:t> </w:t>
            </w:r>
          </w:p>
        </w:tc>
        <w:tc>
          <w:tcPr>
            <w:tcW w:w="1611"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7"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9"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pPr>
            <w:r>
              <w:rPr/>
              <w:t> </w:t>
            </w:r>
          </w:p>
        </w:tc>
        <w:tc>
          <w:tcPr>
            <w:tcW w:w="1611"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7"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pPr>
            <w:r>
              <w:rPr/>
              <w:t> </w:t>
            </w:r>
          </w:p>
        </w:tc>
        <w:tc>
          <w:tcPr>
            <w:tcW w:w="1611"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Interests and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7"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Attributable to</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9"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61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 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Reported net income</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8,351</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(subtract):</w:t>
            </w:r>
          </w:p>
        </w:tc>
        <w:tc>
          <w:tcPr>
            <w:tcW w:w="328" w:type="dxa"/>
            <w:tcBorders/>
            <w:vAlign w:val="center"/>
          </w:tcPr>
          <w:p>
            <w:pPr>
              <w:pStyle w:val="TableContents"/>
              <w:bidi w:val="0"/>
              <w:spacing w:before="0" w:after="0"/>
              <w:ind w:left="0" w:right="0" w:hanging="0"/>
              <w:jc w:val="left"/>
              <w:rPr/>
            </w:pPr>
            <w:r>
              <w:rPr/>
              <w:t> </w:t>
            </w:r>
          </w:p>
        </w:tc>
        <w:tc>
          <w:tcPr>
            <w:tcW w:w="1283"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3,423</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 of interest income</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Depreciation and amortization, including film asset amortization</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12,332</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Amortization of deferred financing costs</w:t>
            </w:r>
            <w:r>
              <w:rPr>
                <w:rFonts w:ascii="Times New Roman;serif" w:hAnsi="Times New Roman;serif"/>
                <w:b w:val="false"/>
                <w:sz w:val="13"/>
              </w:rPr>
              <w:t>(1)</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EBITDA</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25,323</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6,619</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vAlign w:val="center"/>
          </w:tcPr>
          <w:p>
            <w:pPr>
              <w:pStyle w:val="TableContents"/>
              <w:bidi w:val="0"/>
              <w:spacing w:before="0" w:after="0"/>
              <w:ind w:left="0" w:right="0" w:firstLine="100"/>
              <w:jc w:val="left"/>
              <w:rPr/>
            </w:pPr>
            <w:r>
              <w:rPr/>
              <w:t> </w:t>
            </w:r>
          </w:p>
        </w:tc>
      </w:tr>
      <w:tr>
        <w:trPr/>
        <w:tc>
          <w:tcPr>
            <w:tcW w:w="42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Write-downs, including asset impairments and credit loss expense</w:t>
            </w:r>
          </w:p>
        </w:tc>
        <w:tc>
          <w:tcPr>
            <w:tcW w:w="328"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per Credit Facility</w:t>
            </w:r>
          </w:p>
        </w:tc>
        <w:tc>
          <w:tcPr>
            <w:tcW w:w="32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35,942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1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32,777</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56"/>
        <w:gridCol w:w="295"/>
        <w:gridCol w:w="204"/>
        <w:gridCol w:w="1099"/>
        <w:gridCol w:w="166"/>
        <w:gridCol w:w="146"/>
        <w:gridCol w:w="371"/>
        <w:gridCol w:w="256"/>
        <w:gridCol w:w="1082"/>
        <w:gridCol w:w="166"/>
        <w:gridCol w:w="146"/>
        <w:gridCol w:w="288"/>
        <w:gridCol w:w="199"/>
        <w:gridCol w:w="1070"/>
        <w:gridCol w:w="166"/>
        <w:gridCol w:w="295"/>
      </w:tblGrid>
      <w:tr>
        <w:trPr/>
        <w:tc>
          <w:tcPr>
            <w:tcW w:w="42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center"/>
          </w:tcPr>
          <w:p>
            <w:pPr>
              <w:pStyle w:val="TableContents"/>
              <w:bidi w:val="0"/>
              <w:spacing w:before="0" w:after="0"/>
              <w:ind w:left="0" w:right="0" w:hanging="0"/>
              <w:jc w:val="left"/>
              <w:rPr/>
            </w:pPr>
            <w:r>
              <w:rPr/>
              <w:t> </w:t>
            </w:r>
          </w:p>
        </w:tc>
        <w:tc>
          <w:tcPr>
            <w:tcW w:w="5488" w:type="dxa"/>
            <w:gridSpan w:val="1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Twelve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pPr>
            <w:r>
              <w:rPr/>
              <w:t> </w:t>
            </w:r>
          </w:p>
        </w:tc>
        <w:tc>
          <w:tcPr>
            <w:tcW w:w="159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9"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7"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pPr>
            <w:r>
              <w:rPr/>
              <w:t> </w:t>
            </w:r>
          </w:p>
        </w:tc>
        <w:tc>
          <w:tcPr>
            <w:tcW w:w="159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9" w:type="dxa"/>
            <w:gridSpan w:val="3"/>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26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pPr>
            <w:r>
              <w:rPr/>
              <w:t> </w:t>
            </w:r>
          </w:p>
        </w:tc>
        <w:tc>
          <w:tcPr>
            <w:tcW w:w="159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Interests and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9"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Attributable to</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7"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59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 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Reported net income</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4,465</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(subtract):</w:t>
            </w:r>
          </w:p>
        </w:tc>
        <w:tc>
          <w:tcPr>
            <w:tcW w:w="295"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1338"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26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11,115</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 of interest income</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Depreciation and amortization, including film asset amortization</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51,666</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Amortization of deferred financing costs</w:t>
            </w:r>
            <w:r>
              <w:rPr>
                <w:rFonts w:ascii="Times New Roman;serif" w:hAnsi="Times New Roman;serif"/>
                <w:b w:val="false"/>
                <w:sz w:val="13"/>
              </w:rPr>
              <w:t>(1)</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EBITDA</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72,225</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25,487</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Acquisition-related expenses</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Write-downs, including asset impairments and credit loss expense</w:t>
            </w:r>
          </w:p>
        </w:tc>
        <w:tc>
          <w:tcPr>
            <w:tcW w:w="295"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4,027</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firstLine="100"/>
              <w:jc w:val="left"/>
              <w:rPr/>
            </w:pPr>
            <w:r>
              <w:rPr/>
              <w:t> </w:t>
            </w:r>
          </w:p>
        </w:tc>
      </w:tr>
      <w:tr>
        <w:trPr/>
        <w:tc>
          <w:tcPr>
            <w:tcW w:w="425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Executive transition costs</w:t>
            </w:r>
            <w:r>
              <w:rPr>
                <w:rFonts w:ascii="Times New Roman;serif" w:hAnsi="Times New Roman;serif"/>
                <w:b w:val="false"/>
                <w:sz w:val="13"/>
              </w:rPr>
              <w:t>(2)</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r>
        <w:trPr/>
        <w:tc>
          <w:tcPr>
            <w:tcW w:w="4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per Credit Facility</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amortization of deferred financing costs is recorded within Interest Expense in the Condensed Consolidated Statements of Operations.</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Reflects costs in connection with the departure of Megan Colligan, President, IMAX Entertainment and Executive Vice President of the Company. (See Note 16 of Notes to Condensed Consolidated Financial Statements in Part I, Item 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bookmarkStart w:id="13" w:name="item_3_quantitative_qualitative_factors_"/>
      <w:bookmarkEnd w:id="13"/>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i/>
          <w:sz w:val="20"/>
        </w:rPr>
        <w:t>Quantitative and Qualitative Disclosures about Market Risk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pStyle w:val="TextBody"/>
        <w:bidi w:val="0"/>
        <w:spacing w:before="200" w:after="0"/>
        <w:jc w:val="both"/>
        <w:rPr>
          <w:rFonts w:ascii="Times New Roman;serif" w:hAnsi="Times New Roman;serif"/>
          <w:b/>
          <w:sz w:val="20"/>
        </w:rPr>
      </w:pPr>
      <w:r>
        <w:rPr>
          <w:rFonts w:ascii="Times New Roman;serif" w:hAnsi="Times New Roman;serif"/>
          <w:b/>
          <w:sz w:val="20"/>
        </w:rPr>
        <w:t>Foreign Exchange Rate Risk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from lease arrangements denominated in RMB, Japanese Yen, Euros and Canadian Dollars.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Certain of the Company’s PRC subsidiaries held approximately RMB 195.9 million ($27.1 million) in cash and cash equivalents as of June 30, 2023 (December 31, 2022 — RMB 303.8 million or $43.6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II. Item 1A. of this Form 10-Q.)</w:t>
      </w:r>
    </w:p>
    <w:p>
      <w:pPr>
        <w:pStyle w:val="TextBody"/>
        <w:bidi w:val="0"/>
        <w:spacing w:before="200" w:after="0"/>
        <w:jc w:val="both"/>
        <w:rPr>
          <w:rFonts w:ascii="Times New Roman" w:hAnsi="Times New Roman"/>
          <w:sz w:val="20"/>
        </w:rPr>
      </w:pPr>
      <w:r>
        <w:rPr>
          <w:rFonts w:ascii="Times New Roman;serif" w:hAnsi="Times New Roman;serif"/>
          <w:b w:val="false"/>
          <w:sz w:val="20"/>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and six months ended June 30, 2023 and 2022, the Company recorded foreign exchange net losses of $(0.5) million and $(0.6) million, respectively, resulting from changes in exchange rates related to foreign currency denominated monetary assets and liabilities (2022 — net losses of $(1.7) million and $(1.9) million, respectively).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2023,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notional value of foreign currency cash flow hedging instruments that qualify for hedge accounting as of June 30, 2023 was $39.2 million (December 31, 2022 — $24.7 million). Gains of $0.7 million and $0.8 million were recorded to Other Comprehensive Income (Loss) with respect to the change in fair value of these contracts for the three and six months ended June 30, 2023, (2022 — losses of $(0.6) million and $(0.3) million, respectively). Losses of $(0.1) million and $(0.5) million were reclassified from Accumulated Other Comprehensive Loss to Selling, General and Administrative Expenses for the three and six months ended June 30, 2023 (2022 — losses of $(0.1) million and $(0.1) million, respectively). The Company currently does not hold any derivatives which are not designated as hedging instruments.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Company’s Financing Receivables and working capital items denominated in Canadian Dollars, RMB, Japanese Yen, Euros and other foreign currencies translated into U.S. Dollars was $150.8 million. Assuming a 10% appreciation or depreciation in foreign currency exchange rates from the quoted foreign currency exchange rates as of June 30, 2023, the potential change in the fair value of foreign currency-denominated financing receivables and working capital items would have been $15.1 million. A significant portion of the Company’s Selling, General, and Administrative Expenses is denominated in Canadian Dollars. Assuming a 1% change appreciation or depreciation in foreign currency exchange rates as of June 30, 2023, the potential change in the amount of Selling, General, and Administrative Expenses would be $0.1 million.</w:t>
      </w:r>
    </w:p>
    <w:p>
      <w:pPr>
        <w:pStyle w:val="TextBody"/>
        <w:bidi w:val="0"/>
        <w:spacing w:before="200" w:after="0"/>
        <w:jc w:val="both"/>
        <w:rPr>
          <w:rFonts w:ascii="Times New Roman;serif" w:hAnsi="Times New Roman;serif"/>
          <w:b/>
          <w:sz w:val="20"/>
        </w:rPr>
      </w:pPr>
      <w:r>
        <w:rPr>
          <w:rFonts w:ascii="Times New Roman;serif" w:hAnsi="Times New Roman;serif"/>
          <w:b/>
          <w:sz w:val="20"/>
        </w:rPr>
        <w:t xml:space="preserve">Interest Rate Risk Management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earnings may also be affected by changes in interest rates due to the impact those changes have on its interest income from cash, and its interest expense from variable-rate borrowings that may be made under the Credit Facility.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 had drawn down $20.0 million on its Credit Facility (December 31, 2022 — $25.0 million), $8.9 million on its HSBC China Facility (December 31, 2022 — $12.5 million) and $0.4 million on its Bank of China Facility (December 31, 2022 — $0.4 million), which are subject to variable effective interest rates.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had variable rate debt instruments representing 6.1% and 7.7% of its total liabilities as of June 30, 2023 and December 31, 2022, respectively. If the interest rates available to the Company increased by 10%, the Company’s interest expense would increase by $0.2 million and interest income from cash would increase by $0.2 million. These amounts are determined by considering the impact of the hypothetical interest rates on the Company’s variable rate debt and cash balances as of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bookmarkStart w:id="14" w:name="item_4_controls_procedures"/>
      <w:bookmarkEnd w:id="14"/>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i/>
          <w:sz w:val="20"/>
        </w:rPr>
        <w:t>Controls and Procedures</w:t>
      </w:r>
    </w:p>
    <w:p>
      <w:pPr>
        <w:pStyle w:val="TextBody"/>
        <w:bidi w:val="0"/>
        <w:spacing w:before="200" w:after="0"/>
        <w:jc w:val="both"/>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Company’s management, with the participation of its CEO and its CFO, has evaluated the effectiveness of the Company’s “disclosure controls and procedures” (as defined in the Securities Exchange Act of 1934 Rules 13a-15(e) or 15d-15(e)) as of June 30, 2023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September 22, 2022, the Company acquired SSIMWAVE and commenced consolidating the assets, liabilities, and results of operations of SSIMWAVE in its financial reporting. Management has excluded SSIMWAVE from its assessment of internal control over financial reporting as of June 30, 2023, as it has been less than 12 months since it was acquired by the Company in a purchase business combination. SSIMWAVE is a wholly-owned subsidiary whose total assets and total revenues excluded from management’s assessment of internal control over financial reporting represent approximately 3% and 1%, respectively, of the related consolidated financial statement amounts as of and for the three months ended June 30, 2023.</w:t>
      </w:r>
    </w:p>
    <w:p>
      <w:pPr>
        <w:pStyle w:val="TextBody"/>
        <w:bidi w:val="0"/>
        <w:spacing w:before="20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There were no changes in the Company’s internal control over financial reporting which occurred during the three months ended June 30, 2023, that have materially affected, or are reasonably likely to materially affect, the Company’s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5" w:name="part_ii_or_information"/>
      <w:bookmarkEnd w:id="15"/>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00" w:after="0"/>
        <w:jc w:val="left"/>
        <w:rPr>
          <w:rFonts w:ascii="Times New Roman" w:hAnsi="Times New Roman"/>
          <w:sz w:val="20"/>
        </w:rPr>
      </w:pPr>
      <w:bookmarkStart w:id="16" w:name="item_1_legal_proceedings"/>
      <w:bookmarkEnd w:id="16"/>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i/>
          <w:sz w:val="20"/>
        </w:rPr>
        <w:t>Legal</w:t>
      </w:r>
      <w:r>
        <w:rPr>
          <w:rFonts w:ascii="Times New Roman" w:hAnsi="Times New Roman"/>
          <w:sz w:val="20"/>
        </w:rPr>
        <w:t xml:space="preserve"> </w:t>
      </w:r>
      <w:r>
        <w:rPr>
          <w:rFonts w:ascii="Times New Roman;serif" w:hAnsi="Times New Roman;serif"/>
          <w:b/>
          <w:i/>
          <w:sz w:val="20"/>
        </w:rPr>
        <w:t>Proceedings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See Note 7 of Notes to Condensed Consolidated Financial Statements in Part I, Item 1 for information regarding legal proceedings involving the Company.</w:t>
      </w:r>
    </w:p>
    <w:p>
      <w:pPr>
        <w:pStyle w:val="TextBody"/>
        <w:bidi w:val="0"/>
        <w:spacing w:before="200" w:after="0"/>
        <w:jc w:val="left"/>
        <w:rPr>
          <w:rFonts w:ascii="Times New Roman" w:hAnsi="Times New Roman"/>
          <w:sz w:val="20"/>
        </w:rPr>
      </w:pPr>
      <w:bookmarkStart w:id="17" w:name="item_1a_risk_factors"/>
      <w:bookmarkEnd w:id="17"/>
      <w:r>
        <w:rPr>
          <w:rFonts w:ascii="Times New Roman;serif" w:hAnsi="Times New Roman;serif"/>
          <w:b/>
          <w:sz w:val="20"/>
        </w:rPr>
        <w:t xml:space="preserve">Item 1A. </w:t>
      </w:r>
      <w:r>
        <w:rPr>
          <w:rFonts w:ascii="Times New Roman;serif" w:hAnsi="Times New Roman;serif"/>
          <w:b/>
          <w:i/>
          <w:sz w:val="20"/>
        </w:rPr>
        <w:t>Risk Factors</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This Form 10-Q should be read together with, and supplement, the risk factors in Item 1A. Risk Factors in the Company’s 2022 Form 10-K, which describes various risks and uncertainties to which the Company is or may become subject. The risk factors described below updates certain risk factors included in the Company’s 2022 Form 10-K in light of recent events. The below risk factors and the risk factors included in the Company’s 2022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pStyle w:val="TextBody"/>
        <w:bidi w:val="0"/>
        <w:spacing w:before="0" w:after="200"/>
        <w:jc w:val="both"/>
        <w:rPr>
          <w:rFonts w:ascii="Times New Roman;serif" w:hAnsi="Times New Roman;serif"/>
          <w:b/>
          <w:i/>
          <w:sz w:val="20"/>
        </w:rPr>
      </w:pPr>
      <w:r>
        <w:rPr>
          <w:rFonts w:ascii="Times New Roman;serif" w:hAnsi="Times New Roman;serif"/>
          <w:b/>
          <w:i/>
          <w:sz w:val="20"/>
        </w:rPr>
        <w:t>The success of the IMAX network is directly related to the availability and success of IMAX DMR films, and other films released to the IMAX network, as well as the continued purchase or lease of IMAX Systems and other support by movie exhibitors, for which there can be no guarantee.</w:t>
      </w:r>
    </w:p>
    <w:p>
      <w:pPr>
        <w:pStyle w:val="TextBody"/>
        <w:bidi w:val="0"/>
        <w:spacing w:before="200" w:after="200"/>
        <w:jc w:val="both"/>
        <w:rPr>
          <w:rFonts w:ascii="Times New Roman" w:hAnsi="Times New Roman"/>
          <w:sz w:val="20"/>
        </w:rPr>
      </w:pPr>
      <w:r>
        <w:rPr>
          <w:rFonts w:ascii="Times New Roman;serif" w:hAnsi="Times New Roman;serif"/>
          <w:b w:val="false"/>
          <w:sz w:val="20"/>
        </w:rPr>
        <w:t>An important factor affecting the growth and success of the IMAX network is the availability and strategic selection of films for IMAX locations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During the six months ended June 30, 2023, 33 new IMAX films were released to the Company’s global network. There is no guarantee that films will be available for release to the IMAX network, that filmmakers and studios will continue to release films to the IMAX network, or that the films selected for release to the IMAX network will be commercially successful.</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network. For example, the Writers Guild of America and the Screen Actors Guild – American Federation of Television and Radio Artists went on strike in May and July 2023, respectively, over ongoing labor disputes with the Alliance Motion Picture and Television Producers. These strikes have disrupted film productions and may interrupt film marketing efforts or lead to postponement of film releases. Given the ongoing negotiations and uncertainty as to the extent and the duration of the strikes, it is difficult to predict the full extent of the adverse impact of the strikes on the Company’s business and results of operations in future reporting periods, if any.</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In addition, as the Company’s international network has expanded, the Company has signed deals with studios in other countries to convert their films to the Company’s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Company depends principally on commercial movie exhibitors to purchase or lease IMAX Systems, to supply box office revenue under joint revenue sharing arrangements and under its sale and sales-type lease agreements and to supply venues in which to exhibit IMAX films. The Company can make no assurances that exhibitors will continue to do any of these things.</w:t>
      </w:r>
    </w:p>
    <w:p>
      <w:pPr>
        <w:pStyle w:val="TextBody"/>
        <w:bidi w:val="0"/>
        <w:spacing w:before="200" w:after="200"/>
        <w:jc w:val="both"/>
        <w:rPr>
          <w:rFonts w:ascii="Times New Roman" w:hAnsi="Times New Roman"/>
          <w:sz w:val="20"/>
        </w:rPr>
      </w:pPr>
      <w:r>
        <w:rPr>
          <w:rFonts w:ascii="Times New Roman;serif" w:hAnsi="Times New Roman;serif"/>
          <w:b w:val="false"/>
          <w:sz w:val="20"/>
        </w:rPr>
        <w:t>The Company is unable to predict the pace at which exhibitors will purchase or lease IMAX Systems or enter into joint revenue sharing arrangements with the Company, or whether any of the Company’s existing exhibitor customers will continue to do any of the foregoing. If exhibitors choose to reduce their levels of expansion, negotiate economic terms that are less favorable to the Company, or decide not to enter into transactions with the Company, the Company’s revenues would not increase at an anticipated rate and motion picture studios may be less willing to convert their films into the Company’s format for exhibition in commercial IMAX locations. As a result, the Company’s future revenues and cash flows could be adversely affected.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 Company faces risks in connection with its significant presence in China and the continued expansion of its business there.</w:t>
      </w:r>
    </w:p>
    <w:p>
      <w:pPr>
        <w:pStyle w:val="TextBody"/>
        <w:bidi w:val="0"/>
        <w:spacing w:before="200" w:after="200"/>
        <w:jc w:val="both"/>
        <w:rPr>
          <w:rFonts w:ascii="Times New Roman" w:hAnsi="Times New Roman"/>
          <w:sz w:val="20"/>
        </w:rPr>
      </w:pPr>
      <w:r>
        <w:rPr>
          <w:rFonts w:ascii="Times New Roman;serif" w:hAnsi="Times New Roman;serif"/>
          <w:b w:val="false"/>
          <w:sz w:val="20"/>
        </w:rPr>
        <w:t>Greater China is the Company’s largest market by revenue, with approximately 24% of overall revenues generated from its Greater China operations in 2022. As of June 30, 2023, the Company had 795 IMAX Systems operating in Greater China with an additional 197 systems in backlog, which represent 40% of the Company’s current backlog. Of the IMAX Systems currently scheduled to be installed in Greater China, 66% are under joint revenue sharing arrangements, which further increases the Company’s ongoing exposure to box office performance in this market. Furthermore, on July 12, 2023, the Company announced its proposal to acquire the 96.3 million shares in IMAX China that are not held by the Company in an aggregate transaction price of approximately $124.0 million. Upon approval of the offer and the scheme of arrangement, the Company will own 100% of IMAX China. The acquisition of IMAX China is subject to customary closing conditions, including the receipt of IMAX China shareholder and other approvals. The offer has been approved by both IMAX Corporation and IMAX China’s Boards of Directors. However, there is no guarantee that the acquisition will be approved by IMAX China shareholders or that other closing conditions will be satisfied. If the acquisition is successful, the Company’s increased ownership in IMAX China may increase the Company’s exposure to the risks related to the China market.</w:t>
      </w:r>
      <w:r>
        <w:rPr>
          <w:rFonts w:ascii="Times New Roman" w:hAnsi="Times New Roman"/>
          <w:sz w:val="20"/>
        </w:rPr>
        <w:t xml:space="preserve">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China market presents a number of risks, including changes in laws and regulations, currency fluctuations, increased competition, and changes in economic conditions, including the risk of an economic downturn or recession, trade embargoes, restrictions or other barriers, as well as other conditions that may adversely impact the Company, Company’s exhibitor and studio partners, and consumer spending. The worsening of U.S.–China political tensions could exacerbate any or all of these risks, and adverse developments in any of these areas could impact the Company’s future revenues and cash flows and could cause the Company to fail to achieve anticipated growth.</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in the PRC, as well as other requirements concerning operations of foreign businesses in the PRC, are evolving, and their enactment timetable, interpretation and implementation involve significant uncertainties. To the extent any PRC laws and regulations become applicable to the Company, it may be subject to the risks and uncertainties associated with the legal system in the PRC, including with respect to the enforcement of laws and the possibility of changes of rules and regulations with little or no advance notice.</w:t>
      </w:r>
    </w:p>
    <w:p>
      <w:pPr>
        <w:pStyle w:val="TextBody"/>
        <w:bidi w:val="0"/>
        <w:spacing w:before="200" w:after="200"/>
        <w:jc w:val="both"/>
        <w:rPr>
          <w:rFonts w:ascii="Times New Roman" w:hAnsi="Times New Roman"/>
          <w:sz w:val="20"/>
        </w:rPr>
      </w:pPr>
      <w:r>
        <w:rPr>
          <w:rFonts w:ascii="Times New Roman;serif" w:hAnsi="Times New Roman;serif"/>
          <w:b w:val="false"/>
          <w:sz w:val="20"/>
        </w:rPr>
        <w:t>Certain risks and uncertainties of doing business in China are solely within the control of the Chinese government, and Chinese law regulates both the scope of the Company’s continued expansion in China and the business conducted by it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The Company cannot provide assurance that the Chinese government will continue to permit the release of Hollywood IMAX films in China or that the timing or number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r>
        <w:rPr>
          <w:rFonts w:ascii="Times New Roman" w:hAnsi="Times New Roman"/>
          <w:sz w:val="20"/>
        </w:rPr>
        <w:t xml:space="preserve"> </w:t>
      </w:r>
    </w:p>
    <w:p>
      <w:pPr>
        <w:pStyle w:val="TextBody"/>
        <w:bidi w:val="0"/>
        <w:spacing w:before="200" w:after="0"/>
        <w:jc w:val="left"/>
        <w:rPr>
          <w:rFonts w:ascii="Times New Roman" w:hAnsi="Times New Roman"/>
          <w:sz w:val="20"/>
        </w:rPr>
      </w:pPr>
      <w:bookmarkStart w:id="18" w:name="item_2_unregistered_sales_equity_securit"/>
      <w:bookmarkEnd w:id="18"/>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i/>
          <w:sz w:val="20"/>
        </w:rPr>
        <w:t>Unregistered Sales of Equity Securities and Use of Proceeds</w:t>
      </w:r>
    </w:p>
    <w:p>
      <w:pPr>
        <w:pStyle w:val="TextBody"/>
        <w:bidi w:val="0"/>
        <w:spacing w:before="20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2023, the Company’s Board of Directors approved a 36-month extension to its share repurchase program through June 30, 2026. The Company’s total share repurchase authority is $400.0 million under the current share repurchase program. As of June 30, 2023, the Company had $191.5 million available under the repurchase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During the three months ended June 30, 2023, the Company repurchased 21,024 common shares at an average price of $16.89 per share for a total of $0.4 million, excluding commission.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00"/>
        <w:jc w:val="both"/>
        <w:rPr>
          <w:rFonts w:ascii="Times New Roman;serif" w:hAnsi="Times New Roman;serif"/>
          <w:b w:val="false"/>
          <w:sz w:val="20"/>
        </w:rPr>
      </w:pPr>
      <w:r>
        <w:rPr>
          <w:rFonts w:ascii="Times New Roman;serif" w:hAnsi="Times New Roman;serif"/>
          <w:b w:val="false"/>
          <w:sz w:val="20"/>
        </w:rPr>
        <w:t>The Company’s common share repurchase program activity for the three months ended June 30, 2023 was as follows:</w:t>
      </w:r>
    </w:p>
    <w:tbl>
      <w:tblPr>
        <w:tblW w:w="10205" w:type="dxa"/>
        <w:jc w:val="left"/>
        <w:tblInd w:w="0" w:type="dxa"/>
        <w:tblLayout w:type="fixed"/>
        <w:tblCellMar>
          <w:top w:w="28" w:type="dxa"/>
          <w:left w:w="28" w:type="dxa"/>
          <w:bottom w:w="28" w:type="dxa"/>
          <w:right w:w="28" w:type="dxa"/>
        </w:tblCellMar>
      </w:tblPr>
      <w:tblGrid>
        <w:gridCol w:w="1294"/>
        <w:gridCol w:w="236"/>
        <w:gridCol w:w="1098"/>
        <w:gridCol w:w="146"/>
        <w:gridCol w:w="146"/>
        <w:gridCol w:w="294"/>
        <w:gridCol w:w="203"/>
        <w:gridCol w:w="796"/>
        <w:gridCol w:w="146"/>
        <w:gridCol w:w="146"/>
        <w:gridCol w:w="388"/>
        <w:gridCol w:w="1804"/>
        <w:gridCol w:w="146"/>
        <w:gridCol w:w="146"/>
        <w:gridCol w:w="425"/>
        <w:gridCol w:w="294"/>
        <w:gridCol w:w="2300"/>
        <w:gridCol w:w="197"/>
      </w:tblGrid>
      <w:tr>
        <w:trPr/>
        <w:tc>
          <w:tcPr>
            <w:tcW w:w="12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94" w:type="dxa"/>
            <w:tcBorders/>
            <w:vAlign w:val="center"/>
          </w:tcPr>
          <w:p>
            <w:pPr>
              <w:pStyle w:val="TableContents"/>
              <w:bidi w:val="0"/>
              <w:spacing w:before="0" w:after="0"/>
              <w:ind w:left="0" w:right="0" w:hanging="0"/>
              <w:jc w:val="left"/>
              <w:rPr/>
            </w:pPr>
            <w:r>
              <w:rPr/>
              <w:t> </w:t>
            </w:r>
          </w:p>
        </w:tc>
        <w:tc>
          <w:tcPr>
            <w:tcW w:w="13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 paid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program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Maximum approximate dollar value of shares that may yet be purchased under the program</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1 through April 30, 2023</w:t>
            </w:r>
          </w:p>
        </w:tc>
        <w:tc>
          <w:tcPr>
            <w:tcW w:w="23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8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4"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191,805,295</w:t>
            </w:r>
          </w:p>
        </w:tc>
        <w:tc>
          <w:tcPr>
            <w:tcW w:w="197" w:type="dxa"/>
            <w:tcBorders/>
            <w:vAlign w:val="center"/>
          </w:tcPr>
          <w:p>
            <w:pPr>
              <w:pStyle w:val="TableContents"/>
              <w:bidi w:val="0"/>
              <w:spacing w:before="0" w:after="0"/>
              <w:ind w:left="0" w:right="0" w:hanging="0"/>
              <w:jc w:val="left"/>
              <w:rPr/>
            </w:pPr>
            <w:r>
              <w:rPr/>
              <w:t> </w:t>
            </w:r>
          </w:p>
        </w:tc>
      </w:tr>
      <w:tr>
        <w:trPr/>
        <w:tc>
          <w:tcPr>
            <w:tcW w:w="1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 through May 31, 2023</w:t>
            </w:r>
          </w:p>
        </w:tc>
        <w:tc>
          <w:tcPr>
            <w:tcW w:w="23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191,450,140</w:t>
            </w:r>
          </w:p>
        </w:tc>
        <w:tc>
          <w:tcPr>
            <w:tcW w:w="197" w:type="dxa"/>
            <w:tcBorders/>
            <w:vAlign w:val="center"/>
          </w:tcPr>
          <w:p>
            <w:pPr>
              <w:pStyle w:val="TableContents"/>
              <w:bidi w:val="0"/>
              <w:spacing w:before="0" w:after="0"/>
              <w:ind w:left="0" w:right="0" w:hanging="0"/>
              <w:jc w:val="left"/>
              <w:rPr/>
            </w:pPr>
            <w:r>
              <w:rPr/>
              <w:t> </w:t>
            </w:r>
          </w:p>
        </w:tc>
      </w:tr>
      <w:tr>
        <w:trPr/>
        <w:tc>
          <w:tcPr>
            <w:tcW w:w="1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1 through June 30, 2023</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191,450,140</w:t>
            </w:r>
          </w:p>
        </w:tc>
        <w:tc>
          <w:tcPr>
            <w:tcW w:w="197" w:type="dxa"/>
            <w:tcBorders/>
            <w:vAlign w:val="center"/>
          </w:tcPr>
          <w:p>
            <w:pPr>
              <w:pStyle w:val="TableContents"/>
              <w:bidi w:val="0"/>
              <w:spacing w:before="0" w:after="0"/>
              <w:ind w:left="0" w:right="0" w:hanging="0"/>
              <w:jc w:val="left"/>
              <w:rPr/>
            </w:pPr>
            <w:r>
              <w:rPr/>
              <w:t> </w:t>
            </w:r>
          </w:p>
        </w:tc>
      </w:tr>
      <w:tr>
        <w:trPr/>
        <w:tc>
          <w:tcPr>
            <w:tcW w:w="1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594"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In 2022, IMAX China’s shareholders granted its Board of Directors a general mandate authorizing the Board, subject to applicable laws, to repurchase shares of IMAX China not to exceed 10% of the total number of issued shares as of June 23, 2022 (34,063,480 shares). This program expired on the date of the 2023 Annual General Meeting of IMAX China on June 6, 2023. During the 2023 Annual General Meeting, shareholders approved the repurchase of shares of IMAX China not to exceed 10% of the total number of shares as of June 6, 2023 (33,959,314 shares). While this program would have been valid until the 2024 Annual General Meeting of IMAX China, pursuant to the transaction described in Note 18 of Notes to Condensed Consolidated Financial Statements in Part I, Item 1, IMAX China will not execute any additional share repurchases. The repurchases may be made in the open market or through other means permitted by applicable laws. IMAX China has no obligation to repurchase its shares and the share repurchase program may be suspended or discontinued by IMAX China at any time. During the three months ended June 30, 2023, IMAX China did not repurchase any common shares.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(See Note 6 of Notes to Condensed Consolidated Financial Statements in Part I, Item 1 for a summary of the material terms and conditions of the Company’s revolving credit facility, which include a limitation of the amount of permitted share repurchases.)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July 12, 2023, the Company announced it has filed a proposal to acquire the outstanding shares of IMAX China. (See Note 18 of Notes to Condensed Consolidated Financial Statements in Part I, Item 1 for information on the filing.)</w:t>
      </w:r>
    </w:p>
    <w:p>
      <w:pPr>
        <w:pStyle w:val="TextBody"/>
        <w:bidi w:val="0"/>
        <w:spacing w:before="200" w:after="200"/>
        <w:jc w:val="left"/>
        <w:rPr>
          <w:rFonts w:ascii="Times New Roman" w:hAnsi="Times New Roman"/>
          <w:sz w:val="20"/>
        </w:rPr>
      </w:pPr>
      <w:bookmarkStart w:id="19" w:name="item_5_other_information"/>
      <w:bookmarkEnd w:id="19"/>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i/>
          <w:sz w:val="20"/>
        </w:rPr>
        <w:t>Other Information</w:t>
      </w:r>
    </w:p>
    <w:p>
      <w:pPr>
        <w:pStyle w:val="TextBody"/>
        <w:bidi w:val="0"/>
        <w:spacing w:before="200" w:after="0"/>
        <w:jc w:val="both"/>
        <w:rPr>
          <w:rFonts w:ascii="Times New Roman;serif" w:hAnsi="Times New Roman;serif"/>
          <w:b/>
          <w:sz w:val="20"/>
        </w:rPr>
      </w:pPr>
      <w:r>
        <w:rPr>
          <w:rFonts w:ascii="Times New Roman;serif" w:hAnsi="Times New Roman;serif"/>
          <w:b/>
          <w:sz w:val="20"/>
        </w:rPr>
        <w:t>Rule 10b5-1 and Non-Rule 10b5-1 Trading Arrangements</w:t>
      </w:r>
    </w:p>
    <w:p>
      <w:pPr>
        <w:pStyle w:val="TextBody"/>
        <w:bidi w:val="0"/>
        <w:spacing w:before="200" w:after="0"/>
        <w:jc w:val="both"/>
        <w:rPr>
          <w:rFonts w:ascii="Times New Roman" w:hAnsi="Times New Roman"/>
          <w:sz w:val="20"/>
        </w:rPr>
      </w:pPr>
      <w:r>
        <w:rPr>
          <w:rFonts w:ascii="Times New Roman;serif" w:hAnsi="Times New Roman;serif"/>
          <w:b w:val="false"/>
          <w:sz w:val="20"/>
        </w:rPr>
        <w:t>None of the Company’s directors or officers adopted, modified, or terminated</w:t>
      </w:r>
      <w:r>
        <w:rPr>
          <w:rFonts w:ascii="Times New Roman" w:hAnsi="Times New Roman"/>
          <w:sz w:val="20"/>
        </w:rPr>
        <w:t xml:space="preserve"> </w:t>
      </w:r>
      <w:r>
        <w:rPr>
          <w:rFonts w:ascii="Times New Roman;serif" w:hAnsi="Times New Roman;serif"/>
          <w:b w:val="false"/>
          <w:sz w:val="20"/>
        </w:rPr>
        <w:t>a Rule 10b5-1 trading arrangement or a non-Rule 10b5-1 trading arrangement during the Company’s fiscal quarter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bookmarkStart w:id="20" w:name="item_6_exhibits"/>
      <w:bookmarkEnd w:id="20"/>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i/>
          <w:sz w:val="20"/>
        </w:rPr>
        <w:t>Exhibits</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814"/>
        <w:gridCol w:w="146"/>
        <w:gridCol w:w="9245"/>
      </w:tblGrid>
      <w:tr>
        <w:trPr/>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5" w:type="dxa"/>
            <w:tcBorders/>
            <w:vAlign w:val="center"/>
          </w:tcPr>
          <w:p>
            <w:pPr>
              <w:pStyle w:val="TableContents"/>
              <w:bidi w:val="0"/>
              <w:spacing w:before="0" w:after="283"/>
              <w:jc w:val="left"/>
              <w:rPr>
                <w:sz w:val="4"/>
                <w:szCs w:val="4"/>
              </w:rPr>
            </w:pPr>
            <w:r>
              <w:rPr>
                <w:sz w:val="4"/>
                <w:szCs w:val="4"/>
              </w:rPr>
            </w:r>
          </w:p>
        </w:tc>
      </w:tr>
      <w:tr>
        <w:trPr/>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Description</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both"/>
              <w:rPr/>
            </w:pPr>
            <w:hyperlink r:id="rId2">
              <w:r>
                <w:rPr>
                  <w:rStyle w:val="InternetLink"/>
                  <w:rFonts w:ascii="Times New Roman;serif" w:hAnsi="Times New Roman;serif"/>
                  <w:b w:val="false"/>
                  <w:sz w:val="20"/>
                  <w:u w:val="single"/>
                </w:rPr>
                <w:t>Second Amended and Restated By-law No.1 of IMAX Corporation, enacted on February 7, 2023. Incorporated by reference to Exhibit 3.1 to IMAX Corporation’s Form 8-K, dated as of June 14, 2023.</w:t>
              </w:r>
            </w:hyperlink>
            <w:hyperlink r:id="rId3">
              <w:r>
                <w:rPr>
                  <w:rStyle w:val="InternetLink"/>
                  <w:rFonts w:ascii="Times New Roman" w:hAnsi="Times New Roman"/>
                  <w:sz w:val="20"/>
                </w:rPr>
                <w:t xml:space="preserve"> </w:t>
              </w:r>
            </w:hyperlink>
          </w:p>
        </w:tc>
      </w:tr>
      <w:tr>
        <w:trPr/>
        <w:tc>
          <w:tcPr>
            <w:tcW w:w="814"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r>
              <w:rPr/>
              <w:t> </w:t>
            </w:r>
          </w:p>
        </w:tc>
      </w:tr>
      <w:tr>
        <w:trPr/>
        <w:tc>
          <w:tcPr>
            <w:tcW w:w="814"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hyperlink r:id="rId4">
              <w:r>
                <w:rPr>
                  <w:rStyle w:val="InternetLink"/>
                  <w:rFonts w:ascii="Times New Roman;serif" w:hAnsi="Times New Roman;serif"/>
                  <w:b w:val="false"/>
                  <w:sz w:val="20"/>
                  <w:u w:val="single"/>
                </w:rPr>
                <w:t>Amendment No. 1 to Second Amended and Restated Long-Term Incentive Plan. Incorporated by reference to Exhibit 10.1 to IMAX Corporation’s Form 8-K, dated as of June 14, 2023.</w:t>
              </w:r>
            </w:hyperlink>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hyperlink w:anchor="imax-ex31_1.htm">
              <w:r>
                <w:rPr>
                  <w:rStyle w:val="InternetLink"/>
                  <w:rFonts w:ascii="Times New Roman;serif" w:hAnsi="Times New Roman;serif"/>
                  <w:b w:val="false"/>
                  <w:sz w:val="20"/>
                  <w:u w:val="single"/>
                </w:rPr>
                <w:t>Certification Pursuant to Section 302 of the Sarbanes-Oxley Act of 2002, dated July 26, 2023, by Richard L. Gelfond.</w:t>
              </w:r>
            </w:hyperlink>
          </w:p>
        </w:tc>
      </w:tr>
      <w:tr>
        <w:trPr/>
        <w:tc>
          <w:tcPr>
            <w:tcW w:w="814"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r>
              <w:rPr/>
              <w:t> </w:t>
            </w:r>
          </w:p>
        </w:tc>
      </w:tr>
      <w:tr>
        <w:trPr/>
        <w:tc>
          <w:tcPr>
            <w:tcW w:w="814"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hyperlink w:anchor="imax-ex31_2.htm">
              <w:r>
                <w:rPr>
                  <w:rStyle w:val="InternetLink"/>
                  <w:rFonts w:ascii="Times New Roman;serif" w:hAnsi="Times New Roman;serif"/>
                  <w:b w:val="false"/>
                  <w:sz w:val="20"/>
                  <w:u w:val="single"/>
                </w:rPr>
                <w:t>Certification Pursuant to Section 302 of the Sarbanes-Oxley Act of 2002, dated July 26, 2023, by Natasha Fernandes.</w:t>
              </w:r>
            </w:hyperlink>
          </w:p>
        </w:tc>
      </w:tr>
      <w:tr>
        <w:trPr/>
        <w:tc>
          <w:tcPr>
            <w:tcW w:w="814"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r>
              <w:rPr/>
              <w:t> </w:t>
            </w:r>
          </w:p>
        </w:tc>
      </w:tr>
      <w:tr>
        <w:trPr/>
        <w:tc>
          <w:tcPr>
            <w:tcW w:w="814"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hyperlink w:anchor="imax-ex32_1.htm">
              <w:r>
                <w:rPr>
                  <w:rStyle w:val="InternetLink"/>
                  <w:rFonts w:ascii="Times New Roman;serif" w:hAnsi="Times New Roman;serif"/>
                  <w:b w:val="false"/>
                  <w:sz w:val="20"/>
                  <w:u w:val="single"/>
                </w:rPr>
                <w:t>Certification Pursuant to Section 906 of the Sarbanes-Oxley Act of 2002, dated July 26, 2023, by Richard L. Gelfond.</w:t>
              </w:r>
            </w:hyperlink>
          </w:p>
        </w:tc>
      </w:tr>
      <w:tr>
        <w:trPr/>
        <w:tc>
          <w:tcPr>
            <w:tcW w:w="814"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r>
              <w:rPr/>
              <w:t> </w:t>
            </w:r>
          </w:p>
        </w:tc>
      </w:tr>
      <w:tr>
        <w:trPr/>
        <w:tc>
          <w:tcPr>
            <w:tcW w:w="814"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both"/>
              <w:rPr/>
            </w:pPr>
            <w:r>
              <w:rPr/>
              <w:t> </w:t>
            </w:r>
          </w:p>
        </w:tc>
        <w:tc>
          <w:tcPr>
            <w:tcW w:w="9245" w:type="dxa"/>
            <w:tcBorders/>
            <w:vAlign w:val="center"/>
          </w:tcPr>
          <w:p>
            <w:pPr>
              <w:pStyle w:val="TableContents"/>
              <w:bidi w:val="0"/>
              <w:spacing w:before="0" w:after="0"/>
              <w:ind w:left="0" w:right="0" w:hanging="0"/>
              <w:jc w:val="both"/>
              <w:rPr/>
            </w:pPr>
            <w:hyperlink w:anchor="imax-ex32_2.htm">
              <w:r>
                <w:rPr>
                  <w:rStyle w:val="InternetLink"/>
                  <w:rFonts w:ascii="Times New Roman;serif" w:hAnsi="Times New Roman;serif"/>
                  <w:b w:val="false"/>
                  <w:sz w:val="20"/>
                  <w:u w:val="single"/>
                </w:rPr>
                <w:t>Certification Pursuant to Section 906 of the Sarbanes-Oxley Act of 2002, dated July 26, 2023, by Natasha Fernandes.</w:t>
              </w:r>
            </w:hyperlink>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pPr>
            <w:r>
              <w:rPr/>
              <w:t> </w:t>
            </w:r>
          </w:p>
        </w:tc>
      </w:tr>
      <w:tr>
        <w:trPr/>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*Filed herewith.</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+Management contract or compensatory plan, contract or arrangement.</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sz w:val="20"/>
        </w:rPr>
        <w:t>SIGN</w:t>
      </w:r>
      <w:bookmarkStart w:id="22" w:name="sig"/>
      <w:bookmarkEnd w:id="22"/>
      <w:r>
        <w:rPr>
          <w:rFonts w:ascii="Times New Roman;serif" w:hAnsi="Times New Roman;serif"/>
          <w:b/>
          <w:sz w:val="20"/>
        </w:rPr>
        <w:t>ATURES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5838" w:type="dxa"/>
        <w:jc w:val="left"/>
        <w:tblInd w:w="0" w:type="dxa"/>
        <w:tblLayout w:type="fixed"/>
        <w:tblCellMar>
          <w:top w:w="28" w:type="dxa"/>
          <w:left w:w="28" w:type="dxa"/>
          <w:bottom w:w="28" w:type="dxa"/>
          <w:right w:w="28" w:type="dxa"/>
        </w:tblCellMar>
      </w:tblPr>
      <w:tblGrid>
        <w:gridCol w:w="1711"/>
        <w:gridCol w:w="406"/>
        <w:gridCol w:w="372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 </w:t>
            </w:r>
          </w:p>
        </w:tc>
        <w:tc>
          <w:tcPr>
            <w:tcW w:w="412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IMAX CORPORATION</w:t>
            </w:r>
          </w:p>
        </w:tc>
      </w:tr>
      <w:tr>
        <w:trPr/>
        <w:tc>
          <w:tcPr>
            <w:tcW w:w="1711" w:type="dxa"/>
            <w:tcBorders/>
            <w:vAlign w:val="center"/>
          </w:tcPr>
          <w:p>
            <w:pPr>
              <w:pStyle w:val="TableContents"/>
              <w:bidi w:val="0"/>
              <w:spacing w:before="0" w:after="0"/>
              <w:ind w:left="0" w:right="0" w:hanging="0"/>
              <w:jc w:val="left"/>
              <w:rPr/>
            </w:pPr>
            <w:r>
              <w:rPr/>
              <w:t> </w:t>
            </w:r>
          </w:p>
        </w:tc>
        <w:tc>
          <w:tcPr>
            <w:tcW w:w="4127" w:type="dxa"/>
            <w:gridSpan w:val="2"/>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ELIZABETH GITAJN</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Elizabeth Gitajn</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Vice-President, Finance &amp; Controller</w:t>
            </w:r>
          </w:p>
        </w:tc>
      </w:tr>
      <w:tr>
        <w:trPr/>
        <w:tc>
          <w:tcPr>
            <w:tcW w:w="171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8"/>
        </w:rPr>
      </w:pPr>
      <w:bookmarkStart w:id="23" w:name="imax-ex31_1.htm"/>
      <w:bookmarkStart w:id="24" w:name="ksimaxex31_1"/>
      <w:bookmarkEnd w:id="23"/>
      <w:bookmarkEnd w:id="24"/>
      <w:r>
        <w:rPr>
          <w:rFonts w:ascii="Times New Roman;serif" w:hAnsi="Times New Roman;serif"/>
          <w:b/>
          <w:sz w:val="28"/>
        </w:rPr>
        <w:t>IMAX CORPORATION</w:t>
      </w:r>
      <w:r>
        <w:br w:type="page"/>
      </w:r>
    </w:p>
    <w:p>
      <w:pPr>
        <w:pStyle w:val="TextBody"/>
        <w:bidi w:val="0"/>
        <w:spacing w:before="0" w:after="0"/>
        <w:jc w:val="center"/>
        <w:rPr>
          <w:rFonts w:ascii="Times New Roman;serif" w:hAnsi="Times New Roman;serif"/>
          <w:b w:val="false"/>
          <w:sz w:val="28"/>
        </w:rPr>
      </w:pPr>
      <w:r>
        <w:rPr>
          <w:rFonts w:ascii="Times New Roman;serif" w:hAnsi="Times New Roman;serif"/>
          <w:b w:val="false"/>
          <w:sz w:val="28"/>
        </w:rPr>
        <w:t>Exhibit 31.1</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 Section 302 of the Sarbanes - Oxley Act of 2002</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 Richard L. Gelfond, certify that:</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June 30, 2023 of the registrant, IMAX Corporation; </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(c)</w:t>
      </w:r>
    </w:p>
    <w:p>
      <w:pPr>
        <w:pStyle w:val="TextBody"/>
        <w:bidi w:val="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(d)</w:t>
      </w:r>
    </w:p>
    <w:p>
      <w:pPr>
        <w:pStyle w:val="TextBody"/>
        <w:bidi w:val="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both"/>
        <w:rPr/>
      </w:pPr>
      <w:r>
        <w:rPr/>
        <w:t> </w:t>
      </w:r>
    </w:p>
    <w:tbl>
      <w:tblPr>
        <w:tblW w:w="4912" w:type="dxa"/>
        <w:jc w:val="left"/>
        <w:tblInd w:w="0" w:type="dxa"/>
        <w:tblLayout w:type="fixed"/>
        <w:tblCellMar>
          <w:top w:w="28" w:type="dxa"/>
          <w:left w:w="28" w:type="dxa"/>
          <w:bottom w:w="28" w:type="dxa"/>
          <w:right w:w="28" w:type="dxa"/>
        </w:tblCellMar>
      </w:tblPr>
      <w:tblGrid>
        <w:gridCol w:w="556"/>
        <w:gridCol w:w="146"/>
        <w:gridCol w:w="1216"/>
        <w:gridCol w:w="146"/>
        <w:gridCol w:w="631"/>
        <w:gridCol w:w="14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26,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L. Gelfond</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L. Gelfond</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8"/>
        </w:rPr>
      </w:pPr>
      <w:bookmarkStart w:id="25" w:name="imax-ex31_2.htm"/>
      <w:bookmarkStart w:id="26" w:name="ksimaxex31_2"/>
      <w:bookmarkEnd w:id="25"/>
      <w:bookmarkEnd w:id="26"/>
      <w:r>
        <w:rPr>
          <w:rFonts w:ascii="Times New Roman;serif" w:hAnsi="Times New Roman;serif"/>
          <w:b/>
          <w:sz w:val="28"/>
        </w:rPr>
        <w:t>IMAX CORPORATION</w:t>
      </w:r>
      <w:r>
        <w:br w:type="page"/>
      </w:r>
    </w:p>
    <w:p>
      <w:pPr>
        <w:pStyle w:val="TextBody"/>
        <w:bidi w:val="0"/>
        <w:spacing w:before="0" w:after="0"/>
        <w:jc w:val="center"/>
        <w:rPr>
          <w:rFonts w:ascii="Times New Roman;serif" w:hAnsi="Times New Roman;serif"/>
          <w:b w:val="false"/>
          <w:sz w:val="28"/>
        </w:rPr>
      </w:pPr>
      <w:r>
        <w:rPr>
          <w:rFonts w:ascii="Times New Roman;serif" w:hAnsi="Times New Roman;serif"/>
          <w:b w:val="false"/>
          <w:sz w:val="28"/>
        </w:rPr>
        <w:t>Exhibit 31.2</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 Section 302 of the Sarbanes - Oxley Act of 2002</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 Natasha Fernandes, certify that:</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June 30, 2023 of the registrant, IMAX Corporation; </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(c)</w:t>
      </w:r>
    </w:p>
    <w:p>
      <w:pPr>
        <w:pStyle w:val="TextBody"/>
        <w:bidi w:val="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(d)</w:t>
      </w:r>
    </w:p>
    <w:p>
      <w:pPr>
        <w:pStyle w:val="TextBody"/>
        <w:bidi w:val="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52" w:type="dxa"/>
        <w:jc w:val="left"/>
        <w:tblInd w:w="0" w:type="dxa"/>
        <w:tblLayout w:type="fixed"/>
        <w:tblCellMar>
          <w:top w:w="28" w:type="dxa"/>
          <w:left w:w="28" w:type="dxa"/>
          <w:bottom w:w="28" w:type="dxa"/>
          <w:right w:w="28" w:type="dxa"/>
        </w:tblCellMar>
      </w:tblPr>
      <w:tblGrid>
        <w:gridCol w:w="556"/>
        <w:gridCol w:w="146"/>
        <w:gridCol w:w="1216"/>
        <w:gridCol w:w="146"/>
        <w:gridCol w:w="631"/>
        <w:gridCol w:w="14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26,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8"/>
        </w:rPr>
      </w:pPr>
      <w:bookmarkStart w:id="27" w:name="imax-ex32_1.htm"/>
      <w:bookmarkStart w:id="28" w:name="ksimaxex32_1"/>
      <w:bookmarkEnd w:id="27"/>
      <w:bookmarkEnd w:id="28"/>
      <w:r>
        <w:rPr>
          <w:rFonts w:ascii="Times New Roman;serif" w:hAnsi="Times New Roman;serif"/>
          <w:b/>
          <w:sz w:val="28"/>
        </w:rPr>
        <w:t>IMAX CORPORATION</w:t>
      </w:r>
      <w:r>
        <w:br w:type="page"/>
      </w:r>
    </w:p>
    <w:p>
      <w:pPr>
        <w:pStyle w:val="TextBody"/>
        <w:bidi w:val="0"/>
        <w:spacing w:before="0" w:after="0"/>
        <w:jc w:val="center"/>
        <w:rPr>
          <w:rFonts w:ascii="Times New Roman;serif" w:hAnsi="Times New Roman;serif"/>
          <w:b w:val="false"/>
          <w:sz w:val="28"/>
        </w:rPr>
      </w:pPr>
      <w:r>
        <w:rPr>
          <w:rFonts w:ascii="Times New Roman;serif" w:hAnsi="Times New Roman;serif"/>
          <w:b w:val="false"/>
          <w:sz w:val="28"/>
        </w:rPr>
        <w:t>Exhibit 32.1</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sz w:val="22"/>
        </w:rPr>
        <w:t>CERTIFICATIONS</w:t>
      </w:r>
      <w:r>
        <w:rPr>
          <w:rFonts w:ascii="Times New Roman" w:hAnsi="Times New Roman"/>
          <w:sz w:val="20"/>
        </w:rPr>
        <w:t xml:space="preserve"> </w:t>
      </w:r>
    </w:p>
    <w:p>
      <w:pPr>
        <w:pStyle w:val="TextBody"/>
        <w:bidi w:val="0"/>
        <w:spacing w:before="0" w:after="0"/>
        <w:jc w:val="center"/>
        <w:rPr>
          <w:rFonts w:ascii="Times New Roman;serif" w:hAnsi="Times New Roman;serif"/>
          <w:b/>
          <w:sz w:val="22"/>
        </w:rPr>
      </w:pPr>
      <w:r>
        <w:rPr>
          <w:rFonts w:ascii="Times New Roman;serif" w:hAnsi="Times New Roman;serif"/>
          <w:b/>
          <w:sz w:val="22"/>
        </w:rPr>
        <w:t>Pursuant to Section 906 of the Sarbanes-Oxley Act of 2002</w:t>
      </w:r>
    </w:p>
    <w:p>
      <w:pPr>
        <w:pStyle w:val="TextBody"/>
        <w:bidi w:val="0"/>
        <w:spacing w:before="0" w:after="0"/>
        <w:jc w:val="center"/>
        <w:rPr>
          <w:rFonts w:ascii="Times New Roman;serif" w:hAnsi="Times New Roman;serif"/>
          <w:b/>
          <w:sz w:val="22"/>
        </w:rPr>
      </w:pPr>
      <w:r>
        <w:rPr>
          <w:rFonts w:ascii="Times New Roman;serif" w:hAnsi="Times New Roman;serif"/>
          <w:b/>
          <w:sz w:val="22"/>
        </w:rPr>
        <w:t>(Subsections (A) and (B) of Section 1350, Chapter 63 of Title 18, United States Code)</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Quarterly Report on Form 10-Q for the quarter ended June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t> </w:t>
      </w:r>
    </w:p>
    <w:tbl>
      <w:tblPr>
        <w:tblW w:w="4912" w:type="dxa"/>
        <w:jc w:val="left"/>
        <w:tblInd w:w="0" w:type="dxa"/>
        <w:tblLayout w:type="fixed"/>
        <w:tblCellMar>
          <w:top w:w="28" w:type="dxa"/>
          <w:left w:w="28" w:type="dxa"/>
          <w:bottom w:w="28" w:type="dxa"/>
          <w:right w:w="28" w:type="dxa"/>
        </w:tblCellMar>
      </w:tblPr>
      <w:tblGrid>
        <w:gridCol w:w="556"/>
        <w:gridCol w:w="146"/>
        <w:gridCol w:w="1216"/>
        <w:gridCol w:w="146"/>
        <w:gridCol w:w="631"/>
        <w:gridCol w:w="14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26,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L. Gelfond</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L. Gelfond</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8"/>
        </w:rPr>
      </w:pPr>
      <w:bookmarkStart w:id="29" w:name="imax-ex32_2.htm"/>
      <w:bookmarkStart w:id="30" w:name="ksimaxex32_2"/>
      <w:bookmarkEnd w:id="29"/>
      <w:bookmarkEnd w:id="30"/>
      <w:r>
        <w:rPr>
          <w:rFonts w:ascii="Times New Roman;serif" w:hAnsi="Times New Roman;serif"/>
          <w:b/>
          <w:sz w:val="28"/>
        </w:rPr>
        <w:t>IMAX CORPORATION</w:t>
      </w:r>
      <w:r>
        <w:br w:type="page"/>
      </w:r>
    </w:p>
    <w:p>
      <w:pPr>
        <w:pStyle w:val="TextBody"/>
        <w:bidi w:val="0"/>
        <w:spacing w:before="0" w:after="0"/>
        <w:jc w:val="center"/>
        <w:rPr>
          <w:rFonts w:ascii="Times New Roman;serif" w:hAnsi="Times New Roman;serif"/>
          <w:b w:val="false"/>
          <w:sz w:val="28"/>
        </w:rPr>
      </w:pPr>
      <w:r>
        <w:rPr>
          <w:rFonts w:ascii="Times New Roman;serif" w:hAnsi="Times New Roman;serif"/>
          <w:b w:val="false"/>
          <w:sz w:val="28"/>
        </w:rPr>
        <w:t>Exhibit 32.2</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sz w:val="22"/>
        </w:rPr>
        <w:t>CERTIFICATIONS</w:t>
      </w:r>
      <w:r>
        <w:rPr>
          <w:rFonts w:ascii="Times New Roman" w:hAnsi="Times New Roman"/>
          <w:sz w:val="20"/>
        </w:rPr>
        <w:t xml:space="preserve"> </w:t>
      </w:r>
    </w:p>
    <w:p>
      <w:pPr>
        <w:pStyle w:val="TextBody"/>
        <w:bidi w:val="0"/>
        <w:spacing w:before="0" w:after="0"/>
        <w:jc w:val="center"/>
        <w:rPr>
          <w:rFonts w:ascii="Times New Roman;serif" w:hAnsi="Times New Roman;serif"/>
          <w:b/>
          <w:sz w:val="22"/>
        </w:rPr>
      </w:pPr>
      <w:r>
        <w:rPr>
          <w:rFonts w:ascii="Times New Roman;serif" w:hAnsi="Times New Roman;serif"/>
          <w:b/>
          <w:sz w:val="22"/>
        </w:rPr>
        <w:t>Pursuant to Section 906 of the Sarbanes-Oxley Act of 2002</w:t>
      </w:r>
    </w:p>
    <w:p>
      <w:pPr>
        <w:pStyle w:val="TextBody"/>
        <w:bidi w:val="0"/>
        <w:spacing w:before="0" w:after="0"/>
        <w:jc w:val="center"/>
        <w:rPr>
          <w:rFonts w:ascii="Times New Roman;serif" w:hAnsi="Times New Roman;serif"/>
          <w:b/>
          <w:sz w:val="22"/>
        </w:rPr>
      </w:pPr>
      <w:r>
        <w:rPr>
          <w:rFonts w:ascii="Times New Roman;serif" w:hAnsi="Times New Roman;serif"/>
          <w:b/>
          <w:sz w:val="22"/>
        </w:rPr>
        <w:t>(Subsections (A) and (B) of Section 1350, Chapter 63 of Title 18, United States Code)</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Quarterly Report on Form 10-Q for the quarter ended June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t> </w:t>
      </w:r>
    </w:p>
    <w:tbl>
      <w:tblPr>
        <w:tblW w:w="4852" w:type="dxa"/>
        <w:jc w:val="left"/>
        <w:tblInd w:w="0" w:type="dxa"/>
        <w:tblLayout w:type="fixed"/>
        <w:tblCellMar>
          <w:top w:w="28" w:type="dxa"/>
          <w:left w:w="28" w:type="dxa"/>
          <w:bottom w:w="28" w:type="dxa"/>
          <w:right w:w="28" w:type="dxa"/>
        </w:tblCellMar>
      </w:tblPr>
      <w:tblGrid>
        <w:gridCol w:w="556"/>
        <w:gridCol w:w="146"/>
        <w:gridCol w:w="1216"/>
        <w:gridCol w:w="146"/>
        <w:gridCol w:w="631"/>
        <w:gridCol w:w="14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26,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582/000119312523166895/d522271dex31.htm" TargetMode="External"/><Relationship Id="rId3" Type="http://schemas.openxmlformats.org/officeDocument/2006/relationships/hyperlink" Target="https://www.sec.gov/Archives/edgar/data/921582/000119312523166895/d522271dex31.htm" TargetMode="External"/><Relationship Id="rId4" Type="http://schemas.openxmlformats.org/officeDocument/2006/relationships/hyperlink" Target="https://www.sec.gov/Archives/edgar/data/921582/000119312523166895/d522271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42966</Words>
  <Characters>234123</Characters>
  <CharactersWithSpaces>281263</CharactersWithSpaces>
  <Paragraphs>14734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