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887.xml.htm"/>
      <w:bookmarkStart w:id="1" w:name="ksmarketforms738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Fernandes Natasha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2525 SPEAKMAN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MISSISSAUGA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L5K 1B1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IMAX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 &amp; 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3"/>
        <w:gridCol w:w="901"/>
        <w:gridCol w:w="771"/>
        <w:gridCol w:w="598"/>
        <w:gridCol w:w="345"/>
        <w:gridCol w:w="921"/>
        <w:gridCol w:w="445"/>
        <w:gridCol w:w="922"/>
        <w:gridCol w:w="1146"/>
        <w:gridCol w:w="985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55,596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54.6277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Ms. Fernandes' aggregate remaining restricted share unit and common share balances following these transactions will be 32,764 and 35,596,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/s/Kenneth I. Weissman (attorney-in-fact for Natasha Fernandes)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8296" TargetMode="External"/><Relationship Id="rId5" Type="http://schemas.openxmlformats.org/officeDocument/2006/relationships/hyperlink" Target="http://www.sec.gov/cgi-bin/browse-edgar?action=getcompany&amp;CIK=0000921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3300</Characters>
  <CharactersWithSpaces>3825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